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media/image3.jpeg" ContentType="image/jpeg"/>
  <Override PartName="/word/media/image4.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right"/>
        <w:rPr>
          <w:rFonts w:ascii="Times New Roman;Times;Serif" w:hAnsi="Times New Roman;Times;Serif"/>
          <w:b/>
          <w:i w:val="false"/>
          <w:caps w:val="false"/>
          <w:smallCaps w:val="false"/>
          <w:sz w:val="20"/>
        </w:rPr>
      </w:pPr>
      <w:bookmarkStart w:id="0" w:name="ea029766201-424b3_sunpower.htm"/>
      <w:bookmarkStart w:id="1" w:name="ksea029766201424b3_sunpower"/>
      <w:bookmarkEnd w:id="0"/>
      <w:bookmarkEnd w:id="1"/>
      <w:r>
        <w:rPr>
          <w:rFonts w:ascii="Times New Roman;Times;Serif" w:hAnsi="Times New Roman;Times;Serif"/>
          <w:b/>
          <w:i w:val="false"/>
          <w:caps w:val="false"/>
          <w:smallCaps w:val="false"/>
          <w:sz w:val="20"/>
        </w:rPr>
        <w:t>Filed Pursuant to Rule 424(b)(3)</w:t>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Registration No. 333-297138</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PROSPECTUS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SUNPOWER INC.</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Up to 8,472,371 Shares of Common Stock</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Up to 380,000 Shares of Common Stock Issuable Upon Exercise of a Warrant</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Up to 4,424,779 Shares of Common Stock Issuable Upon Conversion of Convertible Notes</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prospectus relates to the offer and sale from time to time by the selling securityholders named in this prospectus or their permitted transferees (the “</w:t>
      </w:r>
      <w:r>
        <w:rPr>
          <w:rFonts w:ascii="Times New Roman;Times;Serif" w:hAnsi="Times New Roman;Times;Serif"/>
          <w:b/>
          <w:i w:val="false"/>
          <w:caps w:val="false"/>
          <w:smallCaps w:val="false"/>
          <w:sz w:val="20"/>
        </w:rPr>
        <w:t>Selling Securityholders</w:t>
      </w:r>
      <w:r>
        <w:rPr>
          <w:rFonts w:ascii="Times New Roman;Times;Serif" w:hAnsi="Times New Roman;Times;Serif"/>
          <w:b w:val="false"/>
          <w:i w:val="false"/>
          <w:caps w:val="false"/>
          <w:smallCaps w:val="false"/>
          <w:sz w:val="20"/>
        </w:rPr>
        <w:t>”) of up to 13,277,150 shares of our common stock, par value $0.0001 per share (the “</w:t>
      </w:r>
      <w:r>
        <w:rPr>
          <w:rFonts w:ascii="Times New Roman;Times;Serif" w:hAnsi="Times New Roman;Times;Serif"/>
          <w:b/>
          <w:i w:val="false"/>
          <w:caps w:val="false"/>
          <w:smallCaps w:val="false"/>
          <w:sz w:val="20"/>
        </w:rPr>
        <w:t>common stock</w:t>
      </w:r>
      <w:r>
        <w:rPr>
          <w:rFonts w:ascii="Times New Roman;Times;Serif" w:hAnsi="Times New Roman;Times;Serif"/>
          <w:b w:val="false"/>
          <w:i w:val="false"/>
          <w:caps w:val="false"/>
          <w:smallCaps w:val="false"/>
          <w:sz w:val="20"/>
        </w:rPr>
        <w:t>”), consisting of: (i) 6,666,666 shares of common stock (the “</w:t>
      </w:r>
      <w:r>
        <w:rPr>
          <w:rFonts w:ascii="Times New Roman;Times;Serif" w:hAnsi="Times New Roman;Times;Serif"/>
          <w:b/>
          <w:i w:val="false"/>
          <w:caps w:val="false"/>
          <w:smallCaps w:val="false"/>
          <w:sz w:val="20"/>
        </w:rPr>
        <w:t>Sunder Shares</w:t>
      </w:r>
      <w:r>
        <w:rPr>
          <w:rFonts w:ascii="Times New Roman;Times;Serif" w:hAnsi="Times New Roman;Times;Serif"/>
          <w:b w:val="false"/>
          <w:i w:val="false"/>
          <w:caps w:val="false"/>
          <w:smallCaps w:val="false"/>
          <w:sz w:val="20"/>
        </w:rPr>
        <w:t>”) previously issued by us pursuant to the Amendment and Agreement, dated as of March 5, 2026 (the “</w:t>
      </w:r>
      <w:r>
        <w:rPr>
          <w:rFonts w:ascii="Times New Roman;Times;Serif" w:hAnsi="Times New Roman;Times;Serif"/>
          <w:b/>
          <w:i w:val="false"/>
          <w:caps w:val="false"/>
          <w:smallCaps w:val="false"/>
          <w:sz w:val="20"/>
        </w:rPr>
        <w:t>Sunder Amendment</w:t>
      </w:r>
      <w:r>
        <w:rPr>
          <w:rFonts w:ascii="Times New Roman;Times;Serif" w:hAnsi="Times New Roman;Times;Serif"/>
          <w:b w:val="false"/>
          <w:i w:val="false"/>
          <w:caps w:val="false"/>
          <w:smallCaps w:val="false"/>
          <w:sz w:val="20"/>
        </w:rPr>
        <w:t>”), relating to the Membership Interest Purchase Agreement (the “</w:t>
      </w:r>
      <w:r>
        <w:rPr>
          <w:rFonts w:ascii="Times New Roman;Times;Serif" w:hAnsi="Times New Roman;Times;Serif"/>
          <w:b/>
          <w:i w:val="false"/>
          <w:caps w:val="false"/>
          <w:smallCaps w:val="false"/>
          <w:sz w:val="20"/>
        </w:rPr>
        <w:t>Sunder Purchase Agreement</w:t>
      </w:r>
      <w:r>
        <w:rPr>
          <w:rFonts w:ascii="Times New Roman;Times;Serif" w:hAnsi="Times New Roman;Times;Serif"/>
          <w:b w:val="false"/>
          <w:i w:val="false"/>
          <w:caps w:val="false"/>
          <w:smallCaps w:val="false"/>
          <w:sz w:val="20"/>
        </w:rPr>
        <w:t>”), dated September 21, 2025, by and among the Company, Complete Solar, Inc., Sunder Energy LLC (“</w:t>
      </w:r>
      <w:r>
        <w:rPr>
          <w:rFonts w:ascii="Times New Roman;Times;Serif" w:hAnsi="Times New Roman;Times;Serif"/>
          <w:b/>
          <w:i w:val="false"/>
          <w:caps w:val="false"/>
          <w:smallCaps w:val="false"/>
          <w:sz w:val="20"/>
        </w:rPr>
        <w:t>Sunder</w:t>
      </w:r>
      <w:r>
        <w:rPr>
          <w:rFonts w:ascii="Times New Roman;Times;Serif" w:hAnsi="Times New Roman;Times;Serif"/>
          <w:b w:val="false"/>
          <w:i w:val="false"/>
          <w:caps w:val="false"/>
          <w:smallCaps w:val="false"/>
          <w:sz w:val="20"/>
        </w:rPr>
        <w:t>”) and Chicken Parm Pizza LLC (“</w:t>
      </w:r>
      <w:r>
        <w:rPr>
          <w:rFonts w:ascii="Times New Roman;Times;Serif" w:hAnsi="Times New Roman;Times;Serif"/>
          <w:b/>
          <w:i w:val="false"/>
          <w:caps w:val="false"/>
          <w:smallCaps w:val="false"/>
          <w:sz w:val="20"/>
        </w:rPr>
        <w:t>CPP</w:t>
      </w:r>
      <w:r>
        <w:rPr>
          <w:rFonts w:ascii="Times New Roman;Times;Serif" w:hAnsi="Times New Roman;Times;Serif"/>
          <w:b w:val="false"/>
          <w:i w:val="false"/>
          <w:caps w:val="false"/>
          <w:smallCaps w:val="false"/>
          <w:sz w:val="20"/>
        </w:rPr>
        <w:t>”), in connection with our acquisition of Sunder; (ii) up to 1,805,705 shares of common stock (the “</w:t>
      </w:r>
      <w:r>
        <w:rPr>
          <w:rFonts w:ascii="Times New Roman;Times;Serif" w:hAnsi="Times New Roman;Times;Serif"/>
          <w:b/>
          <w:i w:val="false"/>
          <w:caps w:val="false"/>
          <w:smallCaps w:val="false"/>
          <w:sz w:val="20"/>
        </w:rPr>
        <w:t>Cobalt Shares</w:t>
      </w:r>
      <w:r>
        <w:rPr>
          <w:rFonts w:ascii="Times New Roman;Times;Serif" w:hAnsi="Times New Roman;Times;Serif"/>
          <w:b w:val="false"/>
          <w:i w:val="false"/>
          <w:caps w:val="false"/>
          <w:smallCaps w:val="false"/>
          <w:sz w:val="20"/>
        </w:rPr>
        <w:t>”) previously issued pursuant to the Share Purchase Agreement, dated January 30, 2026, by and among the Company, Cobalt Power Systems, Inc. (“</w:t>
      </w:r>
      <w:r>
        <w:rPr>
          <w:rFonts w:ascii="Times New Roman;Times;Serif" w:hAnsi="Times New Roman;Times;Serif"/>
          <w:b/>
          <w:i w:val="false"/>
          <w:caps w:val="false"/>
          <w:smallCaps w:val="false"/>
          <w:sz w:val="20"/>
        </w:rPr>
        <w:t>Cobalt</w:t>
      </w:r>
      <w:r>
        <w:rPr>
          <w:rFonts w:ascii="Times New Roman;Times;Serif" w:hAnsi="Times New Roman;Times;Serif"/>
          <w:b w:val="false"/>
          <w:i w:val="false"/>
          <w:caps w:val="false"/>
          <w:smallCaps w:val="false"/>
          <w:sz w:val="20"/>
        </w:rPr>
        <w:t>”) and the selling shareholders (the “</w:t>
      </w:r>
      <w:r>
        <w:rPr>
          <w:rFonts w:ascii="Times New Roman;Times;Serif" w:hAnsi="Times New Roman;Times;Serif"/>
          <w:b/>
          <w:i w:val="false"/>
          <w:caps w:val="false"/>
          <w:smallCaps w:val="false"/>
          <w:sz w:val="20"/>
        </w:rPr>
        <w:t>Selling Shareholders</w:t>
      </w:r>
      <w:r>
        <w:rPr>
          <w:rFonts w:ascii="Times New Roman;Times;Serif" w:hAnsi="Times New Roman;Times;Serif"/>
          <w:b w:val="false"/>
          <w:i w:val="false"/>
          <w:caps w:val="false"/>
          <w:smallCaps w:val="false"/>
          <w:sz w:val="20"/>
        </w:rPr>
        <w:t>”) party thereto (the “</w:t>
      </w:r>
      <w:r>
        <w:rPr>
          <w:rFonts w:ascii="Times New Roman;Times;Serif" w:hAnsi="Times New Roman;Times;Serif"/>
          <w:b/>
          <w:i w:val="false"/>
          <w:caps w:val="false"/>
          <w:smallCaps w:val="false"/>
          <w:sz w:val="20"/>
        </w:rPr>
        <w:t>Cobalt Purchase Agreement</w:t>
      </w:r>
      <w:r>
        <w:rPr>
          <w:rFonts w:ascii="Times New Roman;Times;Serif" w:hAnsi="Times New Roman;Times;Serif"/>
          <w:b w:val="false"/>
          <w:i w:val="false"/>
          <w:caps w:val="false"/>
          <w:smallCaps w:val="false"/>
          <w:sz w:val="20"/>
        </w:rPr>
        <w:t>” and, together with the Sunder Purchase Agreement, the “</w:t>
      </w:r>
      <w:r>
        <w:rPr>
          <w:rFonts w:ascii="Times New Roman;Times;Serif" w:hAnsi="Times New Roman;Times;Serif"/>
          <w:b/>
          <w:i w:val="false"/>
          <w:caps w:val="false"/>
          <w:smallCaps w:val="false"/>
          <w:sz w:val="20"/>
        </w:rPr>
        <w:t>Acquisition Agreements</w:t>
      </w:r>
      <w:r>
        <w:rPr>
          <w:rFonts w:ascii="Times New Roman;Times;Serif" w:hAnsi="Times New Roman;Times;Serif"/>
          <w:b w:val="false"/>
          <w:i w:val="false"/>
          <w:caps w:val="false"/>
          <w:smallCaps w:val="false"/>
          <w:sz w:val="20"/>
        </w:rPr>
        <w:t>”) in connection with our acquisition of Cobalt; (iii) up to 380,000 shares of common stock (the “</w:t>
      </w:r>
      <w:r>
        <w:rPr>
          <w:rFonts w:ascii="Times New Roman;Times;Serif" w:hAnsi="Times New Roman;Times;Serif"/>
          <w:b/>
          <w:i w:val="false"/>
          <w:caps w:val="false"/>
          <w:smallCaps w:val="false"/>
          <w:sz w:val="20"/>
        </w:rPr>
        <w:t>Ayna Shares</w:t>
      </w:r>
      <w:r>
        <w:rPr>
          <w:rFonts w:ascii="Times New Roman;Times;Serif" w:hAnsi="Times New Roman;Times;Serif"/>
          <w:b w:val="false"/>
          <w:i w:val="false"/>
          <w:caps w:val="false"/>
          <w:smallCaps w:val="false"/>
          <w:sz w:val="20"/>
        </w:rPr>
        <w:t>”) that are issuable upon the exercise of the warrant to purchase common stock (the “</w:t>
      </w:r>
      <w:r>
        <w:rPr>
          <w:rFonts w:ascii="Times New Roman;Times;Serif" w:hAnsi="Times New Roman;Times;Serif"/>
          <w:b/>
          <w:i w:val="false"/>
          <w:caps w:val="false"/>
          <w:smallCaps w:val="false"/>
          <w:sz w:val="20"/>
        </w:rPr>
        <w:t>Ayna 2026 Warrant</w:t>
      </w:r>
      <w:r>
        <w:rPr>
          <w:rFonts w:ascii="Times New Roman;Times;Serif" w:hAnsi="Times New Roman;Times;Serif"/>
          <w:b w:val="false"/>
          <w:i w:val="false"/>
          <w:caps w:val="false"/>
          <w:smallCaps w:val="false"/>
          <w:sz w:val="20"/>
        </w:rPr>
        <w:t>”) originally issued in a private placement to Ayna.AI LLC (“</w:t>
      </w:r>
      <w:r>
        <w:rPr>
          <w:rFonts w:ascii="Times New Roman;Times;Serif" w:hAnsi="Times New Roman;Times;Serif"/>
          <w:b/>
          <w:i w:val="false"/>
          <w:caps w:val="false"/>
          <w:smallCaps w:val="false"/>
          <w:sz w:val="20"/>
        </w:rPr>
        <w:t>Ayna</w:t>
      </w:r>
      <w:r>
        <w:rPr>
          <w:rFonts w:ascii="Times New Roman;Times;Serif" w:hAnsi="Times New Roman;Times;Serif"/>
          <w:b w:val="false"/>
          <w:i w:val="false"/>
          <w:caps w:val="false"/>
          <w:smallCaps w:val="false"/>
          <w:sz w:val="20"/>
        </w:rPr>
        <w:t>”); and (iv) up to 4,424,779 shares of common stock (the “</w:t>
      </w:r>
      <w:r>
        <w:rPr>
          <w:rFonts w:ascii="Times New Roman;Times;Serif" w:hAnsi="Times New Roman;Times;Serif"/>
          <w:b/>
          <w:i w:val="false"/>
          <w:caps w:val="false"/>
          <w:smallCaps w:val="false"/>
          <w:sz w:val="20"/>
        </w:rPr>
        <w:t>Conversion Shares</w:t>
      </w:r>
      <w:r>
        <w:rPr>
          <w:rFonts w:ascii="Times New Roman;Times;Serif" w:hAnsi="Times New Roman;Times;Serif"/>
          <w:b w:val="false"/>
          <w:i w:val="false"/>
          <w:caps w:val="false"/>
          <w:smallCaps w:val="false"/>
          <w:sz w:val="20"/>
        </w:rPr>
        <w:t>” and, collectively with the Sunder Shares, the Cobalt Shares and the Ayna Shares, the “</w:t>
      </w:r>
      <w:r>
        <w:rPr>
          <w:rFonts w:ascii="Times New Roman;Times;Serif" w:hAnsi="Times New Roman;Times;Serif"/>
          <w:b/>
          <w:i w:val="false"/>
          <w:caps w:val="false"/>
          <w:smallCaps w:val="false"/>
          <w:sz w:val="20"/>
        </w:rPr>
        <w:t>Offered Securities</w:t>
      </w:r>
      <w:r>
        <w:rPr>
          <w:rFonts w:ascii="Times New Roman;Times;Serif" w:hAnsi="Times New Roman;Times;Serif"/>
          <w:b w:val="false"/>
          <w:i w:val="false"/>
          <w:caps w:val="false"/>
          <w:smallCaps w:val="false"/>
          <w:sz w:val="20"/>
        </w:rPr>
        <w:t>”) issuable upon conversion of a 10% convertible senior secured note due 2029 in the original principal amount of $5.0 million (the “</w:t>
      </w:r>
      <w:r>
        <w:rPr>
          <w:rFonts w:ascii="Times New Roman;Times;Serif" w:hAnsi="Times New Roman;Times;Serif"/>
          <w:b/>
          <w:i w:val="false"/>
          <w:caps w:val="false"/>
          <w:smallCaps w:val="false"/>
          <w:sz w:val="20"/>
        </w:rPr>
        <w:t>Secured Note</w:t>
      </w:r>
      <w:r>
        <w:rPr>
          <w:rFonts w:ascii="Times New Roman;Times;Serif" w:hAnsi="Times New Roman;Times;Serif"/>
          <w:b w:val="false"/>
          <w:i w:val="false"/>
          <w:caps w:val="false"/>
          <w:smallCaps w:val="false"/>
          <w:sz w:val="20"/>
        </w:rPr>
        <w:t>”). The Sunder Shares were issued by us to CPP pursuant to the Sunder Amendment on April 8, 2026. The Cobalt Shares were issued by us to the Selling Shareholders pursuant to the Cobalt Purchase Agreement on February 2, 2026. The Ayna 2026 Warrant was issued by us effective January 1, 2026. The 10% Note was issued by us on May 20, 2026 pursuant to the Note Purchase Agreement, dated May 19, 2026, between the Company and the Selling Securityholder party thereto.</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See “</w:t>
      </w:r>
      <w:r>
        <w:rPr>
          <w:rFonts w:ascii="Times New Roman;Times;Serif" w:hAnsi="Times New Roman;Times;Serif"/>
          <w:b w:val="false"/>
          <w:i/>
          <w:caps w:val="false"/>
          <w:smallCaps w:val="false"/>
          <w:sz w:val="20"/>
        </w:rPr>
        <w:t>Prospectus Summary</w:t>
      </w:r>
      <w:r>
        <w:rPr>
          <w:rFonts w:ascii="Times New Roman;Times;Serif" w:hAnsi="Times New Roman;Times;Serif"/>
          <w:b w:val="false"/>
          <w:i w:val="false"/>
          <w:caps w:val="false"/>
          <w:smallCaps w:val="false"/>
          <w:sz w:val="20"/>
        </w:rPr>
        <w:t>” below for a description of the Acquisition Agreements, the Ambia Acquisition and the Sunder Acquisition and the 7% Notes and “</w:t>
      </w:r>
      <w:r>
        <w:rPr>
          <w:rFonts w:ascii="Times New Roman;Times;Serif" w:hAnsi="Times New Roman;Times;Serif"/>
          <w:b w:val="false"/>
          <w:i/>
          <w:caps w:val="false"/>
          <w:smallCaps w:val="false"/>
          <w:sz w:val="20"/>
        </w:rPr>
        <w:t>Selling Securityholders</w:t>
      </w:r>
      <w:r>
        <w:rPr>
          <w:rFonts w:ascii="Times New Roman;Times;Serif" w:hAnsi="Times New Roman;Times;Serif"/>
          <w:b w:val="false"/>
          <w:i w:val="false"/>
          <w:caps w:val="false"/>
          <w:smallCaps w:val="false"/>
          <w:sz w:val="20"/>
        </w:rPr>
        <w:t>” for additional information regarding the Selling Securityholders.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not selling any securities under this prospectus and will not receive any of the proceeds from the sale of shares of common stock by the Selling Securityholders.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Selling Securityholders may sell or otherwise dispose of the shares of common stock described in this prospectus in a number of different ways and at varying prices. See “</w:t>
      </w:r>
      <w:r>
        <w:rPr>
          <w:rFonts w:ascii="Times New Roman;Times;Serif" w:hAnsi="Times New Roman;Times;Serif"/>
          <w:b w:val="false"/>
          <w:i/>
          <w:caps w:val="false"/>
          <w:smallCaps w:val="false"/>
          <w:sz w:val="20"/>
        </w:rPr>
        <w:t>Plan of Distribution</w:t>
      </w:r>
      <w:r>
        <w:rPr>
          <w:rFonts w:ascii="Times New Roman;Times;Serif" w:hAnsi="Times New Roman;Times;Serif"/>
          <w:b w:val="false"/>
          <w:i w:val="false"/>
          <w:caps w:val="false"/>
          <w:smallCaps w:val="false"/>
          <w:sz w:val="20"/>
        </w:rPr>
        <w:t>” for more information about how the Selling Securityholders may sell or otherwise dispose of the shares of common stock being registered pursuant to this prospectus. None of the Selling Securityholders are an “underwriter” with respect to the securities registered hereunder within the meaning of Section 2(a)(11) of the Securities Act of 1933, as amended.</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Selling Securityholders will pay all brokerage fees and commissions and similar expenses attributable to the sales of its common stock. We will pay the expenses (except brokerage fees and commissions and similar expenses) incurred in registering the shares of common stock offered hereby, including legal and accounting fees. See “</w:t>
      </w:r>
      <w:r>
        <w:rPr>
          <w:rFonts w:ascii="Times New Roman;Times;Serif" w:hAnsi="Times New Roman;Times;Serif"/>
          <w:b w:val="false"/>
          <w:i/>
          <w:caps w:val="false"/>
          <w:smallCaps w:val="false"/>
          <w:sz w:val="20"/>
        </w:rPr>
        <w:t>Plan of Distribution</w:t>
      </w:r>
      <w:r>
        <w:rPr>
          <w:rFonts w:ascii="Times New Roman;Times;Serif" w:hAnsi="Times New Roman;Times;Serif"/>
          <w:b w:val="false"/>
          <w:i w:val="false"/>
          <w:caps w:val="false"/>
          <w:smallCaps w:val="false"/>
          <w:sz w:val="20"/>
        </w:rPr>
        <w:t>.”</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Shares of our common stock are listed on the Nasdaq Global Market (“Nasdaq”) under the symbol “SPWR”. On July 9, 2026, the closing price of our common stock was $0.65.</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We are an “emerging growth company” as defined under U.S. federal securities laws and, as such, have elected to comply with reduced public company reporting requirements. This prospectus complies with the requirements that apply to an issuer that is an emerging growth company.</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Investing in our securities involves a high degree of risk. You should review carefully the risks and uncertainties described in the section titled “Risk Factors” beginning on page 10 of this prospectus, and under similar headings in any amendments or supplements to this prospectus.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Neither the Securities and Exchange Commission nor any state securities commission has approved or disapproved of these securities, or passed upon the accuracy or adequacy of this prospectus. Any representation to the contrary is a criminal offense.</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Prospectus dated July 10, 2026</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ABOUT THIS PROSPECTUS</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prospectus is part of a registration statement on Form S-1 that we filed with the Securities and Exchange Commission (the “</w:t>
      </w:r>
      <w:r>
        <w:rPr>
          <w:rFonts w:ascii="Times New Roman;Times;Serif" w:hAnsi="Times New Roman;Times;Serif"/>
          <w:b/>
          <w:i w:val="false"/>
          <w:caps w:val="false"/>
          <w:smallCaps w:val="false"/>
          <w:sz w:val="20"/>
        </w:rPr>
        <w:t>SEC</w:t>
      </w:r>
      <w:r>
        <w:rPr>
          <w:rFonts w:ascii="Times New Roman;Times;Serif" w:hAnsi="Times New Roman;Times;Serif"/>
          <w:b w:val="false"/>
          <w:i w:val="false"/>
          <w:caps w:val="false"/>
          <w:smallCaps w:val="false"/>
          <w:sz w:val="20"/>
        </w:rPr>
        <w:t>”) using the “shelf” registration process. Under this shelf registration process, the Selling Securityholders may, from time to time, sell the securities offered by them described in this prospectus. We will not receive any proceeds from the sale by such Selling Securityholders of the securities offered by them described in this prospectus.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Neither we nor the Selling Securityholders have authorized anyone to provide you with any information or to make any representations other than those contained in this prospectus or any applicable prospectus supplement or any free writing prospectuses prepared by or on behalf of us or to which we have referred you. Neither we nor the Selling Securityholders take responsibility for, and can provide no assurance as to the reliability of, any other information that others may give you. Neither we nor the Selling Securityholders will make an offer to sell these securities in any jurisdiction where the offer or sale is not permitted.</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also provide a prospectus supplement or post-effective amendment to the registration statement to add information to, or update or change information contained in, this prospectus. You should read both this prospectus and any applicable prospectus supplement or post-effective amendment to the registration statement together with the additional information to which we refer you in the section of this prospectus titled “</w:t>
      </w:r>
      <w:r>
        <w:rPr>
          <w:rFonts w:ascii="Times New Roman;Times;Serif" w:hAnsi="Times New Roman;Times;Serif"/>
          <w:b w:val="false"/>
          <w:i/>
          <w:caps w:val="false"/>
          <w:smallCaps w:val="false"/>
          <w:sz w:val="20"/>
        </w:rPr>
        <w:t>Where You Can Find More Information”</w:t>
      </w:r>
      <w:r>
        <w:rPr>
          <w:rFonts w:ascii="Times New Roman;Times;Serif" w:hAnsi="Times New Roman;Times;Serif"/>
          <w:b w:val="false"/>
          <w:i w:val="false"/>
          <w:caps w:val="false"/>
          <w:smallCaps w:val="false"/>
          <w:sz w:val="20"/>
        </w:rPr>
        <w:t xml:space="preserve"> before deciding to invest in any of the securities being offered. The information contained in this prospectus and any supplement to this prospectus is accurate only as of the respective dates thereof, regardless of the time of delivery of this prospectus or of any sale of our securities. Our business, financial condition, results of operations and prospects may have changed since those dates.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July 17, 2023, FACT filed an application for deregistration with the Cayman Islands Registrar of Companies, together with the necessary accompanying documents, and filed a certificate of incorporation and a certificate of corporate domestication with the Secretary of State of the State of Delaware, under which FACT was domesticated and continues as a Delaware corporation, changing its name to “Complete Solaria, Inc.”</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Legacy Complete Solaria, Inc. (f/k/a Complete Solar Holding Corporation), a Delaware corporation (“</w:t>
      </w:r>
      <w:r>
        <w:rPr>
          <w:rFonts w:ascii="Times New Roman;Times;Serif" w:hAnsi="Times New Roman;Times;Serif"/>
          <w:b/>
          <w:i w:val="false"/>
          <w:caps w:val="false"/>
          <w:smallCaps w:val="false"/>
          <w:sz w:val="20"/>
        </w:rPr>
        <w:t>Legacy Complete Solaria</w:t>
      </w:r>
      <w:r>
        <w:rPr>
          <w:rFonts w:ascii="Times New Roman;Times;Serif" w:hAnsi="Times New Roman;Times;Serif"/>
          <w:b w:val="false"/>
          <w:i w:val="false"/>
          <w:caps w:val="false"/>
          <w:smallCaps w:val="false"/>
          <w:sz w:val="20"/>
        </w:rPr>
        <w:t>”), FACT, Jupiter Merger Sub I Corp., a Delaware corporation and wholly-owned subsidiary of FACT (“</w:t>
      </w:r>
      <w:r>
        <w:rPr>
          <w:rFonts w:ascii="Times New Roman;Times;Serif" w:hAnsi="Times New Roman;Times;Serif"/>
          <w:b/>
          <w:i w:val="false"/>
          <w:caps w:val="false"/>
          <w:smallCaps w:val="false"/>
          <w:sz w:val="20"/>
        </w:rPr>
        <w:t>First Merger Sub</w:t>
      </w:r>
      <w:r>
        <w:rPr>
          <w:rFonts w:ascii="Times New Roman;Times;Serif" w:hAnsi="Times New Roman;Times;Serif"/>
          <w:b w:val="false"/>
          <w:i w:val="false"/>
          <w:caps w:val="false"/>
          <w:smallCaps w:val="false"/>
          <w:sz w:val="20"/>
        </w:rPr>
        <w:t>”), Jupiter Merger Sub II LLC, a Delaware limited liability company and a wholly-owned subsidiary of FACT (“</w:t>
      </w:r>
      <w:r>
        <w:rPr>
          <w:rFonts w:ascii="Times New Roman;Times;Serif" w:hAnsi="Times New Roman;Times;Serif"/>
          <w:b/>
          <w:i w:val="false"/>
          <w:caps w:val="false"/>
          <w:smallCaps w:val="false"/>
          <w:sz w:val="20"/>
        </w:rPr>
        <w:t>Second Merger Sub</w:t>
      </w:r>
      <w:r>
        <w:rPr>
          <w:rFonts w:ascii="Times New Roman;Times;Serif" w:hAnsi="Times New Roman;Times;Serif"/>
          <w:b w:val="false"/>
          <w:i w:val="false"/>
          <w:caps w:val="false"/>
          <w:smallCaps w:val="false"/>
          <w:sz w:val="20"/>
        </w:rPr>
        <w:t>”) and The Solaria Corporation, a Delaware corporation and a wholly-owned indirect subsidiary of Legacy Complete Solaria (“</w:t>
      </w:r>
      <w:r>
        <w:rPr>
          <w:rFonts w:ascii="Times New Roman;Times;Serif" w:hAnsi="Times New Roman;Times;Serif"/>
          <w:b/>
          <w:i w:val="false"/>
          <w:caps w:val="false"/>
          <w:smallCaps w:val="false"/>
          <w:sz w:val="20"/>
        </w:rPr>
        <w:t>Solaria</w:t>
      </w:r>
      <w:r>
        <w:rPr>
          <w:rFonts w:ascii="Times New Roman;Times;Serif" w:hAnsi="Times New Roman;Times;Serif"/>
          <w:b w:val="false"/>
          <w:i w:val="false"/>
          <w:caps w:val="false"/>
          <w:smallCaps w:val="false"/>
          <w:sz w:val="20"/>
        </w:rPr>
        <w:t>”), entered into that certain Amended and Restated Business Combination Agreement, dated as of May 26, 2023 (as may be further amended, supplemented or otherwise modified from time to time, the “</w:t>
      </w:r>
      <w:r>
        <w:rPr>
          <w:rFonts w:ascii="Times New Roman;Times;Serif" w:hAnsi="Times New Roman;Times;Serif"/>
          <w:b/>
          <w:i w:val="false"/>
          <w:caps w:val="false"/>
          <w:smallCaps w:val="false"/>
          <w:sz w:val="20"/>
        </w:rPr>
        <w:t>Business Combination Agreement</w:t>
      </w:r>
      <w:r>
        <w:rPr>
          <w:rFonts w:ascii="Times New Roman;Times;Serif" w:hAnsi="Times New Roman;Times;Serif"/>
          <w:b w:val="false"/>
          <w:i w:val="false"/>
          <w:caps w:val="false"/>
          <w:smallCaps w:val="false"/>
          <w:sz w:val="20"/>
        </w:rPr>
        <w:t>”). Pursuant to the terms and subject to the conditions of the Business Combination, on July 18, 2023, (i) First Merger Sub merged with and into Legacy Complete Solaria with Legacy Complete Solaria surviving as a wholly-owned subsidiary of FACT (the “</w:t>
      </w:r>
      <w:r>
        <w:rPr>
          <w:rFonts w:ascii="Times New Roman;Times;Serif" w:hAnsi="Times New Roman;Times;Serif"/>
          <w:b/>
          <w:i w:val="false"/>
          <w:caps w:val="false"/>
          <w:smallCaps w:val="false"/>
          <w:sz w:val="20"/>
        </w:rPr>
        <w:t>First Merger</w:t>
      </w:r>
      <w:r>
        <w:rPr>
          <w:rFonts w:ascii="Times New Roman;Times;Serif" w:hAnsi="Times New Roman;Times;Serif"/>
          <w:b w:val="false"/>
          <w:i w:val="false"/>
          <w:caps w:val="false"/>
          <w:smallCaps w:val="false"/>
          <w:sz w:val="20"/>
        </w:rPr>
        <w:t>”), (ii) immediately thereafter and as part of the same overall transaction, Legacy Complete Solaria merged with and into Second Merger Sub, with Second Merger Sub surviving as a wholly-owned subsidiary of FACT (the “</w:t>
      </w:r>
      <w:r>
        <w:rPr>
          <w:rFonts w:ascii="Times New Roman;Times;Serif" w:hAnsi="Times New Roman;Times;Serif"/>
          <w:b/>
          <w:i w:val="false"/>
          <w:caps w:val="false"/>
          <w:smallCaps w:val="false"/>
          <w:sz w:val="20"/>
        </w:rPr>
        <w:t>Second Merger</w:t>
      </w:r>
      <w:r>
        <w:rPr>
          <w:rFonts w:ascii="Times New Roman;Times;Serif" w:hAnsi="Times New Roman;Times;Serif"/>
          <w:b w:val="false"/>
          <w:i w:val="false"/>
          <w:caps w:val="false"/>
          <w:smallCaps w:val="false"/>
          <w:sz w:val="20"/>
        </w:rPr>
        <w:t>”), and FACT changed its name to “Complete Solaria, Inc.” and Second Merger Sub changed its name to “CS, LLC” and (iii) immediately after the consummation of the Second Merger and as part of the same overall transaction, Solaria merged with and into a newly-formed Delaware limited liability company and wholly-owned subsidiary of FACT and changed its name to “SolarCA LLC” (“</w:t>
      </w:r>
      <w:r>
        <w:rPr>
          <w:rFonts w:ascii="Times New Roman;Times;Serif" w:hAnsi="Times New Roman;Times;Serif"/>
          <w:b/>
          <w:i w:val="false"/>
          <w:caps w:val="false"/>
          <w:smallCaps w:val="false"/>
          <w:sz w:val="20"/>
        </w:rPr>
        <w:t>Third Merger Sub</w:t>
      </w:r>
      <w:r>
        <w:rPr>
          <w:rFonts w:ascii="Times New Roman;Times;Serif" w:hAnsi="Times New Roman;Times;Serif"/>
          <w:b w:val="false"/>
          <w:i w:val="false"/>
          <w:caps w:val="false"/>
          <w:smallCaps w:val="false"/>
          <w:sz w:val="20"/>
        </w:rPr>
        <w:t>”), with Third Merger Sub surviving as a wholly-owned subsidiary of FACT (together with the First Merger and the Second Merger, the “Mergers”).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October 16, 2025, the Company filed with the Secretary of State of Delaware a Certificate of Amendment to its Certificate of Incorporation to change its corporate name from “Complete Solaria, Inc.” to “SunPower Inc.”, effective as of 4:30 PM Eastern Time on October 17, 2025.</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Unless the context indicates otherwise, references in this prospectus to “SunPower,” “we,” “us,” “our,” the “Company” and similar terms refer to SunPower Inc. (f/k/a “Complete Solaria, Inc.” and, previously, “Freedom Acquisition I Corp.”) and its consolidated subsidiaries. References to “FACT” refer to the predecessor company prior to the consummation of the Business Combination.</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prospectus contains summaries of certain provisions contained in some of the documents described herein, but reference is made to the actual documents for complete information. All of the summaries are qualified in their entirety by the actual documents. Copies of some of the documents referred to herein have been filed, will be filed or will be incorporated by reference as exhibits to the registration statement of which this prospectus is a part, and you may obtain copies of those documents as described below under “</w:t>
      </w:r>
      <w:r>
        <w:rPr>
          <w:rFonts w:ascii="Times New Roman;Times;Serif" w:hAnsi="Times New Roman;Times;Serif"/>
          <w:b w:val="false"/>
          <w:i/>
          <w:caps w:val="false"/>
          <w:smallCaps w:val="false"/>
          <w:sz w:val="20"/>
        </w:rPr>
        <w:t>Where You Can Find More Information</w:t>
      </w:r>
      <w:r>
        <w:rPr>
          <w:rFonts w:ascii="Times New Roman;Times;Serif" w:hAnsi="Times New Roman;Times;Serif"/>
          <w:b w:val="false"/>
          <w:i w:val="false"/>
          <w:caps w:val="false"/>
          <w:smallCaps w:val="false"/>
          <w:sz w:val="20"/>
        </w:rPr>
        <w: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i</w:t>
      </w:r>
    </w:p>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SPECIAL NOTE REGARDING FORWARD-LOOKING STATEMENTS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prospectus contains forward-looking statements within the meaning of Section 27A of the Securities Act of 1933, as amended (the “</w:t>
      </w:r>
      <w:r>
        <w:rPr>
          <w:rFonts w:ascii="Times New Roman;Times;Serif" w:hAnsi="Times New Roman;Times;Serif"/>
          <w:b/>
          <w:i w:val="false"/>
          <w:caps w:val="false"/>
          <w:smallCaps w:val="false"/>
          <w:sz w:val="20"/>
        </w:rPr>
        <w:t>Securities Act</w:t>
      </w:r>
      <w:r>
        <w:rPr>
          <w:rFonts w:ascii="Times New Roman;Times;Serif" w:hAnsi="Times New Roman;Times;Serif"/>
          <w:b w:val="false"/>
          <w:i w:val="false"/>
          <w:caps w:val="false"/>
          <w:smallCaps w:val="false"/>
          <w:sz w:val="20"/>
        </w:rPr>
        <w:t>”), and Section 21E of the Securities Exchange Act of 1934, as amended (the “</w:t>
      </w:r>
      <w:r>
        <w:rPr>
          <w:rFonts w:ascii="Times New Roman;Times;Serif" w:hAnsi="Times New Roman;Times;Serif"/>
          <w:b/>
          <w:i w:val="false"/>
          <w:caps w:val="false"/>
          <w:smallCaps w:val="false"/>
          <w:sz w:val="20"/>
        </w:rPr>
        <w:t>Exchange Act</w:t>
      </w:r>
      <w:r>
        <w:rPr>
          <w:rFonts w:ascii="Times New Roman;Times;Serif" w:hAnsi="Times New Roman;Times;Serif"/>
          <w:b w:val="false"/>
          <w:i w:val="false"/>
          <w:caps w:val="false"/>
          <w:smallCaps w:val="false"/>
          <w:sz w:val="20"/>
        </w:rPr>
        <w:t>”). The statements contained in this prospectus that are not purely historical are forward-looking statements. Our forward-looking statements include, but are not limited to, statements regarding our and our management team’s expectations, hopes, beliefs, intentions or strategies regarding the future. In addition, any statements that refer to projections, forecasts or other characterizations of future events or circumstances, including any underlying assumptions, are forward-looking statements. The words “anticipate,” “believe,” “continue,” “could,” “estimate,” “expect,” “intends,” “may,” “might,” “plan,” “possible,” “potential,” “predict,” “project,” “should,” “will,” “would” and similar expressions may identify forward-looking statements, but the absence of these words does not mean that a statement is not forward-looking. These forward-looking statements include, without limitation, statements about:</w:t>
      </w:r>
    </w:p>
    <w:p>
      <w:pPr>
        <w:pStyle w:val="TextBody"/>
        <w:bidi w:val="0"/>
        <w:spacing w:before="0" w:after="0"/>
        <w:ind w:left="72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our future capital requirements, the sufficiency of our cash, and sources and uses of cash, including cash required to service our current and future borrowings;</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our ability to obtain funding for our operations and future growth, including in connection with the integration of our acquisitions, and our ability to raise capital and refinance our existing debt;</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our expectations and plans relating to cost control efforts (including headcount management and potential reductions) and expectations with respect to when we achieve breakeven operating income;</w:t>
            </w:r>
          </w:p>
        </w:tc>
      </w:tr>
    </w:tbl>
    <w:p>
      <w:pPr>
        <w:pStyle w:val="TextBody"/>
        <w:bidi w:val="0"/>
        <w:spacing w:before="0" w:after="0"/>
        <w:ind w:left="72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our direct and indirect exposure to companies in the solar and renewable energy industries that are facing financial difficulties and potential bankruptcies;</w:t>
            </w:r>
          </w:p>
        </w:tc>
      </w:tr>
    </w:tbl>
    <w:p>
      <w:pPr>
        <w:pStyle w:val="TextBody"/>
        <w:bidi w:val="0"/>
        <w:spacing w:before="0" w:after="0"/>
        <w:ind w:left="72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our ability to grow and manage growth profitably following the closing of business combinations including, without limitation, our recent acquisitions of the SunPower Businesses, Sunder Energy LLC (“Sunder”), Ambia Energy LLC (“Ambia”) and Cobalt Power Systems, Inc. (“Cobalt”);</w:t>
            </w:r>
          </w:p>
        </w:tc>
      </w:tr>
    </w:tbl>
    <w:p>
      <w:pPr>
        <w:pStyle w:val="TextBody"/>
        <w:bidi w:val="0"/>
        <w:spacing w:before="0" w:after="0"/>
        <w:ind w:left="72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disruptions in our supply chains and distribution channels, tariffs and trade barriers, export regulations, bank failures, geopolitical conflicts and other macroeconomic conditions on our business and operations, results of operations and financial position;</w:t>
            </w:r>
          </w:p>
        </w:tc>
      </w:tr>
    </w:tbl>
    <w:p>
      <w:pPr>
        <w:pStyle w:val="TextBody"/>
        <w:bidi w:val="0"/>
        <w:spacing w:before="0" w:after="0"/>
        <w:ind w:left="72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our ability to leverage our acquisitions, including our ability to integrate acquired businesses, to fund and meet the liquidity needs of the acquired businesses, to retain key employees of the acquired businesses, to take advantage of growth opportunities and to realize the expected benefits of such acquisitions;</w:t>
            </w:r>
          </w:p>
        </w:tc>
      </w:tr>
    </w:tbl>
    <w:p>
      <w:pPr>
        <w:pStyle w:val="TextBody"/>
        <w:bidi w:val="0"/>
        <w:spacing w:before="0" w:after="0"/>
        <w:ind w:left="72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potential impact of changes to and developments relating to the regulations and policies applicable to our business, customers and the industry;</w:t>
            </w:r>
          </w:p>
        </w:tc>
      </w:tr>
    </w:tbl>
    <w:p>
      <w:pPr>
        <w:pStyle w:val="TextBody"/>
        <w:bidi w:val="0"/>
        <w:spacing w:before="0" w:after="0"/>
        <w:ind w:left="720" w:right="0" w:hanging="360"/>
        <w:jc w:val="both"/>
        <w:rPr>
          <w:caps w:val="false"/>
          <w:smallCaps w:val="false"/>
        </w:rPr>
      </w:pPr>
      <w:r>
        <w:rPr>
          <w:caps w:val="false"/>
          <w:smallCaps w:val="false"/>
        </w:rPr>
        <w:t> </w:t>
      </w:r>
    </w:p>
    <w:tbl>
      <w:tblPr>
        <w:tblW w:w="5950" w:type="dxa"/>
        <w:jc w:val="left"/>
        <w:tblInd w:w="0" w:type="dxa"/>
        <w:tblLayout w:type="fixed"/>
        <w:tblCellMar>
          <w:top w:w="0" w:type="dxa"/>
          <w:left w:w="0" w:type="dxa"/>
          <w:bottom w:w="0" w:type="dxa"/>
          <w:right w:w="0" w:type="dxa"/>
        </w:tblCellMar>
      </w:tblPr>
      <w:tblGrid>
        <w:gridCol w:w="75"/>
        <w:gridCol w:w="170"/>
        <w:gridCol w:w="570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570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changes in the availability of rebates, tax credits and other incentives;</w:t>
            </w:r>
          </w:p>
        </w:tc>
      </w:tr>
    </w:tbl>
    <w:p>
      <w:pPr>
        <w:pStyle w:val="TextBody"/>
        <w:bidi w:val="0"/>
        <w:spacing w:before="0" w:after="0"/>
        <w:ind w:left="72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changes impacting the demand for solar solutions from residential customers and small and medium-sized businesses, including changes resulting from the current political climate and also changes in the price of electricity from other sources, including traditional utilities;</w:t>
            </w:r>
          </w:p>
        </w:tc>
      </w:tr>
    </w:tbl>
    <w:p>
      <w:pPr>
        <w:pStyle w:val="TextBody"/>
        <w:bidi w:val="0"/>
        <w:spacing w:before="0" w:after="0"/>
        <w:ind w:left="720" w:right="0" w:hanging="360"/>
        <w:jc w:val="both"/>
        <w:rPr>
          <w:caps w:val="false"/>
          <w:smallCaps w:val="false"/>
        </w:rPr>
      </w:pPr>
      <w:r>
        <w:rPr>
          <w:caps w:val="false"/>
          <w:smallCaps w:val="false"/>
        </w:rPr>
        <w:t> </w:t>
      </w:r>
    </w:p>
    <w:tbl>
      <w:tblPr>
        <w:tblW w:w="3940" w:type="dxa"/>
        <w:jc w:val="left"/>
        <w:tblInd w:w="0" w:type="dxa"/>
        <w:tblLayout w:type="fixed"/>
        <w:tblCellMar>
          <w:top w:w="0" w:type="dxa"/>
          <w:left w:w="0" w:type="dxa"/>
          <w:bottom w:w="0" w:type="dxa"/>
          <w:right w:w="0" w:type="dxa"/>
        </w:tblCellMar>
      </w:tblPr>
      <w:tblGrid>
        <w:gridCol w:w="75"/>
        <w:gridCol w:w="170"/>
        <w:gridCol w:w="369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369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changes in and the volatility of interest rates;</w:t>
            </w:r>
          </w:p>
        </w:tc>
      </w:tr>
    </w:tbl>
    <w:p>
      <w:pPr>
        <w:pStyle w:val="TextBody"/>
        <w:bidi w:val="0"/>
        <w:spacing w:before="0" w:after="0"/>
        <w:ind w:left="72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our financial and business performance following our recent acquisitions, including financial projections and business metrics, and our ability to manage our costs;</w:t>
            </w:r>
          </w:p>
        </w:tc>
      </w:tr>
    </w:tbl>
    <w:p>
      <w:pPr>
        <w:pStyle w:val="TextBody"/>
        <w:bidi w:val="0"/>
        <w:spacing w:before="0" w:after="0"/>
        <w:ind w:left="72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changes in our strategy, future operations, financial position, estimated revenues and losses, projected costs, prospects and plans;</w:t>
            </w:r>
          </w:p>
        </w:tc>
      </w:tr>
    </w:tbl>
    <w:p>
      <w:pPr>
        <w:pStyle w:val="TextBody"/>
        <w:bidi w:val="0"/>
        <w:spacing w:before="0" w:after="0"/>
        <w:ind w:left="720" w:right="0" w:hanging="360"/>
        <w:jc w:val="both"/>
        <w:rPr>
          <w:caps w:val="false"/>
          <w:smallCaps w:val="false"/>
        </w:rPr>
      </w:pPr>
      <w:r>
        <w:rPr>
          <w:caps w:val="false"/>
          <w:smallCaps w:val="false"/>
        </w:rPr>
        <w:t> </w:t>
      </w:r>
    </w:p>
    <w:p>
      <w:pPr>
        <w:pStyle w:val="TextBody"/>
        <w:bidi w:val="0"/>
        <w:spacing w:before="0" w:after="0"/>
        <w:ind w:left="720" w:right="0" w:hanging="36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ii</w:t>
      </w:r>
    </w:p>
    <w:p>
      <w:pPr>
        <w:pStyle w:val="TextBody"/>
        <w:bidi w:val="0"/>
        <w:spacing w:before="0" w:after="0"/>
        <w:ind w:left="0" w:right="0" w:hanging="0"/>
        <w:jc w:val="left"/>
        <w:rPr/>
      </w:pPr>
      <w:r>
        <w:rPr/>
        <w:t> </w:t>
      </w:r>
    </w:p>
    <w:p>
      <w:pPr>
        <w:pStyle w:val="TextBody"/>
        <w:bidi w:val="0"/>
        <w:spacing w:before="0" w:after="0"/>
        <w:ind w:left="72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our ability to meet the expectations of new and current customers, and our ability to achieve market acceptance for our products and services, especially in light of the intense competition faced in our industry;</w:t>
            </w:r>
          </w:p>
        </w:tc>
      </w:tr>
    </w:tbl>
    <w:p>
      <w:pPr>
        <w:pStyle w:val="TextBody"/>
        <w:bidi w:val="0"/>
        <w:spacing w:before="0" w:after="0"/>
        <w:ind w:left="720" w:right="0" w:hanging="360"/>
        <w:jc w:val="both"/>
        <w:rPr>
          <w:caps w:val="false"/>
          <w:smallCaps w:val="false"/>
        </w:rPr>
      </w:pPr>
      <w:r>
        <w:rPr>
          <w:caps w:val="false"/>
          <w:smallCaps w:val="false"/>
        </w:rPr>
        <w:t> </w:t>
      </w:r>
    </w:p>
    <w:tbl>
      <w:tblPr>
        <w:tblW w:w="7195" w:type="dxa"/>
        <w:jc w:val="left"/>
        <w:tblInd w:w="0" w:type="dxa"/>
        <w:tblLayout w:type="fixed"/>
        <w:tblCellMar>
          <w:top w:w="0" w:type="dxa"/>
          <w:left w:w="0" w:type="dxa"/>
          <w:bottom w:w="0" w:type="dxa"/>
          <w:right w:w="0" w:type="dxa"/>
        </w:tblCellMar>
      </w:tblPr>
      <w:tblGrid>
        <w:gridCol w:w="75"/>
        <w:gridCol w:w="170"/>
        <w:gridCol w:w="695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695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our expectations and forecasts with respect to market opportunity and market growth;</w:t>
            </w:r>
          </w:p>
        </w:tc>
      </w:tr>
    </w:tbl>
    <w:p>
      <w:pPr>
        <w:pStyle w:val="TextBody"/>
        <w:bidi w:val="0"/>
        <w:spacing w:before="0" w:after="0"/>
        <w:ind w:left="720" w:right="0" w:hanging="360"/>
        <w:jc w:val="both"/>
        <w:rPr>
          <w:caps w:val="false"/>
          <w:smallCaps w:val="false"/>
        </w:rPr>
      </w:pPr>
      <w:r>
        <w:rPr>
          <w:caps w:val="false"/>
          <w:smallCaps w:val="false"/>
        </w:rPr>
        <w:t> </w:t>
      </w:r>
    </w:p>
    <w:tbl>
      <w:tblPr>
        <w:tblW w:w="7780" w:type="dxa"/>
        <w:jc w:val="left"/>
        <w:tblInd w:w="0" w:type="dxa"/>
        <w:tblLayout w:type="fixed"/>
        <w:tblCellMar>
          <w:top w:w="0" w:type="dxa"/>
          <w:left w:w="0" w:type="dxa"/>
          <w:bottom w:w="0" w:type="dxa"/>
          <w:right w:w="0" w:type="dxa"/>
        </w:tblCellMar>
      </w:tblPr>
      <w:tblGrid>
        <w:gridCol w:w="75"/>
        <w:gridCol w:w="170"/>
        <w:gridCol w:w="753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753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ability of our products and services to meet customers’ compliance and regulatory needs;</w:t>
            </w:r>
          </w:p>
        </w:tc>
      </w:tr>
    </w:tbl>
    <w:p>
      <w:pPr>
        <w:pStyle w:val="TextBody"/>
        <w:bidi w:val="0"/>
        <w:spacing w:before="0" w:after="0"/>
        <w:ind w:left="720" w:right="0" w:hanging="360"/>
        <w:jc w:val="both"/>
        <w:rPr>
          <w:caps w:val="false"/>
          <w:smallCaps w:val="false"/>
        </w:rPr>
      </w:pPr>
      <w:r>
        <w:rPr>
          <w:caps w:val="false"/>
          <w:smallCaps w:val="false"/>
        </w:rPr>
        <w:t> </w:t>
      </w:r>
    </w:p>
    <w:tbl>
      <w:tblPr>
        <w:tblW w:w="5935" w:type="dxa"/>
        <w:jc w:val="left"/>
        <w:tblInd w:w="0" w:type="dxa"/>
        <w:tblLayout w:type="fixed"/>
        <w:tblCellMar>
          <w:top w:w="0" w:type="dxa"/>
          <w:left w:w="0" w:type="dxa"/>
          <w:bottom w:w="0" w:type="dxa"/>
          <w:right w:w="0" w:type="dxa"/>
        </w:tblCellMar>
      </w:tblPr>
      <w:tblGrid>
        <w:gridCol w:w="75"/>
        <w:gridCol w:w="170"/>
        <w:gridCol w:w="569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569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our ability to attract and retain qualified employees and management;</w:t>
            </w:r>
          </w:p>
        </w:tc>
      </w:tr>
    </w:tbl>
    <w:p>
      <w:pPr>
        <w:pStyle w:val="TextBody"/>
        <w:bidi w:val="0"/>
        <w:spacing w:before="0" w:after="0"/>
        <w:ind w:left="72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our ability to develop and maintain our brand and reputation, and our ability to maintain our relationships with key suppliers, installers and build partners;</w:t>
            </w:r>
          </w:p>
        </w:tc>
      </w:tr>
    </w:tbl>
    <w:p>
      <w:pPr>
        <w:pStyle w:val="TextBody"/>
        <w:bidi w:val="0"/>
        <w:spacing w:before="0" w:after="0"/>
        <w:ind w:left="720" w:right="0" w:hanging="360"/>
        <w:jc w:val="both"/>
        <w:rPr>
          <w:caps w:val="false"/>
          <w:smallCaps w:val="false"/>
        </w:rPr>
      </w:pPr>
      <w:r>
        <w:rPr>
          <w:caps w:val="false"/>
          <w:smallCaps w:val="false"/>
        </w:rPr>
        <w:t> </w:t>
      </w:r>
    </w:p>
    <w:tbl>
      <w:tblPr>
        <w:tblW w:w="6055" w:type="dxa"/>
        <w:jc w:val="left"/>
        <w:tblInd w:w="0" w:type="dxa"/>
        <w:tblLayout w:type="fixed"/>
        <w:tblCellMar>
          <w:top w:w="0" w:type="dxa"/>
          <w:left w:w="0" w:type="dxa"/>
          <w:bottom w:w="0" w:type="dxa"/>
          <w:right w:w="0" w:type="dxa"/>
        </w:tblCellMar>
      </w:tblPr>
      <w:tblGrid>
        <w:gridCol w:w="75"/>
        <w:gridCol w:w="170"/>
        <w:gridCol w:w="581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581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developments and projections relating to our competitors and industry;</w:t>
            </w:r>
          </w:p>
        </w:tc>
      </w:tr>
    </w:tbl>
    <w:p>
      <w:pPr>
        <w:pStyle w:val="TextBody"/>
        <w:bidi w:val="0"/>
        <w:spacing w:before="0" w:after="0"/>
        <w:ind w:left="72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changes in general economic and financial conditions, inflationary pressures and the resulting impact on demand, and our ability to plan for and respond to the impact of those changes;</w:t>
            </w:r>
          </w:p>
        </w:tc>
      </w:tr>
    </w:tbl>
    <w:p>
      <w:pPr>
        <w:pStyle w:val="TextBody"/>
        <w:bidi w:val="0"/>
        <w:spacing w:before="0" w:after="0"/>
        <w:ind w:left="72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our expectations regarding our ability to obtain and maintain intellectual property protection and not infringe on the rights of others; and</w:t>
            </w:r>
          </w:p>
        </w:tc>
      </w:tr>
    </w:tbl>
    <w:p>
      <w:pPr>
        <w:pStyle w:val="TextBody"/>
        <w:bidi w:val="0"/>
        <w:spacing w:before="0" w:after="0"/>
        <w:ind w:left="720" w:right="0" w:hanging="360"/>
        <w:jc w:val="both"/>
        <w:rPr>
          <w:caps w:val="false"/>
          <w:smallCaps w:val="false"/>
        </w:rPr>
      </w:pPr>
      <w:r>
        <w:rPr>
          <w:caps w:val="false"/>
          <w:smallCaps w:val="false"/>
        </w:rPr>
        <w:t> </w:t>
      </w:r>
    </w:p>
    <w:tbl>
      <w:tblPr>
        <w:tblW w:w="4225" w:type="dxa"/>
        <w:jc w:val="left"/>
        <w:tblInd w:w="0" w:type="dxa"/>
        <w:tblLayout w:type="fixed"/>
        <w:tblCellMar>
          <w:top w:w="0" w:type="dxa"/>
          <w:left w:w="0" w:type="dxa"/>
          <w:bottom w:w="0" w:type="dxa"/>
          <w:right w:w="0" w:type="dxa"/>
        </w:tblCellMar>
      </w:tblPr>
      <w:tblGrid>
        <w:gridCol w:w="75"/>
        <w:gridCol w:w="170"/>
        <w:gridCol w:w="398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398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our business, expansion plans and opportunities.</w:t>
            </w:r>
          </w:p>
        </w:tc>
      </w:tr>
    </w:tbl>
    <w:p>
      <w:pPr>
        <w:pStyle w:val="TextBody"/>
        <w:bidi w:val="0"/>
        <w:spacing w:before="0" w:after="0"/>
        <w:ind w:left="720" w:right="0" w:hanging="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forward-looking statements contained in this prospectus are based on our current expectations and beliefs concerning future developments and their potential effects on us. There can be no assurance that future developments affecting us will be those that we have anticipated. These forward-looking statements involve a number of risks, uncertainties (some of which are beyond our control) or other assumptions that may cause actual results or performance to be materially different from those expressed or implied by these forward-looking statements. These risks and uncertainties include, but are not limited to, those described in the section titled “Risk Factors” and elsewhere in this prospectus. Should one or more of these risks or uncertainties materialize, or should any of our assumptions prove incorrect, actual results may vary in material respects from those projected in these forward-looking statements. We undertake no obligation to update or revise any forward-looking statements, whether as a result of new information, future events or otherwise, except as required by law. We discuss in greater detail many of these risks under the section titled “Risk Factors” contained in the applicable prospectus supplement, in any free writing prospectuses we may authorize for use in connection with a specific offering, and in our most recent Annual Report on Form 10-K and in our most recent Quarterly Report on Form 10-Q. Also, these forward-looking statements represent our estimates and assumptions only as of the date of the document containing the applicable statement. Unless required by law, we undertake no obligation to update or revise any forward-looking statements to reflect new information or future events or developments. You should read this prospectus, any applicable prospectus supplement, together with the documents we have filed with the SEC and any free writing prospectus that we may authorize for use in connection with a specific offering completely and with the understanding that our actual future results may be materially different from what we expect. We qualify all of the forward-looking statements in the foregoing documents by these cautionary statements.</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statements that “we believe” and similar statements reflect our beliefs and opinions on the relevant subject. These statements are based upon information available to us as of the date of this prospectus, and while we believe such information forms a reasonable basis for such statements, such information may be limited or incomplete, and our statements should not be read to indicate that we have conducted an exhaustive inquiry into, or review of, all potentially available relevant information. These statements are inherently uncertain and you are cautioned not to unduly rely upon these statements.</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iii</w:t>
      </w:r>
    </w:p>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TABLE OF CONTENTS</w:t>
      </w:r>
    </w:p>
    <w:p>
      <w:pPr>
        <w:pStyle w:val="TextBody"/>
        <w:bidi w:val="0"/>
        <w:spacing w:before="0" w:after="0"/>
        <w:jc w:val="center"/>
        <w:rPr>
          <w:caps w:val="false"/>
          <w:smallCaps w:val="false"/>
        </w:rPr>
      </w:pPr>
      <w:r>
        <w:rPr>
          <w:caps w:val="false"/>
          <w:smallCaps w:val="false"/>
        </w:rPr>
        <w:t> </w:t>
      </w:r>
    </w:p>
    <w:tbl>
      <w:tblPr>
        <w:tblW w:w="7750" w:type="dxa"/>
        <w:jc w:val="left"/>
        <w:tblInd w:w="0" w:type="dxa"/>
        <w:tblLayout w:type="fixed"/>
        <w:tblCellMar>
          <w:top w:w="0" w:type="dxa"/>
          <w:left w:w="0" w:type="dxa"/>
          <w:bottom w:w="0" w:type="dxa"/>
          <w:right w:w="0" w:type="dxa"/>
        </w:tblCellMar>
      </w:tblPr>
      <w:tblGrid>
        <w:gridCol w:w="7295"/>
        <w:gridCol w:w="455"/>
      </w:tblGrid>
      <w:tr>
        <w:trPr/>
        <w:tc>
          <w:tcPr>
            <w:tcW w:w="7295" w:type="dxa"/>
            <w:tcBorders/>
            <w:vAlign w:val="center"/>
          </w:tcPr>
          <w:p>
            <w:pPr>
              <w:pStyle w:val="TableContents"/>
              <w:bidi w:val="0"/>
              <w:spacing w:before="0" w:after="283"/>
              <w:jc w:val="left"/>
              <w:rPr/>
            </w:pPr>
            <w:r>
              <w:rPr/>
              <w:t> </w:t>
            </w:r>
          </w:p>
        </w:tc>
        <w:tc>
          <w:tcPr>
            <w:tcW w:w="455" w:type="dxa"/>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Page</w:t>
            </w:r>
          </w:p>
        </w:tc>
      </w:tr>
      <w:tr>
        <w:trPr/>
        <w:tc>
          <w:tcPr>
            <w:tcW w:w="7295" w:type="dxa"/>
            <w:tcBorders/>
            <w:shd w:fill="CCEEFF" w:val="clear"/>
            <w:vAlign w:val="center"/>
          </w:tcPr>
          <w:p>
            <w:pPr>
              <w:pStyle w:val="TableContents"/>
              <w:bidi w:val="0"/>
              <w:spacing w:before="0" w:after="283"/>
              <w:jc w:val="left"/>
              <w:rPr/>
            </w:pPr>
            <w:hyperlink w:anchor="a_001">
              <w:r>
                <w:rPr>
                  <w:rStyle w:val="InternetLink"/>
                  <w:rFonts w:ascii="Times New Roman;Times;Serif" w:hAnsi="Times New Roman;Times;Serif"/>
                  <w:sz w:val="20"/>
                </w:rPr>
                <w:t>Prospectus Summary</w:t>
              </w:r>
            </w:hyperlink>
          </w:p>
        </w:tc>
        <w:tc>
          <w:tcPr>
            <w:tcW w:w="455"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w:t>
            </w:r>
          </w:p>
        </w:tc>
      </w:tr>
      <w:tr>
        <w:trPr/>
        <w:tc>
          <w:tcPr>
            <w:tcW w:w="7295" w:type="dxa"/>
            <w:tcBorders/>
            <w:vAlign w:val="center"/>
          </w:tcPr>
          <w:p>
            <w:pPr>
              <w:pStyle w:val="TableContents"/>
              <w:bidi w:val="0"/>
              <w:spacing w:before="0" w:after="283"/>
              <w:jc w:val="left"/>
              <w:rPr/>
            </w:pPr>
            <w:hyperlink w:anchor="a_002">
              <w:r>
                <w:rPr>
                  <w:rStyle w:val="InternetLink"/>
                  <w:rFonts w:ascii="Times New Roman;Times;Serif" w:hAnsi="Times New Roman;Times;Serif"/>
                  <w:sz w:val="20"/>
                </w:rPr>
                <w:t>Risk Factors</w:t>
              </w:r>
            </w:hyperlink>
          </w:p>
        </w:tc>
        <w:tc>
          <w:tcPr>
            <w:tcW w:w="455"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10</w:t>
            </w:r>
          </w:p>
        </w:tc>
      </w:tr>
      <w:tr>
        <w:trPr/>
        <w:tc>
          <w:tcPr>
            <w:tcW w:w="7295" w:type="dxa"/>
            <w:tcBorders/>
            <w:shd w:fill="CCEEFF" w:val="clear"/>
            <w:vAlign w:val="center"/>
          </w:tcPr>
          <w:p>
            <w:pPr>
              <w:pStyle w:val="TableContents"/>
              <w:bidi w:val="0"/>
              <w:spacing w:before="0" w:after="283"/>
              <w:jc w:val="left"/>
              <w:rPr/>
            </w:pPr>
            <w:hyperlink w:anchor="a_003">
              <w:r>
                <w:rPr>
                  <w:rStyle w:val="InternetLink"/>
                  <w:rFonts w:ascii="Times New Roman;Times;Serif" w:hAnsi="Times New Roman;Times;Serif"/>
                  <w:sz w:val="20"/>
                </w:rPr>
                <w:t>Market and Industry Data</w:t>
              </w:r>
            </w:hyperlink>
          </w:p>
        </w:tc>
        <w:tc>
          <w:tcPr>
            <w:tcW w:w="455"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44</w:t>
            </w:r>
          </w:p>
        </w:tc>
      </w:tr>
      <w:tr>
        <w:trPr/>
        <w:tc>
          <w:tcPr>
            <w:tcW w:w="7295" w:type="dxa"/>
            <w:tcBorders/>
            <w:vAlign w:val="center"/>
          </w:tcPr>
          <w:p>
            <w:pPr>
              <w:pStyle w:val="TableContents"/>
              <w:bidi w:val="0"/>
              <w:spacing w:before="0" w:after="283"/>
              <w:jc w:val="left"/>
              <w:rPr/>
            </w:pPr>
            <w:hyperlink w:anchor="a_004">
              <w:r>
                <w:rPr>
                  <w:rStyle w:val="InternetLink"/>
                  <w:rFonts w:ascii="Times New Roman;Times;Serif" w:hAnsi="Times New Roman;Times;Serif"/>
                  <w:sz w:val="20"/>
                </w:rPr>
                <w:t>Use of Proceeds</w:t>
              </w:r>
            </w:hyperlink>
          </w:p>
        </w:tc>
        <w:tc>
          <w:tcPr>
            <w:tcW w:w="455"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45</w:t>
            </w:r>
          </w:p>
        </w:tc>
      </w:tr>
      <w:tr>
        <w:trPr/>
        <w:tc>
          <w:tcPr>
            <w:tcW w:w="7295" w:type="dxa"/>
            <w:tcBorders/>
            <w:shd w:fill="CCEEFF" w:val="clear"/>
            <w:vAlign w:val="center"/>
          </w:tcPr>
          <w:p>
            <w:pPr>
              <w:pStyle w:val="TableContents"/>
              <w:bidi w:val="0"/>
              <w:spacing w:before="0" w:after="283"/>
              <w:jc w:val="left"/>
              <w:rPr/>
            </w:pPr>
            <w:hyperlink w:anchor="a_005">
              <w:r>
                <w:rPr>
                  <w:rStyle w:val="InternetLink"/>
                  <w:rFonts w:ascii="Times New Roman;Times;Serif" w:hAnsi="Times New Roman;Times;Serif"/>
                  <w:sz w:val="20"/>
                </w:rPr>
                <w:t>Determination of Offering Price</w:t>
              </w:r>
            </w:hyperlink>
          </w:p>
        </w:tc>
        <w:tc>
          <w:tcPr>
            <w:tcW w:w="455"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46</w:t>
            </w:r>
          </w:p>
        </w:tc>
      </w:tr>
      <w:tr>
        <w:trPr/>
        <w:tc>
          <w:tcPr>
            <w:tcW w:w="7295" w:type="dxa"/>
            <w:tcBorders/>
            <w:vAlign w:val="center"/>
          </w:tcPr>
          <w:p>
            <w:pPr>
              <w:pStyle w:val="TableContents"/>
              <w:bidi w:val="0"/>
              <w:spacing w:before="0" w:after="283"/>
              <w:jc w:val="left"/>
              <w:rPr/>
            </w:pPr>
            <w:hyperlink w:anchor="a_006">
              <w:r>
                <w:rPr>
                  <w:rStyle w:val="InternetLink"/>
                  <w:rFonts w:ascii="Times New Roman;Times;Serif" w:hAnsi="Times New Roman;Times;Serif"/>
                  <w:sz w:val="20"/>
                </w:rPr>
                <w:t>Market Information for Securities and Dividend Policy</w:t>
              </w:r>
            </w:hyperlink>
          </w:p>
        </w:tc>
        <w:tc>
          <w:tcPr>
            <w:tcW w:w="455"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46</w:t>
            </w:r>
          </w:p>
        </w:tc>
      </w:tr>
      <w:tr>
        <w:trPr/>
        <w:tc>
          <w:tcPr>
            <w:tcW w:w="7295" w:type="dxa"/>
            <w:tcBorders/>
            <w:shd w:fill="CCEEFF" w:val="clear"/>
            <w:vAlign w:val="center"/>
          </w:tcPr>
          <w:p>
            <w:pPr>
              <w:pStyle w:val="TableContents"/>
              <w:bidi w:val="0"/>
              <w:spacing w:before="0" w:after="283"/>
              <w:jc w:val="left"/>
              <w:rPr/>
            </w:pPr>
            <w:hyperlink w:anchor="a_007">
              <w:r>
                <w:rPr>
                  <w:rStyle w:val="InternetLink"/>
                  <w:rFonts w:ascii="Times New Roman;Times;Serif" w:hAnsi="Times New Roman;Times;Serif"/>
                  <w:sz w:val="20"/>
                </w:rPr>
                <w:t>Management’s Discussion and Analysis of Financial Condition and Results of Operations</w:t>
              </w:r>
            </w:hyperlink>
          </w:p>
        </w:tc>
        <w:tc>
          <w:tcPr>
            <w:tcW w:w="455"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47</w:t>
            </w:r>
          </w:p>
        </w:tc>
      </w:tr>
      <w:tr>
        <w:trPr/>
        <w:tc>
          <w:tcPr>
            <w:tcW w:w="7295" w:type="dxa"/>
            <w:tcBorders/>
            <w:vAlign w:val="center"/>
          </w:tcPr>
          <w:p>
            <w:pPr>
              <w:pStyle w:val="TableContents"/>
              <w:bidi w:val="0"/>
              <w:spacing w:before="0" w:after="283"/>
              <w:jc w:val="left"/>
              <w:rPr/>
            </w:pPr>
            <w:hyperlink w:anchor="a_008">
              <w:r>
                <w:rPr>
                  <w:rStyle w:val="InternetLink"/>
                  <w:rFonts w:ascii="Times New Roman;Times;Serif" w:hAnsi="Times New Roman;Times;Serif"/>
                  <w:sz w:val="20"/>
                </w:rPr>
                <w:t>Business</w:t>
              </w:r>
            </w:hyperlink>
          </w:p>
        </w:tc>
        <w:tc>
          <w:tcPr>
            <w:tcW w:w="455"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66</w:t>
            </w:r>
          </w:p>
        </w:tc>
      </w:tr>
      <w:tr>
        <w:trPr/>
        <w:tc>
          <w:tcPr>
            <w:tcW w:w="7295" w:type="dxa"/>
            <w:tcBorders/>
            <w:shd w:fill="CCEEFF" w:val="clear"/>
            <w:vAlign w:val="center"/>
          </w:tcPr>
          <w:p>
            <w:pPr>
              <w:pStyle w:val="TableContents"/>
              <w:bidi w:val="0"/>
              <w:spacing w:before="0" w:after="283"/>
              <w:jc w:val="left"/>
              <w:rPr/>
            </w:pPr>
            <w:hyperlink w:anchor="a_009">
              <w:r>
                <w:rPr>
                  <w:rStyle w:val="InternetLink"/>
                  <w:rFonts w:ascii="Times New Roman;Times;Serif" w:hAnsi="Times New Roman;Times;Serif"/>
                  <w:sz w:val="20"/>
                </w:rPr>
                <w:t>Management</w:t>
              </w:r>
            </w:hyperlink>
          </w:p>
        </w:tc>
        <w:tc>
          <w:tcPr>
            <w:tcW w:w="455"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72</w:t>
            </w:r>
          </w:p>
        </w:tc>
      </w:tr>
      <w:tr>
        <w:trPr/>
        <w:tc>
          <w:tcPr>
            <w:tcW w:w="7295" w:type="dxa"/>
            <w:tcBorders/>
            <w:vAlign w:val="center"/>
          </w:tcPr>
          <w:p>
            <w:pPr>
              <w:pStyle w:val="TableContents"/>
              <w:bidi w:val="0"/>
              <w:spacing w:before="0" w:after="283"/>
              <w:jc w:val="left"/>
              <w:rPr/>
            </w:pPr>
            <w:hyperlink w:anchor="a_010">
              <w:r>
                <w:rPr>
                  <w:rStyle w:val="InternetLink"/>
                  <w:rFonts w:ascii="Times New Roman;Times;Serif" w:hAnsi="Times New Roman;Times;Serif"/>
                  <w:sz w:val="20"/>
                </w:rPr>
                <w:t>Executive Compensation</w:t>
              </w:r>
            </w:hyperlink>
          </w:p>
        </w:tc>
        <w:tc>
          <w:tcPr>
            <w:tcW w:w="455"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78</w:t>
            </w:r>
          </w:p>
        </w:tc>
      </w:tr>
      <w:tr>
        <w:trPr/>
        <w:tc>
          <w:tcPr>
            <w:tcW w:w="7295" w:type="dxa"/>
            <w:tcBorders/>
            <w:shd w:fill="CCEEFF" w:val="clear"/>
            <w:vAlign w:val="center"/>
          </w:tcPr>
          <w:p>
            <w:pPr>
              <w:pStyle w:val="TableContents"/>
              <w:bidi w:val="0"/>
              <w:spacing w:before="0" w:after="283"/>
              <w:jc w:val="left"/>
              <w:rPr/>
            </w:pPr>
            <w:hyperlink w:anchor="a_011">
              <w:r>
                <w:rPr>
                  <w:rStyle w:val="InternetLink"/>
                  <w:rFonts w:ascii="Times New Roman;Times;Serif" w:hAnsi="Times New Roman;Times;Serif"/>
                  <w:sz w:val="20"/>
                </w:rPr>
                <w:t>Certain Relationships and Related Party Transactions</w:t>
              </w:r>
            </w:hyperlink>
          </w:p>
        </w:tc>
        <w:tc>
          <w:tcPr>
            <w:tcW w:w="455"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92</w:t>
            </w:r>
          </w:p>
        </w:tc>
      </w:tr>
      <w:tr>
        <w:trPr/>
        <w:tc>
          <w:tcPr>
            <w:tcW w:w="7295" w:type="dxa"/>
            <w:tcBorders/>
            <w:vAlign w:val="center"/>
          </w:tcPr>
          <w:p>
            <w:pPr>
              <w:pStyle w:val="TableContents"/>
              <w:bidi w:val="0"/>
              <w:spacing w:before="0" w:after="283"/>
              <w:jc w:val="left"/>
              <w:rPr/>
            </w:pPr>
            <w:hyperlink w:anchor="a_012">
              <w:r>
                <w:rPr>
                  <w:rStyle w:val="InternetLink"/>
                  <w:rFonts w:ascii="Times New Roman;Times;Serif" w:hAnsi="Times New Roman;Times;Serif"/>
                  <w:sz w:val="20"/>
                </w:rPr>
                <w:t>Principal Stockholders</w:t>
              </w:r>
            </w:hyperlink>
          </w:p>
        </w:tc>
        <w:tc>
          <w:tcPr>
            <w:tcW w:w="455"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98</w:t>
            </w:r>
          </w:p>
        </w:tc>
      </w:tr>
      <w:tr>
        <w:trPr/>
        <w:tc>
          <w:tcPr>
            <w:tcW w:w="7295" w:type="dxa"/>
            <w:tcBorders/>
            <w:shd w:fill="CCEEFF" w:val="clear"/>
            <w:vAlign w:val="center"/>
          </w:tcPr>
          <w:p>
            <w:pPr>
              <w:pStyle w:val="TableContents"/>
              <w:bidi w:val="0"/>
              <w:spacing w:before="0" w:after="283"/>
              <w:jc w:val="left"/>
              <w:rPr/>
            </w:pPr>
            <w:hyperlink w:anchor="a_013">
              <w:r>
                <w:rPr>
                  <w:rStyle w:val="InternetLink"/>
                  <w:rFonts w:ascii="Times New Roman;Times;Serif" w:hAnsi="Times New Roman;Times;Serif"/>
                  <w:sz w:val="20"/>
                </w:rPr>
                <w:t>Selling Securityholder</w:t>
              </w:r>
            </w:hyperlink>
          </w:p>
        </w:tc>
        <w:tc>
          <w:tcPr>
            <w:tcW w:w="455"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101</w:t>
            </w:r>
          </w:p>
        </w:tc>
      </w:tr>
      <w:tr>
        <w:trPr/>
        <w:tc>
          <w:tcPr>
            <w:tcW w:w="7295" w:type="dxa"/>
            <w:tcBorders/>
            <w:vAlign w:val="center"/>
          </w:tcPr>
          <w:p>
            <w:pPr>
              <w:pStyle w:val="TableContents"/>
              <w:bidi w:val="0"/>
              <w:spacing w:before="0" w:after="283"/>
              <w:jc w:val="left"/>
              <w:rPr/>
            </w:pPr>
            <w:hyperlink w:anchor="a_014">
              <w:r>
                <w:rPr>
                  <w:rStyle w:val="InternetLink"/>
                  <w:rFonts w:ascii="Times New Roman;Times;Serif" w:hAnsi="Times New Roman;Times;Serif"/>
                  <w:sz w:val="20"/>
                </w:rPr>
                <w:t>Description of Capital Stock</w:t>
              </w:r>
            </w:hyperlink>
          </w:p>
        </w:tc>
        <w:tc>
          <w:tcPr>
            <w:tcW w:w="455"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103</w:t>
            </w:r>
          </w:p>
        </w:tc>
      </w:tr>
      <w:tr>
        <w:trPr/>
        <w:tc>
          <w:tcPr>
            <w:tcW w:w="7295" w:type="dxa"/>
            <w:tcBorders/>
            <w:shd w:fill="CCEEFF" w:val="clear"/>
            <w:vAlign w:val="center"/>
          </w:tcPr>
          <w:p>
            <w:pPr>
              <w:pStyle w:val="TableContents"/>
              <w:bidi w:val="0"/>
              <w:spacing w:before="0" w:after="283"/>
              <w:jc w:val="left"/>
              <w:rPr/>
            </w:pPr>
            <w:hyperlink w:anchor="a_015">
              <w:r>
                <w:rPr>
                  <w:rStyle w:val="InternetLink"/>
                  <w:rFonts w:ascii="Times New Roman;Times;Serif" w:hAnsi="Times New Roman;Times;Serif"/>
                  <w:sz w:val="20"/>
                </w:rPr>
                <w:t>Material U.S. Federal Income Tax Consequences</w:t>
              </w:r>
            </w:hyperlink>
          </w:p>
        </w:tc>
        <w:tc>
          <w:tcPr>
            <w:tcW w:w="455"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112</w:t>
            </w:r>
          </w:p>
        </w:tc>
      </w:tr>
      <w:tr>
        <w:trPr/>
        <w:tc>
          <w:tcPr>
            <w:tcW w:w="7295" w:type="dxa"/>
            <w:tcBorders/>
            <w:vAlign w:val="center"/>
          </w:tcPr>
          <w:p>
            <w:pPr>
              <w:pStyle w:val="TableContents"/>
              <w:bidi w:val="0"/>
              <w:spacing w:before="0" w:after="283"/>
              <w:jc w:val="left"/>
              <w:rPr/>
            </w:pPr>
            <w:hyperlink w:anchor="a_016">
              <w:r>
                <w:rPr>
                  <w:rStyle w:val="InternetLink"/>
                  <w:rFonts w:ascii="Times New Roman;Times;Serif" w:hAnsi="Times New Roman;Times;Serif"/>
                  <w:sz w:val="20"/>
                </w:rPr>
                <w:t>Plan of Distribution</w:t>
              </w:r>
            </w:hyperlink>
          </w:p>
        </w:tc>
        <w:tc>
          <w:tcPr>
            <w:tcW w:w="455"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117</w:t>
            </w:r>
          </w:p>
        </w:tc>
      </w:tr>
      <w:tr>
        <w:trPr/>
        <w:tc>
          <w:tcPr>
            <w:tcW w:w="7295" w:type="dxa"/>
            <w:tcBorders/>
            <w:shd w:fill="CCEEFF" w:val="clear"/>
            <w:vAlign w:val="center"/>
          </w:tcPr>
          <w:p>
            <w:pPr>
              <w:pStyle w:val="TableContents"/>
              <w:bidi w:val="0"/>
              <w:spacing w:before="0" w:after="283"/>
              <w:jc w:val="left"/>
              <w:rPr/>
            </w:pPr>
            <w:hyperlink w:anchor="a_017">
              <w:r>
                <w:rPr>
                  <w:rStyle w:val="InternetLink"/>
                  <w:rFonts w:ascii="Times New Roman;Times;Serif" w:hAnsi="Times New Roman;Times;Serif"/>
                  <w:sz w:val="20"/>
                </w:rPr>
                <w:t>Legal Matters</w:t>
              </w:r>
            </w:hyperlink>
          </w:p>
        </w:tc>
        <w:tc>
          <w:tcPr>
            <w:tcW w:w="455"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119</w:t>
            </w:r>
          </w:p>
        </w:tc>
      </w:tr>
      <w:tr>
        <w:trPr/>
        <w:tc>
          <w:tcPr>
            <w:tcW w:w="7295" w:type="dxa"/>
            <w:tcBorders/>
            <w:vAlign w:val="center"/>
          </w:tcPr>
          <w:p>
            <w:pPr>
              <w:pStyle w:val="TableContents"/>
              <w:bidi w:val="0"/>
              <w:spacing w:before="0" w:after="283"/>
              <w:jc w:val="left"/>
              <w:rPr/>
            </w:pPr>
            <w:hyperlink w:anchor="a_018">
              <w:r>
                <w:rPr>
                  <w:rStyle w:val="InternetLink"/>
                  <w:rFonts w:ascii="Times New Roman;Times;Serif" w:hAnsi="Times New Roman;Times;Serif"/>
                  <w:sz w:val="20"/>
                </w:rPr>
                <w:t>Experts</w:t>
              </w:r>
            </w:hyperlink>
          </w:p>
        </w:tc>
        <w:tc>
          <w:tcPr>
            <w:tcW w:w="455"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119</w:t>
            </w:r>
          </w:p>
        </w:tc>
      </w:tr>
      <w:tr>
        <w:trPr/>
        <w:tc>
          <w:tcPr>
            <w:tcW w:w="7295" w:type="dxa"/>
            <w:tcBorders/>
            <w:shd w:fill="CCEEFF" w:val="clear"/>
            <w:vAlign w:val="center"/>
          </w:tcPr>
          <w:p>
            <w:pPr>
              <w:pStyle w:val="TableContents"/>
              <w:bidi w:val="0"/>
              <w:spacing w:before="0" w:after="283"/>
              <w:jc w:val="left"/>
              <w:rPr/>
            </w:pPr>
            <w:hyperlink w:anchor="a_019">
              <w:r>
                <w:rPr>
                  <w:rStyle w:val="InternetLink"/>
                  <w:rFonts w:ascii="Times New Roman;Times;Serif" w:hAnsi="Times New Roman;Times;Serif"/>
                  <w:sz w:val="20"/>
                </w:rPr>
                <w:t>Where You Can Find More Information</w:t>
              </w:r>
            </w:hyperlink>
          </w:p>
        </w:tc>
        <w:tc>
          <w:tcPr>
            <w:tcW w:w="455"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119</w:t>
            </w:r>
          </w:p>
        </w:tc>
      </w:tr>
      <w:tr>
        <w:trPr/>
        <w:tc>
          <w:tcPr>
            <w:tcW w:w="7295" w:type="dxa"/>
            <w:tcBorders/>
            <w:vAlign w:val="center"/>
          </w:tcPr>
          <w:p>
            <w:pPr>
              <w:pStyle w:val="TableContents"/>
              <w:bidi w:val="0"/>
              <w:spacing w:before="0" w:after="283"/>
              <w:jc w:val="left"/>
              <w:rPr/>
            </w:pPr>
            <w:hyperlink w:anchor="a_020">
              <w:r>
                <w:rPr>
                  <w:rStyle w:val="InternetLink"/>
                  <w:rFonts w:ascii="Times New Roman;Times;Serif" w:hAnsi="Times New Roman;Times;Serif"/>
                  <w:sz w:val="20"/>
                </w:rPr>
                <w:t>Index to Consolidated Financial Statements</w:t>
              </w:r>
            </w:hyperlink>
          </w:p>
        </w:tc>
        <w:tc>
          <w:tcPr>
            <w:tcW w:w="455"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F-1</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You should rely only on the information contained in this prospectus, any supplement to this prospectus or in any free writing prospectus, filed with the Securities and Exchange Commission. Neither we nor the Selling Securityholders have authorized anyone to provide you with additional information or information different from that contained in this prospectus filed with the Securities and Exchange Commission. We take no responsibility for, and can provide no assurance as to the reliability of, any other information that others may give you. The Selling Securityholders areoffering to sell, and seeking offers to buy, our securities only in jurisdictions where offers and sales are permitted. The information contained in this prospectus is accurate only as of the date of this prospectus, regardless of the time of delivery of this prospectus or any sale of our securities. Our business, financial condition, results of operations and prospects may have changed since that date.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investors outside of the United States: Neither we nor the Selling Securityholders have done anything that would permit this offering or possession or distribution of this prospectus in any jurisdiction where action for that purpose is required, other than in the United States. Persons outside the United States who come into possession of this prospectus must inform themselves about, and observe any restrictions relating to, the offering of our securities and the distribution of this prospectus outside the United States.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iv</w:t>
      </w:r>
    </w:p>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19"/>
        </w:rPr>
      </w:pPr>
      <w:r>
        <w:rPr>
          <w:rFonts w:ascii="Times New Roman;Times;Serif" w:hAnsi="Times New Roman;Times;Serif"/>
          <w:b/>
          <w:i w:val="false"/>
          <w:caps w:val="false"/>
          <w:smallCaps w:val="false"/>
          <w:sz w:val="19"/>
        </w:rPr>
        <w:t>FREQUENTLY USED TERMS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w:t>
      </w:r>
      <w:r>
        <w:rPr>
          <w:rFonts w:ascii="Times New Roman;Times;Serif" w:hAnsi="Times New Roman;Times;Serif"/>
          <w:b/>
          <w:i w:val="false"/>
          <w:caps w:val="false"/>
          <w:smallCaps w:val="false"/>
          <w:sz w:val="20"/>
        </w:rPr>
        <w:t>Board</w:t>
      </w:r>
      <w:r>
        <w:rPr>
          <w:rFonts w:ascii="Times New Roman;Times;Serif" w:hAnsi="Times New Roman;Times;Serif"/>
          <w:b w:val="false"/>
          <w:i w:val="false"/>
          <w:caps w:val="false"/>
          <w:smallCaps w:val="false"/>
          <w:sz w:val="20"/>
        </w:rPr>
        <w:t>” or “</w:t>
      </w:r>
      <w:r>
        <w:rPr>
          <w:rFonts w:ascii="Times New Roman;Times;Serif" w:hAnsi="Times New Roman;Times;Serif"/>
          <w:b/>
          <w:i w:val="false"/>
          <w:caps w:val="false"/>
          <w:smallCaps w:val="false"/>
          <w:sz w:val="20"/>
        </w:rPr>
        <w:t>Board of Directors</w:t>
      </w:r>
      <w:r>
        <w:rPr>
          <w:rFonts w:ascii="Times New Roman;Times;Serif" w:hAnsi="Times New Roman;Times;Serif"/>
          <w:b w:val="false"/>
          <w:i w:val="false"/>
          <w:caps w:val="false"/>
          <w:smallCaps w:val="false"/>
          <w:sz w:val="20"/>
        </w:rPr>
        <w:t>” means the board of directors of SunPower.</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w:t>
      </w:r>
      <w:r>
        <w:rPr>
          <w:rFonts w:ascii="Times New Roman;Times;Serif" w:hAnsi="Times New Roman;Times;Serif"/>
          <w:b/>
          <w:i w:val="false"/>
          <w:caps w:val="false"/>
          <w:smallCaps w:val="false"/>
          <w:sz w:val="20"/>
        </w:rPr>
        <w:t>Business Combination</w:t>
      </w:r>
      <w:r>
        <w:rPr>
          <w:rFonts w:ascii="Times New Roman;Times;Serif" w:hAnsi="Times New Roman;Times;Serif"/>
          <w:b w:val="false"/>
          <w:i w:val="false"/>
          <w:caps w:val="false"/>
          <w:smallCaps w:val="false"/>
          <w:sz w:val="20"/>
        </w:rPr>
        <w:t>” means the transactions contemplated by the Business Combination Agreement.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w:t>
      </w:r>
      <w:r>
        <w:rPr>
          <w:rFonts w:ascii="Times New Roman;Times;Serif" w:hAnsi="Times New Roman;Times;Serif"/>
          <w:b/>
          <w:i w:val="false"/>
          <w:caps w:val="false"/>
          <w:smallCaps w:val="false"/>
          <w:sz w:val="20"/>
        </w:rPr>
        <w:t>Business Combination Agreement</w:t>
      </w:r>
      <w:r>
        <w:rPr>
          <w:rFonts w:ascii="Times New Roman;Times;Serif" w:hAnsi="Times New Roman;Times;Serif"/>
          <w:b w:val="false"/>
          <w:i w:val="false"/>
          <w:caps w:val="false"/>
          <w:smallCaps w:val="false"/>
          <w:sz w:val="20"/>
        </w:rPr>
        <w:t>” means the amended and restated business combination agreement, dated as of May 26, 2023, by and among FACT, First Merger Sub, Second Merger Sub, Legacy Complete Solaria and Solaria.</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w:t>
      </w:r>
      <w:r>
        <w:rPr>
          <w:rFonts w:ascii="Times New Roman;Times;Serif" w:hAnsi="Times New Roman;Times;Serif"/>
          <w:b/>
          <w:i w:val="false"/>
          <w:caps w:val="false"/>
          <w:smallCaps w:val="false"/>
          <w:sz w:val="20"/>
        </w:rPr>
        <w:t>Closing</w:t>
      </w:r>
      <w:r>
        <w:rPr>
          <w:rFonts w:ascii="Times New Roman;Times;Serif" w:hAnsi="Times New Roman;Times;Serif"/>
          <w:b w:val="false"/>
          <w:i w:val="false"/>
          <w:caps w:val="false"/>
          <w:smallCaps w:val="false"/>
          <w:sz w:val="20"/>
        </w:rPr>
        <w:t>” means the closing of the Business Combination.</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w:t>
      </w:r>
      <w:r>
        <w:rPr>
          <w:rFonts w:ascii="Times New Roman;Times;Serif" w:hAnsi="Times New Roman;Times;Serif"/>
          <w:b/>
          <w:i w:val="false"/>
          <w:caps w:val="false"/>
          <w:smallCaps w:val="false"/>
          <w:sz w:val="20"/>
        </w:rPr>
        <w:t>Closing Date</w:t>
      </w:r>
      <w:r>
        <w:rPr>
          <w:rFonts w:ascii="Times New Roman;Times;Serif" w:hAnsi="Times New Roman;Times;Serif"/>
          <w:b w:val="false"/>
          <w:i w:val="false"/>
          <w:caps w:val="false"/>
          <w:smallCaps w:val="false"/>
          <w:sz w:val="20"/>
        </w:rPr>
        <w:t>” means the date of the Closing.</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w:t>
      </w:r>
      <w:r>
        <w:rPr>
          <w:rFonts w:ascii="Times New Roman;Times;Serif" w:hAnsi="Times New Roman;Times;Serif"/>
          <w:b/>
          <w:i w:val="false"/>
          <w:caps w:val="false"/>
          <w:smallCaps w:val="false"/>
          <w:sz w:val="20"/>
        </w:rPr>
        <w:t>Code</w:t>
      </w:r>
      <w:r>
        <w:rPr>
          <w:rFonts w:ascii="Times New Roman;Times;Serif" w:hAnsi="Times New Roman;Times;Serif"/>
          <w:b w:val="false"/>
          <w:i w:val="false"/>
          <w:caps w:val="false"/>
          <w:smallCaps w:val="false"/>
          <w:sz w:val="20"/>
        </w:rPr>
        <w:t>” means the Internal Revenue Code of 1986, as amended.</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w:t>
      </w:r>
      <w:r>
        <w:rPr>
          <w:rFonts w:ascii="Times New Roman;Times;Serif" w:hAnsi="Times New Roman;Times;Serif"/>
          <w:b/>
          <w:i w:val="false"/>
          <w:caps w:val="false"/>
          <w:smallCaps w:val="false"/>
          <w:sz w:val="20"/>
        </w:rPr>
        <w:t>Complete Solar</w:t>
      </w:r>
      <w:r>
        <w:rPr>
          <w:rFonts w:ascii="Times New Roman;Times;Serif" w:hAnsi="Times New Roman;Times;Serif"/>
          <w:b w:val="false"/>
          <w:i w:val="false"/>
          <w:caps w:val="false"/>
          <w:smallCaps w:val="false"/>
          <w:sz w:val="20"/>
        </w:rPr>
        <w:t>” means Complete Solar Holding Corporation, a Delaware corporation, prior to the consummation of the Required Transaction.</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w:t>
      </w:r>
      <w:r>
        <w:rPr>
          <w:rFonts w:ascii="Times New Roman;Times;Serif" w:hAnsi="Times New Roman;Times;Serif"/>
          <w:b/>
          <w:i w:val="false"/>
          <w:caps w:val="false"/>
          <w:smallCaps w:val="false"/>
          <w:sz w:val="20"/>
        </w:rPr>
        <w:t>SunPower</w:t>
      </w:r>
      <w:r>
        <w:rPr>
          <w:rFonts w:ascii="Times New Roman;Times;Serif" w:hAnsi="Times New Roman;Times;Serif"/>
          <w:b w:val="false"/>
          <w:i w:val="false"/>
          <w:caps w:val="false"/>
          <w:smallCaps w:val="false"/>
          <w:sz w:val="20"/>
        </w:rPr>
        <w:t xml:space="preserve">” or “the </w:t>
      </w:r>
      <w:r>
        <w:rPr>
          <w:rFonts w:ascii="Times New Roman;Times;Serif" w:hAnsi="Times New Roman;Times;Serif"/>
          <w:b/>
          <w:i w:val="false"/>
          <w:caps w:val="false"/>
          <w:smallCaps w:val="false"/>
          <w:sz w:val="20"/>
        </w:rPr>
        <w:t>Company</w:t>
      </w:r>
      <w:r>
        <w:rPr>
          <w:rFonts w:ascii="Times New Roman;Times;Serif" w:hAnsi="Times New Roman;Times;Serif"/>
          <w:b w:val="false"/>
          <w:i w:val="false"/>
          <w:caps w:val="false"/>
          <w:smallCaps w:val="false"/>
          <w:sz w:val="20"/>
        </w:rPr>
        <w:t>” means SunPower Inc. (f/k/a Complete Solaria, Inc. and, previously, Freedom Acquisition I Corp.), a Delaware corporation and its subsidiaries.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w:t>
      </w:r>
      <w:r>
        <w:rPr>
          <w:rFonts w:ascii="Times New Roman;Times;Serif" w:hAnsi="Times New Roman;Times;Serif"/>
          <w:b/>
          <w:i w:val="false"/>
          <w:caps w:val="false"/>
          <w:smallCaps w:val="false"/>
          <w:sz w:val="20"/>
        </w:rPr>
        <w:t>DGCL</w:t>
      </w:r>
      <w:r>
        <w:rPr>
          <w:rFonts w:ascii="Times New Roman;Times;Serif" w:hAnsi="Times New Roman;Times;Serif"/>
          <w:b w:val="false"/>
          <w:i w:val="false"/>
          <w:caps w:val="false"/>
          <w:smallCaps w:val="false"/>
          <w:sz w:val="20"/>
        </w:rPr>
        <w:t>” means the Delaware General Corporation Law, as amended.</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w:t>
      </w:r>
      <w:r>
        <w:rPr>
          <w:rFonts w:ascii="Times New Roman;Times;Serif" w:hAnsi="Times New Roman;Times;Serif"/>
          <w:b/>
          <w:i w:val="false"/>
          <w:caps w:val="false"/>
          <w:smallCaps w:val="false"/>
          <w:sz w:val="20"/>
        </w:rPr>
        <w:t>Domestication</w:t>
      </w:r>
      <w:r>
        <w:rPr>
          <w:rFonts w:ascii="Times New Roman;Times;Serif" w:hAnsi="Times New Roman;Times;Serif"/>
          <w:b w:val="false"/>
          <w:i w:val="false"/>
          <w:caps w:val="false"/>
          <w:smallCaps w:val="false"/>
          <w:sz w:val="20"/>
        </w:rPr>
        <w:t>” means the domestication of FACT as a corporation incorporated in the State of Delaware.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w:t>
      </w:r>
      <w:r>
        <w:rPr>
          <w:rFonts w:ascii="Times New Roman;Times;Serif" w:hAnsi="Times New Roman;Times;Serif"/>
          <w:b/>
          <w:i w:val="false"/>
          <w:caps w:val="false"/>
          <w:smallCaps w:val="false"/>
          <w:sz w:val="20"/>
        </w:rPr>
        <w:t>ESPP</w:t>
      </w:r>
      <w:r>
        <w:rPr>
          <w:rFonts w:ascii="Times New Roman;Times;Serif" w:hAnsi="Times New Roman;Times;Serif"/>
          <w:b w:val="false"/>
          <w:i w:val="false"/>
          <w:caps w:val="false"/>
          <w:smallCaps w:val="false"/>
          <w:sz w:val="20"/>
        </w:rPr>
        <w:t>” means the 2023 Employee Stock Purchase Plan of SunPower Inc.</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w:t>
      </w:r>
      <w:r>
        <w:rPr>
          <w:rFonts w:ascii="Times New Roman;Times;Serif" w:hAnsi="Times New Roman;Times;Serif"/>
          <w:b/>
          <w:i w:val="false"/>
          <w:caps w:val="false"/>
          <w:smallCaps w:val="false"/>
          <w:sz w:val="20"/>
        </w:rPr>
        <w:t>Exchange Act</w:t>
      </w:r>
      <w:r>
        <w:rPr>
          <w:rFonts w:ascii="Times New Roman;Times;Serif" w:hAnsi="Times New Roman;Times;Serif"/>
          <w:b w:val="false"/>
          <w:i w:val="false"/>
          <w:caps w:val="false"/>
          <w:smallCaps w:val="false"/>
          <w:sz w:val="20"/>
        </w:rPr>
        <w:t>” means the U.S. Securities Exchange Act of 1934, as amended.</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w:t>
      </w:r>
      <w:r>
        <w:rPr>
          <w:rFonts w:ascii="Times New Roman;Times;Serif" w:hAnsi="Times New Roman;Times;Serif"/>
          <w:b/>
          <w:i w:val="false"/>
          <w:caps w:val="false"/>
          <w:smallCaps w:val="false"/>
          <w:sz w:val="20"/>
        </w:rPr>
        <w:t>FACT</w:t>
      </w:r>
      <w:r>
        <w:rPr>
          <w:rFonts w:ascii="Times New Roman;Times;Serif" w:hAnsi="Times New Roman;Times;Serif"/>
          <w:b w:val="false"/>
          <w:i w:val="false"/>
          <w:caps w:val="false"/>
          <w:smallCaps w:val="false"/>
          <w:sz w:val="20"/>
        </w:rPr>
        <w:t>” means Freedom Acquisition I Corp., a Cayman Islands exempted company, prior to the consummation of the Domestication.</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w:t>
      </w:r>
      <w:r>
        <w:rPr>
          <w:rFonts w:ascii="Times New Roman;Times;Serif" w:hAnsi="Times New Roman;Times;Serif"/>
          <w:b/>
          <w:i w:val="false"/>
          <w:caps w:val="false"/>
          <w:smallCaps w:val="false"/>
          <w:sz w:val="20"/>
        </w:rPr>
        <w:t>FACT Class A Ordinary Shares</w:t>
      </w:r>
      <w:r>
        <w:rPr>
          <w:rFonts w:ascii="Times New Roman;Times;Serif" w:hAnsi="Times New Roman;Times;Serif"/>
          <w:b w:val="false"/>
          <w:i w:val="false"/>
          <w:caps w:val="false"/>
          <w:smallCaps w:val="false"/>
          <w:sz w:val="20"/>
        </w:rPr>
        <w:t>” or “</w:t>
      </w:r>
      <w:r>
        <w:rPr>
          <w:rFonts w:ascii="Times New Roman;Times;Serif" w:hAnsi="Times New Roman;Times;Serif"/>
          <w:b/>
          <w:i w:val="false"/>
          <w:caps w:val="false"/>
          <w:smallCaps w:val="false"/>
          <w:sz w:val="20"/>
        </w:rPr>
        <w:t>Class A Ordinary Shares</w:t>
      </w:r>
      <w:r>
        <w:rPr>
          <w:rFonts w:ascii="Times New Roman;Times;Serif" w:hAnsi="Times New Roman;Times;Serif"/>
          <w:b w:val="false"/>
          <w:i w:val="false"/>
          <w:caps w:val="false"/>
          <w:smallCaps w:val="false"/>
          <w:sz w:val="20"/>
        </w:rPr>
        <w:t>” means the 34,500,000 Class A ordinary shares, par value $0.0001 per share, of FACT prior to the consummation of the Domestication.</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w:t>
      </w:r>
      <w:r>
        <w:rPr>
          <w:rFonts w:ascii="Times New Roman;Times;Serif" w:hAnsi="Times New Roman;Times;Serif"/>
          <w:b/>
          <w:i w:val="false"/>
          <w:caps w:val="false"/>
          <w:smallCaps w:val="false"/>
          <w:sz w:val="20"/>
        </w:rPr>
        <w:t>Private Warrants</w:t>
      </w:r>
      <w:r>
        <w:rPr>
          <w:rFonts w:ascii="Times New Roman;Times;Serif" w:hAnsi="Times New Roman;Times;Serif"/>
          <w:b w:val="false"/>
          <w:i w:val="false"/>
          <w:caps w:val="false"/>
          <w:smallCaps w:val="false"/>
          <w:sz w:val="20"/>
        </w:rPr>
        <w:t>” means the 6,266,667 warrants held by the Sponsor that were issued in a private placement at the time of FACT’s IPO, each of which is exercisable for one Class A Ordinary Share at an exercise price of $11.50 per share.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w:t>
      </w:r>
      <w:r>
        <w:rPr>
          <w:rFonts w:ascii="Times New Roman;Times;Serif" w:hAnsi="Times New Roman;Times;Serif"/>
          <w:b/>
          <w:i w:val="false"/>
          <w:caps w:val="false"/>
          <w:smallCaps w:val="false"/>
          <w:sz w:val="20"/>
        </w:rPr>
        <w:t>FACT Public Warrants</w:t>
      </w:r>
      <w:r>
        <w:rPr>
          <w:rFonts w:ascii="Times New Roman;Times;Serif" w:hAnsi="Times New Roman;Times;Serif"/>
          <w:b w:val="false"/>
          <w:i w:val="false"/>
          <w:caps w:val="false"/>
          <w:smallCaps w:val="false"/>
          <w:sz w:val="20"/>
        </w:rPr>
        <w:t>” or “</w:t>
      </w:r>
      <w:r>
        <w:rPr>
          <w:rFonts w:ascii="Times New Roman;Times;Serif" w:hAnsi="Times New Roman;Times;Serif"/>
          <w:b/>
          <w:i w:val="false"/>
          <w:caps w:val="false"/>
          <w:smallCaps w:val="false"/>
          <w:sz w:val="20"/>
        </w:rPr>
        <w:t>Public Warrants</w:t>
      </w:r>
      <w:r>
        <w:rPr>
          <w:rFonts w:ascii="Times New Roman;Times;Serif" w:hAnsi="Times New Roman;Times;Serif"/>
          <w:b w:val="false"/>
          <w:i w:val="false"/>
          <w:caps w:val="false"/>
          <w:smallCaps w:val="false"/>
          <w:sz w:val="20"/>
        </w:rPr>
        <w:t>” means the 8,625,000 warrants to acquire FACT Class A Ordinary Shares, issued as part of the public units issued by FACT, at an initial exercise price of $11.50 per share.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w:t>
      </w:r>
      <w:r>
        <w:rPr>
          <w:rFonts w:ascii="Times New Roman;Times;Serif" w:hAnsi="Times New Roman;Times;Serif"/>
          <w:b/>
          <w:i w:val="false"/>
          <w:caps w:val="false"/>
          <w:smallCaps w:val="false"/>
          <w:sz w:val="20"/>
        </w:rPr>
        <w:t>GAAP</w:t>
      </w:r>
      <w:r>
        <w:rPr>
          <w:rFonts w:ascii="Times New Roman;Times;Serif" w:hAnsi="Times New Roman;Times;Serif"/>
          <w:b w:val="false"/>
          <w:i w:val="false"/>
          <w:caps w:val="false"/>
          <w:smallCaps w:val="false"/>
          <w:sz w:val="20"/>
        </w:rPr>
        <w:t>” means U.S. generally accepted accounting principles.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w:t>
      </w:r>
      <w:r>
        <w:rPr>
          <w:rFonts w:ascii="Times New Roman;Times;Serif" w:hAnsi="Times New Roman;Times;Serif"/>
          <w:b/>
          <w:i w:val="false"/>
          <w:caps w:val="false"/>
          <w:smallCaps w:val="false"/>
          <w:sz w:val="20"/>
        </w:rPr>
        <w:t>IPO</w:t>
      </w:r>
      <w:r>
        <w:rPr>
          <w:rFonts w:ascii="Times New Roman;Times;Serif" w:hAnsi="Times New Roman;Times;Serif"/>
          <w:b w:val="false"/>
          <w:i w:val="false"/>
          <w:caps w:val="false"/>
          <w:smallCaps w:val="false"/>
          <w:sz w:val="20"/>
        </w:rPr>
        <w:t>” means FACT’s initial public offering of its units, ordinary shares and warrants pursuant to its registration statement on Form S-1 declared effective by the SEC on February 25, 2021 (SEC File No. 333-252940).</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w:t>
      </w:r>
      <w:r>
        <w:rPr>
          <w:rFonts w:ascii="Times New Roman;Times;Serif" w:hAnsi="Times New Roman;Times;Serif"/>
          <w:b/>
          <w:i w:val="false"/>
          <w:caps w:val="false"/>
          <w:smallCaps w:val="false"/>
          <w:sz w:val="20"/>
        </w:rPr>
        <w:t>Merger Warrants</w:t>
      </w:r>
      <w:r>
        <w:rPr>
          <w:rFonts w:ascii="Times New Roman;Times;Serif" w:hAnsi="Times New Roman;Times;Serif"/>
          <w:b w:val="false"/>
          <w:i w:val="false"/>
          <w:caps w:val="false"/>
          <w:smallCaps w:val="false"/>
          <w:sz w:val="20"/>
        </w:rPr>
        <w:t>” means warrants issued to certain equityholders of Legacy Complete Solaria received as consideration in connection with the exchange of their capital stock held in Legacy Complete Solaria.</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w:t>
      </w:r>
      <w:r>
        <w:rPr>
          <w:rFonts w:ascii="Times New Roman;Times;Serif" w:hAnsi="Times New Roman;Times;Serif"/>
          <w:b/>
          <w:i w:val="false"/>
          <w:caps w:val="false"/>
          <w:smallCaps w:val="false"/>
          <w:sz w:val="20"/>
        </w:rPr>
        <w:t>Legacy Complete Solaria</w:t>
      </w:r>
      <w:r>
        <w:rPr>
          <w:rFonts w:ascii="Times New Roman;Times;Serif" w:hAnsi="Times New Roman;Times;Serif"/>
          <w:b w:val="false"/>
          <w:i w:val="false"/>
          <w:caps w:val="false"/>
          <w:smallCaps w:val="false"/>
          <w:sz w:val="20"/>
        </w:rPr>
        <w:t>” means, prior to the Business Combination, Complete Solaria, Inc. (f/k/a Complete Solar Holding Corporation), a Delaware corporation which, pursuant to the Business Combination, became a direct, wholly owned subsidiary of SunPower Inc. (f/k/a Complete Solaria, Inc.) and was renamed CS, LLC.</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w:t>
      </w:r>
      <w:r>
        <w:rPr>
          <w:rFonts w:ascii="Times New Roman;Times;Serif" w:hAnsi="Times New Roman;Times;Serif"/>
          <w:b/>
          <w:i w:val="false"/>
          <w:caps w:val="false"/>
          <w:smallCaps w:val="false"/>
          <w:sz w:val="20"/>
        </w:rPr>
        <w:t>Nasdaq</w:t>
      </w:r>
      <w:r>
        <w:rPr>
          <w:rFonts w:ascii="Times New Roman;Times;Serif" w:hAnsi="Times New Roman;Times;Serif"/>
          <w:b w:val="false"/>
          <w:i w:val="false"/>
          <w:caps w:val="false"/>
          <w:smallCaps w:val="false"/>
          <w:sz w:val="20"/>
        </w:rPr>
        <w:t>” means the Nasdaq Stock Market.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w:t>
      </w:r>
      <w:r>
        <w:rPr>
          <w:rFonts w:ascii="Times New Roman;Times;Serif" w:hAnsi="Times New Roman;Times;Serif"/>
          <w:b/>
          <w:i w:val="false"/>
          <w:caps w:val="false"/>
          <w:smallCaps w:val="false"/>
          <w:sz w:val="20"/>
        </w:rPr>
        <w:t>Required Transaction</w:t>
      </w:r>
      <w:r>
        <w:rPr>
          <w:rFonts w:ascii="Times New Roman;Times;Serif" w:hAnsi="Times New Roman;Times;Serif"/>
          <w:b w:val="false"/>
          <w:i w:val="false"/>
          <w:caps w:val="false"/>
          <w:smallCaps w:val="false"/>
          <w:sz w:val="20"/>
        </w:rPr>
        <w:t>” means the transactions contemplated by that certain merger agreement by and among the Company, Complete Solaria Midco, LLC, a Delaware limited liability company and a wholly-owned subsidiary of Solaria, Complete Solaria Merger Sub, Inc., a Delaware corporation and a wholly-owned subsidiary of Complete Solaria Midco, LLC, Solaria, and Fortis Advisors LLC, a Delaware limited liability company, solely in its capacity as the representative of Solaria’s stockholders, including the merger of Solaria with and into a wholly-owned subsidiary of Legacy Complete Solaria, which were consummated on November 4, 2022.</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w:t>
      </w:r>
      <w:r>
        <w:rPr>
          <w:rFonts w:ascii="Times New Roman;Times;Serif" w:hAnsi="Times New Roman;Times;Serif"/>
          <w:b/>
          <w:i w:val="false"/>
          <w:caps w:val="false"/>
          <w:smallCaps w:val="false"/>
          <w:sz w:val="20"/>
        </w:rPr>
        <w:t>SEC</w:t>
      </w:r>
      <w:r>
        <w:rPr>
          <w:rFonts w:ascii="Times New Roman;Times;Serif" w:hAnsi="Times New Roman;Times;Serif"/>
          <w:b w:val="false"/>
          <w:i w:val="false"/>
          <w:caps w:val="false"/>
          <w:smallCaps w:val="false"/>
          <w:sz w:val="20"/>
        </w:rPr>
        <w:t>” means the U.S. Securities and Exchange Commission.</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w:t>
      </w:r>
      <w:r>
        <w:rPr>
          <w:rFonts w:ascii="Times New Roman;Times;Serif" w:hAnsi="Times New Roman;Times;Serif"/>
          <w:b/>
          <w:i w:val="false"/>
          <w:caps w:val="false"/>
          <w:smallCaps w:val="false"/>
          <w:sz w:val="20"/>
        </w:rPr>
        <w:t>Securities Act</w:t>
      </w:r>
      <w:r>
        <w:rPr>
          <w:rFonts w:ascii="Times New Roman;Times;Serif" w:hAnsi="Times New Roman;Times;Serif"/>
          <w:b w:val="false"/>
          <w:i w:val="false"/>
          <w:caps w:val="false"/>
          <w:smallCaps w:val="false"/>
          <w:sz w:val="20"/>
        </w:rPr>
        <w:t>” means the Securities Act of 1933, as amended.</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w:t>
      </w:r>
      <w:r>
        <w:rPr>
          <w:rFonts w:ascii="Times New Roman;Times;Serif" w:hAnsi="Times New Roman;Times;Serif"/>
          <w:b/>
          <w:i w:val="false"/>
          <w:caps w:val="false"/>
          <w:smallCaps w:val="false"/>
          <w:sz w:val="20"/>
        </w:rPr>
        <w:t>Solaria</w:t>
      </w:r>
      <w:r>
        <w:rPr>
          <w:rFonts w:ascii="Times New Roman;Times;Serif" w:hAnsi="Times New Roman;Times;Serif"/>
          <w:b w:val="false"/>
          <w:i w:val="false"/>
          <w:caps w:val="false"/>
          <w:smallCaps w:val="false"/>
          <w:sz w:val="20"/>
        </w:rPr>
        <w:t>” means The Solaria Corporation, a Delaware corporation and a wholly-owned subsidiary of SunPower.</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w:t>
      </w:r>
      <w:r>
        <w:rPr>
          <w:rFonts w:ascii="Times New Roman;Times;Serif" w:hAnsi="Times New Roman;Times;Serif"/>
          <w:b/>
          <w:i w:val="false"/>
          <w:caps w:val="false"/>
          <w:smallCaps w:val="false"/>
          <w:sz w:val="20"/>
        </w:rPr>
        <w:t>Sponsor</w:t>
      </w:r>
      <w:r>
        <w:rPr>
          <w:rFonts w:ascii="Times New Roman;Times;Serif" w:hAnsi="Times New Roman;Times;Serif"/>
          <w:b w:val="false"/>
          <w:i w:val="false"/>
          <w:caps w:val="false"/>
          <w:smallCaps w:val="false"/>
          <w:sz w:val="20"/>
        </w:rPr>
        <w:t>” means Freedom Acquisition I LLC, a Cayman Islands limited liability company.</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w:t>
      </w:r>
      <w:r>
        <w:rPr>
          <w:rFonts w:ascii="Times New Roman;Times;Serif" w:hAnsi="Times New Roman;Times;Serif"/>
          <w:b/>
          <w:i w:val="false"/>
          <w:caps w:val="false"/>
          <w:smallCaps w:val="false"/>
          <w:sz w:val="20"/>
        </w:rPr>
        <w:t>Transfer Agent</w:t>
      </w:r>
      <w:r>
        <w:rPr>
          <w:rFonts w:ascii="Times New Roman;Times;Serif" w:hAnsi="Times New Roman;Times;Serif"/>
          <w:b w:val="false"/>
          <w:i w:val="false"/>
          <w:caps w:val="false"/>
          <w:smallCaps w:val="false"/>
          <w:sz w:val="20"/>
        </w:rPr>
        <w:t>” means Continental Stock Transfer &amp; Trust Company.</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w:t>
      </w:r>
      <w:r>
        <w:rPr>
          <w:rFonts w:ascii="Times New Roman;Times;Serif" w:hAnsi="Times New Roman;Times;Serif"/>
          <w:b/>
          <w:i w:val="false"/>
          <w:caps w:val="false"/>
          <w:smallCaps w:val="false"/>
          <w:sz w:val="20"/>
        </w:rPr>
        <w:t>Warrants</w:t>
      </w:r>
      <w:r>
        <w:rPr>
          <w:rFonts w:ascii="Times New Roman;Times;Serif" w:hAnsi="Times New Roman;Times;Serif"/>
          <w:b w:val="false"/>
          <w:i w:val="false"/>
          <w:caps w:val="false"/>
          <w:smallCaps w:val="false"/>
          <w:sz w:val="20"/>
        </w:rPr>
        <w:t>” means, collectively, the Private Warrants, the Public Warrants and the Working Capital Warrants.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w:t>
      </w:r>
      <w:r>
        <w:rPr>
          <w:rFonts w:ascii="Times New Roman;Times;Serif" w:hAnsi="Times New Roman;Times;Serif"/>
          <w:b/>
          <w:i w:val="false"/>
          <w:caps w:val="false"/>
          <w:smallCaps w:val="false"/>
          <w:sz w:val="20"/>
        </w:rPr>
        <w:t>Working Capital Warrants</w:t>
      </w:r>
      <w:r>
        <w:rPr>
          <w:rFonts w:ascii="Times New Roman;Times;Serif" w:hAnsi="Times New Roman;Times;Serif"/>
          <w:b w:val="false"/>
          <w:i w:val="false"/>
          <w:caps w:val="false"/>
          <w:smallCaps w:val="false"/>
          <w:sz w:val="20"/>
        </w:rPr>
        <w:t>” means warrants issued to certain equityholders of Legacy Complete Solaria.</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v</w:t>
      </w:r>
    </w:p>
    <w:p>
      <w:pPr>
        <w:pStyle w:val="TextBody"/>
        <w:bidi w:val="0"/>
        <w:spacing w:before="0" w:after="0"/>
        <w:ind w:left="0" w:right="0" w:hanging="0"/>
        <w:jc w:val="left"/>
        <w:rPr/>
      </w:pPr>
      <w:r>
        <w:rPr/>
        <w:t> </w:t>
      </w:r>
    </w:p>
    <w:p>
      <w:pPr>
        <w:pStyle w:val="TextBody"/>
        <w:bidi w:val="0"/>
        <w:spacing w:before="0" w:after="0"/>
        <w:jc w:val="center"/>
        <w:rPr>
          <w:caps/>
          <w:bdr w:val="single" w:sz="12" w:space="1" w:color="000000"/>
        </w:rPr>
      </w:pPr>
      <w:r>
        <w:rPr>
          <w:caps/>
          <w:bdr w:val="single" w:sz="12" w:space="1" w:color="000000"/>
        </w:rPr>
        <w:t> </w:t>
      </w:r>
    </w:p>
    <w:p>
      <w:pPr>
        <w:pStyle w:val="TextBody"/>
        <w:bidi w:val="0"/>
        <w:spacing w:before="0" w:after="0"/>
        <w:jc w:val="center"/>
        <w:rPr>
          <w:rFonts w:ascii="Times New Roman;Times;Serif" w:hAnsi="Times New Roman;Times;Serif"/>
          <w:b/>
          <w:i w:val="false"/>
          <w:caps/>
          <w:sz w:val="20"/>
          <w:bdr w:val="single" w:sz="12" w:space="1" w:color="000000"/>
        </w:rPr>
      </w:pPr>
      <w:bookmarkStart w:id="2" w:name="a_001"/>
      <w:bookmarkEnd w:id="2"/>
      <w:r>
        <w:rPr>
          <w:rFonts w:ascii="Times New Roman;Times;Serif" w:hAnsi="Times New Roman;Times;Serif"/>
          <w:b/>
          <w:i w:val="false"/>
          <w:caps/>
          <w:sz w:val="20"/>
          <w:bdr w:val="single" w:sz="12" w:space="1" w:color="000000"/>
        </w:rPr>
        <w:t>Prospectus Summary</w:t>
      </w:r>
    </w:p>
    <w:p>
      <w:pPr>
        <w:pStyle w:val="TextBody"/>
        <w:bidi w:val="0"/>
        <w:spacing w:before="0" w:after="0"/>
        <w:jc w:val="center"/>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firstLine="360"/>
        <w:jc w:val="both"/>
        <w:rPr>
          <w:rFonts w:ascii="Times New Roman;Times;Serif" w:hAnsi="Times New Roman;Times;Serif"/>
          <w:b w:val="false"/>
          <w:i/>
          <w:caps w:val="false"/>
          <w:smallCaps w:val="false"/>
          <w:sz w:val="20"/>
          <w:bdr w:val="single" w:sz="12" w:space="1" w:color="000000"/>
        </w:rPr>
      </w:pPr>
      <w:r>
        <w:rPr>
          <w:rFonts w:ascii="Times New Roman;Times;Serif" w:hAnsi="Times New Roman;Times;Serif"/>
          <w:b w:val="false"/>
          <w:i/>
          <w:caps w:val="false"/>
          <w:smallCaps w:val="false"/>
          <w:sz w:val="20"/>
          <w:bdr w:val="single" w:sz="12" w:space="1" w:color="000000"/>
        </w:rPr>
        <w:t>This summary highlights information contained elsewhere in this prospectus and does not contain all of the information that you should consider in making your investment decision. Before investing in our securities, you should carefully read this entire prospectus, including our financial statements and related notes appearing at the end of this prospectus and the information set forth in the sections titled “Risk Factors” and “Management’s Discussion and Analysis of Financial Condition and Results of Operations.” Unless the context otherwise requires, we use the terms “SunPower,” “company,” “we,” “us” and “our” in this prospectus to refer to SunPower Inc. and our wholly owned subsidiaries.</w:t>
      </w:r>
    </w:p>
    <w:p>
      <w:pPr>
        <w:pStyle w:val="TextBody"/>
        <w:bidi w:val="0"/>
        <w:spacing w:before="0" w:after="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jc w:val="both"/>
        <w:rPr>
          <w:rFonts w:ascii="Times New Roman;Times;Serif" w:hAnsi="Times New Roman;Times;Serif"/>
          <w:b/>
          <w:i w:val="false"/>
          <w:caps w:val="false"/>
          <w:smallCaps w:val="false"/>
          <w:sz w:val="20"/>
          <w:bdr w:val="single" w:sz="12" w:space="1" w:color="000000"/>
        </w:rPr>
      </w:pPr>
      <w:r>
        <w:rPr>
          <w:rFonts w:ascii="Times New Roman;Times;Serif" w:hAnsi="Times New Roman;Times;Serif"/>
          <w:b/>
          <w:i w:val="false"/>
          <w:caps w:val="false"/>
          <w:smallCaps w:val="false"/>
          <w:sz w:val="20"/>
          <w:bdr w:val="single" w:sz="12" w:space="1" w:color="000000"/>
        </w:rPr>
        <w:t>Our Mission</w:t>
      </w:r>
    </w:p>
    <w:p>
      <w:pPr>
        <w:pStyle w:val="TextBody"/>
        <w:bidi w:val="0"/>
        <w:spacing w:before="0" w:after="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Our mission is to deliver energy-efficient solutions to homeowners and small to medium-sized businesses that allow them to lower their energy bills while reducing their carbon footprint. SunPower Inc. or SunPower, has created a unique, end-to-end offering that delivers a best-in-class customer experience with a robust technology platform, financing solutions, and high-performance solar equipment.</w:t>
      </w:r>
    </w:p>
    <w:p>
      <w:pPr>
        <w:pStyle w:val="TextBody"/>
        <w:bidi w:val="0"/>
        <w:spacing w:before="0" w:after="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jc w:val="both"/>
        <w:rPr>
          <w:rFonts w:ascii="Times New Roman;Times;Serif" w:hAnsi="Times New Roman;Times;Serif"/>
          <w:b/>
          <w:i w:val="false"/>
          <w:caps w:val="false"/>
          <w:smallCaps w:val="false"/>
          <w:sz w:val="20"/>
          <w:bdr w:val="single" w:sz="12" w:space="1" w:color="000000"/>
        </w:rPr>
      </w:pPr>
      <w:r>
        <w:rPr>
          <w:rFonts w:ascii="Times New Roman;Times;Serif" w:hAnsi="Times New Roman;Times;Serif"/>
          <w:b/>
          <w:i w:val="false"/>
          <w:caps w:val="false"/>
          <w:smallCaps w:val="false"/>
          <w:sz w:val="20"/>
          <w:bdr w:val="single" w:sz="12" w:space="1" w:color="000000"/>
        </w:rPr>
        <w:t>Business Overview</w:t>
      </w:r>
    </w:p>
    <w:p>
      <w:pPr>
        <w:pStyle w:val="TextBody"/>
        <w:bidi w:val="0"/>
        <w:spacing w:before="0" w:after="0"/>
        <w:ind w:left="0" w:right="0" w:firstLine="36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SunPower Inc. (the “Company”) is the rebranded name of Complete Solaria, Inc. The rebranding was effective April 22, 2025 and became legally effective on October 17, 2025. We are headquartered in Orem, Utah.</w:t>
      </w:r>
    </w:p>
    <w:p>
      <w:pPr>
        <w:pStyle w:val="TextBody"/>
        <w:bidi w:val="0"/>
        <w:spacing w:before="0" w:after="0"/>
        <w:ind w:left="0" w:right="0" w:firstLine="72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Complete Solaria, Inc. (“Complete Solaria”) was formed in November 2022 through the merger of Complete Solar Holding Corporation, a Delaware corporation (“Complete Solar”), and The Solaria Corporation, a Delaware corporation (such entity, “Solaria,” and such transaction, the “Business Combination”). Complete Solaria created a technology platform to offer clean energy products to homeowners by enabling a national network of sales partners and build partners. Our sales partners generate solar installation contracts with homeowners on our behalf. To facilitate this process, we provide the software tools, sales support and brand identity to our sales partners, making them competitive with national providers. We fulfill our customer contracts by engaging with local construction specialists and using our in-house installation experts. We manage the customer experience and complete all pre-construction activities prior to delivering build-ready projects including hardware, engineering plans, and building permits to our builder partners and in-house teams.</w:t>
      </w:r>
    </w:p>
    <w:p>
      <w:pPr>
        <w:pStyle w:val="TextBody"/>
        <w:bidi w:val="0"/>
        <w:spacing w:before="0" w:after="0"/>
        <w:ind w:left="0" w:right="0" w:firstLine="72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In October 2023, we sold the solar panel assets of The Solaria Corporation, including intellectual property and customer contracts to Maxeon Solar Technologies, Ltd. (“Maxeon”) pursuant to the terms of an asset purchase agreement (the “Disposal Agreement”). Under the terms of the Disposal Agreement, Maxeon agreed to acquire certain assets and employees of Complete Solaria for an aggregate purchase price of approximately $11.0 million consisting of 1,100,000 shares of Maxeon ordinary shares.</w:t>
      </w:r>
    </w:p>
    <w:p>
      <w:pPr>
        <w:pStyle w:val="TextBody"/>
        <w:bidi w:val="0"/>
        <w:spacing w:before="0" w:after="0"/>
        <w:ind w:left="0" w:right="0" w:firstLine="72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We expect to continue making acquisitions and entering into strategic partnerships as part of our long-term business strategy. For example, on September 24, 2025, we completed the purchase of all the membership interests of Sunder Energy, LLC (“Sunder”). Sunder provides a third-party solar energy sales force to initiate and execute contracts with customers throughout the United States. Sunder’s sales force works with solar installation companies in which Sunder acts as the agent for each transaction entered. Sunder earns revenue based on residential solar installation contracts for residential homeowners that are sold to installation companies in accordance with its contracts with those installation companies. Upon entering into a sales contract, the requisite performance obligation of Sunder is to assist the installation companies in the progress of the installation and obtain permission to operate. On November 21, 2025, we completed the purchase of all the membership interest of Ambia Energy, LLC (“Ambia”). Ambia is a residential solar energy system installer which operates in various markets throughout the United States. Ambia generates revenue from selling and installing solar energy systems or orchestrating the sale of a solar energy system which will be installed by a third party. On January 30, 2026, we completed the purchase of all of the equity interests of Cobalt Power Systems, Inc. (“Cobalt”). Cobalt is an installer of residential and commercial solar energy systems in the San Francisco Bay area. Cobalt generates revenue from the design and installation of solar power systems.</w:t>
      </w:r>
    </w:p>
    <w:p>
      <w:pPr>
        <w:pStyle w:val="TextBody"/>
        <w:bidi w:val="0"/>
        <w:spacing w:before="0" w:after="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w:t>
      </w:r>
    </w:p>
    <w:p>
      <w:pPr>
        <w:pStyle w:val="TextBody"/>
        <w:bidi w:val="0"/>
        <w:spacing w:before="0" w:after="0"/>
        <w:ind w:left="0" w:right="0" w:hanging="0"/>
        <w:jc w:val="left"/>
        <w:rPr/>
      </w:pPr>
      <w:r>
        <w:rPr/>
        <w:t> </w:t>
      </w:r>
    </w:p>
    <w:p>
      <w:pPr>
        <w:pStyle w:val="TextBody"/>
        <w:bidi w:val="0"/>
        <w:spacing w:before="0" w:after="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On August 5, 2024, we entered into an Asset Purchase Agreement (the “APA”) among us and SunPower Corporation and its direct and indirect subsidiaries (collectively, the “SunPower Debtors”) providing for the sale and purchase of certain assets relating to the Blue Raven Solar business, New Homes Business and Non-Installing Dealer network previously operated by the SunPower Debtors (the “Acquired SunPower Assets”). The APA was entered into in connection with a voluntary petition filed by SunPower under Chapter 11 of the United States Code, 11 U.S.C.§§ 101-1532. The sale was approved on September 23, 2024, by the United States Bankruptcy Court for the District of Delaware. We completed the acquisition of the Acquired SunPower Assets effective September 30, 2024. The assets and businesses acquired by us under the APA are referred to as the “SunPower Businesses.” As part of the acquisition the Company acquired Albatross, an order-to-management proprietary software to manage our orders, fulfillment and customer service all in one central location.</w:t>
      </w:r>
    </w:p>
    <w:p>
      <w:pPr>
        <w:pStyle w:val="TextBody"/>
        <w:bidi w:val="0"/>
        <w:spacing w:before="0" w:after="0"/>
        <w:ind w:left="0" w:right="0" w:firstLine="72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The acquisitions of Sunder, Ambia, Cobalt and SunPower Businesses are collectively referred to herein as “Acquisitions”.</w:t>
      </w:r>
    </w:p>
    <w:p>
      <w:pPr>
        <w:pStyle w:val="TextBody"/>
        <w:bidi w:val="0"/>
        <w:spacing w:before="0" w:after="0"/>
        <w:jc w:val="center"/>
        <w:rPr>
          <w:caps w:val="false"/>
          <w:smallCaps w:val="false"/>
          <w:bdr w:val="single" w:sz="12" w:space="1" w:color="000000"/>
        </w:rPr>
      </w:pPr>
      <w:r>
        <w:rPr>
          <w:caps w:val="false"/>
          <w:smallCaps w:val="false"/>
          <w:bdr w:val="single" w:sz="12" w:space="1" w:color="000000"/>
        </w:rPr>
        <w:t> </w:t>
      </w:r>
    </w:p>
    <w:p>
      <w:pPr>
        <w:pStyle w:val="TextBody"/>
        <w:bidi w:val="0"/>
        <w:spacing w:before="0" w:after="0"/>
        <w:jc w:val="both"/>
        <w:rPr>
          <w:rFonts w:ascii="Times New Roman;Times;Serif" w:hAnsi="Times New Roman;Times;Serif"/>
          <w:b/>
          <w:i/>
          <w:caps w:val="false"/>
          <w:smallCaps w:val="false"/>
          <w:sz w:val="20"/>
          <w:bdr w:val="single" w:sz="12" w:space="1" w:color="000000"/>
        </w:rPr>
      </w:pPr>
      <w:r>
        <w:rPr>
          <w:rFonts w:ascii="Times New Roman;Times;Serif" w:hAnsi="Times New Roman;Times;Serif"/>
          <w:b/>
          <w:i/>
          <w:caps w:val="false"/>
          <w:smallCaps w:val="false"/>
          <w:sz w:val="20"/>
          <w:bdr w:val="single" w:sz="12" w:space="1" w:color="000000"/>
        </w:rPr>
        <w:t>Revenue Model</w:t>
      </w:r>
    </w:p>
    <w:p>
      <w:pPr>
        <w:pStyle w:val="TextBody"/>
        <w:bidi w:val="0"/>
        <w:spacing w:before="0" w:after="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We offer solar system sales and installation to residential homeowners and the new home builders’ communities. The Acquisitions will allow us to accelerate our revenue growth and expand our footprint to deliver solar system sales into regions where we might have not previously done business.</w:t>
      </w:r>
    </w:p>
    <w:p>
      <w:pPr>
        <w:pStyle w:val="TextBody"/>
        <w:bidi w:val="0"/>
        <w:spacing w:before="0" w:after="0"/>
        <w:ind w:left="0" w:right="0" w:firstLine="72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We sell solar systems to homeowners, home builders and small to medium-sized commercial customers through third-party sales partners. As a result of our acquisition of Sunder, we operate a solar energy sales force to initiate and execute contracts with customers throughout the United States. We manage every aspect of project management for those contracts before ultimately contracting with builder partners or using in-house installation experts to complete the construction and installation of the solar systems. This residential solar platform provides homeowners with simple pricing for solar energy that provides significant savings compared to traditional utility energy. Homeowners can choose from a wide array of system features and financing options that best meet their needs. By delivering the best-matched products and a best-in-class customer experience, we establish valuable customer relationships that can extend beyond the initial solar energy system purchase and provide us with opportunities to offer additional products and services in the future.</w:t>
      </w:r>
    </w:p>
    <w:p>
      <w:pPr>
        <w:pStyle w:val="TextBody"/>
        <w:bidi w:val="0"/>
        <w:spacing w:before="0" w:after="0"/>
        <w:ind w:left="0" w:right="0" w:firstLine="72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jc w:val="both"/>
        <w:rPr>
          <w:rFonts w:ascii="Times New Roman;Times;Serif" w:hAnsi="Times New Roman;Times;Serif"/>
          <w:b/>
          <w:i/>
          <w:caps w:val="false"/>
          <w:smallCaps w:val="false"/>
          <w:sz w:val="20"/>
          <w:bdr w:val="single" w:sz="12" w:space="1" w:color="000000"/>
        </w:rPr>
      </w:pPr>
      <w:r>
        <w:rPr>
          <w:rFonts w:ascii="Times New Roman;Times;Serif" w:hAnsi="Times New Roman;Times;Serif"/>
          <w:b/>
          <w:i/>
          <w:caps w:val="false"/>
          <w:smallCaps w:val="false"/>
          <w:sz w:val="20"/>
          <w:bdr w:val="single" w:sz="12" w:space="1" w:color="000000"/>
        </w:rPr>
        <w:t>Technology Innovation</w:t>
      </w:r>
    </w:p>
    <w:p>
      <w:pPr>
        <w:pStyle w:val="TextBody"/>
        <w:bidi w:val="0"/>
        <w:spacing w:before="0" w:after="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Since inception, we have continued to invest in a platform of services and tools to enable large-scale operations for sales and builder partners. The platform incorporates processes and software solutions that simplify and streamline design, proposals, and project management throughout the lifecycle of a residential solar project. The platform empowers new market entrants and smaller industry participants with its plug-and-play capabilities. The ecosystem we have built provides broad reach, and we believe it positions us for sustained and rapid growth through a capital-efficient business model. The network of our partners continues to expand today.</w:t>
      </w:r>
    </w:p>
    <w:p>
      <w:pPr>
        <w:pStyle w:val="TextBody"/>
        <w:bidi w:val="0"/>
        <w:spacing w:before="0" w:after="0"/>
        <w:ind w:left="0" w:right="0" w:firstLine="72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We use salesforce.com to manage and fulfill orders which replaced our use of Albatross, the rights to which we acquired in connection with our acquisition of the SunPower Businesses. Albatross is a sales order platform which will be sunset later in 2026. Our acquisition of Sunder included Merdeka, a software platform which gives access from bookings to energization. We currently have this platform on view only and believe it has future potential as a differentiating option compared to our competition.</w:t>
      </w:r>
    </w:p>
    <w:p>
      <w:pPr>
        <w:pStyle w:val="TextBody"/>
        <w:bidi w:val="0"/>
        <w:spacing w:before="0" w:after="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jc w:val="both"/>
        <w:rPr>
          <w:rFonts w:ascii="Times New Roman;Times;Serif" w:hAnsi="Times New Roman;Times;Serif"/>
          <w:b/>
          <w:i/>
          <w:caps w:val="false"/>
          <w:smallCaps w:val="false"/>
          <w:sz w:val="20"/>
          <w:bdr w:val="single" w:sz="12" w:space="1" w:color="000000"/>
        </w:rPr>
      </w:pPr>
      <w:r>
        <w:rPr>
          <w:rFonts w:ascii="Times New Roman;Times;Serif" w:hAnsi="Times New Roman;Times;Serif"/>
          <w:b/>
          <w:i/>
          <w:caps w:val="false"/>
          <w:smallCaps w:val="false"/>
          <w:sz w:val="20"/>
          <w:bdr w:val="single" w:sz="12" w:space="1" w:color="000000"/>
        </w:rPr>
        <w:t>Differentiation and Operating Results</w:t>
      </w:r>
    </w:p>
    <w:p>
      <w:pPr>
        <w:pStyle w:val="TextBody"/>
        <w:bidi w:val="0"/>
        <w:spacing w:before="0" w:after="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Delivering a differentiated customer experience is core to our strategy. It emphasizes a customized solution, including a design specific to each customer’s home and pricing configurations that typically drive both customer savings and value. Developing a trusted brand and providing a customized solar service offering resonates with customers accustomed to a traditional residential power market that is often overpriced and lacking in customer choice.</w:t>
      </w:r>
    </w:p>
    <w:p>
      <w:pPr>
        <w:pStyle w:val="TextBody"/>
        <w:bidi w:val="0"/>
        <w:spacing w:before="0" w:after="0"/>
        <w:ind w:left="0" w:right="0" w:firstLine="72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Our overall mission is to deliver energy-efficient solutions to homeowners, home builders and small to medium-sized businesses that allow them to lower their energy bills while reducing their carbon footprint. We want to pass our operational costs savings back to our customers by keeping costs low in an environment where labor costs are rising and interest rates remain uncertain. These operational costs savings are attributed to the workforce that was acquired as part of the SunPower Acquisition. We expanded our operations center that supports operations, order process, customer care and support, credit and collections, procurement, vendor management and accounting related functions, and have rationalized our headcount.</w:t>
      </w:r>
    </w:p>
    <w:p>
      <w:pPr>
        <w:pStyle w:val="TextBody"/>
        <w:bidi w:val="0"/>
        <w:spacing w:before="0" w:after="0"/>
        <w:ind w:left="0" w:right="0" w:firstLine="36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firstLine="36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w:t>
      </w:r>
    </w:p>
    <w:p>
      <w:pPr>
        <w:pStyle w:val="TextBody"/>
        <w:bidi w:val="0"/>
        <w:spacing w:before="0" w:after="0"/>
        <w:ind w:left="0" w:right="0" w:hanging="0"/>
        <w:jc w:val="left"/>
        <w:rPr/>
      </w:pPr>
      <w:r>
        <w:rPr/>
        <w:t> </w:t>
      </w:r>
    </w:p>
    <w:p>
      <w:pPr>
        <w:pStyle w:val="TextBody"/>
        <w:bidi w:val="0"/>
        <w:spacing w:before="0" w:after="0"/>
        <w:ind w:left="0" w:right="0" w:firstLine="36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jc w:val="both"/>
        <w:rPr>
          <w:rFonts w:ascii="Times New Roman;Times;Serif" w:hAnsi="Times New Roman;Times;Serif"/>
          <w:b/>
          <w:i w:val="false"/>
          <w:caps w:val="false"/>
          <w:smallCaps w:val="false"/>
          <w:sz w:val="20"/>
          <w:bdr w:val="single" w:sz="12" w:space="1" w:color="000000"/>
        </w:rPr>
      </w:pPr>
      <w:r>
        <w:rPr>
          <w:rFonts w:ascii="Times New Roman;Times;Serif" w:hAnsi="Times New Roman;Times;Serif"/>
          <w:b/>
          <w:i w:val="false"/>
          <w:caps w:val="false"/>
          <w:smallCaps w:val="false"/>
          <w:sz w:val="20"/>
          <w:bdr w:val="single" w:sz="12" w:space="1" w:color="000000"/>
        </w:rPr>
        <w:t>Corporate Information</w:t>
      </w:r>
    </w:p>
    <w:p>
      <w:pPr>
        <w:pStyle w:val="TextBody"/>
        <w:bidi w:val="0"/>
        <w:spacing w:before="0" w:after="0"/>
        <w:ind w:left="0" w:right="0" w:firstLine="36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We were originally known as Freedom Acquisition I Corp (“FACT”). We are engaged in solar system sales and associated commerce. On July 18, 2023, Complete Solaria, FACT, and certain other entities consummated the transactions contemplated under that certain amended and restated Business Combination Agreement, dated as of May 26, 2023, following the approval at the special meeting of the stockholders of FACT held July 11, 2023. In connection with the closing of the Business Combination, we changed our name from Freedom Acquisition I Corp. to Complete Solaria, Inc.</w:t>
      </w:r>
    </w:p>
    <w:p>
      <w:pPr>
        <w:pStyle w:val="TextBody"/>
        <w:bidi w:val="0"/>
        <w:spacing w:before="0" w:after="0"/>
        <w:jc w:val="center"/>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Our principal executive offices are located at 1403 N. Research Way, Orem UT 84097, and our telephone number is (877) 299-4943. Our corporate website address is https://us.sunpower.com/. Information contained on or accessible through our website is not a part of this prospectus, and the inclusion of our website address in this prospectus is an inactive textual reference only.</w:t>
      </w:r>
    </w:p>
    <w:p>
      <w:pPr>
        <w:pStyle w:val="TextBody"/>
        <w:bidi w:val="0"/>
        <w:spacing w:before="0" w:after="0"/>
        <w:ind w:left="0" w:right="0" w:firstLine="36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firstLine="360"/>
        <w:jc w:val="both"/>
        <w:rPr>
          <w:caps w:val="false"/>
          <w:smallCaps w:val="false"/>
          <w:bdr w:val="single" w:sz="12" w:space="1" w:color="000000"/>
        </w:rPr>
      </w:pPr>
      <w:r>
        <w:rPr>
          <w:caps w:val="false"/>
          <w:smallCaps w:val="false"/>
          <w:bdr w:val="single" w:sz="12" w:space="1" w:color="000000"/>
        </w:rPr>
        <w:t>“</w:t>
      </w:r>
      <w:r>
        <w:rPr>
          <w:rFonts w:ascii="Times New Roman;Times;Serif" w:hAnsi="Times New Roman;Times;Serif"/>
          <w:b w:val="false"/>
          <w:i w:val="false"/>
          <w:caps w:val="false"/>
          <w:smallCaps w:val="false"/>
          <w:sz w:val="20"/>
          <w:bdr w:val="single" w:sz="12" w:space="1" w:color="000000"/>
        </w:rPr>
        <w:t>SunPower” and our other registered and common law trade names, trademarks and service marks are property of SunPower Inc. This prospectus contains additional trade names, trademarks and service marks of others, which are the property of their respective owners. Solely for convenience, trademarks and trade names referred to in this prospectus may appear without the ® or ™ symbols.</w:t>
      </w:r>
    </w:p>
    <w:p>
      <w:pPr>
        <w:pStyle w:val="TextBody"/>
        <w:bidi w:val="0"/>
        <w:spacing w:before="0" w:after="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jc w:val="both"/>
        <w:rPr>
          <w:rFonts w:ascii="Times New Roman;Times;Serif" w:hAnsi="Times New Roman;Times;Serif"/>
          <w:b/>
          <w:i w:val="false"/>
          <w:caps w:val="false"/>
          <w:smallCaps w:val="false"/>
          <w:sz w:val="20"/>
          <w:bdr w:val="single" w:sz="12" w:space="1" w:color="000000"/>
        </w:rPr>
      </w:pPr>
      <w:r>
        <w:rPr>
          <w:rFonts w:ascii="Times New Roman;Times;Serif" w:hAnsi="Times New Roman;Times;Serif"/>
          <w:b/>
          <w:i w:val="false"/>
          <w:caps w:val="false"/>
          <w:smallCaps w:val="false"/>
          <w:sz w:val="20"/>
          <w:bdr w:val="single" w:sz="12" w:space="1" w:color="000000"/>
        </w:rPr>
        <w:t>Recent Developments</w:t>
      </w:r>
    </w:p>
    <w:p>
      <w:pPr>
        <w:pStyle w:val="TextBody"/>
        <w:bidi w:val="0"/>
        <w:spacing w:before="0" w:after="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jc w:val="both"/>
        <w:rPr>
          <w:rFonts w:ascii="Times New Roman;Times;Serif" w:hAnsi="Times New Roman;Times;Serif"/>
          <w:b w:val="false"/>
          <w:i/>
          <w:caps w:val="false"/>
          <w:smallCaps w:val="false"/>
          <w:sz w:val="20"/>
          <w:bdr w:val="single" w:sz="12" w:space="1" w:color="000000"/>
        </w:rPr>
      </w:pPr>
      <w:r>
        <w:rPr>
          <w:rFonts w:ascii="Times New Roman;Times;Serif" w:hAnsi="Times New Roman;Times;Serif"/>
          <w:b w:val="false"/>
          <w:i/>
          <w:caps w:val="false"/>
          <w:smallCaps w:val="false"/>
          <w:sz w:val="20"/>
          <w:bdr w:val="single" w:sz="12" w:space="1" w:color="000000"/>
        </w:rPr>
        <w:t>10.0% Notes Offering and Related Transactions</w:t>
      </w:r>
    </w:p>
    <w:p>
      <w:pPr>
        <w:pStyle w:val="TextBody"/>
        <w:bidi w:val="0"/>
        <w:spacing w:before="0" w:after="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On April 23, 2026, we closed our private offering (the “</w:t>
      </w:r>
      <w:r>
        <w:rPr>
          <w:rFonts w:ascii="Times New Roman;Times;Serif" w:hAnsi="Times New Roman;Times;Serif"/>
          <w:b/>
          <w:i w:val="false"/>
          <w:caps w:val="false"/>
          <w:smallCaps w:val="false"/>
          <w:sz w:val="20"/>
          <w:bdr w:val="single" w:sz="12" w:space="1" w:color="000000"/>
        </w:rPr>
        <w:t>Offering</w:t>
      </w:r>
      <w:r>
        <w:rPr>
          <w:rFonts w:ascii="Times New Roman;Times;Serif" w:hAnsi="Times New Roman;Times;Serif"/>
          <w:b w:val="false"/>
          <w:i w:val="false"/>
          <w:caps w:val="false"/>
          <w:smallCaps w:val="false"/>
          <w:sz w:val="20"/>
          <w:bdr w:val="single" w:sz="12" w:space="1" w:color="000000"/>
        </w:rPr>
        <w:t>”) of $41,000,000 aggregate principal amount of our 10.0% Notes (as defined below), consisting of: (i) the sale and issuance of $24,000,000 aggregate principal amount of 10.0% Notes to qualified institutional buyers; (ii) the sale and issuance of $1,000,000 principal amount of 10.0% Notes to an institutional accredited investor; (iii) the issuance of $6,000,000 principal amount of 10.0% Notes to entities affiliated with Thurman John “T.J.” Rodgers, the Company’s Chief Executive Officer and Chairman, in consideration for $6,000,000 previously funded to the Company pursuant to simple agreements for future equity; and (iv) the issuance of $10,000,000 aggregate principal amount of 10.0% Notes in connection with the exchange of the promissory note originally issued by the Company to Chicken Parm Pizza LLC (“</w:t>
      </w:r>
      <w:r>
        <w:rPr>
          <w:rFonts w:ascii="Times New Roman;Times;Serif" w:hAnsi="Times New Roman;Times;Serif"/>
          <w:b/>
          <w:i w:val="false"/>
          <w:caps w:val="false"/>
          <w:smallCaps w:val="false"/>
          <w:sz w:val="20"/>
          <w:bdr w:val="single" w:sz="12" w:space="1" w:color="000000"/>
        </w:rPr>
        <w:t>CPP</w:t>
      </w:r>
      <w:r>
        <w:rPr>
          <w:rFonts w:ascii="Times New Roman;Times;Serif" w:hAnsi="Times New Roman;Times;Serif"/>
          <w:b w:val="false"/>
          <w:i w:val="false"/>
          <w:caps w:val="false"/>
          <w:smallCaps w:val="false"/>
          <w:sz w:val="20"/>
          <w:bdr w:val="single" w:sz="12" w:space="1" w:color="000000"/>
        </w:rPr>
        <w:t>”) on September 24, 2025 in connection with the Company’s acquisition of Sunder Energy (the “</w:t>
      </w:r>
      <w:r>
        <w:rPr>
          <w:rFonts w:ascii="Times New Roman;Times;Serif" w:hAnsi="Times New Roman;Times;Serif"/>
          <w:b/>
          <w:i w:val="false"/>
          <w:caps w:val="false"/>
          <w:smallCaps w:val="false"/>
          <w:sz w:val="20"/>
          <w:bdr w:val="single" w:sz="12" w:space="1" w:color="000000"/>
        </w:rPr>
        <w:t>Seller Note</w:t>
      </w:r>
      <w:r>
        <w:rPr>
          <w:rFonts w:ascii="Times New Roman;Times;Serif" w:hAnsi="Times New Roman;Times;Serif"/>
          <w:b w:val="false"/>
          <w:i w:val="false"/>
          <w:caps w:val="false"/>
          <w:smallCaps w:val="false"/>
          <w:sz w:val="20"/>
          <w:bdr w:val="single" w:sz="12" w:space="1" w:color="000000"/>
        </w:rPr>
        <w:t>”). On May 20, 2026, the Company issued and sold a further $5,000,000 aggregate principal amount of 10.0% Notes in a private offering to an additional purchaser, the shares underlying which 10.0% Notes are being registered hereby.</w:t>
      </w:r>
    </w:p>
    <w:p>
      <w:pPr>
        <w:pStyle w:val="TextBody"/>
        <w:bidi w:val="0"/>
        <w:spacing w:before="0" w:after="0"/>
        <w:ind w:left="0" w:right="0" w:firstLine="36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On April 21, 2026, in connection with the Offering, the Company and YA II PN, LTD., a Cayman Islands exempt limited company (“</w:t>
      </w:r>
      <w:r>
        <w:rPr>
          <w:rFonts w:ascii="Times New Roman;Times;Serif" w:hAnsi="Times New Roman;Times;Serif"/>
          <w:b/>
          <w:i w:val="false"/>
          <w:caps w:val="false"/>
          <w:smallCaps w:val="false"/>
          <w:sz w:val="20"/>
          <w:bdr w:val="single" w:sz="12" w:space="1" w:color="000000"/>
        </w:rPr>
        <w:t>Yorkville</w:t>
      </w:r>
      <w:r>
        <w:rPr>
          <w:rFonts w:ascii="Times New Roman;Times;Serif" w:hAnsi="Times New Roman;Times;Serif"/>
          <w:b w:val="false"/>
          <w:i w:val="false"/>
          <w:caps w:val="false"/>
          <w:smallCaps w:val="false"/>
          <w:sz w:val="20"/>
          <w:bdr w:val="single" w:sz="12" w:space="1" w:color="000000"/>
        </w:rPr>
        <w:t>”) entered into a letter agreement (the “</w:t>
      </w:r>
      <w:r>
        <w:rPr>
          <w:rFonts w:ascii="Times New Roman;Times;Serif" w:hAnsi="Times New Roman;Times;Serif"/>
          <w:b/>
          <w:i w:val="false"/>
          <w:caps w:val="false"/>
          <w:smallCaps w:val="false"/>
          <w:sz w:val="20"/>
          <w:bdr w:val="single" w:sz="12" w:space="1" w:color="000000"/>
        </w:rPr>
        <w:t>YA Letter</w:t>
      </w:r>
      <w:r>
        <w:rPr>
          <w:rFonts w:ascii="Times New Roman;Times;Serif" w:hAnsi="Times New Roman;Times;Serif"/>
          <w:b w:val="false"/>
          <w:i w:val="false"/>
          <w:caps w:val="false"/>
          <w:smallCaps w:val="false"/>
          <w:sz w:val="20"/>
          <w:bdr w:val="single" w:sz="12" w:space="1" w:color="000000"/>
        </w:rPr>
        <w:t>”). Pursuant to the YA Letter, the Company agreed to voluntary prepay $5,000,000 of the outstanding principal amount of YA Debenture (as defined below), resulting in a revised outstanding principal balance under the YA Debenture of $5,000,000. The Company further agreed to repay the remaining principal balance and accrued interest under the YA Debenture in four equal monthly installments of $1,287,000, with the first payment due on May 5, 2026. Pursuant to the YA Letter, Yorkville further consented to the issuance of the Notes and the grant of the liens pursuant to the Security Agreement (as defined below).</w:t>
      </w:r>
    </w:p>
    <w:p>
      <w:pPr>
        <w:pStyle w:val="TextBody"/>
        <w:bidi w:val="0"/>
        <w:spacing w:before="0" w:after="0"/>
        <w:ind w:left="0" w:right="0" w:firstLine="36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In connection with the closing of the Offering, on April 23, 2026, the Company executed and delivered the Indenture relating to the Notes (the “</w:t>
      </w:r>
      <w:r>
        <w:rPr>
          <w:rFonts w:ascii="Times New Roman;Times;Serif" w:hAnsi="Times New Roman;Times;Serif"/>
          <w:b/>
          <w:i w:val="false"/>
          <w:caps w:val="false"/>
          <w:smallCaps w:val="false"/>
          <w:sz w:val="20"/>
          <w:bdr w:val="single" w:sz="12" w:space="1" w:color="000000"/>
        </w:rPr>
        <w:t>Indenture</w:t>
      </w:r>
      <w:r>
        <w:rPr>
          <w:rFonts w:ascii="Times New Roman;Times;Serif" w:hAnsi="Times New Roman;Times;Serif"/>
          <w:b w:val="false"/>
          <w:i w:val="false"/>
          <w:caps w:val="false"/>
          <w:smallCaps w:val="false"/>
          <w:sz w:val="20"/>
          <w:bdr w:val="single" w:sz="12" w:space="1" w:color="000000"/>
        </w:rPr>
        <w:t>”) among the Company, the guarantor named therein, and U.S. Bank Trust Company, National Association, as trustee (in such capacity, the “</w:t>
      </w:r>
      <w:r>
        <w:rPr>
          <w:rFonts w:ascii="Times New Roman;Times;Serif" w:hAnsi="Times New Roman;Times;Serif"/>
          <w:b/>
          <w:i w:val="false"/>
          <w:caps w:val="false"/>
          <w:smallCaps w:val="false"/>
          <w:sz w:val="20"/>
          <w:bdr w:val="single" w:sz="12" w:space="1" w:color="000000"/>
        </w:rPr>
        <w:t>Trustee</w:t>
      </w:r>
      <w:r>
        <w:rPr>
          <w:rFonts w:ascii="Times New Roman;Times;Serif" w:hAnsi="Times New Roman;Times;Serif"/>
          <w:b w:val="false"/>
          <w:i w:val="false"/>
          <w:caps w:val="false"/>
          <w:smallCaps w:val="false"/>
          <w:sz w:val="20"/>
          <w:bdr w:val="single" w:sz="12" w:space="1" w:color="000000"/>
        </w:rPr>
        <w:t>”) and as collateral agent (in such capacity, the “</w:t>
      </w:r>
      <w:r>
        <w:rPr>
          <w:rFonts w:ascii="Times New Roman;Times;Serif" w:hAnsi="Times New Roman;Times;Serif"/>
          <w:b/>
          <w:i w:val="false"/>
          <w:caps w:val="false"/>
          <w:smallCaps w:val="false"/>
          <w:sz w:val="20"/>
          <w:bdr w:val="single" w:sz="12" w:space="1" w:color="000000"/>
        </w:rPr>
        <w:t>Collateral Agent</w:t>
      </w:r>
      <w:r>
        <w:rPr>
          <w:rFonts w:ascii="Times New Roman;Times;Serif" w:hAnsi="Times New Roman;Times;Serif"/>
          <w:b w:val="false"/>
          <w:i w:val="false"/>
          <w:caps w:val="false"/>
          <w:smallCaps w:val="false"/>
          <w:sz w:val="20"/>
          <w:bdr w:val="single" w:sz="12" w:space="1" w:color="000000"/>
        </w:rPr>
        <w:t>”). Additionally, on April 23, 2026, the Company and the Collateral Agent entered into the Pledge and Security Agreement (the “</w:t>
      </w:r>
      <w:r>
        <w:rPr>
          <w:rFonts w:ascii="Times New Roman;Times;Serif" w:hAnsi="Times New Roman;Times;Serif"/>
          <w:b/>
          <w:i w:val="false"/>
          <w:caps w:val="false"/>
          <w:smallCaps w:val="false"/>
          <w:sz w:val="20"/>
          <w:bdr w:val="single" w:sz="12" w:space="1" w:color="000000"/>
        </w:rPr>
        <w:t>Security Agreement</w:t>
      </w:r>
      <w:r>
        <w:rPr>
          <w:rFonts w:ascii="Times New Roman;Times;Serif" w:hAnsi="Times New Roman;Times;Serif"/>
          <w:b w:val="false"/>
          <w:i w:val="false"/>
          <w:caps w:val="false"/>
          <w:smallCaps w:val="false"/>
          <w:sz w:val="20"/>
          <w:bdr w:val="single" w:sz="12" w:space="1" w:color="000000"/>
        </w:rPr>
        <w:t>”). Pursuant to the Security Agreement, the 10.0% Notes are secured by a first-priority security interest in substantially all of the assets of the Company and any Guarantor, subject to certain exceptions and permitted liens. Pursuant to the Security Agreement, on April 23, 2026, the Company and the Collateral Agent entered into a separate Patent Security Agreement (the “</w:t>
      </w:r>
      <w:r>
        <w:rPr>
          <w:rFonts w:ascii="Times New Roman;Times;Serif" w:hAnsi="Times New Roman;Times;Serif"/>
          <w:b/>
          <w:i w:val="false"/>
          <w:caps w:val="false"/>
          <w:smallCaps w:val="false"/>
          <w:sz w:val="20"/>
          <w:bdr w:val="single" w:sz="12" w:space="1" w:color="000000"/>
        </w:rPr>
        <w:t>Patent Security Agreement</w:t>
      </w:r>
      <w:r>
        <w:rPr>
          <w:rFonts w:ascii="Times New Roman;Times;Serif" w:hAnsi="Times New Roman;Times;Serif"/>
          <w:b w:val="false"/>
          <w:i w:val="false"/>
          <w:caps w:val="false"/>
          <w:smallCaps w:val="false"/>
          <w:sz w:val="20"/>
          <w:bdr w:val="single" w:sz="12" w:space="1" w:color="000000"/>
        </w:rPr>
        <w:t>”) and Trademark Security Agreement (the “</w:t>
      </w:r>
      <w:r>
        <w:rPr>
          <w:rFonts w:ascii="Times New Roman;Times;Serif" w:hAnsi="Times New Roman;Times;Serif"/>
          <w:b/>
          <w:i w:val="false"/>
          <w:caps w:val="false"/>
          <w:smallCaps w:val="false"/>
          <w:sz w:val="20"/>
          <w:bdr w:val="single" w:sz="12" w:space="1" w:color="000000"/>
        </w:rPr>
        <w:t>Trademark Security Agreement</w:t>
      </w:r>
      <w:r>
        <w:rPr>
          <w:rFonts w:ascii="Times New Roman;Times;Serif" w:hAnsi="Times New Roman;Times;Serif"/>
          <w:b w:val="false"/>
          <w:i w:val="false"/>
          <w:caps w:val="false"/>
          <w:smallCaps w:val="false"/>
          <w:sz w:val="20"/>
          <w:bdr w:val="single" w:sz="12" w:space="1" w:color="000000"/>
        </w:rPr>
        <w:t>”) in connection with the grant of the first-priority security interest under the Security Agreement.</w:t>
      </w:r>
    </w:p>
    <w:p>
      <w:pPr>
        <w:pStyle w:val="TextBody"/>
        <w:bidi w:val="0"/>
        <w:spacing w:before="0" w:after="0"/>
        <w:ind w:left="0" w:right="0" w:firstLine="36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firstLine="36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w:t>
      </w:r>
    </w:p>
    <w:p>
      <w:pPr>
        <w:pStyle w:val="TextBody"/>
        <w:bidi w:val="0"/>
        <w:spacing w:before="0" w:after="0"/>
        <w:ind w:left="0" w:right="0" w:hanging="0"/>
        <w:jc w:val="left"/>
        <w:rPr/>
      </w:pPr>
      <w:r>
        <w:rPr/>
        <w:t> </w:t>
      </w:r>
    </w:p>
    <w:p>
      <w:pPr>
        <w:pStyle w:val="TextBody"/>
        <w:bidi w:val="0"/>
        <w:spacing w:before="0" w:after="0"/>
        <w:ind w:left="0" w:right="0" w:firstLine="36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Pursuant to the Note Purchase Agreement entered into between the Company and CPP on April 21, 2026 (the “</w:t>
      </w:r>
      <w:r>
        <w:rPr>
          <w:rFonts w:ascii="Times New Roman;Times;Serif" w:hAnsi="Times New Roman;Times;Serif"/>
          <w:b/>
          <w:i w:val="false"/>
          <w:caps w:val="false"/>
          <w:smallCaps w:val="false"/>
          <w:sz w:val="20"/>
          <w:bdr w:val="single" w:sz="12" w:space="1" w:color="000000"/>
        </w:rPr>
        <w:t>CPP Note Purchase Agreement</w:t>
      </w:r>
      <w:r>
        <w:rPr>
          <w:rFonts w:ascii="Times New Roman;Times;Serif" w:hAnsi="Times New Roman;Times;Serif"/>
          <w:b w:val="false"/>
          <w:i w:val="false"/>
          <w:caps w:val="false"/>
          <w:smallCaps w:val="false"/>
          <w:sz w:val="20"/>
          <w:bdr w:val="single" w:sz="12" w:space="1" w:color="000000"/>
        </w:rPr>
        <w:t>”), in connection with the closing of the Offering, on April 23, 2026: (i) the Company paid $4,000,000 in cash to CPP and (ii) entered into an amended and restated Seller Note with CPP (the “</w:t>
      </w:r>
      <w:r>
        <w:rPr>
          <w:rFonts w:ascii="Times New Roman;Times;Serif" w:hAnsi="Times New Roman;Times;Serif"/>
          <w:b/>
          <w:i w:val="false"/>
          <w:caps w:val="false"/>
          <w:smallCaps w:val="false"/>
          <w:sz w:val="20"/>
          <w:bdr w:val="single" w:sz="12" w:space="1" w:color="000000"/>
        </w:rPr>
        <w:t>A&amp;R Seller Note</w:t>
      </w:r>
      <w:r>
        <w:rPr>
          <w:rFonts w:ascii="Times New Roman;Times;Serif" w:hAnsi="Times New Roman;Times;Serif"/>
          <w:b w:val="false"/>
          <w:i w:val="false"/>
          <w:caps w:val="false"/>
          <w:smallCaps w:val="false"/>
          <w:sz w:val="20"/>
          <w:bdr w:val="single" w:sz="12" w:space="1" w:color="000000"/>
        </w:rPr>
        <w:t>”).</w:t>
      </w:r>
    </w:p>
    <w:p>
      <w:pPr>
        <w:pStyle w:val="TextBody"/>
        <w:bidi w:val="0"/>
        <w:spacing w:before="0" w:after="0"/>
        <w:ind w:left="0" w:right="0" w:firstLine="36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Further, on April 23, 2026, the Company and certain holders of the Company’s 7.0% Notes (as defined below) closed the transactions under the exchange agreements executed on April 21, 2026 (the “</w:t>
      </w:r>
      <w:r>
        <w:rPr>
          <w:rFonts w:ascii="Times New Roman;Times;Serif" w:hAnsi="Times New Roman;Times;Serif"/>
          <w:b/>
          <w:i w:val="false"/>
          <w:caps w:val="false"/>
          <w:smallCaps w:val="false"/>
          <w:sz w:val="20"/>
          <w:bdr w:val="single" w:sz="12" w:space="1" w:color="000000"/>
        </w:rPr>
        <w:t>Exchange Agreements</w:t>
      </w:r>
      <w:r>
        <w:rPr>
          <w:rFonts w:ascii="Times New Roman;Times;Serif" w:hAnsi="Times New Roman;Times;Serif"/>
          <w:b w:val="false"/>
          <w:i w:val="false"/>
          <w:caps w:val="false"/>
          <w:smallCaps w:val="false"/>
          <w:sz w:val="20"/>
          <w:bdr w:val="single" w:sz="12" w:space="1" w:color="000000"/>
        </w:rPr>
        <w:t>”). In connection with the closings under the Exchange Agreements, the Company repurchased $21,250,000 aggregate principal amount of outstanding 7.0% Notes in exchange for (i) the issuance of an aggregate of 18,805,310 shares of Common Stock and (ii) the payment of approximately $456,438 of accrued interest payable under the exchanged 7.0% Notes.</w:t>
      </w:r>
    </w:p>
    <w:p>
      <w:pPr>
        <w:pStyle w:val="TextBody"/>
        <w:bidi w:val="0"/>
        <w:spacing w:before="0" w:after="0"/>
        <w:ind w:left="0" w:right="0" w:firstLine="36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On May 19, 2026, the Company entered into a further note purchase agreement for the issuance of an additional $5.0 million principal amount of 10% Notes.</w:t>
      </w:r>
    </w:p>
    <w:p>
      <w:pPr>
        <w:pStyle w:val="TextBody"/>
        <w:bidi w:val="0"/>
        <w:spacing w:before="0" w:after="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jc w:val="both"/>
        <w:rPr>
          <w:rFonts w:ascii="Times New Roman;Times;Serif" w:hAnsi="Times New Roman;Times;Serif"/>
          <w:b w:val="false"/>
          <w:i/>
          <w:caps w:val="false"/>
          <w:smallCaps w:val="false"/>
          <w:sz w:val="20"/>
          <w:bdr w:val="single" w:sz="12" w:space="1" w:color="000000"/>
        </w:rPr>
      </w:pPr>
      <w:r>
        <w:rPr>
          <w:rFonts w:ascii="Times New Roman;Times;Serif" w:hAnsi="Times New Roman;Times;Serif"/>
          <w:b w:val="false"/>
          <w:i/>
          <w:caps w:val="false"/>
          <w:smallCaps w:val="false"/>
          <w:sz w:val="20"/>
          <w:bdr w:val="single" w:sz="12" w:space="1" w:color="000000"/>
        </w:rPr>
        <w:t>Ayna 2026 Warrant</w:t>
      </w:r>
    </w:p>
    <w:p>
      <w:pPr>
        <w:pStyle w:val="TextBody"/>
        <w:bidi w:val="0"/>
        <w:spacing w:before="0" w:after="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firstLine="270"/>
        <w:jc w:val="both"/>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We issued the Ayna 2026 Warrant pursuant to which Ayna is entitled to purchase 380,000 shares of common stock at an exercise price per share of $0.01, subject to the provisions and upon the terms and conditions set forth in the Ayna 2026 Warrant. The issuance of the Ayna 2026 Warrant was in satisfaction of the compensation owed by us to Ayna under the terms of the Statement of Work, dated effective as of January 1, 2026. The Ayna 2026 Warrant provides Ayna with contractual registration rights with respect to the shares of common stock issuable upon exercise of the Ayna 2026 Warrant.</w:t>
      </w:r>
    </w:p>
    <w:p>
      <w:pPr>
        <w:pStyle w:val="TextBody"/>
        <w:bidi w:val="0"/>
        <w:spacing w:before="0" w:after="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firstLine="360"/>
        <w:jc w:val="both"/>
        <w:rPr>
          <w:rFonts w:ascii="Times New Roman;Times;Serif" w:hAnsi="Times New Roman;Times;Serif"/>
          <w:b w:val="false"/>
          <w:i/>
          <w:caps w:val="false"/>
          <w:smallCaps w:val="false"/>
          <w:sz w:val="20"/>
          <w:bdr w:val="single" w:sz="12" w:space="1" w:color="000000"/>
        </w:rPr>
      </w:pPr>
      <w:r>
        <w:rPr>
          <w:rFonts w:ascii="Times New Roman;Times;Serif" w:hAnsi="Times New Roman;Times;Serif"/>
          <w:b w:val="false"/>
          <w:i/>
          <w:caps w:val="false"/>
          <w:smallCaps w:val="false"/>
          <w:sz w:val="20"/>
          <w:bdr w:val="single" w:sz="12" w:space="1" w:color="000000"/>
        </w:rPr>
        <w:t>Cost Control Measures</w:t>
      </w:r>
    </w:p>
    <w:p>
      <w:pPr>
        <w:pStyle w:val="TextBody"/>
        <w:bidi w:val="0"/>
        <w:spacing w:before="0" w:after="0"/>
        <w:ind w:left="0" w:right="0" w:firstLine="36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On May 12, 2026, the Company announced that it has taken the following steps in connection with its efforts to reduce its operating expenses: the Company implemented a reduction in force relating to 115 employees; the Company implemented an across-the-board, four-day workweek until September 2026, the Company reduced its inside sales group from 90 to 15 people, and the Company reduced finance function costs. The Company estimates that the charges related to the reduction in force will approximate $0.3 million, consisting principally of compensation related costs.</w:t>
      </w:r>
    </w:p>
    <w:p>
      <w:pPr>
        <w:pStyle w:val="TextBody"/>
        <w:bidi w:val="0"/>
        <w:spacing w:before="0" w:after="0"/>
        <w:ind w:left="0" w:right="0" w:firstLine="36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firstLine="360"/>
        <w:jc w:val="both"/>
        <w:rPr>
          <w:rFonts w:ascii="Times New Roman;Times;Serif" w:hAnsi="Times New Roman;Times;Serif"/>
          <w:b w:val="false"/>
          <w:i/>
          <w:caps w:val="false"/>
          <w:smallCaps w:val="false"/>
          <w:sz w:val="20"/>
          <w:bdr w:val="single" w:sz="12" w:space="1" w:color="000000"/>
        </w:rPr>
      </w:pPr>
      <w:r>
        <w:rPr>
          <w:rFonts w:ascii="Times New Roman;Times;Serif" w:hAnsi="Times New Roman;Times;Serif"/>
          <w:b w:val="false"/>
          <w:i/>
          <w:caps w:val="false"/>
          <w:smallCaps w:val="false"/>
          <w:sz w:val="20"/>
          <w:bdr w:val="single" w:sz="12" w:space="1" w:color="000000"/>
        </w:rPr>
        <w:t>Wendell Laidley Resignation</w:t>
      </w:r>
    </w:p>
    <w:p>
      <w:pPr>
        <w:pStyle w:val="TextBody"/>
        <w:bidi w:val="0"/>
        <w:spacing w:before="0" w:after="0"/>
        <w:ind w:left="0" w:right="0" w:firstLine="36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On May 7, 2026, Wendell Laidley resigned from his position as Chief Financial Officer of the Company.</w:t>
      </w:r>
    </w:p>
    <w:p>
      <w:pPr>
        <w:pStyle w:val="TextBody"/>
        <w:bidi w:val="0"/>
        <w:spacing w:before="0" w:after="0"/>
        <w:ind w:left="0" w:right="0" w:firstLine="36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firstLine="360"/>
        <w:jc w:val="both"/>
        <w:rPr>
          <w:rFonts w:ascii="Times New Roman;Times;Serif" w:hAnsi="Times New Roman;Times;Serif"/>
          <w:b w:val="false"/>
          <w:i/>
          <w:caps w:val="false"/>
          <w:smallCaps w:val="false"/>
          <w:sz w:val="20"/>
          <w:bdr w:val="single" w:sz="12" w:space="1" w:color="000000"/>
        </w:rPr>
      </w:pPr>
      <w:r>
        <w:rPr>
          <w:rFonts w:ascii="Times New Roman;Times;Serif" w:hAnsi="Times New Roman;Times;Serif"/>
          <w:b w:val="false"/>
          <w:i/>
          <w:caps w:val="false"/>
          <w:smallCaps w:val="false"/>
          <w:sz w:val="20"/>
          <w:bdr w:val="single" w:sz="12" w:space="1" w:color="000000"/>
        </w:rPr>
        <w:t>Appointment of Bernard Gutmann as Director</w:t>
      </w:r>
    </w:p>
    <w:p>
      <w:pPr>
        <w:pStyle w:val="TextBody"/>
        <w:bidi w:val="0"/>
        <w:spacing w:before="0" w:after="0"/>
        <w:ind w:left="0" w:right="0" w:firstLine="36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On May 8, 2026, the Board of Directors of the Company appointed Bernard Gutmann to serve as a director of the Company and as a member of the Audit Committee.</w:t>
      </w:r>
    </w:p>
    <w:p>
      <w:pPr>
        <w:pStyle w:val="TextBody"/>
        <w:bidi w:val="0"/>
        <w:spacing w:before="0" w:after="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jc w:val="both"/>
        <w:rPr>
          <w:rFonts w:ascii="Times New Roman;Times;Serif" w:hAnsi="Times New Roman;Times;Serif"/>
          <w:b/>
          <w:i w:val="false"/>
          <w:caps w:val="false"/>
          <w:smallCaps w:val="false"/>
          <w:sz w:val="20"/>
          <w:bdr w:val="single" w:sz="12" w:space="1" w:color="000000"/>
        </w:rPr>
      </w:pPr>
      <w:r>
        <w:rPr>
          <w:rFonts w:ascii="Times New Roman;Times;Serif" w:hAnsi="Times New Roman;Times;Serif"/>
          <w:b/>
          <w:i w:val="false"/>
          <w:caps w:val="false"/>
          <w:smallCaps w:val="false"/>
          <w:sz w:val="20"/>
          <w:bdr w:val="single" w:sz="12" w:space="1" w:color="000000"/>
        </w:rPr>
        <w:t>Implications of Being a Smaller Reporting Company and Emerging Growth Company</w:t>
      </w:r>
    </w:p>
    <w:p>
      <w:pPr>
        <w:pStyle w:val="TextBody"/>
        <w:bidi w:val="0"/>
        <w:spacing w:before="0" w:after="0"/>
        <w:ind w:left="0" w:right="0" w:firstLine="36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We are a “smaller reporting company” as defined in Item 10(f)(1) of Regulation S-K. Smaller reporting companies may take advantage of certain reduced disclosure obligations, including, among other things, providing only two years of audited financial statements and reduced disclosure obligations regarding executive compensation. We will remain a smaller reporting company until the last day of any fiscal year for so long as either (1) the market value of our shares of common stock held by non-affiliates does not equal or exceed $250.0 million as of the prior June 30th, or (2) our annual revenues did not equal or exceed $100.0 million during such completed fiscal year and the market value of our shares of common stock held by non-affiliates did not equal or exceed $700.0 million as of the prior June 30th. To the extent we take advantage of any reduced disclosure obligations, it may make the comparison of our financial statements with other public companies difficult or impossible.</w:t>
      </w:r>
    </w:p>
    <w:p>
      <w:pPr>
        <w:pStyle w:val="TextBody"/>
        <w:bidi w:val="0"/>
        <w:spacing w:before="0" w:after="0"/>
        <w:ind w:left="0" w:right="0" w:firstLine="36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firstLine="36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4</w:t>
      </w:r>
    </w:p>
    <w:p>
      <w:pPr>
        <w:pStyle w:val="TextBody"/>
        <w:bidi w:val="0"/>
        <w:spacing w:before="0" w:after="0"/>
        <w:ind w:left="0" w:right="0" w:hanging="0"/>
        <w:jc w:val="left"/>
        <w:rPr/>
      </w:pPr>
      <w:r>
        <w:rPr/>
        <w:t> </w:t>
      </w:r>
    </w:p>
    <w:p>
      <w:pPr>
        <w:pStyle w:val="TextBody"/>
        <w:bidi w:val="0"/>
        <w:spacing w:before="0" w:after="0"/>
        <w:ind w:left="0" w:right="0" w:firstLine="36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We are an “emerging growth company,” as defined in the Jumpstart Our Business Startups Act of 2012 (“</w:t>
      </w:r>
      <w:r>
        <w:rPr>
          <w:rFonts w:ascii="Times New Roman;Times;Serif" w:hAnsi="Times New Roman;Times;Serif"/>
          <w:b/>
          <w:i w:val="false"/>
          <w:caps w:val="false"/>
          <w:smallCaps w:val="false"/>
          <w:sz w:val="20"/>
          <w:bdr w:val="single" w:sz="12" w:space="1" w:color="000000"/>
        </w:rPr>
        <w:t>JOBS Act</w:t>
      </w:r>
      <w:r>
        <w:rPr>
          <w:rFonts w:ascii="Times New Roman;Times;Serif" w:hAnsi="Times New Roman;Times;Serif"/>
          <w:b w:val="false"/>
          <w:i w:val="false"/>
          <w:caps w:val="false"/>
          <w:smallCaps w:val="false"/>
          <w:sz w:val="20"/>
          <w:bdr w:val="single" w:sz="12" w:space="1" w:color="000000"/>
        </w:rPr>
        <w:t>”). As an emerging growth company, we are exempt from certain requirements related to executive compensation, including the requirements to hold a nonbinding advisory vote on executive compensation and to provide information relating to the ratio of total compensation of our President and Chief Executive Officer to the median of the annual total compensation of all of our employees, each as required by the Investor Protection and Securities Reform Act of 2010, which is part of the Dodd-Frank Act.</w:t>
      </w:r>
    </w:p>
    <w:p>
      <w:pPr>
        <w:pStyle w:val="TextBody"/>
        <w:bidi w:val="0"/>
        <w:spacing w:before="0" w:after="0"/>
        <w:ind w:left="0" w:right="0" w:firstLine="36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Section 102(b)(1) of the JOBS Act exempts emerging growth companies from being required to comply with new or revised financial accounting standards until private companies (that is, those that have not had a registration statement under the Securities Act declared effective or do not have a class of securities registered under the Exchange Act) are required to comply with the new or revised financial accounting standards. The JOBS Act provides that a company can elect to opt out of the extended transition period and comply with the requirements that apply to non-emerging growth companies, but any such an election to opt out is irrevocable. We have elected to opt out of such extended transition period.</w:t>
      </w:r>
    </w:p>
    <w:p>
      <w:pPr>
        <w:pStyle w:val="TextBody"/>
        <w:bidi w:val="0"/>
        <w:spacing w:before="0" w:after="0"/>
        <w:ind w:left="0" w:right="0" w:firstLine="36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We will remain an emerging growth company until the earlier of: (1) the last day of the fiscal year (a) following the fifth anniversary of the closing of FACT’s initial public offering, (b) in which we have total annual gross revenue of at least $1.235 billion or (c) in which we are deemed to be a large accelerated filer, which means the market value of our common equity that is held by non-affiliates exceeds $700 million as of the end of the prior fiscal year’s second fiscal quarter; and (2) the date on which we have issued more than $1.00 billion in non-convertible debt securities during the prior three-year period. References herein to “emerging growth company” are to its meaning under the Securities Act, as modified by the JOBS Act.</w:t>
      </w:r>
    </w:p>
    <w:p>
      <w:pPr>
        <w:pStyle w:val="TextBody"/>
        <w:bidi w:val="0"/>
        <w:spacing w:before="0" w:after="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jc w:val="both"/>
        <w:rPr>
          <w:rFonts w:ascii="Times New Roman;Times;Serif" w:hAnsi="Times New Roman;Times;Serif"/>
          <w:b/>
          <w:i w:val="false"/>
          <w:caps w:val="false"/>
          <w:smallCaps w:val="false"/>
          <w:sz w:val="20"/>
          <w:bdr w:val="single" w:sz="12" w:space="1" w:color="000000"/>
        </w:rPr>
      </w:pPr>
      <w:r>
        <w:rPr>
          <w:rFonts w:ascii="Times New Roman;Times;Serif" w:hAnsi="Times New Roman;Times;Serif"/>
          <w:b/>
          <w:i w:val="false"/>
          <w:caps w:val="false"/>
          <w:smallCaps w:val="false"/>
          <w:sz w:val="20"/>
          <w:bdr w:val="single" w:sz="12" w:space="1" w:color="000000"/>
        </w:rPr>
        <w:t>Sunder Energy acquisition transaction</w:t>
      </w:r>
    </w:p>
    <w:p>
      <w:pPr>
        <w:pStyle w:val="TextBody"/>
        <w:bidi w:val="0"/>
        <w:spacing w:before="0" w:after="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On September 21, 2025, we entered into an agreement to acquire Sunder Energy, LLC (“</w:t>
      </w:r>
      <w:r>
        <w:rPr>
          <w:rFonts w:ascii="Times New Roman;Times;Serif" w:hAnsi="Times New Roman;Times;Serif"/>
          <w:b/>
          <w:i w:val="false"/>
          <w:caps w:val="false"/>
          <w:smallCaps w:val="false"/>
          <w:sz w:val="20"/>
          <w:bdr w:val="single" w:sz="12" w:space="1" w:color="000000"/>
        </w:rPr>
        <w:t>Sunder</w:t>
      </w:r>
      <w:r>
        <w:rPr>
          <w:rFonts w:ascii="Times New Roman;Times;Serif" w:hAnsi="Times New Roman;Times;Serif"/>
          <w:b w:val="false"/>
          <w:i w:val="false"/>
          <w:caps w:val="false"/>
          <w:smallCaps w:val="false"/>
          <w:sz w:val="20"/>
          <w:bdr w:val="single" w:sz="12" w:space="1" w:color="000000"/>
        </w:rPr>
        <w:t>”) and completed the acquisition effective September 24, 2025 (“</w:t>
      </w:r>
      <w:r>
        <w:rPr>
          <w:rFonts w:ascii="Times New Roman;Times;Serif" w:hAnsi="Times New Roman;Times;Serif"/>
          <w:b/>
          <w:i w:val="false"/>
          <w:caps w:val="false"/>
          <w:smallCaps w:val="false"/>
          <w:sz w:val="20"/>
          <w:bdr w:val="single" w:sz="12" w:space="1" w:color="000000"/>
        </w:rPr>
        <w:t>Sunder Acquisition</w:t>
      </w:r>
      <w:r>
        <w:rPr>
          <w:rFonts w:ascii="Times New Roman;Times;Serif" w:hAnsi="Times New Roman;Times;Serif"/>
          <w:b w:val="false"/>
          <w:i w:val="false"/>
          <w:caps w:val="false"/>
          <w:smallCaps w:val="false"/>
          <w:sz w:val="20"/>
          <w:bdr w:val="single" w:sz="12" w:space="1" w:color="000000"/>
        </w:rPr>
        <w:t>”). At the closing of the Sunder Acquisition, we acquired all of the outstanding membership interests of Sunder from the sole member of Sunder for: (i) $20,000,000 in cash paid at closing, subject to certain working capital and other adjustments; (ii) a promissory note issued at the closing in the principal amount of $20,000,000 (the “</w:t>
      </w:r>
      <w:r>
        <w:rPr>
          <w:rFonts w:ascii="Times New Roman;Times;Serif" w:hAnsi="Times New Roman;Times;Serif"/>
          <w:b/>
          <w:i w:val="false"/>
          <w:caps w:val="false"/>
          <w:smallCaps w:val="false"/>
          <w:sz w:val="20"/>
          <w:bdr w:val="single" w:sz="12" w:space="1" w:color="000000"/>
        </w:rPr>
        <w:t>Seller Note</w:t>
      </w:r>
      <w:r>
        <w:rPr>
          <w:rFonts w:ascii="Times New Roman;Times;Serif" w:hAnsi="Times New Roman;Times;Serif"/>
          <w:b w:val="false"/>
          <w:i w:val="false"/>
          <w:caps w:val="false"/>
          <w:smallCaps w:val="false"/>
          <w:sz w:val="20"/>
          <w:bdr w:val="single" w:sz="12" w:space="1" w:color="000000"/>
        </w:rPr>
        <w:t>”); (iii) 3,333,334 shares of our common stock issued at closing; and (iv) subject to approval of such issuances by our stockholders following closing in accordance with the rules and regulations of the Nasdaq Stock Market, (x) an additional 3,333,333 shares of common stock to be issued on the 12-month anniversary of the closing, and (y) a further 3,333,333 shares of common stock to be issued on the 18-month anniversary of the closing (such 6,666,666 shares of common stock issuable following closing, the “</w:t>
      </w:r>
      <w:r>
        <w:rPr>
          <w:rFonts w:ascii="Times New Roman;Times;Serif" w:hAnsi="Times New Roman;Times;Serif"/>
          <w:b/>
          <w:i w:val="false"/>
          <w:caps w:val="false"/>
          <w:smallCaps w:val="false"/>
          <w:sz w:val="20"/>
          <w:bdr w:val="single" w:sz="12" w:space="1" w:color="000000"/>
        </w:rPr>
        <w:t>Deferred Consideration Shares</w:t>
      </w:r>
      <w:r>
        <w:rPr>
          <w:rFonts w:ascii="Times New Roman;Times;Serif" w:hAnsi="Times New Roman;Times;Serif"/>
          <w:b w:val="false"/>
          <w:i w:val="false"/>
          <w:caps w:val="false"/>
          <w:smallCaps w:val="false"/>
          <w:sz w:val="20"/>
          <w:bdr w:val="single" w:sz="12" w:space="1" w:color="000000"/>
        </w:rPr>
        <w:t>”). In lieu of issuing the Deferred Consideration Shares, the Company, in its sole discretion, was permitted to elect to pay the Member a cash payment equal to the number of Deferred Consideration Shares otherwise issuable by us multiplied by the volume-weighted average price of our common stock as quoted on Nasdaq for the 30-trading day period ending two business days prior to the date on which the applicable Deferred Consideration Shares were otherwise issuable. Pursuant to an Amendment and Agreement dated as of March 5, 2026 between CPP and the Company, the Company agreed to issue all of the 6,666,666 Deferred Consideration Shares following receipt of approval by the Company’s stockholders, and the Deferred Consideration Shares were issued on April 8, 2026 and are being registered hereby.</w:t>
      </w:r>
    </w:p>
    <w:p>
      <w:pPr>
        <w:pStyle w:val="TextBody"/>
        <w:bidi w:val="0"/>
        <w:spacing w:before="0" w:after="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The Sunder Acquisition agreement includes customary representations and warranties, covenants, and indemnities, in each case under the circumstances and subject to certain limitations set forth in the agreement. The indemnification obligations under the Sunder Acquisition agreement are subject to customary deductibles and caps. Our primary source of recovery for indemnifiable damages is set off of such damages against the amounts payable by us under the Seller Note and the Deferred Consideration Shares issuable by us following the closing of the Sunder Acquisition.</w:t>
      </w:r>
    </w:p>
    <w:p>
      <w:pPr>
        <w:pStyle w:val="TextBody"/>
        <w:bidi w:val="0"/>
        <w:spacing w:before="0" w:after="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 xml:space="preserve">This transaction was accounted for as a business combination in accordance with ASC 805, </w:t>
      </w:r>
      <w:r>
        <w:rPr>
          <w:rFonts w:ascii="Times New Roman;Times;Serif" w:hAnsi="Times New Roman;Times;Serif"/>
          <w:b w:val="false"/>
          <w:i/>
          <w:caps w:val="false"/>
          <w:smallCaps w:val="false"/>
          <w:sz w:val="20"/>
          <w:bdr w:val="single" w:sz="12" w:space="1" w:color="000000"/>
        </w:rPr>
        <w:t>Business Combinations</w:t>
      </w:r>
      <w:r>
        <w:rPr>
          <w:rFonts w:ascii="Times New Roman;Times;Serif" w:hAnsi="Times New Roman;Times;Serif"/>
          <w:b w:val="false"/>
          <w:i w:val="false"/>
          <w:caps w:val="false"/>
          <w:smallCaps w:val="false"/>
          <w:sz w:val="20"/>
          <w:bdr w:val="single" w:sz="12" w:space="1" w:color="000000"/>
        </w:rPr>
        <w:t>. The financial results of Sunder have been included in our unaudited condensed consolidated financial statements since the date of acquisition.</w:t>
      </w:r>
    </w:p>
    <w:p>
      <w:pPr>
        <w:pStyle w:val="TextBody"/>
        <w:bidi w:val="0"/>
        <w:spacing w:before="0" w:after="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5</w:t>
      </w:r>
    </w:p>
    <w:p>
      <w:pPr>
        <w:pStyle w:val="TextBody"/>
        <w:bidi w:val="0"/>
        <w:spacing w:before="0" w:after="0"/>
        <w:ind w:left="0" w:right="0" w:hanging="0"/>
        <w:jc w:val="left"/>
        <w:rPr/>
      </w:pPr>
      <w:r>
        <w:rPr/>
        <w:t> </w:t>
      </w:r>
    </w:p>
    <w:p>
      <w:pPr>
        <w:pStyle w:val="TextBody"/>
        <w:bidi w:val="0"/>
        <w:spacing w:before="0" w:after="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jc w:val="both"/>
        <w:rPr>
          <w:rFonts w:ascii="Times New Roman;Times;Serif" w:hAnsi="Times New Roman;Times;Serif"/>
          <w:b/>
          <w:i w:val="false"/>
          <w:caps w:val="false"/>
          <w:smallCaps w:val="false"/>
          <w:sz w:val="20"/>
          <w:bdr w:val="single" w:sz="12" w:space="1" w:color="000000"/>
        </w:rPr>
      </w:pPr>
      <w:r>
        <w:rPr>
          <w:rFonts w:ascii="Times New Roman;Times;Serif" w:hAnsi="Times New Roman;Times;Serif"/>
          <w:b/>
          <w:i w:val="false"/>
          <w:caps w:val="false"/>
          <w:smallCaps w:val="false"/>
          <w:sz w:val="20"/>
          <w:bdr w:val="single" w:sz="12" w:space="1" w:color="000000"/>
        </w:rPr>
        <w:t>Ambia Energy acquisition transaction</w:t>
      </w:r>
    </w:p>
    <w:p>
      <w:pPr>
        <w:pStyle w:val="TextBody"/>
        <w:bidi w:val="0"/>
        <w:spacing w:before="0" w:after="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On November 21, 2025, we entered into an agreement to acquire Ambia Energy, LLC (“</w:t>
      </w:r>
      <w:r>
        <w:rPr>
          <w:rFonts w:ascii="Times New Roman;Times;Serif" w:hAnsi="Times New Roman;Times;Serif"/>
          <w:b/>
          <w:i w:val="false"/>
          <w:caps w:val="false"/>
          <w:smallCaps w:val="false"/>
          <w:sz w:val="20"/>
          <w:bdr w:val="single" w:sz="12" w:space="1" w:color="000000"/>
        </w:rPr>
        <w:t>Ambia</w:t>
      </w:r>
      <w:r>
        <w:rPr>
          <w:rFonts w:ascii="Times New Roman;Times;Serif" w:hAnsi="Times New Roman;Times;Serif"/>
          <w:b w:val="false"/>
          <w:i w:val="false"/>
          <w:caps w:val="false"/>
          <w:smallCaps w:val="false"/>
          <w:sz w:val="20"/>
          <w:bdr w:val="single" w:sz="12" w:space="1" w:color="000000"/>
        </w:rPr>
        <w:t>”) and completed the acquisition on November 21, 2025 (the “</w:t>
      </w:r>
      <w:r>
        <w:rPr>
          <w:rFonts w:ascii="Times New Roman;Times;Serif" w:hAnsi="Times New Roman;Times;Serif"/>
          <w:b/>
          <w:i w:val="false"/>
          <w:caps w:val="false"/>
          <w:smallCaps w:val="false"/>
          <w:sz w:val="20"/>
          <w:bdr w:val="single" w:sz="12" w:space="1" w:color="000000"/>
        </w:rPr>
        <w:t>Ambia Acquisition</w:t>
      </w:r>
      <w:r>
        <w:rPr>
          <w:rFonts w:ascii="Times New Roman;Times;Serif" w:hAnsi="Times New Roman;Times;Serif"/>
          <w:b w:val="false"/>
          <w:i w:val="false"/>
          <w:caps w:val="false"/>
          <w:smallCaps w:val="false"/>
          <w:sz w:val="20"/>
          <w:bdr w:val="single" w:sz="12" w:space="1" w:color="000000"/>
        </w:rPr>
        <w:t>”). The Ambia Acquisition was completed through the acquisition of all of the membership interests of Ambia for aggregate consideration of 10,243,924 shares of our common stock issued as of the acquisition date plus our agreement to issue an additional $9.375 million of shares of our common stock on the six-month anniversary of the Ambia Acquisition closing and an additional $9.375 million of shares of our common stock on the 12-month anniversary of the Ambia Acquisition closing (such shares, the “</w:t>
      </w:r>
      <w:r>
        <w:rPr>
          <w:rFonts w:ascii="Times New Roman;Times;Serif" w:hAnsi="Times New Roman;Times;Serif"/>
          <w:b/>
          <w:i w:val="false"/>
          <w:caps w:val="false"/>
          <w:smallCaps w:val="false"/>
          <w:sz w:val="20"/>
          <w:bdr w:val="single" w:sz="12" w:space="1" w:color="000000"/>
        </w:rPr>
        <w:t>Ambia Post-Closing Consideration Shares</w:t>
      </w:r>
      <w:r>
        <w:rPr>
          <w:rFonts w:ascii="Times New Roman;Times;Serif" w:hAnsi="Times New Roman;Times;Serif"/>
          <w:b w:val="false"/>
          <w:i w:val="false"/>
          <w:caps w:val="false"/>
          <w:smallCaps w:val="false"/>
          <w:sz w:val="20"/>
          <w:bdr w:val="single" w:sz="12" w:space="1" w:color="000000"/>
        </w:rPr>
        <w:t>”). The issuance of the Ambia Post-Closing Consideration Shares was approved by our stockholders following the Ambia Acquisition closing in accordance with the rules and regulations of the Nasdaq Stock Market (including Nasdaq Listing Rule 5635(a)). The actual number of Ambia Post-Closing Consideration Shares issuable 12-month anniversary of the Ambia Acquisition closing will be determined based on the 20-day trailing volume-weighted average price of our common stock after market close on the business day immediately prior to the issuance date of the applicable shares (the “</w:t>
      </w:r>
      <w:r>
        <w:rPr>
          <w:rFonts w:ascii="Times New Roman;Times;Serif" w:hAnsi="Times New Roman;Times;Serif"/>
          <w:b/>
          <w:i w:val="false"/>
          <w:caps w:val="false"/>
          <w:smallCaps w:val="false"/>
          <w:sz w:val="20"/>
          <w:bdr w:val="single" w:sz="12" w:space="1" w:color="000000"/>
        </w:rPr>
        <w:t>VWAP Value</w:t>
      </w:r>
      <w:r>
        <w:rPr>
          <w:rFonts w:ascii="Times New Roman;Times;Serif" w:hAnsi="Times New Roman;Times;Serif"/>
          <w:b w:val="false"/>
          <w:i w:val="false"/>
          <w:caps w:val="false"/>
          <w:smallCaps w:val="false"/>
          <w:sz w:val="20"/>
          <w:bdr w:val="single" w:sz="12" w:space="1" w:color="000000"/>
        </w:rPr>
        <w:t>”); provided that the VWAP Value for the calculation of the actual number of the Ambia Post-Closing Consideration Shares issuable will not be more than $2.8102 per share or less than $1.4988 per share. Additionally, the number of Ambia Post-Closing Consideration Shares issuable by the Company is subject to adjustment pursuant to customary working capital and balance sheet adjustment terms and subject to offset for certain indemnifiable damages in accordance with the Ambia acquisition agreement.</w:t>
      </w:r>
    </w:p>
    <w:p>
      <w:pPr>
        <w:pStyle w:val="TextBody"/>
        <w:bidi w:val="0"/>
        <w:spacing w:before="0" w:after="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The Ambia Acquisition agreement includes customary representations and warranties, covenants, and indemnities, in each case under the circumstances and subject to certain limitations set forth in the agreement. The indemnification obligations under the Ambia Acquisition agreement are subject to customary baskets and caps. Our primary source of recovery for indemnifiable damages is set off of such damages against the Ambia Post-Closing Consideration Shares issuable by us following closing of the Ambia Acquisition.</w:t>
      </w:r>
    </w:p>
    <w:p>
      <w:pPr>
        <w:pStyle w:val="TextBody"/>
        <w:bidi w:val="0"/>
        <w:spacing w:before="0" w:after="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 xml:space="preserve">This transaction was accounted for as a business combination in accordance with ASC 805, </w:t>
      </w:r>
      <w:r>
        <w:rPr>
          <w:rFonts w:ascii="Times New Roman;Times;Serif" w:hAnsi="Times New Roman;Times;Serif"/>
          <w:b w:val="false"/>
          <w:i/>
          <w:caps w:val="false"/>
          <w:smallCaps w:val="false"/>
          <w:sz w:val="20"/>
          <w:bdr w:val="single" w:sz="12" w:space="1" w:color="000000"/>
        </w:rPr>
        <w:t>Business Combinations</w:t>
      </w:r>
      <w:r>
        <w:rPr>
          <w:rFonts w:ascii="Times New Roman;Times;Serif" w:hAnsi="Times New Roman;Times;Serif"/>
          <w:b w:val="false"/>
          <w:i w:val="false"/>
          <w:caps w:val="false"/>
          <w:smallCaps w:val="false"/>
          <w:sz w:val="20"/>
          <w:bdr w:val="single" w:sz="12" w:space="1" w:color="000000"/>
        </w:rPr>
        <w:t>.</w:t>
      </w:r>
    </w:p>
    <w:p>
      <w:pPr>
        <w:pStyle w:val="TextBody"/>
        <w:bidi w:val="0"/>
        <w:spacing w:before="0" w:after="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jc w:val="both"/>
        <w:rPr>
          <w:rFonts w:ascii="Times New Roman;Times;Serif" w:hAnsi="Times New Roman;Times;Serif"/>
          <w:b/>
          <w:i w:val="false"/>
          <w:caps w:val="false"/>
          <w:smallCaps w:val="false"/>
          <w:sz w:val="20"/>
          <w:bdr w:val="single" w:sz="12" w:space="1" w:color="000000"/>
        </w:rPr>
      </w:pPr>
      <w:r>
        <w:rPr>
          <w:rFonts w:ascii="Times New Roman;Times;Serif" w:hAnsi="Times New Roman;Times;Serif"/>
          <w:b/>
          <w:i w:val="false"/>
          <w:caps w:val="false"/>
          <w:smallCaps w:val="false"/>
          <w:sz w:val="20"/>
          <w:bdr w:val="single" w:sz="12" w:space="1" w:color="000000"/>
        </w:rPr>
        <w:t>Cobalt Power Systems acquisition transaction</w:t>
      </w:r>
    </w:p>
    <w:p>
      <w:pPr>
        <w:pStyle w:val="TextBody"/>
        <w:bidi w:val="0"/>
        <w:spacing w:before="0" w:after="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On January 30, 2026, we entered into an agreement to acquire Cobalt Power Systems, Inc. (“</w:t>
      </w:r>
      <w:r>
        <w:rPr>
          <w:rFonts w:ascii="Times New Roman;Times;Serif" w:hAnsi="Times New Roman;Times;Serif"/>
          <w:b/>
          <w:i w:val="false"/>
          <w:caps w:val="false"/>
          <w:smallCaps w:val="false"/>
          <w:sz w:val="20"/>
          <w:bdr w:val="single" w:sz="12" w:space="1" w:color="000000"/>
        </w:rPr>
        <w:t>Cobalt</w:t>
      </w:r>
      <w:r>
        <w:rPr>
          <w:rFonts w:ascii="Times New Roman;Times;Serif" w:hAnsi="Times New Roman;Times;Serif"/>
          <w:b w:val="false"/>
          <w:i w:val="false"/>
          <w:caps w:val="false"/>
          <w:smallCaps w:val="false"/>
          <w:sz w:val="20"/>
          <w:bdr w:val="single" w:sz="12" w:space="1" w:color="000000"/>
        </w:rPr>
        <w:t>”) and completed the acquisition on February 2, 2026 (the “</w:t>
      </w:r>
      <w:r>
        <w:rPr>
          <w:rFonts w:ascii="Times New Roman;Times;Serif" w:hAnsi="Times New Roman;Times;Serif"/>
          <w:b/>
          <w:i w:val="false"/>
          <w:caps w:val="false"/>
          <w:smallCaps w:val="false"/>
          <w:sz w:val="20"/>
          <w:bdr w:val="single" w:sz="12" w:space="1" w:color="000000"/>
        </w:rPr>
        <w:t>Cobalt Acquisition</w:t>
      </w:r>
      <w:r>
        <w:rPr>
          <w:rFonts w:ascii="Times New Roman;Times;Serif" w:hAnsi="Times New Roman;Times;Serif"/>
          <w:b w:val="false"/>
          <w:i w:val="false"/>
          <w:caps w:val="false"/>
          <w:smallCaps w:val="false"/>
          <w:sz w:val="20"/>
          <w:bdr w:val="single" w:sz="12" w:space="1" w:color="000000"/>
        </w:rPr>
        <w:t>”). The Cobalt Acquisition was completed through the acquisition of all of the outstanding stock of Cobalt for aggregate consideration of 1,805,705 shares of our common stock issued as of the closing (the “</w:t>
      </w:r>
      <w:r>
        <w:rPr>
          <w:rFonts w:ascii="Times New Roman;Times;Serif" w:hAnsi="Times New Roman;Times;Serif"/>
          <w:b/>
          <w:i w:val="false"/>
          <w:caps w:val="false"/>
          <w:smallCaps w:val="false"/>
          <w:sz w:val="20"/>
          <w:bdr w:val="single" w:sz="12" w:space="1" w:color="000000"/>
        </w:rPr>
        <w:t>Cobalt Closing Shares</w:t>
      </w:r>
      <w:r>
        <w:rPr>
          <w:rFonts w:ascii="Times New Roman;Times;Serif" w:hAnsi="Times New Roman;Times;Serif"/>
          <w:b w:val="false"/>
          <w:i w:val="false"/>
          <w:caps w:val="false"/>
          <w:smallCaps w:val="false"/>
          <w:sz w:val="20"/>
          <w:bdr w:val="single" w:sz="12" w:space="1" w:color="000000"/>
        </w:rPr>
        <w:t>”) plus our agreement to issue an additional $3.33 million of shares of our common stock on the 12-month anniversary of the closing and an additional $3.33 million of shares of our common stock on the 18-month anniversary of the closing (such additional shares of common stock, the “</w:t>
      </w:r>
      <w:r>
        <w:rPr>
          <w:rFonts w:ascii="Times New Roman;Times;Serif" w:hAnsi="Times New Roman;Times;Serif"/>
          <w:b/>
          <w:i w:val="false"/>
          <w:caps w:val="false"/>
          <w:smallCaps w:val="false"/>
          <w:sz w:val="20"/>
          <w:bdr w:val="single" w:sz="12" w:space="1" w:color="000000"/>
        </w:rPr>
        <w:t>Cobalt Post-Closing Consideration Shares</w:t>
      </w:r>
      <w:r>
        <w:rPr>
          <w:rFonts w:ascii="Times New Roman;Times;Serif" w:hAnsi="Times New Roman;Times;Serif"/>
          <w:b w:val="false"/>
          <w:i w:val="false"/>
          <w:caps w:val="false"/>
          <w:smallCaps w:val="false"/>
          <w:sz w:val="20"/>
          <w:bdr w:val="single" w:sz="12" w:space="1" w:color="000000"/>
        </w:rPr>
        <w:t>”). The Cobalt Closing Shares were issued on February 2, 2026. The actual number of Cobalt Post-Closing Consideration Shares issuable by us on the 12- and 18-month anniversaries of the closing will be determined based on the five-day trailing volume-weighted average price of our common stock after market close on the business day immediately prior to the issuance date of the applicable shares. Additionally, the number of Cobalt Post-Closing Consideration Shares issuable by us is subject to adjustment pursuant to customary working capital and balance sheet adjustment terms and subject to offset for certain indemnifiable damages in accordance with the share purchase agreement.</w:t>
      </w:r>
    </w:p>
    <w:p>
      <w:pPr>
        <w:pStyle w:val="TextBody"/>
        <w:bidi w:val="0"/>
        <w:spacing w:before="0" w:after="0"/>
        <w:ind w:left="0" w:right="0" w:firstLine="36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The share purchase agreement for the Cobalt Acquisition includes customary representations and warranties, covenants, and indemnities, in each case under the circumstances and subject to certain limitations set forth in the agreement. The indemnification obligations under the Cobalt Acquisition agreement are subject to customary baskets and caps. Our primary source of recovery for indemnifiable damages is set off of such damages against the Cobalt Post-Closing Consideration Shares issuable by us following closing of the Cobalt Acquisition.</w:t>
      </w:r>
    </w:p>
    <w:p>
      <w:pPr>
        <w:pStyle w:val="TextBody"/>
        <w:bidi w:val="0"/>
        <w:spacing w:before="0" w:after="0"/>
        <w:ind w:left="0" w:right="0" w:firstLine="36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 xml:space="preserve">This transaction was accounted for as a business combination in accordance with ASC 805, </w:t>
      </w:r>
      <w:r>
        <w:rPr>
          <w:rFonts w:ascii="Times New Roman;Times;Serif" w:hAnsi="Times New Roman;Times;Serif"/>
          <w:b w:val="false"/>
          <w:i/>
          <w:caps w:val="false"/>
          <w:smallCaps w:val="false"/>
          <w:sz w:val="20"/>
          <w:bdr w:val="single" w:sz="12" w:space="1" w:color="000000"/>
        </w:rPr>
        <w:t>Business Combinations</w:t>
      </w:r>
      <w:r>
        <w:rPr>
          <w:rFonts w:ascii="Times New Roman;Times;Serif" w:hAnsi="Times New Roman;Times;Serif"/>
          <w:b w:val="false"/>
          <w:i w:val="false"/>
          <w:caps w:val="false"/>
          <w:smallCaps w:val="false"/>
          <w:sz w:val="20"/>
          <w:bdr w:val="single" w:sz="12" w:space="1" w:color="000000"/>
        </w:rPr>
        <w:t>.</w:t>
      </w:r>
    </w:p>
    <w:p>
      <w:pPr>
        <w:pStyle w:val="TextBody"/>
        <w:bidi w:val="0"/>
        <w:spacing w:before="0" w:after="0"/>
        <w:ind w:left="0" w:right="0" w:firstLine="36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firstLine="36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6</w:t>
      </w:r>
    </w:p>
    <w:p>
      <w:pPr>
        <w:pStyle w:val="TextBody"/>
        <w:bidi w:val="0"/>
        <w:spacing w:before="0" w:after="0"/>
        <w:ind w:left="0" w:right="0" w:hanging="0"/>
        <w:jc w:val="left"/>
        <w:rPr/>
      </w:pPr>
      <w:r>
        <w:rPr/>
        <w:t> </w:t>
      </w:r>
    </w:p>
    <w:p>
      <w:pPr>
        <w:pStyle w:val="TextBody"/>
        <w:bidi w:val="0"/>
        <w:spacing w:before="0" w:after="0"/>
        <w:ind w:left="0" w:right="0" w:firstLine="36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jc w:val="both"/>
        <w:rPr>
          <w:rFonts w:ascii="Times New Roman;Times;Serif" w:hAnsi="Times New Roman;Times;Serif"/>
          <w:b/>
          <w:i w:val="false"/>
          <w:caps w:val="false"/>
          <w:smallCaps w:val="false"/>
          <w:sz w:val="20"/>
          <w:bdr w:val="single" w:sz="12" w:space="1" w:color="000000"/>
        </w:rPr>
      </w:pPr>
      <w:r>
        <w:rPr>
          <w:rFonts w:ascii="Times New Roman;Times;Serif" w:hAnsi="Times New Roman;Times;Serif"/>
          <w:b/>
          <w:i w:val="false"/>
          <w:caps w:val="false"/>
          <w:smallCaps w:val="false"/>
          <w:sz w:val="20"/>
          <w:bdr w:val="single" w:sz="12" w:space="1" w:color="000000"/>
        </w:rPr>
        <w:t>Other Information</w:t>
      </w:r>
    </w:p>
    <w:p>
      <w:pPr>
        <w:pStyle w:val="TextBody"/>
        <w:bidi w:val="0"/>
        <w:spacing w:before="0" w:after="0"/>
        <w:ind w:left="0" w:right="0" w:firstLine="72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We will bear all costs, expenses and fees in connection with the registration of Offered Securities. The Selling Securityholders will bear all commissions and discounts, if any, attributable to their sales of Offered Securities. We are registering certain shares of our common stock for sale by the Selling Securityholders pursuant to registration rights granted to the Selling Securityholders. See the section of this prospectus entitled “</w:t>
      </w:r>
      <w:r>
        <w:rPr>
          <w:rFonts w:ascii="Times New Roman;Times;Serif" w:hAnsi="Times New Roman;Times;Serif"/>
          <w:b w:val="false"/>
          <w:i/>
          <w:caps w:val="false"/>
          <w:smallCaps w:val="false"/>
          <w:sz w:val="20"/>
          <w:bdr w:val="single" w:sz="12" w:space="1" w:color="000000"/>
        </w:rPr>
        <w:t>Selling Securityholders</w:t>
      </w:r>
      <w:r>
        <w:rPr>
          <w:rFonts w:ascii="Times New Roman;Times;Serif" w:hAnsi="Times New Roman;Times;Serif"/>
          <w:b w:val="false"/>
          <w:i w:val="false"/>
          <w:caps w:val="false"/>
          <w:smallCaps w:val="false"/>
          <w:sz w:val="20"/>
          <w:bdr w:val="single" w:sz="12" w:space="1" w:color="000000"/>
        </w:rPr>
        <w:t>” for more information.</w:t>
      </w:r>
    </w:p>
    <w:p>
      <w:pPr>
        <w:pStyle w:val="TextBody"/>
        <w:bidi w:val="0"/>
        <w:spacing w:before="0" w:after="0"/>
        <w:ind w:left="0" w:right="0" w:firstLine="36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In offering the securities covered by this prospectus, the Selling Securityholders and any broker-dealers who execute sales for the Selling Securityholders may be deemed to be “underwriters” within the meaning of the Securities Act of 1933, as amended (the “</w:t>
      </w:r>
      <w:r>
        <w:rPr>
          <w:rFonts w:ascii="Times New Roman;Times;Serif" w:hAnsi="Times New Roman;Times;Serif"/>
          <w:b/>
          <w:i w:val="false"/>
          <w:caps w:val="false"/>
          <w:smallCaps w:val="false"/>
          <w:sz w:val="20"/>
          <w:bdr w:val="single" w:sz="12" w:space="1" w:color="000000"/>
        </w:rPr>
        <w:t>Securities Act</w:t>
      </w:r>
      <w:r>
        <w:rPr>
          <w:rFonts w:ascii="Times New Roman;Times;Serif" w:hAnsi="Times New Roman;Times;Serif"/>
          <w:b w:val="false"/>
          <w:i w:val="false"/>
          <w:caps w:val="false"/>
          <w:smallCaps w:val="false"/>
          <w:sz w:val="20"/>
          <w:bdr w:val="single" w:sz="12" w:space="1" w:color="000000"/>
        </w:rPr>
        <w:t>”) in connection with such sales. Any profits realized by the Selling Securityholders and the compensation of any broker-dealer may be deemed to be underwriting discounts and commissions.</w:t>
      </w:r>
    </w:p>
    <w:p>
      <w:pPr>
        <w:pStyle w:val="TextBody"/>
        <w:bidi w:val="0"/>
        <w:spacing w:before="0" w:after="0"/>
        <w:ind w:left="0" w:right="0" w:firstLine="36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The Selling Securityholders may offer and sell the Offered Securities owned by them covered by this prospectus from time to time, in a number of different ways and at varying prices. If any underwriters, dealers or agents are involved in the sale of any of the Offered Securities, their names and any applicable purchase price, fee, commission or discount arrangement between or among them will be set forth, or will be calculable from the information set forth, in any applicable prospectus supplement. See the sections of this prospectus entitled “</w:t>
      </w:r>
      <w:r>
        <w:rPr>
          <w:rFonts w:ascii="Times New Roman;Times;Serif" w:hAnsi="Times New Roman;Times;Serif"/>
          <w:b w:val="false"/>
          <w:i/>
          <w:caps w:val="false"/>
          <w:smallCaps w:val="false"/>
          <w:sz w:val="20"/>
          <w:bdr w:val="single" w:sz="12" w:space="1" w:color="000000"/>
        </w:rPr>
        <w:t>About this Prospectus</w:t>
      </w:r>
      <w:r>
        <w:rPr>
          <w:rFonts w:ascii="Times New Roman;Times;Serif" w:hAnsi="Times New Roman;Times;Serif"/>
          <w:b w:val="false"/>
          <w:i w:val="false"/>
          <w:caps w:val="false"/>
          <w:smallCaps w:val="false"/>
          <w:sz w:val="20"/>
          <w:bdr w:val="single" w:sz="12" w:space="1" w:color="000000"/>
        </w:rPr>
        <w:t>” and “</w:t>
      </w:r>
      <w:r>
        <w:rPr>
          <w:rFonts w:ascii="Times New Roman;Times;Serif" w:hAnsi="Times New Roman;Times;Serif"/>
          <w:b w:val="false"/>
          <w:i/>
          <w:caps w:val="false"/>
          <w:smallCaps w:val="false"/>
          <w:sz w:val="20"/>
          <w:bdr w:val="single" w:sz="12" w:space="1" w:color="000000"/>
        </w:rPr>
        <w:t>Plan of Distribution</w:t>
      </w:r>
      <w:r>
        <w:rPr>
          <w:rFonts w:ascii="Times New Roman;Times;Serif" w:hAnsi="Times New Roman;Times;Serif"/>
          <w:b w:val="false"/>
          <w:i w:val="false"/>
          <w:caps w:val="false"/>
          <w:smallCaps w:val="false"/>
          <w:sz w:val="20"/>
          <w:bdr w:val="single" w:sz="12" w:space="1" w:color="000000"/>
        </w:rPr>
        <w:t>” for more information. No securities may be sold without delivery of this prospectus and any applicable prospectus supplement describing the method and terms of the offering of such securities. You should carefully read this prospectus and any applicable prospectus supplement before you invest in our securities.</w:t>
      </w:r>
    </w:p>
    <w:p>
      <w:pPr>
        <w:pStyle w:val="TextBody"/>
        <w:bidi w:val="0"/>
        <w:spacing w:before="0" w:after="0"/>
        <w:ind w:left="0" w:right="0" w:firstLine="36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jc w:val="both"/>
        <w:rPr>
          <w:rFonts w:ascii="Times New Roman;Times;Serif" w:hAnsi="Times New Roman;Times;Serif"/>
          <w:b/>
          <w:i w:val="false"/>
          <w:caps w:val="false"/>
          <w:smallCaps w:val="false"/>
          <w:sz w:val="20"/>
          <w:bdr w:val="single" w:sz="12" w:space="1" w:color="000000"/>
        </w:rPr>
      </w:pPr>
      <w:r>
        <w:rPr>
          <w:rFonts w:ascii="Times New Roman;Times;Serif" w:hAnsi="Times New Roman;Times;Serif"/>
          <w:b/>
          <w:i w:val="false"/>
          <w:caps w:val="false"/>
          <w:smallCaps w:val="false"/>
          <w:sz w:val="20"/>
          <w:bdr w:val="single" w:sz="12" w:space="1" w:color="000000"/>
        </w:rPr>
        <w:t>Summary Risk Factors</w:t>
      </w:r>
    </w:p>
    <w:p>
      <w:pPr>
        <w:pStyle w:val="TextBody"/>
        <w:bidi w:val="0"/>
        <w:spacing w:before="0" w:after="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Below is a summary of material factors that make an investment in our securities speculative or risky. Importantly, this summary does not address all of the risks and uncertainties that we face.</w:t>
      </w:r>
    </w:p>
    <w:p>
      <w:pPr>
        <w:pStyle w:val="TextBody"/>
        <w:bidi w:val="0"/>
        <w:spacing w:before="0" w:after="0"/>
        <w:jc w:val="left"/>
        <w:rPr>
          <w:caps w:val="false"/>
          <w:smallCaps w:val="false"/>
          <w:bdr w:val="single" w:sz="12" w:space="1" w:color="000000"/>
        </w:rPr>
      </w:pPr>
      <w:r>
        <w:rPr>
          <w:caps w:val="false"/>
          <w:smallCaps w:val="false"/>
          <w:bdr w:val="single" w:sz="12" w:space="1" w:color="000000"/>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We have a history of losses that may continue in the future; our management has identified conditions that raise substantial doubt about our ability to continue as a going concern; and we may not achieve profitability or generate positive cash flow.</w:t>
            </w:r>
          </w:p>
        </w:tc>
      </w:tr>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 </w:t>
            </w:r>
          </w:p>
        </w:tc>
        <w:tc>
          <w:tcPr>
            <w:tcW w:w="996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We may need to raise additional funding to finance our operations. This additional financing may not be available on acceptable terms or at all. Failure to obtain this necessary capital when needed may force us to curtail planned programs or cease operations entirely.</w:t>
            </w:r>
          </w:p>
        </w:tc>
      </w:tr>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 </w:t>
            </w:r>
          </w:p>
        </w:tc>
        <w:tc>
          <w:tcPr>
            <w:tcW w:w="996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Raising additional funds may cause dilution to existing stockholders and/or may restrict our operations or require us to relinquish proprietary rights.</w:t>
            </w:r>
          </w:p>
        </w:tc>
      </w:tr>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 </w:t>
            </w:r>
          </w:p>
        </w:tc>
        <w:tc>
          <w:tcPr>
            <w:tcW w:w="996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 xml:space="preserve">We have identified material weaknesses in our internal controls over financial reporting. As a result of these material weaknesses, we previously identified material errors to our interim results for the thirteen weeks ended March 30, 2025, the thirteen and twenty-six weeks ended June 29, 2025, and the thirteen and thirty-nine weeks ended September 28, 2025 (the “Prior Periods”) and determined that the Prior Periods included in our Quarterly Reports on Form 10-Q for the quarters ended March 30, 2025, June 29, 2025, and September 28, 2025 should no longer be relied upon and should be restated. If we are unable to maintain effective internal controls over financial reporting and disclosure controls and procedures, the accuracy and timeliness of our financial and operating reporting may be adversely affected, and confidence in our operations and disclosures may be lost. </w:t>
            </w:r>
          </w:p>
        </w:tc>
      </w:tr>
    </w:tbl>
    <w:p>
      <w:pPr>
        <w:pStyle w:val="TextBody"/>
        <w:bidi w:val="0"/>
        <w:spacing w:before="0" w:after="0"/>
        <w:jc w:val="left"/>
        <w:rPr>
          <w:caps w:val="false"/>
          <w:smallCaps w:val="false"/>
          <w:bdr w:val="single" w:sz="12" w:space="1" w:color="000000"/>
        </w:rPr>
      </w:pPr>
      <w:r>
        <w:rPr>
          <w:caps w:val="false"/>
          <w:smallCaps w:val="false"/>
          <w:bdr w:val="single" w:sz="12" w:space="1" w:color="000000"/>
        </w:rPr>
        <w:t> </w:t>
      </w:r>
    </w:p>
    <w:tbl>
      <w:tblPr>
        <w:tblW w:w="7915" w:type="dxa"/>
        <w:jc w:val="left"/>
        <w:tblInd w:w="0" w:type="dxa"/>
        <w:tblLayout w:type="fixed"/>
        <w:tblCellMar>
          <w:top w:w="0" w:type="dxa"/>
          <w:left w:w="0" w:type="dxa"/>
          <w:bottom w:w="0" w:type="dxa"/>
          <w:right w:w="0" w:type="dxa"/>
        </w:tblCellMar>
      </w:tblPr>
      <w:tblGrid>
        <w:gridCol w:w="75"/>
        <w:gridCol w:w="170"/>
        <w:gridCol w:w="767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767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We face risks related to the restatement of our previously issued quarterly financial statements.</w:t>
            </w:r>
          </w:p>
        </w:tc>
      </w:tr>
    </w:tbl>
    <w:p>
      <w:pPr>
        <w:pStyle w:val="TextBody"/>
        <w:bidi w:val="0"/>
        <w:spacing w:before="0" w:after="0"/>
        <w:jc w:val="left"/>
        <w:rPr>
          <w:caps w:val="false"/>
          <w:smallCaps w:val="false"/>
          <w:bdr w:val="single" w:sz="12" w:space="1" w:color="000000"/>
        </w:rPr>
      </w:pPr>
      <w:r>
        <w:rPr>
          <w:caps w:val="false"/>
          <w:smallCaps w:val="false"/>
          <w:bdr w:val="single" w:sz="12" w:space="1" w:color="000000"/>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Our failure to prepare and timely file our periodic reports with the SEC limits our access to the public markets to raise debt or equity capital.</w:t>
            </w:r>
          </w:p>
        </w:tc>
      </w:tr>
    </w:tbl>
    <w:p>
      <w:pPr>
        <w:pStyle w:val="TextBody"/>
        <w:bidi w:val="0"/>
        <w:spacing w:before="0" w:after="0"/>
        <w:jc w:val="both"/>
        <w:rPr>
          <w:caps w:val="false"/>
          <w:smallCaps w:val="false"/>
          <w:bdr w:val="single" w:sz="12" w:space="1" w:color="000000"/>
        </w:rPr>
      </w:pPr>
      <w:r>
        <w:rPr>
          <w:caps w:val="false"/>
          <w:smallCaps w:val="false"/>
          <w:bdr w:val="single" w:sz="12" w:space="1" w:color="000000"/>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Our business depends in part on the availability of rebates, tax credits and other financial incentives. The OBBBA has materially reduced the availability of these rebates, credits or incentives, which may adversely impact our business.</w:t>
            </w:r>
          </w:p>
        </w:tc>
      </w:tr>
    </w:tbl>
    <w:p>
      <w:pPr>
        <w:pStyle w:val="TextBody"/>
        <w:bidi w:val="0"/>
        <w:spacing w:before="0" w:after="0"/>
        <w:jc w:val="center"/>
        <w:rPr>
          <w:caps w:val="false"/>
          <w:smallCaps w:val="false"/>
          <w:bdr w:val="single" w:sz="12" w:space="1" w:color="000000"/>
        </w:rPr>
      </w:pPr>
      <w:r>
        <w:rPr>
          <w:caps w:val="false"/>
          <w:smallCaps w:val="false"/>
          <w:bdr w:val="single" w:sz="12" w:space="1" w:color="000000"/>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Macroeconomic conditions in our domestic and international markets, as well as inflation concerns, instability of financial institutions, rising interest rates, and recessionary concerns may adversely affect our industry, business and financial results.</w:t>
            </w:r>
          </w:p>
        </w:tc>
      </w:tr>
    </w:tbl>
    <w:p>
      <w:pPr>
        <w:pStyle w:val="TextBody"/>
        <w:bidi w:val="0"/>
        <w:spacing w:before="0" w:after="0"/>
        <w:jc w:val="left"/>
        <w:rPr>
          <w:caps w:val="false"/>
          <w:smallCaps w:val="false"/>
          <w:bdr w:val="single" w:sz="12" w:space="1" w:color="000000"/>
        </w:rPr>
      </w:pPr>
      <w:r>
        <w:rPr>
          <w:caps w:val="false"/>
          <w:smallCaps w:val="false"/>
          <w:bdr w:val="single" w:sz="12" w:space="1" w:color="000000"/>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7</w:t>
      </w:r>
    </w:p>
    <w:p>
      <w:pPr>
        <w:pStyle w:val="TextBody"/>
        <w:bidi w:val="0"/>
        <w:spacing w:before="0" w:after="0"/>
        <w:ind w:left="0" w:right="0" w:hanging="0"/>
        <w:jc w:val="left"/>
        <w:rPr/>
      </w:pPr>
      <w:r>
        <w:rPr/>
        <w:t> </w:t>
      </w:r>
    </w:p>
    <w:p>
      <w:pPr>
        <w:pStyle w:val="TextBody"/>
        <w:bidi w:val="0"/>
        <w:spacing w:before="0" w:after="0"/>
        <w:jc w:val="left"/>
        <w:rPr>
          <w:caps w:val="false"/>
          <w:smallCaps w:val="false"/>
          <w:bdr w:val="single" w:sz="12" w:space="1" w:color="000000"/>
        </w:rPr>
      </w:pPr>
      <w:r>
        <w:rPr>
          <w:caps w:val="false"/>
          <w:smallCaps w:val="false"/>
          <w:bdr w:val="single" w:sz="12" w:space="1" w:color="000000"/>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We have incurred losses and may be unable to achieve or sustain profitability in the future.</w:t>
            </w:r>
          </w:p>
        </w:tc>
      </w:tr>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 </w:t>
            </w:r>
          </w:p>
        </w:tc>
        <w:tc>
          <w:tcPr>
            <w:tcW w:w="996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We face competition from both traditional energy companies and renewable energy companies.</w:t>
            </w:r>
          </w:p>
        </w:tc>
      </w:tr>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 </w:t>
            </w:r>
          </w:p>
        </w:tc>
        <w:tc>
          <w:tcPr>
            <w:tcW w:w="996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Our growth strategy depends on the widespread adoption of solar power technology.</w:t>
            </w:r>
          </w:p>
        </w:tc>
      </w:tr>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 </w:t>
            </w:r>
          </w:p>
        </w:tc>
        <w:tc>
          <w:tcPr>
            <w:tcW w:w="996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We are exposed to the credit risk of customers and our finance partners, and payment delinquencies on accounts receivables.</w:t>
            </w:r>
          </w:p>
        </w:tc>
      </w:tr>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 </w:t>
            </w:r>
          </w:p>
        </w:tc>
        <w:tc>
          <w:tcPr>
            <w:tcW w:w="996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Any unauthorized access to or disclosure or theft of personal information we gather, store or use could harm our reputation and subject us to claims or litigation.</w:t>
            </w:r>
          </w:p>
        </w:tc>
      </w:tr>
    </w:tbl>
    <w:p>
      <w:pPr>
        <w:pStyle w:val="TextBody"/>
        <w:bidi w:val="0"/>
        <w:spacing w:before="0" w:after="0"/>
        <w:jc w:val="left"/>
        <w:rPr>
          <w:caps w:val="false"/>
          <w:smallCaps w:val="false"/>
          <w:bdr w:val="single" w:sz="12" w:space="1" w:color="000000"/>
        </w:rPr>
      </w:pPr>
      <w:r>
        <w:rPr>
          <w:caps w:val="false"/>
          <w:smallCaps w:val="false"/>
          <w:bdr w:val="single" w:sz="12" w:space="1" w:color="000000"/>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Our success depends on the continuing contributions of key personnel, including Thurman J. Rodgers. If we are unable to attract and retain key employees and qualified personnel, our business and prospects could be harmed.</w:t>
            </w:r>
          </w:p>
        </w:tc>
      </w:tr>
    </w:tbl>
    <w:p>
      <w:pPr>
        <w:pStyle w:val="TextBody"/>
        <w:bidi w:val="0"/>
        <w:spacing w:before="0" w:after="0"/>
        <w:jc w:val="left"/>
        <w:rPr>
          <w:caps w:val="false"/>
          <w:smallCaps w:val="false"/>
          <w:bdr w:val="single" w:sz="12" w:space="1" w:color="000000"/>
        </w:rPr>
      </w:pPr>
      <w:r>
        <w:rPr>
          <w:caps w:val="false"/>
          <w:smallCaps w:val="false"/>
          <w:bdr w:val="single" w:sz="12" w:space="1" w:color="000000"/>
        </w:rPr>
        <w:t> </w:t>
      </w:r>
    </w:p>
    <w:tbl>
      <w:tblPr>
        <w:tblW w:w="10205" w:type="dxa"/>
        <w:jc w:val="left"/>
        <w:tblInd w:w="0" w:type="dxa"/>
        <w:tblLayout w:type="fixed"/>
        <w:tblCellMar>
          <w:top w:w="0" w:type="dxa"/>
          <w:left w:w="0" w:type="dxa"/>
          <w:bottom w:w="0" w:type="dxa"/>
          <w:right w:w="0" w:type="dxa"/>
        </w:tblCellMar>
      </w:tblPr>
      <w:tblGrid>
        <w:gridCol w:w="75"/>
        <w:gridCol w:w="188"/>
        <w:gridCol w:w="9942"/>
      </w:tblGrid>
      <w:tr>
        <w:trPr/>
        <w:tc>
          <w:tcPr>
            <w:tcW w:w="75" w:type="dxa"/>
            <w:tcBorders/>
            <w:vAlign w:val="center"/>
          </w:tcPr>
          <w:p>
            <w:pPr>
              <w:pStyle w:val="TableContents"/>
              <w:bidi w:val="0"/>
              <w:spacing w:before="0" w:after="283"/>
              <w:jc w:val="left"/>
              <w:rPr/>
            </w:pPr>
            <w:r>
              <w:rPr/>
              <w:t> </w:t>
            </w:r>
          </w:p>
        </w:tc>
        <w:tc>
          <w:tcPr>
            <w:tcW w:w="188" w:type="dxa"/>
            <w:tcBorders/>
            <w:vAlign w:val="center"/>
          </w:tcPr>
          <w:p>
            <w:pPr>
              <w:pStyle w:val="TableContents"/>
              <w:bidi w:val="0"/>
              <w:spacing w:before="0" w:after="283"/>
              <w:jc w:val="left"/>
              <w:rPr/>
            </w:pPr>
            <w:r>
              <w:rPr/>
              <w:t xml:space="preserve">● </w:t>
            </w:r>
          </w:p>
        </w:tc>
        <w:tc>
          <w:tcPr>
            <w:tcW w:w="9942"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Our operating results and ability to grow may fluctuate from quarter to quarter and year to year, which could make future performance difficult to predict and could cause operating results for a particular period to fall below expectations.</w:t>
            </w:r>
          </w:p>
        </w:tc>
      </w:tr>
      <w:tr>
        <w:trPr/>
        <w:tc>
          <w:tcPr>
            <w:tcW w:w="75" w:type="dxa"/>
            <w:tcBorders/>
            <w:vAlign w:val="center"/>
          </w:tcPr>
          <w:p>
            <w:pPr>
              <w:pStyle w:val="TableContents"/>
              <w:bidi w:val="0"/>
              <w:spacing w:before="0" w:after="283"/>
              <w:jc w:val="left"/>
              <w:rPr/>
            </w:pPr>
            <w:r>
              <w:rPr/>
              <w:t> </w:t>
            </w:r>
          </w:p>
        </w:tc>
        <w:tc>
          <w:tcPr>
            <w:tcW w:w="188" w:type="dxa"/>
            <w:tcBorders/>
            <w:vAlign w:val="center"/>
          </w:tcPr>
          <w:p>
            <w:pPr>
              <w:pStyle w:val="TableContents"/>
              <w:bidi w:val="0"/>
              <w:spacing w:before="0" w:after="283"/>
              <w:jc w:val="left"/>
              <w:rPr/>
            </w:pPr>
            <w:r>
              <w:rPr/>
              <w:t> </w:t>
            </w:r>
          </w:p>
        </w:tc>
        <w:tc>
          <w:tcPr>
            <w:tcW w:w="9942"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188" w:type="dxa"/>
            <w:tcBorders/>
            <w:vAlign w:val="center"/>
          </w:tcPr>
          <w:p>
            <w:pPr>
              <w:pStyle w:val="TableContents"/>
              <w:bidi w:val="0"/>
              <w:spacing w:before="0" w:after="283"/>
              <w:jc w:val="left"/>
              <w:rPr/>
            </w:pPr>
            <w:r>
              <w:rPr/>
              <w:t xml:space="preserve">● </w:t>
            </w:r>
          </w:p>
        </w:tc>
        <w:tc>
          <w:tcPr>
            <w:tcW w:w="9942"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We may be subject to breaches of our information technology systems, which could lead to disclosure of internal information, damage to our reputation or relationships with dealers, suppliers, and customers, and disrupt access to online services. Such breaches could subject us to significant reputational, financial, legal, and operational consequences.</w:t>
            </w:r>
          </w:p>
        </w:tc>
      </w:tr>
      <w:tr>
        <w:trPr/>
        <w:tc>
          <w:tcPr>
            <w:tcW w:w="75" w:type="dxa"/>
            <w:tcBorders/>
            <w:vAlign w:val="center"/>
          </w:tcPr>
          <w:p>
            <w:pPr>
              <w:pStyle w:val="TableContents"/>
              <w:bidi w:val="0"/>
              <w:spacing w:before="0" w:after="283"/>
              <w:jc w:val="left"/>
              <w:rPr/>
            </w:pPr>
            <w:r>
              <w:rPr/>
              <w:t> </w:t>
            </w:r>
          </w:p>
        </w:tc>
        <w:tc>
          <w:tcPr>
            <w:tcW w:w="188" w:type="dxa"/>
            <w:tcBorders/>
            <w:vAlign w:val="center"/>
          </w:tcPr>
          <w:p>
            <w:pPr>
              <w:pStyle w:val="TableContents"/>
              <w:bidi w:val="0"/>
              <w:spacing w:before="0" w:after="283"/>
              <w:jc w:val="left"/>
              <w:rPr/>
            </w:pPr>
            <w:r>
              <w:rPr/>
              <w:t> </w:t>
            </w:r>
          </w:p>
        </w:tc>
        <w:tc>
          <w:tcPr>
            <w:tcW w:w="9942"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188" w:type="dxa"/>
            <w:tcBorders/>
            <w:vAlign w:val="center"/>
          </w:tcPr>
          <w:p>
            <w:pPr>
              <w:pStyle w:val="TableContents"/>
              <w:bidi w:val="0"/>
              <w:spacing w:before="0" w:after="283"/>
              <w:jc w:val="left"/>
              <w:rPr/>
            </w:pPr>
            <w:r>
              <w:rPr/>
              <w:t xml:space="preserve">● </w:t>
            </w:r>
          </w:p>
        </w:tc>
        <w:tc>
          <w:tcPr>
            <w:tcW w:w="9942"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We are subject to legal proceedings and regulatory inquiries and may be named in additional claims or legal proceedings or become involved in regulatory inquiries, all of which are costly, distracting to our core business and could result in an unfavorable outcome or harm our business, financial condition, results of operations or the trading price for our securities.</w:t>
            </w:r>
          </w:p>
        </w:tc>
      </w:tr>
      <w:tr>
        <w:trPr/>
        <w:tc>
          <w:tcPr>
            <w:tcW w:w="75" w:type="dxa"/>
            <w:tcBorders/>
            <w:vAlign w:val="center"/>
          </w:tcPr>
          <w:p>
            <w:pPr>
              <w:pStyle w:val="TableContents"/>
              <w:bidi w:val="0"/>
              <w:spacing w:before="0" w:after="283"/>
              <w:jc w:val="left"/>
              <w:rPr/>
            </w:pPr>
            <w:r>
              <w:rPr/>
              <w:t> </w:t>
            </w:r>
          </w:p>
        </w:tc>
        <w:tc>
          <w:tcPr>
            <w:tcW w:w="188" w:type="dxa"/>
            <w:tcBorders/>
            <w:vAlign w:val="center"/>
          </w:tcPr>
          <w:p>
            <w:pPr>
              <w:pStyle w:val="TableContents"/>
              <w:bidi w:val="0"/>
              <w:spacing w:before="0" w:after="283"/>
              <w:jc w:val="left"/>
              <w:rPr/>
            </w:pPr>
            <w:r>
              <w:rPr/>
              <w:t> </w:t>
            </w:r>
          </w:p>
        </w:tc>
        <w:tc>
          <w:tcPr>
            <w:tcW w:w="9942"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188" w:type="dxa"/>
            <w:tcBorders/>
            <w:vAlign w:val="center"/>
          </w:tcPr>
          <w:p>
            <w:pPr>
              <w:pStyle w:val="TableContents"/>
              <w:bidi w:val="0"/>
              <w:spacing w:before="0" w:after="283"/>
              <w:jc w:val="left"/>
              <w:rPr/>
            </w:pPr>
            <w:r>
              <w:rPr/>
              <w:t xml:space="preserve">● </w:t>
            </w:r>
          </w:p>
        </w:tc>
        <w:tc>
          <w:tcPr>
            <w:tcW w:w="9942"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Our Directors, executive officers and principal stockholders will continue to have significant influence over our company, which could limit your ability to influence the outcome of key transactions, including a change of control.</w:t>
            </w:r>
          </w:p>
        </w:tc>
      </w:tr>
      <w:tr>
        <w:trPr/>
        <w:tc>
          <w:tcPr>
            <w:tcW w:w="75" w:type="dxa"/>
            <w:tcBorders/>
            <w:vAlign w:val="center"/>
          </w:tcPr>
          <w:p>
            <w:pPr>
              <w:pStyle w:val="TableContents"/>
              <w:bidi w:val="0"/>
              <w:spacing w:before="0" w:after="283"/>
              <w:jc w:val="left"/>
              <w:rPr/>
            </w:pPr>
            <w:r>
              <w:rPr/>
              <w:t> </w:t>
            </w:r>
          </w:p>
        </w:tc>
        <w:tc>
          <w:tcPr>
            <w:tcW w:w="188" w:type="dxa"/>
            <w:tcBorders/>
            <w:vAlign w:val="center"/>
          </w:tcPr>
          <w:p>
            <w:pPr>
              <w:pStyle w:val="TableContents"/>
              <w:bidi w:val="0"/>
              <w:spacing w:before="0" w:after="283"/>
              <w:jc w:val="left"/>
              <w:rPr/>
            </w:pPr>
            <w:r>
              <w:rPr/>
              <w:t> </w:t>
            </w:r>
          </w:p>
        </w:tc>
        <w:tc>
          <w:tcPr>
            <w:tcW w:w="9942"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188" w:type="dxa"/>
            <w:tcBorders/>
            <w:vAlign w:val="center"/>
          </w:tcPr>
          <w:p>
            <w:pPr>
              <w:pStyle w:val="TableContents"/>
              <w:bidi w:val="0"/>
              <w:spacing w:before="0" w:after="283"/>
              <w:jc w:val="left"/>
              <w:rPr/>
            </w:pPr>
            <w:r>
              <w:rPr/>
              <w:t xml:space="preserve">● </w:t>
            </w:r>
          </w:p>
        </w:tc>
        <w:tc>
          <w:tcPr>
            <w:tcW w:w="9942"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If we fail to meet all applicable requirements of Nasdaq and Nasdaq determines to delist our common stock, the delisting could adversely affect the market liquidity of our common stock and the market price of our common stock could decrease.</w:t>
            </w:r>
          </w:p>
        </w:tc>
      </w:tr>
      <w:tr>
        <w:trPr/>
        <w:tc>
          <w:tcPr>
            <w:tcW w:w="75" w:type="dxa"/>
            <w:tcBorders/>
            <w:vAlign w:val="center"/>
          </w:tcPr>
          <w:p>
            <w:pPr>
              <w:pStyle w:val="TableContents"/>
              <w:bidi w:val="0"/>
              <w:spacing w:before="0" w:after="283"/>
              <w:jc w:val="left"/>
              <w:rPr/>
            </w:pPr>
            <w:r>
              <w:rPr/>
              <w:t> </w:t>
            </w:r>
          </w:p>
        </w:tc>
        <w:tc>
          <w:tcPr>
            <w:tcW w:w="188" w:type="dxa"/>
            <w:tcBorders/>
            <w:vAlign w:val="center"/>
          </w:tcPr>
          <w:p>
            <w:pPr>
              <w:pStyle w:val="TableContents"/>
              <w:bidi w:val="0"/>
              <w:spacing w:before="0" w:after="283"/>
              <w:jc w:val="left"/>
              <w:rPr/>
            </w:pPr>
            <w:r>
              <w:rPr/>
              <w:t> </w:t>
            </w:r>
          </w:p>
        </w:tc>
        <w:tc>
          <w:tcPr>
            <w:tcW w:w="9942"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188" w:type="dxa"/>
            <w:tcBorders/>
            <w:vAlign w:val="center"/>
          </w:tcPr>
          <w:p>
            <w:pPr>
              <w:pStyle w:val="TableContents"/>
              <w:bidi w:val="0"/>
              <w:spacing w:before="0" w:after="283"/>
              <w:jc w:val="left"/>
              <w:rPr/>
            </w:pPr>
            <w:r>
              <w:rPr/>
              <w:t xml:space="preserve">● </w:t>
            </w:r>
          </w:p>
        </w:tc>
        <w:tc>
          <w:tcPr>
            <w:tcW w:w="9942"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We may be required to repurchase up to 5,618,488 shares of common stock from the investors with whom we entered into Forward Purchase Agreements in connection with the closing of the Business Combination, which would reduce the amount of cash available to us to fund our growth plan.</w:t>
            </w:r>
          </w:p>
        </w:tc>
      </w:tr>
      <w:tr>
        <w:trPr/>
        <w:tc>
          <w:tcPr>
            <w:tcW w:w="75" w:type="dxa"/>
            <w:tcBorders/>
            <w:vAlign w:val="center"/>
          </w:tcPr>
          <w:p>
            <w:pPr>
              <w:pStyle w:val="TableContents"/>
              <w:bidi w:val="0"/>
              <w:spacing w:before="0" w:after="283"/>
              <w:jc w:val="left"/>
              <w:rPr/>
            </w:pPr>
            <w:r>
              <w:rPr/>
              <w:t> </w:t>
            </w:r>
          </w:p>
        </w:tc>
        <w:tc>
          <w:tcPr>
            <w:tcW w:w="188" w:type="dxa"/>
            <w:tcBorders/>
            <w:vAlign w:val="center"/>
          </w:tcPr>
          <w:p>
            <w:pPr>
              <w:pStyle w:val="TableContents"/>
              <w:bidi w:val="0"/>
              <w:spacing w:before="0" w:after="283"/>
              <w:jc w:val="left"/>
              <w:rPr/>
            </w:pPr>
            <w:r>
              <w:rPr/>
              <w:t> </w:t>
            </w:r>
          </w:p>
        </w:tc>
        <w:tc>
          <w:tcPr>
            <w:tcW w:w="9942"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188" w:type="dxa"/>
            <w:tcBorders/>
            <w:vAlign w:val="center"/>
          </w:tcPr>
          <w:p>
            <w:pPr>
              <w:pStyle w:val="TableContents"/>
              <w:bidi w:val="0"/>
              <w:spacing w:before="0" w:after="283"/>
              <w:jc w:val="left"/>
              <w:rPr/>
            </w:pPr>
            <w:r>
              <w:rPr/>
              <w:t>●</w:t>
            </w:r>
          </w:p>
        </w:tc>
        <w:tc>
          <w:tcPr>
            <w:tcW w:w="9942"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Our 10.0% Senior Secured Notes are secured obligations, and there are risks associated with our 10.0% Senior Secured Notes that could adversely affect our business and financial condition.</w:t>
            </w:r>
          </w:p>
        </w:tc>
      </w:tr>
      <w:tr>
        <w:trPr/>
        <w:tc>
          <w:tcPr>
            <w:tcW w:w="75" w:type="dxa"/>
            <w:tcBorders/>
            <w:vAlign w:val="center"/>
          </w:tcPr>
          <w:p>
            <w:pPr>
              <w:pStyle w:val="TableContents"/>
              <w:bidi w:val="0"/>
              <w:spacing w:before="0" w:after="283"/>
              <w:jc w:val="left"/>
              <w:rPr/>
            </w:pPr>
            <w:r>
              <w:rPr/>
              <w:t> </w:t>
            </w:r>
          </w:p>
        </w:tc>
        <w:tc>
          <w:tcPr>
            <w:tcW w:w="188" w:type="dxa"/>
            <w:tcBorders/>
            <w:vAlign w:val="center"/>
          </w:tcPr>
          <w:p>
            <w:pPr>
              <w:pStyle w:val="TableContents"/>
              <w:bidi w:val="0"/>
              <w:spacing w:before="0" w:after="283"/>
              <w:jc w:val="left"/>
              <w:rPr/>
            </w:pPr>
            <w:r>
              <w:rPr/>
              <w:t> </w:t>
            </w:r>
          </w:p>
        </w:tc>
        <w:tc>
          <w:tcPr>
            <w:tcW w:w="9942"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188" w:type="dxa"/>
            <w:tcBorders/>
            <w:vAlign w:val="center"/>
          </w:tcPr>
          <w:p>
            <w:pPr>
              <w:pStyle w:val="TableContents"/>
              <w:bidi w:val="0"/>
              <w:spacing w:before="0" w:after="283"/>
              <w:jc w:val="left"/>
              <w:rPr/>
            </w:pPr>
            <w:r>
              <w:rPr/>
              <w:t xml:space="preserve">● </w:t>
            </w:r>
          </w:p>
        </w:tc>
        <w:tc>
          <w:tcPr>
            <w:tcW w:w="9942"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conversion features of the Convertible Senior Notes and Yorkville Notes may adversely affect our financial condition and operating results.</w:t>
            </w:r>
          </w:p>
        </w:tc>
      </w:tr>
    </w:tbl>
    <w:p>
      <w:pPr>
        <w:pStyle w:val="TextBody"/>
        <w:bidi w:val="0"/>
        <w:spacing w:before="0" w:after="0"/>
        <w:jc w:val="left"/>
        <w:rPr>
          <w:caps w:val="false"/>
          <w:smallCaps w:val="false"/>
          <w:bdr w:val="single" w:sz="12" w:space="1" w:color="000000"/>
        </w:rPr>
      </w:pPr>
      <w:r>
        <w:rPr>
          <w:caps w:val="false"/>
          <w:smallCaps w:val="false"/>
          <w:bdr w:val="single" w:sz="12" w:space="1" w:color="000000"/>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Future sales (including potential sales of securities by the Selling Securityholders), or the perception of future sales, by us or our stockholders in the public market could cause the market price for the common stock to decline.</w:t>
            </w:r>
          </w:p>
        </w:tc>
      </w:tr>
    </w:tbl>
    <w:p>
      <w:pPr>
        <w:pStyle w:val="TextBody"/>
        <w:bidi w:val="0"/>
        <w:spacing w:before="0" w:after="0"/>
        <w:jc w:val="center"/>
        <w:rPr>
          <w:caps w:val="false"/>
          <w:smallCaps w:val="false"/>
          <w:bdr w:val="single" w:sz="12" w:space="1" w:color="000000"/>
        </w:rPr>
      </w:pPr>
      <w:r>
        <w:rPr>
          <w:caps w:val="false"/>
          <w:smallCaps w:val="false"/>
          <w:bdr w:val="single" w:sz="12" w:space="1" w:color="000000"/>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8</w:t>
      </w:r>
    </w:p>
    <w:p>
      <w:pPr>
        <w:pStyle w:val="TextBody"/>
        <w:bidi w:val="0"/>
        <w:spacing w:before="0" w:after="0"/>
        <w:ind w:left="0" w:right="0" w:hanging="0"/>
        <w:jc w:val="left"/>
        <w:rPr/>
      </w:pPr>
      <w:r>
        <w:rPr/>
        <w:t> </w:t>
      </w:r>
    </w:p>
    <w:p>
      <w:pPr>
        <w:pStyle w:val="TextBody"/>
        <w:bidi w:val="0"/>
        <w:spacing w:before="0" w:after="0"/>
        <w:jc w:val="center"/>
        <w:rPr>
          <w:caps w:val="false"/>
          <w:smallCaps w:val="false"/>
          <w:bdr w:val="single" w:sz="12" w:space="1" w:color="000000"/>
        </w:rPr>
      </w:pPr>
      <w:r>
        <w:rPr>
          <w:caps w:val="false"/>
          <w:smallCaps w:val="false"/>
          <w:bdr w:val="single" w:sz="12" w:space="1" w:color="000000"/>
        </w:rPr>
        <w:t> </w:t>
      </w:r>
    </w:p>
    <w:p>
      <w:pPr>
        <w:pStyle w:val="TextBody"/>
        <w:bidi w:val="0"/>
        <w:spacing w:before="0" w:after="0"/>
        <w:jc w:val="center"/>
        <w:rPr>
          <w:rFonts w:ascii="Times New Roman;Times;Serif" w:hAnsi="Times New Roman;Times;Serif"/>
          <w:b/>
          <w:i w:val="false"/>
          <w:caps w:val="false"/>
          <w:smallCaps w:val="false"/>
          <w:sz w:val="20"/>
          <w:bdr w:val="single" w:sz="12" w:space="1" w:color="000000"/>
        </w:rPr>
      </w:pPr>
      <w:r>
        <w:rPr>
          <w:rFonts w:ascii="Times New Roman;Times;Serif" w:hAnsi="Times New Roman;Times;Serif"/>
          <w:b/>
          <w:i w:val="false"/>
          <w:caps w:val="false"/>
          <w:smallCaps w:val="false"/>
          <w:sz w:val="20"/>
          <w:bdr w:val="single" w:sz="12" w:space="1" w:color="000000"/>
        </w:rPr>
        <w:t>The Offering</w:t>
      </w:r>
    </w:p>
    <w:p>
      <w:pPr>
        <w:pStyle w:val="TextBody"/>
        <w:bidi w:val="0"/>
        <w:spacing w:before="0" w:after="0"/>
        <w:jc w:val="center"/>
        <w:rPr>
          <w:caps w:val="false"/>
          <w:smallCaps w:val="false"/>
          <w:bdr w:val="single" w:sz="12" w:space="1" w:color="000000"/>
        </w:rPr>
      </w:pPr>
      <w:r>
        <w:rPr>
          <w:caps w:val="false"/>
          <w:smallCaps w:val="false"/>
          <w:bdr w:val="single" w:sz="12" w:space="1" w:color="000000"/>
        </w:rPr>
        <w:t> </w:t>
      </w:r>
    </w:p>
    <w:tbl>
      <w:tblPr>
        <w:tblW w:w="10205" w:type="dxa"/>
        <w:jc w:val="left"/>
        <w:tblInd w:w="0" w:type="dxa"/>
        <w:tblLayout w:type="fixed"/>
        <w:tblCellMar>
          <w:top w:w="0" w:type="dxa"/>
          <w:left w:w="0" w:type="dxa"/>
          <w:bottom w:w="0" w:type="dxa"/>
          <w:right w:w="0" w:type="dxa"/>
        </w:tblCellMar>
      </w:tblPr>
      <w:tblGrid>
        <w:gridCol w:w="3017"/>
        <w:gridCol w:w="60"/>
        <w:gridCol w:w="203"/>
        <w:gridCol w:w="6925"/>
      </w:tblGrid>
      <w:tr>
        <w:trPr/>
        <w:tc>
          <w:tcPr>
            <w:tcW w:w="3017" w:type="dxa"/>
            <w:tcBorders/>
            <w:vAlign w:val="center"/>
          </w:tcPr>
          <w:p>
            <w:pPr>
              <w:pStyle w:val="TableContents"/>
              <w:bidi w:val="0"/>
              <w:spacing w:before="0" w:after="283"/>
              <w:ind w:left="0" w:right="0" w:hanging="180"/>
              <w:jc w:val="left"/>
              <w:rPr>
                <w:rFonts w:ascii="Times New Roman;Times;Serif" w:hAnsi="Times New Roman;Times;Serif"/>
                <w:sz w:val="20"/>
              </w:rPr>
            </w:pPr>
            <w:r>
              <w:rPr>
                <w:rFonts w:ascii="Times New Roman;Times;Serif" w:hAnsi="Times New Roman;Times;Serif"/>
                <w:sz w:val="20"/>
              </w:rPr>
              <w:t>Securities offered by the Selling Securityholder</w:t>
            </w:r>
          </w:p>
        </w:tc>
        <w:tc>
          <w:tcPr>
            <w:tcW w:w="60" w:type="dxa"/>
            <w:tcBorders/>
            <w:vAlign w:val="center"/>
          </w:tcPr>
          <w:p>
            <w:pPr>
              <w:pStyle w:val="TableContents"/>
              <w:bidi w:val="0"/>
              <w:spacing w:before="0" w:after="283"/>
              <w:jc w:val="left"/>
              <w:rPr/>
            </w:pPr>
            <w:r>
              <w:rPr/>
              <w:t> </w:t>
            </w:r>
          </w:p>
        </w:tc>
        <w:tc>
          <w:tcPr>
            <w:tcW w:w="7128" w:type="dxa"/>
            <w:gridSpan w:val="2"/>
            <w:tcBorders/>
            <w:vAlign w:val="center"/>
          </w:tcPr>
          <w:p>
            <w:pPr>
              <w:pStyle w:val="TableContents"/>
              <w:bidi w:val="0"/>
              <w:spacing w:before="0" w:after="0"/>
              <w:ind w:left="0" w:right="0" w:hanging="1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Up to 13,277,150 shares of our common stock consisting of:</w:t>
            </w:r>
          </w:p>
        </w:tc>
      </w:tr>
      <w:tr>
        <w:trPr/>
        <w:tc>
          <w:tcPr>
            <w:tcW w:w="3017"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03" w:type="dxa"/>
            <w:tcBorders/>
            <w:vAlign w:val="center"/>
          </w:tcPr>
          <w:p>
            <w:pPr>
              <w:pStyle w:val="TableContents"/>
              <w:bidi w:val="0"/>
              <w:spacing w:before="0" w:after="283"/>
              <w:jc w:val="left"/>
              <w:rPr/>
            </w:pPr>
            <w:r>
              <w:rPr/>
              <w:t> </w:t>
            </w:r>
          </w:p>
        </w:tc>
        <w:tc>
          <w:tcPr>
            <w:tcW w:w="6925" w:type="dxa"/>
            <w:tcBorders/>
            <w:vAlign w:val="center"/>
          </w:tcPr>
          <w:p>
            <w:pPr>
              <w:pStyle w:val="TableContents"/>
              <w:bidi w:val="0"/>
              <w:spacing w:before="0" w:after="283"/>
              <w:ind w:left="0" w:right="0" w:hanging="180"/>
              <w:jc w:val="both"/>
              <w:rPr/>
            </w:pPr>
            <w:r>
              <w:rPr/>
              <w:t> </w:t>
            </w:r>
          </w:p>
        </w:tc>
      </w:tr>
      <w:tr>
        <w:trPr/>
        <w:tc>
          <w:tcPr>
            <w:tcW w:w="3017"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03" w:type="dxa"/>
            <w:tcBorders/>
            <w:vAlign w:val="center"/>
          </w:tcPr>
          <w:p>
            <w:pPr>
              <w:pStyle w:val="TableContents"/>
              <w:bidi w:val="0"/>
              <w:spacing w:before="0" w:after="283"/>
              <w:jc w:val="left"/>
              <w:rPr/>
            </w:pPr>
            <w:r>
              <w:rPr/>
              <w:t>●</w:t>
            </w:r>
          </w:p>
        </w:tc>
        <w:tc>
          <w:tcPr>
            <w:tcW w:w="6925" w:type="dxa"/>
            <w:tcBorders/>
            <w:vAlign w:val="center"/>
          </w:tcPr>
          <w:p>
            <w:pPr>
              <w:pStyle w:val="TableContents"/>
              <w:bidi w:val="0"/>
              <w:spacing w:before="0" w:after="283"/>
              <w:ind w:left="0" w:right="0" w:hanging="180"/>
              <w:jc w:val="both"/>
              <w:rPr/>
            </w:pPr>
            <w:r>
              <w:rPr/>
              <w:t>6,666,666 shares of common stock previously issued by us in connection with our acquisition of Sunder;</w:t>
            </w:r>
          </w:p>
        </w:tc>
      </w:tr>
      <w:tr>
        <w:trPr/>
        <w:tc>
          <w:tcPr>
            <w:tcW w:w="3017"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03" w:type="dxa"/>
            <w:tcBorders/>
            <w:vAlign w:val="center"/>
          </w:tcPr>
          <w:p>
            <w:pPr>
              <w:pStyle w:val="TableContents"/>
              <w:bidi w:val="0"/>
              <w:spacing w:before="0" w:after="283"/>
              <w:jc w:val="left"/>
              <w:rPr/>
            </w:pPr>
            <w:r>
              <w:rPr/>
              <w:t> </w:t>
            </w:r>
          </w:p>
        </w:tc>
        <w:tc>
          <w:tcPr>
            <w:tcW w:w="6925" w:type="dxa"/>
            <w:tcBorders/>
            <w:vAlign w:val="center"/>
          </w:tcPr>
          <w:p>
            <w:pPr>
              <w:pStyle w:val="TableContents"/>
              <w:bidi w:val="0"/>
              <w:spacing w:before="0" w:after="283"/>
              <w:ind w:left="0" w:right="0" w:hanging="180"/>
              <w:jc w:val="both"/>
              <w:rPr/>
            </w:pPr>
            <w:r>
              <w:rPr/>
              <w:t> </w:t>
            </w:r>
          </w:p>
        </w:tc>
      </w:tr>
      <w:tr>
        <w:trPr/>
        <w:tc>
          <w:tcPr>
            <w:tcW w:w="3017"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03" w:type="dxa"/>
            <w:tcBorders/>
            <w:vAlign w:val="center"/>
          </w:tcPr>
          <w:p>
            <w:pPr>
              <w:pStyle w:val="TableContents"/>
              <w:bidi w:val="0"/>
              <w:spacing w:before="0" w:after="283"/>
              <w:jc w:val="left"/>
              <w:rPr/>
            </w:pPr>
            <w:r>
              <w:rPr/>
              <w:t>●</w:t>
            </w:r>
          </w:p>
        </w:tc>
        <w:tc>
          <w:tcPr>
            <w:tcW w:w="6925" w:type="dxa"/>
            <w:tcBorders/>
            <w:vAlign w:val="center"/>
          </w:tcPr>
          <w:p>
            <w:pPr>
              <w:pStyle w:val="TableContents"/>
              <w:bidi w:val="0"/>
              <w:spacing w:before="0" w:after="283"/>
              <w:ind w:left="0" w:right="0" w:hanging="180"/>
              <w:jc w:val="both"/>
              <w:rPr/>
            </w:pPr>
            <w:r>
              <w:rPr/>
              <w:t>1,805,705 shares of common stock previously issued by us in connection with our acquisition of Cobalt;</w:t>
            </w:r>
          </w:p>
        </w:tc>
      </w:tr>
      <w:tr>
        <w:trPr/>
        <w:tc>
          <w:tcPr>
            <w:tcW w:w="3017"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03" w:type="dxa"/>
            <w:tcBorders/>
            <w:vAlign w:val="center"/>
          </w:tcPr>
          <w:p>
            <w:pPr>
              <w:pStyle w:val="TableContents"/>
              <w:bidi w:val="0"/>
              <w:spacing w:before="0" w:after="283"/>
              <w:jc w:val="left"/>
              <w:rPr/>
            </w:pPr>
            <w:r>
              <w:rPr/>
              <w:t> </w:t>
            </w:r>
          </w:p>
        </w:tc>
        <w:tc>
          <w:tcPr>
            <w:tcW w:w="6925" w:type="dxa"/>
            <w:tcBorders/>
            <w:vAlign w:val="center"/>
          </w:tcPr>
          <w:p>
            <w:pPr>
              <w:pStyle w:val="TableContents"/>
              <w:bidi w:val="0"/>
              <w:spacing w:before="0" w:after="283"/>
              <w:ind w:left="0" w:right="0" w:hanging="180"/>
              <w:jc w:val="both"/>
              <w:rPr/>
            </w:pPr>
            <w:r>
              <w:rPr/>
              <w:t> </w:t>
            </w:r>
          </w:p>
        </w:tc>
      </w:tr>
      <w:tr>
        <w:trPr/>
        <w:tc>
          <w:tcPr>
            <w:tcW w:w="3017"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03" w:type="dxa"/>
            <w:tcBorders/>
            <w:vAlign w:val="center"/>
          </w:tcPr>
          <w:p>
            <w:pPr>
              <w:pStyle w:val="TableContents"/>
              <w:bidi w:val="0"/>
              <w:spacing w:before="0" w:after="283"/>
              <w:jc w:val="left"/>
              <w:rPr/>
            </w:pPr>
            <w:r>
              <w:rPr/>
              <w:t>●</w:t>
            </w:r>
          </w:p>
        </w:tc>
        <w:tc>
          <w:tcPr>
            <w:tcW w:w="6925" w:type="dxa"/>
            <w:tcBorders/>
            <w:vAlign w:val="center"/>
          </w:tcPr>
          <w:p>
            <w:pPr>
              <w:pStyle w:val="TableContents"/>
              <w:bidi w:val="0"/>
              <w:spacing w:before="0" w:after="283"/>
              <w:ind w:left="0" w:right="0" w:hanging="180"/>
              <w:jc w:val="both"/>
              <w:rPr/>
            </w:pPr>
            <w:r>
              <w:rPr/>
              <w:t>380,000 shares of common stock issuable upon exercise of the Ayna 2026 Warrant; and</w:t>
            </w:r>
          </w:p>
        </w:tc>
      </w:tr>
      <w:tr>
        <w:trPr/>
        <w:tc>
          <w:tcPr>
            <w:tcW w:w="3017"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03" w:type="dxa"/>
            <w:tcBorders/>
            <w:vAlign w:val="center"/>
          </w:tcPr>
          <w:p>
            <w:pPr>
              <w:pStyle w:val="TableContents"/>
              <w:bidi w:val="0"/>
              <w:spacing w:before="0" w:after="283"/>
              <w:jc w:val="left"/>
              <w:rPr/>
            </w:pPr>
            <w:r>
              <w:rPr/>
              <w:t> </w:t>
            </w:r>
          </w:p>
        </w:tc>
        <w:tc>
          <w:tcPr>
            <w:tcW w:w="6925" w:type="dxa"/>
            <w:tcBorders/>
            <w:vAlign w:val="center"/>
          </w:tcPr>
          <w:p>
            <w:pPr>
              <w:pStyle w:val="TableContents"/>
              <w:bidi w:val="0"/>
              <w:spacing w:before="0" w:after="283"/>
              <w:ind w:left="0" w:right="0" w:hanging="180"/>
              <w:jc w:val="both"/>
              <w:rPr/>
            </w:pPr>
            <w:r>
              <w:rPr/>
              <w:t> </w:t>
            </w:r>
          </w:p>
        </w:tc>
      </w:tr>
      <w:tr>
        <w:trPr/>
        <w:tc>
          <w:tcPr>
            <w:tcW w:w="3017"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03" w:type="dxa"/>
            <w:tcBorders/>
            <w:vAlign w:val="center"/>
          </w:tcPr>
          <w:p>
            <w:pPr>
              <w:pStyle w:val="TableContents"/>
              <w:bidi w:val="0"/>
              <w:spacing w:before="0" w:after="283"/>
              <w:jc w:val="left"/>
              <w:rPr/>
            </w:pPr>
            <w:r>
              <w:rPr/>
              <w:t>●</w:t>
            </w:r>
          </w:p>
        </w:tc>
        <w:tc>
          <w:tcPr>
            <w:tcW w:w="6925" w:type="dxa"/>
            <w:tcBorders/>
            <w:vAlign w:val="center"/>
          </w:tcPr>
          <w:p>
            <w:pPr>
              <w:pStyle w:val="TableContents"/>
              <w:bidi w:val="0"/>
              <w:spacing w:before="0" w:after="283"/>
              <w:jc w:val="both"/>
              <w:rPr/>
            </w:pPr>
            <w:r>
              <w:rPr/>
              <w:t>up to 4,424,779 shares of common stock issuable upon conversion of our 10% Notes.</w:t>
            </w:r>
          </w:p>
        </w:tc>
      </w:tr>
      <w:tr>
        <w:trPr/>
        <w:tc>
          <w:tcPr>
            <w:tcW w:w="3017"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128" w:type="dxa"/>
            <w:gridSpan w:val="2"/>
            <w:tcBorders/>
            <w:vAlign w:val="center"/>
          </w:tcPr>
          <w:p>
            <w:pPr>
              <w:pStyle w:val="TableContents"/>
              <w:bidi w:val="0"/>
              <w:spacing w:before="0" w:after="283"/>
              <w:ind w:left="0" w:right="0" w:hanging="180"/>
              <w:jc w:val="both"/>
              <w:rPr/>
            </w:pPr>
            <w:r>
              <w:rPr/>
              <w:t> </w:t>
            </w:r>
          </w:p>
        </w:tc>
      </w:tr>
      <w:tr>
        <w:trPr/>
        <w:tc>
          <w:tcPr>
            <w:tcW w:w="3017"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Shares of common stock outstanding prior to this offering</w:t>
            </w:r>
          </w:p>
        </w:tc>
        <w:tc>
          <w:tcPr>
            <w:tcW w:w="60" w:type="dxa"/>
            <w:tcBorders/>
            <w:vAlign w:val="center"/>
          </w:tcPr>
          <w:p>
            <w:pPr>
              <w:pStyle w:val="TableContents"/>
              <w:bidi w:val="0"/>
              <w:spacing w:before="0" w:after="283"/>
              <w:jc w:val="left"/>
              <w:rPr/>
            </w:pPr>
            <w:r>
              <w:rPr/>
              <w:t> </w:t>
            </w:r>
          </w:p>
        </w:tc>
        <w:tc>
          <w:tcPr>
            <w:tcW w:w="7128" w:type="dxa"/>
            <w:gridSpan w:val="2"/>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150,283,214 (as of June 22, 2026).</w:t>
            </w:r>
          </w:p>
        </w:tc>
      </w:tr>
      <w:tr>
        <w:trPr/>
        <w:tc>
          <w:tcPr>
            <w:tcW w:w="3017"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128" w:type="dxa"/>
            <w:gridSpan w:val="2"/>
            <w:tcBorders/>
            <w:vAlign w:val="center"/>
          </w:tcPr>
          <w:p>
            <w:pPr>
              <w:pStyle w:val="TableContents"/>
              <w:bidi w:val="0"/>
              <w:spacing w:before="0" w:after="283"/>
              <w:ind w:left="0" w:right="0" w:hanging="180"/>
              <w:jc w:val="both"/>
              <w:rPr/>
            </w:pPr>
            <w:r>
              <w:rPr/>
              <w:t> </w:t>
            </w:r>
          </w:p>
        </w:tc>
      </w:tr>
      <w:tr>
        <w:trPr/>
        <w:tc>
          <w:tcPr>
            <w:tcW w:w="3017"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Shares of common stock outstanding after this offering</w:t>
            </w:r>
          </w:p>
        </w:tc>
        <w:tc>
          <w:tcPr>
            <w:tcW w:w="60" w:type="dxa"/>
            <w:tcBorders/>
            <w:vAlign w:val="center"/>
          </w:tcPr>
          <w:p>
            <w:pPr>
              <w:pStyle w:val="TableContents"/>
              <w:bidi w:val="0"/>
              <w:spacing w:before="0" w:after="283"/>
              <w:jc w:val="left"/>
              <w:rPr/>
            </w:pPr>
            <w:r>
              <w:rPr/>
              <w:t> </w:t>
            </w:r>
          </w:p>
        </w:tc>
        <w:tc>
          <w:tcPr>
            <w:tcW w:w="7128" w:type="dxa"/>
            <w:gridSpan w:val="2"/>
            <w:tcBorders/>
            <w:vAlign w:val="center"/>
          </w:tcPr>
          <w:p>
            <w:pPr>
              <w:pStyle w:val="TableContents"/>
              <w:bidi w:val="0"/>
              <w:spacing w:before="0" w:after="283"/>
              <w:ind w:left="0" w:right="0" w:hanging="180"/>
              <w:jc w:val="both"/>
              <w:rPr>
                <w:rFonts w:ascii="Times New Roman;Times;Serif" w:hAnsi="Times New Roman;Times;Serif"/>
                <w:sz w:val="20"/>
              </w:rPr>
            </w:pPr>
            <w:r>
              <w:rPr>
                <w:rFonts w:ascii="Times New Roman;Times;Serif" w:hAnsi="Times New Roman;Times;Serif"/>
                <w:sz w:val="20"/>
              </w:rPr>
              <w:t>163,560,364 (based on the total shares outstanding as of June 22, 2026).</w:t>
            </w:r>
          </w:p>
        </w:tc>
      </w:tr>
      <w:tr>
        <w:trPr/>
        <w:tc>
          <w:tcPr>
            <w:tcW w:w="3017"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128" w:type="dxa"/>
            <w:gridSpan w:val="2"/>
            <w:tcBorders/>
            <w:vAlign w:val="center"/>
          </w:tcPr>
          <w:p>
            <w:pPr>
              <w:pStyle w:val="TableContents"/>
              <w:bidi w:val="0"/>
              <w:spacing w:before="0" w:after="283"/>
              <w:jc w:val="both"/>
              <w:rPr/>
            </w:pPr>
            <w:r>
              <w:rPr/>
              <w:t> </w:t>
            </w:r>
          </w:p>
        </w:tc>
      </w:tr>
      <w:tr>
        <w:trPr/>
        <w:tc>
          <w:tcPr>
            <w:tcW w:w="3017"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Terms of the offering</w:t>
            </w:r>
          </w:p>
        </w:tc>
        <w:tc>
          <w:tcPr>
            <w:tcW w:w="60" w:type="dxa"/>
            <w:tcBorders/>
            <w:vAlign w:val="center"/>
          </w:tcPr>
          <w:p>
            <w:pPr>
              <w:pStyle w:val="TableContents"/>
              <w:bidi w:val="0"/>
              <w:spacing w:before="0" w:after="283"/>
              <w:jc w:val="left"/>
              <w:rPr/>
            </w:pPr>
            <w:r>
              <w:rPr/>
              <w:t> </w:t>
            </w:r>
          </w:p>
        </w:tc>
        <w:tc>
          <w:tcPr>
            <w:tcW w:w="7128" w:type="dxa"/>
            <w:gridSpan w:val="2"/>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Selling Securityholders will determine when and how they will dispose of the shares of common stock registered for resale under this prospectus.</w:t>
            </w:r>
          </w:p>
        </w:tc>
      </w:tr>
      <w:tr>
        <w:trPr/>
        <w:tc>
          <w:tcPr>
            <w:tcW w:w="3017"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128" w:type="dxa"/>
            <w:gridSpan w:val="2"/>
            <w:tcBorders/>
            <w:vAlign w:val="center"/>
          </w:tcPr>
          <w:p>
            <w:pPr>
              <w:pStyle w:val="TableContents"/>
              <w:bidi w:val="0"/>
              <w:spacing w:before="0" w:after="283"/>
              <w:jc w:val="both"/>
              <w:rPr/>
            </w:pPr>
            <w:r>
              <w:rPr/>
              <w:t> </w:t>
            </w:r>
          </w:p>
        </w:tc>
      </w:tr>
      <w:tr>
        <w:trPr/>
        <w:tc>
          <w:tcPr>
            <w:tcW w:w="3017"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Use of proceeds</w:t>
            </w:r>
          </w:p>
        </w:tc>
        <w:tc>
          <w:tcPr>
            <w:tcW w:w="60" w:type="dxa"/>
            <w:tcBorders/>
            <w:vAlign w:val="center"/>
          </w:tcPr>
          <w:p>
            <w:pPr>
              <w:pStyle w:val="TableContents"/>
              <w:bidi w:val="0"/>
              <w:spacing w:before="0" w:after="283"/>
              <w:jc w:val="left"/>
              <w:rPr/>
            </w:pPr>
            <w:r>
              <w:rPr/>
              <w:t> </w:t>
            </w:r>
          </w:p>
        </w:tc>
        <w:tc>
          <w:tcPr>
            <w:tcW w:w="7128" w:type="dxa"/>
            <w:gridSpan w:val="2"/>
            <w:tcBorders/>
            <w:vAlign w:val="center"/>
          </w:tcPr>
          <w:p>
            <w:pPr>
              <w:pStyle w:val="TableContents"/>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will not receive any proceeds from the resale of shares of common stock included in this prospectus by the Selling Securityholders.</w:t>
            </w:r>
          </w:p>
          <w:p>
            <w:pPr>
              <w:pStyle w:val="TableContents"/>
              <w:bidi w:val="0"/>
              <w:spacing w:before="0" w:after="0"/>
              <w:jc w:val="both"/>
              <w:rPr>
                <w:caps w:val="false"/>
                <w:smallCaps w:val="false"/>
              </w:rPr>
            </w:pPr>
            <w:r>
              <w:rPr>
                <w:caps w:val="false"/>
                <w:smallCaps w:val="false"/>
              </w:rPr>
              <w:t> </w:t>
            </w:r>
          </w:p>
          <w:p>
            <w:pPr>
              <w:pStyle w:val="TableContents"/>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will incur all costs associated with this prospectus and the registration statement of which it is a part.</w:t>
            </w:r>
          </w:p>
        </w:tc>
      </w:tr>
      <w:tr>
        <w:trPr/>
        <w:tc>
          <w:tcPr>
            <w:tcW w:w="3017"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128" w:type="dxa"/>
            <w:gridSpan w:val="2"/>
            <w:tcBorders/>
            <w:vAlign w:val="center"/>
          </w:tcPr>
          <w:p>
            <w:pPr>
              <w:pStyle w:val="TableContents"/>
              <w:bidi w:val="0"/>
              <w:spacing w:before="0" w:after="283"/>
              <w:jc w:val="both"/>
              <w:rPr/>
            </w:pPr>
            <w:r>
              <w:rPr/>
              <w:t> </w:t>
            </w:r>
          </w:p>
        </w:tc>
      </w:tr>
      <w:tr>
        <w:trPr/>
        <w:tc>
          <w:tcPr>
            <w:tcW w:w="3017"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Risk factors</w:t>
            </w:r>
          </w:p>
        </w:tc>
        <w:tc>
          <w:tcPr>
            <w:tcW w:w="60" w:type="dxa"/>
            <w:tcBorders/>
            <w:vAlign w:val="center"/>
          </w:tcPr>
          <w:p>
            <w:pPr>
              <w:pStyle w:val="TableContents"/>
              <w:bidi w:val="0"/>
              <w:spacing w:before="0" w:after="283"/>
              <w:jc w:val="left"/>
              <w:rPr/>
            </w:pPr>
            <w:r>
              <w:rPr/>
              <w:t> </w:t>
            </w:r>
          </w:p>
        </w:tc>
        <w:tc>
          <w:tcPr>
            <w:tcW w:w="7128" w:type="dxa"/>
            <w:gridSpan w:val="2"/>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Before investing in our securities, you should carefully read and consider the information set forth in “</w:t>
            </w:r>
            <w:r>
              <w:rPr>
                <w:rFonts w:ascii="Times New Roman;Times;Serif" w:hAnsi="Times New Roman;Times;Serif"/>
                <w:i/>
                <w:sz w:val="20"/>
              </w:rPr>
              <w:t>Risk Factors</w:t>
            </w:r>
            <w:r>
              <w:rPr>
                <w:rFonts w:ascii="Times New Roman;Times;Serif" w:hAnsi="Times New Roman;Times;Serif"/>
                <w:sz w:val="20"/>
              </w:rPr>
              <w:t>” beginning on page 10.</w:t>
            </w:r>
          </w:p>
        </w:tc>
      </w:tr>
      <w:tr>
        <w:trPr/>
        <w:tc>
          <w:tcPr>
            <w:tcW w:w="3017"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128" w:type="dxa"/>
            <w:gridSpan w:val="2"/>
            <w:tcBorders/>
            <w:vAlign w:val="center"/>
          </w:tcPr>
          <w:p>
            <w:pPr>
              <w:pStyle w:val="TableContents"/>
              <w:bidi w:val="0"/>
              <w:spacing w:before="0" w:after="283"/>
              <w:jc w:val="both"/>
              <w:rPr/>
            </w:pPr>
            <w:r>
              <w:rPr/>
              <w:t> </w:t>
            </w:r>
          </w:p>
        </w:tc>
      </w:tr>
      <w:tr>
        <w:trPr/>
        <w:tc>
          <w:tcPr>
            <w:tcW w:w="3017"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Nasdaq ticker symbols</w:t>
            </w:r>
          </w:p>
        </w:tc>
        <w:tc>
          <w:tcPr>
            <w:tcW w:w="60" w:type="dxa"/>
            <w:tcBorders/>
            <w:vAlign w:val="center"/>
          </w:tcPr>
          <w:p>
            <w:pPr>
              <w:pStyle w:val="TableContents"/>
              <w:bidi w:val="0"/>
              <w:spacing w:before="0" w:after="283"/>
              <w:jc w:val="left"/>
              <w:rPr/>
            </w:pPr>
            <w:r>
              <w:rPr/>
              <w:t> </w:t>
            </w:r>
          </w:p>
        </w:tc>
        <w:tc>
          <w:tcPr>
            <w:tcW w:w="7128" w:type="dxa"/>
            <w:gridSpan w:val="2"/>
            <w:tcBorders/>
            <w:vAlign w:val="center"/>
          </w:tcPr>
          <w:p>
            <w:pPr>
              <w:pStyle w:val="TableContents"/>
              <w:bidi w:val="0"/>
              <w:spacing w:before="0" w:after="283"/>
              <w:jc w:val="both"/>
              <w:rPr/>
            </w:pPr>
            <w:r>
              <w:rPr/>
              <w:t>“</w:t>
            </w:r>
            <w:r>
              <w:rPr>
                <w:rFonts w:ascii="Times New Roman;Times;Serif" w:hAnsi="Times New Roman;Times;Serif"/>
                <w:sz w:val="20"/>
              </w:rPr>
              <w:t>SPWR” and “SPWRW”</w:t>
            </w:r>
          </w:p>
        </w:tc>
      </w:tr>
    </w:tbl>
    <w:p>
      <w:pPr>
        <w:pStyle w:val="TextBody"/>
        <w:bidi w:val="0"/>
        <w:spacing w:before="0" w:after="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For additional information concerning the offering, see “</w:t>
      </w:r>
      <w:r>
        <w:rPr>
          <w:rFonts w:ascii="Times New Roman;Times;Serif" w:hAnsi="Times New Roman;Times;Serif"/>
          <w:b w:val="false"/>
          <w:i/>
          <w:caps w:val="false"/>
          <w:smallCaps w:val="false"/>
          <w:sz w:val="20"/>
          <w:bdr w:val="single" w:sz="12" w:space="1" w:color="000000"/>
        </w:rPr>
        <w:t>Plan of Distribution</w:t>
      </w:r>
      <w:r>
        <w:rPr>
          <w:rFonts w:ascii="Times New Roman;Times;Serif" w:hAnsi="Times New Roman;Times;Serif"/>
          <w:b w:val="false"/>
          <w:i w:val="false"/>
          <w:caps w:val="false"/>
          <w:smallCaps w:val="false"/>
          <w:sz w:val="20"/>
          <w:bdr w:val="single" w:sz="12" w:space="1" w:color="000000"/>
        </w:rPr>
        <w:t>” beginning on page 117.</w:t>
      </w:r>
    </w:p>
    <w:p>
      <w:pPr>
        <w:pStyle w:val="TextBody"/>
        <w:bidi w:val="0"/>
        <w:spacing w:before="0" w:after="0"/>
        <w:jc w:val="center"/>
        <w:rPr>
          <w:caps w:val="false"/>
          <w:smallCaps w:val="false"/>
          <w:bdr w:val="single" w:sz="12" w:space="1" w:color="000000"/>
        </w:rPr>
      </w:pPr>
      <w:r>
        <w:rPr>
          <w:caps w:val="false"/>
          <w:smallCaps w:val="false"/>
          <w:bdr w:val="single" w:sz="12" w:space="1" w:color="000000"/>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9</w:t>
      </w:r>
    </w:p>
    <w:p>
      <w:pPr>
        <w:pStyle w:val="TextBody"/>
        <w:bidi w:val="0"/>
        <w:spacing w:before="0" w:after="0"/>
        <w:ind w:left="0" w:right="0" w:hanging="0"/>
        <w:jc w:val="left"/>
        <w:rPr/>
      </w:pPr>
      <w:r>
        <w:rPr/>
        <w:t> </w:t>
      </w:r>
    </w:p>
    <w:p>
      <w:pPr>
        <w:pStyle w:val="TextBody"/>
        <w:bidi w:val="0"/>
        <w:spacing w:before="0" w:after="0"/>
        <w:jc w:val="center"/>
        <w:rPr>
          <w:caps/>
        </w:rPr>
      </w:pPr>
      <w:r>
        <w:rPr>
          <w:caps/>
        </w:rPr>
        <w:t> </w:t>
      </w:r>
    </w:p>
    <w:p>
      <w:pPr>
        <w:pStyle w:val="TextBody"/>
        <w:bidi w:val="0"/>
        <w:spacing w:before="0" w:after="0"/>
        <w:jc w:val="center"/>
        <w:rPr>
          <w:rFonts w:ascii="Times New Roman;Times;Serif" w:hAnsi="Times New Roman;Times;Serif"/>
          <w:b/>
          <w:i w:val="false"/>
          <w:caps/>
          <w:sz w:val="20"/>
        </w:rPr>
      </w:pPr>
      <w:bookmarkStart w:id="3" w:name="a_002"/>
      <w:bookmarkEnd w:id="3"/>
      <w:r>
        <w:rPr>
          <w:rFonts w:ascii="Times New Roman;Times;Serif" w:hAnsi="Times New Roman;Times;Serif"/>
          <w:b/>
          <w:i w:val="false"/>
          <w:caps/>
          <w:sz w:val="20"/>
        </w:rPr>
        <w:t>Risk Factors</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Investing in our securities involves a high degree of risk. You should carefully consider the risks and uncertainties described below together with all of the other information contained in this prospectus, including our financial statements and related notes appearing at the end of this prospectus and in the section titled “Management’s Discussion and Analysis of Financial Condition and Results of Operations,” before deciding to invest in our securities. If any of the events or developments described below were to occur, our business, prospects, operating results and financial condition could suffer materially, the trading price of our common stock could decline, and you could lose all or part of your investment. The risks and uncertainties described below are not the only ones we face. Additional risks and uncertainties not presently known to us or that we currently believe to be immaterial may also adversely affect our business.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Risks Related to our Businesses and Industry</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have a history of losses that may continue in the future; our management has identified conditions that raise substantial doubt about our ability to continue as a going concern; and we may not achieve profitability or generate positive cash flow.</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Since our inception, we have incurred losses and negative cash flows from operations. We incurred a net loss from continuing operations of $44.3 million in the fiscal year ended December 28, 2025 and of $19.2 million in in the thirteen weeks ended March 29, 2026. We had an accumulated deficit of $451.5 million as of March 29, 2026. We have current debt of $38.0 million, and notes payable and derivative liabilities, net of current portion of $131.8 million, as of March 29, 2026, as well as other current and long-term liabilities (including the liability we recorded relating to a litigation matter with Siemens). We had cash and cash equivalents, excluding restricted cash, of $9.5 million as of March 29, 2026, which was held for working capital expenditures. These conditions raise substantial doubt about our ability to continue as a going concern. Our ability to continue as a going concern requires that we obtain sufficient funding, either through external financial transactions or cash flows generated from operations, to meet our obligations and finance our operations.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we are not able to secure adequate additional funding, either through external financial transactions or cash flows generated from operations, when needed, we will need to reevaluate our operating plan and may be forced to make reductions in spending, extend payment terms with suppliers, liquidate assets where possible, or suspend or curtail planned programs or cease operations entirely. These actions could materially impact our business, results of operations and future prospects. There can be no assurance that in the event we require additional financing, such financing will be available on terms that are favorable, or at all.</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not achieve profitability or positive cash flow for a number of reasons, including declines in revenue, as well as increases in costs of our products, U.S. and global macroeconomic trends, including with respect to the impact of U.S. trade tariffs and the imposition of additional tariffs applicable to our industry or our products. In addition, we may be unable to identify further cost savings opportunities below present levels that would not adversely impact the functioning of our existing operations needed to meet customer and regulatory requirements. If we fail to generate sufficient revenue to support our operations, we may not be able to achieve profitability or generate sufficient cash flow to meet our financial obligations and our liquidity position will be negatively impacted. See “Management’s Discussion and Analysis of Financial Condition and Results of Operations - Liquidity and Capital Resources” and “Notes to Consolidated Financial Statements - (1) Organization - (c) Liquidity and Going Concern” for a further discussion of the other factors that may impact our liquidity position.</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Failure to generate sufficient cash flows from operations, raise additional capital or reduce certain discretionary spending would have a material adverse effect on our ability to achieve our intended business objectives.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may need to raise additional funding to finance our operations. This additional financing may not be available on acceptable terms or at all. Failure to obtain this necessary capital when needed may force us to curtail planned programs or cease operations entirely.</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operations have consumed significant amounts of cash since inception. We expect to incur significant operating expenses as we continue to grow our business, including expenses incurred in connection with acquisitions and the further integration of acquired businesses, including the SunPower Businesses, Sunder, Ambia and Cobalt. We anticipate that our operating losses and negative operating cash flows will continue into the foreseeable future.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10</w:t>
      </w:r>
    </w:p>
    <w:p>
      <w:pPr>
        <w:pStyle w:val="TextBody"/>
        <w:bidi w:val="0"/>
        <w:spacing w:before="0" w:after="0"/>
        <w:ind w:left="0" w:right="0" w:hanging="0"/>
        <w:jc w:val="left"/>
        <w:rPr/>
      </w:pPr>
      <w:r>
        <w:rPr/>
        <w:t>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had cash and cash equivalents, excluding restricted cash, of $9.5 million as of March 29, 2026. Our cash position raises substantial doubt regarding our ability to continue as a going concern for 12 months after the consolidated financial statements issuance. Further, we cannot guarantee that our business will generate sufficient cash flow from operations to fund our operations or liquidity needs. Over time, we expect that we will need to raise additional funds through the issuance of additional equity, equity-related or debt securities or through obtaining credit from financial institutions to fund, together with our principal sources of liquidity, any significant unplanned or accelerated expenses and new strategic investments.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will require substantial additional capital to continue operations. Such additional capital might not be available when we need it and our actual cash requirements might be greater than anticipated. Additionally, the ability to raise additional financing depends on numerous factors that are outside our control, including general economic and market conditions, interest rates, the health of financial institutions, investors’ and lenders’ assessments of our prospects and the prospects of the solar industry in general. We cannot be certain that additional capital will be available on attractive terms, if at all, when needed, which could be dilutive to stockholders, and our financial condition, results of operations, business and prospects could be materially and adversely affected. If the financial markets become difficult or costly to access, including due to rising interest rates, inflation, fluctuations in exchange rates or other changes in geopolitical or economic conditions, including, without limitation, with respect to tariffs and trade policies, our ability to raise additional capital may be negatively impacted. Our failure to raise capital in the future would have a negative impact on our ability to expand our business.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Raising additional funds may cause dilution to existing stockholders and/or may restrict our operations or require us to relinquish proprietary rights.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the extent that we raise additional capital by issuing equity, convertible debt or other convertible securities, our existing stockholders may experience substantial dilution, and the terms of these issued securities may include liquidation or other preferences that adversely affect the rights of our existing common stockholders. For example, we may issue debt or equity securities under our shelf registration statement, through our at-the-market offering facility, through our existing equity line of credit with White Lion (as defined below), through our standby equity purchase facility with Yorkville or we may issue additional debt or equity securities in private transactions. Any agreements for future debt or preferred equity financings, if available, may involve covenants limiting or restricting our ability to take specific actions, such as raising additional capital, incurring additional debt, making capital expenditures or declaring dividends. Our ability to use our at-the-market offering facility or shelf registration statement are currently constrained by the size of our non-affiliate market capitalization, our trading volume and other factors, and there can be no assurance regarding the price at which we will be able to sell such shares, and any sales of our common stock under our at-the-market offering facility, and any offerings we might complete under our shelf registration statement, may be at prices that result in additional dilution to our existing stockholders. Further, as a result of our current ineligibility to use Form S-3, we currently cannot use our at-the-market offering facility or conduct securities offerings using our shelf registration statement. If we incur additional debt, the debt holders, together with holders of our outstanding Convertible Senior Notes and the Yorkville Notes (each as defined below), would have rights senior to holders of common stock to make claims on our assets, and the terms of any future debt could restrict our operations, including our ability to pay dividends on our common stock.</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have identified material weaknesses in our internal controls over financial reporting. As a result of these material weaknesses, we identified material errors to our interim results for the thirteen weeks ended March 30, 2025, the thirteen and twenty-six weeks ended June 29, 2025, and the thirteen and thirty-nine weeks ended September 28, 2025 (the “Prior Periods”) and we have determined that the Prior Periods included in our Quarterly Reports on Form 10-Q for the quarters ended March 30, 2025, June 29, 2025, and September 28, 2025 should no longer be relied upon and should be restated. If we are unable to maintain effective internal controls over financial reporting and disclosure controls and procedures, the accuracy and timeliness of our financial and operating reporting may be adversely affected, and confidence in our operations and disclosures may be lost.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the preparation and audit of our financial statements for the year ended December 28, 2025, our management identified material weaknesses in our internal control over financial reporting. A material weakness is a deficiency, or a combination of deficiencies, in internal control over financial reporting, such that a reasonable possibility exists that a material misstatement of annual or interim financial statements would not be prevented or detected on a timely basis. The material weaknesses are as follows: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did not maintain controls to execute the criteria established in the COSO Framework for (i) the control environment, (ii) risk assessment, (iii) control activities, (iv) information and communication, and (v) monitoring activities.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11</w:t>
      </w:r>
    </w:p>
    <w:p>
      <w:pPr>
        <w:pStyle w:val="TextBody"/>
        <w:bidi w:val="0"/>
        <w:spacing w:before="0" w:after="0"/>
        <w:ind w:left="0" w:right="0" w:hanging="0"/>
        <w:jc w:val="left"/>
        <w:rPr/>
      </w:pPr>
      <w:r>
        <w:rPr/>
        <w:t>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of the control deficiencies identified below constitute a material weakness, either individually or in the aggregate.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Control Environment.</w:t>
      </w:r>
      <w:r>
        <w:rPr>
          <w:rFonts w:ascii="Times New Roman;Times;Serif" w:hAnsi="Times New Roman;Times;Serif"/>
          <w:b w:val="false"/>
          <w:i w:val="false"/>
          <w:caps w:val="false"/>
          <w:smallCaps w:val="false"/>
          <w:sz w:val="20"/>
        </w:rPr>
        <w:t xml:space="preserve"> Our Company did not maintain an effective control environment and identified the following material weakness: our Company lacked appropriate policies and resources to develop and operate effective internal control over financial reporting and a lack of appropriate and consistent IT policies given the significant volume of financially relevant IT changes, which contributed to the Company’s inability to properly analyze, record and disclose accounting matters timely and accurately.</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Control Activities.</w:t>
      </w:r>
      <w:r>
        <w:rPr>
          <w:rFonts w:ascii="Times New Roman;Times;Serif" w:hAnsi="Times New Roman;Times;Serif"/>
          <w:b w:val="false"/>
          <w:i w:val="false"/>
          <w:caps w:val="false"/>
          <w:smallCaps w:val="false"/>
          <w:sz w:val="20"/>
        </w:rPr>
        <w:t xml:space="preserve"> Our Company did not design and implement effective control activities and identified the following material weakness:</w:t>
      </w:r>
    </w:p>
    <w:p>
      <w:pPr>
        <w:pStyle w:val="TextBody"/>
        <w:bidi w:val="0"/>
        <w:spacing w:before="0" w:after="0"/>
        <w:ind w:left="0" w:right="0" w:firstLine="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Ineffective design and operation of certain control activities due to significant personnel changes throughout fiscal 2025. Control deficiencies, which aggregate to a material weakness, occurred within substantially all areas of financial reporting.</w:t>
            </w:r>
          </w:p>
        </w:tc>
      </w:tr>
    </w:tbl>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 xml:space="preserve">Information and Communication. </w:t>
      </w:r>
      <w:r>
        <w:rPr>
          <w:rFonts w:ascii="Times New Roman;Times;Serif" w:hAnsi="Times New Roman;Times;Serif"/>
          <w:b w:val="false"/>
          <w:i w:val="false"/>
          <w:caps w:val="false"/>
          <w:smallCaps w:val="false"/>
          <w:sz w:val="20"/>
        </w:rPr>
        <w:t>Our Company did not design and implement effective information and communication activities and identified the following material weaknesses</w:t>
      </w:r>
      <w:r>
        <w:rPr>
          <w:rFonts w:ascii="Times New Roman;Times;Serif" w:hAnsi="Times New Roman;Times;Serif"/>
          <w:b w:val="false"/>
          <w:i/>
          <w:caps w:val="false"/>
          <w:smallCaps w:val="false"/>
          <w:sz w:val="20"/>
        </w:rPr>
        <w:t xml:space="preserve">: </w:t>
      </w:r>
    </w:p>
    <w:p>
      <w:pPr>
        <w:pStyle w:val="TextBody"/>
        <w:bidi w:val="0"/>
        <w:spacing w:before="0" w:after="0"/>
        <w:ind w:left="0" w:right="0" w:firstLine="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Our Company did not design and maintain effective general information technology controls over logical access and program change management for our key information systems used to support the financial reporting process. Specifically, management did not maintain effective controls to ensure proper segregation of duties related to user administration and other privileged access functions and in implementing program changes in information systems. Due to the pervasive nature of these deficiencies, business process controls that are dependent upon information from these systems were also not effective.</w:t>
            </w:r>
          </w:p>
        </w:tc>
      </w:tr>
    </w:tbl>
    <w:p>
      <w:pPr>
        <w:pStyle w:val="TextBody"/>
        <w:bidi w:val="0"/>
        <w:spacing w:before="0" w:after="0"/>
        <w:ind w:left="1080" w:right="0" w:firstLine="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Our Company did not have adequate processes and controls for communicating information among the accounting, finance, operations, and legal departments, necessary to support the proper functioning of internal controls.</w:t>
            </w:r>
          </w:p>
        </w:tc>
      </w:tr>
    </w:tbl>
    <w:p>
      <w:pPr>
        <w:pStyle w:val="TextBody"/>
        <w:bidi w:val="0"/>
        <w:spacing w:before="0" w:after="0"/>
        <w:ind w:left="108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 xml:space="preserve">Monitoring Activities. </w:t>
      </w:r>
      <w:r>
        <w:rPr>
          <w:rFonts w:ascii="Times New Roman;Times;Serif" w:hAnsi="Times New Roman;Times;Serif"/>
          <w:b w:val="false"/>
          <w:i w:val="false"/>
          <w:caps w:val="false"/>
          <w:smallCaps w:val="false"/>
          <w:sz w:val="20"/>
        </w:rPr>
        <w:t>Our Company did not design and implement effective monitoring activities and identified the following material weaknesses: (i) failure to adequately monitor compliance with accounting policies, procedures and controls related to substantially all areas of financial reporting; and (ii) failure to properly select, develop and perform ongoing evaluations of the components of internal controls (including the monitoring of service providers’ control environments).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These material weaknesses described in the paragraphs above contributed to material accounting errors identified and corrected during the audit of our Company’s financial statements. Additionally, in connection with the preparation of our audited financial statements for the year ended December, 28, 2025, and as a result of these material weaknesses, we identified material errors to our interim results for the thirteen weeks ended March 30, 2025, the thirteen and twenty-six weeks ended June 29, 2025, and the thirteen and thirty-nine weeks ended September 28, 2025 (the “Prior Periods”) and we determined that the Prior Periods included in our Quarterly Reports on Form 10-Q for the quarters ended March 30, 2025, June 29, 2025, and September 28, 2025 (the “Prior Filings”) should no longer be relied upon and should be restated. If we fail to adequately remediate these material weaknesses, there could be material misstatements that may not be prevented or detected.</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12</w:t>
      </w:r>
    </w:p>
    <w:p>
      <w:pPr>
        <w:pStyle w:val="TextBody"/>
        <w:bidi w:val="0"/>
        <w:spacing w:before="0" w:after="0"/>
        <w:ind w:left="0" w:right="0" w:hanging="0"/>
        <w:jc w:val="left"/>
        <w:rPr/>
      </w:pPr>
      <w:r>
        <w:rPr/>
        <w:t>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taken certain steps, such as recruiting additional personnel, in addition to utilizing third-party consultants and specialists, to supplement our internal resources, to enhance our internal control environment and plan to take additional steps to remediate the material weaknesses. Although we plan to complete this remediation process as quickly as possible, we cannot estimate how long it will take. We cannot provide assurance that the measures we have taken to date, and may take in the future, will be sufficient to remediate the control deficiencies that led to our material weakness in internal control over financial reporting or that such measures will prevent or avoid potential future material weaknesses.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we are not able to maintain effective internal control over financial reporting and Disclosure Controls and procedures, or if material weaknesses are discovered in future periods, a risk that is significantly increased in light of the complexity of our business, we may be unable to accurately and timely report our financial position, results of operations, cash flows or key operating metrics, which could result in late filings of the annual and quarterly reports under the Exchange Act (and which would limit our ability to use Form S-3 and may impact the availability of Rule 144), restatements of financial statements or other corrective disclosures, an inability to access commercial lending markets, defaults under our convertible notes and outstanding loans and other agreements, or other material adverse effects on our business, reputation, results of operations, financial condition or liquidity.</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 xml:space="preserve">We face risks related to the restatement of our previously issued quarterly financial statements.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 result of our determination that the Prior Filings should no longer be relied upon and should be restated, we face a number of additional risks and uncertainties, which may affect investor confidence in the accuracy of our financial disclosures and may raise reputation issues for our business. For example, we may face potential litigation or other disputes, which may include claims relating to federal and state securities laws, contractual claims and other claims arising from the restatement of the Prior Filings and the material weaknesses in our internal control over financial reporting and the preparation of our financial statements. We may discover additional errors in our previously filed financial statements. We cannot ensure that all of the risks and challenges described above will be eliminated or that general reputational harm will not persist. If one or more of the foregoing risks or challenges persist, our business, operations and financial condition are likely to be materially and adversely affected.</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Our failure to prepare and timely file our periodic reports with the SEC limits our access to the public markets to raise debt or equity capital.</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did not file our Quarterly Report on Form 10-Q for the quarter ended March 29, 2026, our Annual Report on Form 10-K for the fiscal year ended December 29, 2024, our Quarterly Report on Form 10-Q for the quarter ended September 28, 2025 or the amendment required to our Current Report originally filed on September 26, 2025 relating to the Sunder acquisition within the timeframe required by the SEC. Accordingly, we are not currently eligible to use a registration statement on Form S-3 that would allow us to continuously incorporate by reference our SEC reports into the registration statement, to use “shelf” registration statements to conduct offerings, or to use our at-the-market offering facility until approximately one year from the date we have regained and maintain status as a current filer. Our inability to use Form S-3 may significantly impair our ability to raise necessary capital to fund our operations and execute our strategy. If we seek to access the capital markets through a registered offering during the period of time that we are unable to use Form S-3, we may be required to publicly disclose the proposed offering and the material terms thereof before the offering commences, we may experience delays in the offering process due to SEC review of a Form S-1 registration statement and we may incur increased offering and transaction costs and other considerations. If we are unable to raise capital through a registered offering, we would be required to conduct our equity financing transactions on a private placement basis, which may be subject to pricing, size and other limitations imposed under the Nasdaq rules, or seek other sources of capital. The foregoing limitations on our financing approaches could prevent us from pursuing transactions or implementing business strategies that would be beneficial to our business.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 xml:space="preserve">Changes in international trade policies, tariffs, or trade disputes could significantly and adversely affect our business, revenues, margins, results of operations, and cash flows.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February 7, 2018, safeguard tariffs on imported solar cells and modules (“</w:t>
      </w:r>
      <w:r>
        <w:rPr>
          <w:rFonts w:ascii="Times New Roman;Times;Serif" w:hAnsi="Times New Roman;Times;Serif"/>
          <w:b/>
          <w:i w:val="false"/>
          <w:caps w:val="false"/>
          <w:smallCaps w:val="false"/>
          <w:sz w:val="20"/>
        </w:rPr>
        <w:t>CSPV</w:t>
      </w:r>
      <w:r>
        <w:rPr>
          <w:rFonts w:ascii="Times New Roman;Times;Serif" w:hAnsi="Times New Roman;Times;Serif"/>
          <w:b w:val="false"/>
          <w:i w:val="false"/>
          <w:caps w:val="false"/>
          <w:smallCaps w:val="false"/>
          <w:sz w:val="20"/>
        </w:rPr>
        <w:t>”) went into effect pursuant to Proclamation 9693, which approved recommendations to provide relief to U.S. manufacturers and impose safeguard tariffs on imported solar cells and modules, based on the investigations, findings, and recommendations of the U.S. International Trade Commission (the “</w:t>
      </w:r>
      <w:r>
        <w:rPr>
          <w:rFonts w:ascii="Times New Roman;Times;Serif" w:hAnsi="Times New Roman;Times;Serif"/>
          <w:b/>
          <w:i w:val="false"/>
          <w:caps w:val="false"/>
          <w:smallCaps w:val="false"/>
          <w:sz w:val="20"/>
        </w:rPr>
        <w:t>International Trade Commission</w:t>
      </w:r>
      <w:r>
        <w:rPr>
          <w:rFonts w:ascii="Times New Roman;Times;Serif" w:hAnsi="Times New Roman;Times;Serif"/>
          <w:b w:val="false"/>
          <w:i w:val="false"/>
          <w:caps w:val="false"/>
          <w:smallCaps w:val="false"/>
          <w:sz w:val="20"/>
        </w:rPr>
        <w:t>”). On February 4, 2022, then President Biden issued Proclamation 10339 extending the existing safeguard measures on U.S. imports of CSPV products by an additional four years until February 6, 2026. Prior to the termination of the safeguard tariffs, modules were subject to a tariff rate of approximately 15%. Cells were subjected to a tariff-rate quota, under which the first 5 GW of cell imports each year was exempt from tariffs, and cells imported after the 5 GW quota was reached were subject to the same approximately 15% tariff as modules in the first year, with the same 0.25% decline in each of the three subsequent years. The tariff-free cell quota applied globally, without any allocation by country or region.</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13</w:t>
      </w:r>
    </w:p>
    <w:p>
      <w:pPr>
        <w:pStyle w:val="TextBody"/>
        <w:bidi w:val="0"/>
        <w:spacing w:before="0" w:after="0"/>
        <w:ind w:left="0" w:right="0" w:hanging="0"/>
        <w:jc w:val="left"/>
        <w:rPr/>
      </w:pPr>
      <w:r>
        <w:rPr/>
        <w:t>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While solar cells and modules based on interdigitated back contact technology were excluded from these safeguard tariffs, our solar products based on other technologies continue were subject to the safeguard tariffs until February 6, 2026.</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Solar cells and panels from various countries continue to be subject to U.S. antidumping, and countervailing duty (AD/CVD) actions in the United States. The U.S. Department of Commerce (the “</w:t>
      </w:r>
      <w:r>
        <w:rPr>
          <w:rFonts w:ascii="Times New Roman;Times;Serif" w:hAnsi="Times New Roman;Times;Serif"/>
          <w:b/>
          <w:i w:val="false"/>
          <w:caps w:val="false"/>
          <w:smallCaps w:val="false"/>
          <w:sz w:val="20"/>
        </w:rPr>
        <w:t>Department of Commerce</w:t>
      </w:r>
      <w:r>
        <w:rPr>
          <w:rFonts w:ascii="Times New Roman;Times;Serif" w:hAnsi="Times New Roman;Times;Serif"/>
          <w:b w:val="false"/>
          <w:i w:val="false"/>
          <w:caps w:val="false"/>
          <w:smallCaps w:val="false"/>
          <w:sz w:val="20"/>
        </w:rPr>
        <w:t>”) maintains antidumping and countervailing duty orders on solar cells as well as panels produced in China. In 2022, the Department of Commerce found that solar product producers in Cambodia, Malaysia, Thailand, and Vietnam were circumventing the China AD/CVD actions. As a result, imports of solar products from these countries may be treated as if they are of Chinese origin and therefore subject to the aforementioned antidumping and countervailing duty orders. On June 6, 2022, then President Biden issued an Executive Order allowing U.S. solar installers to import solar modules and cells from Cambodia, Malaysia, Thailand and Vietnam free from certain duties for 24 months, along with other incentives designed to accelerate U.S. domestic production of clean energy technologies. This moratorium ended in June 2024 and China-wide AD/CVD action now applies to imports from those countries that contain Chinese-origin inputs. Additionally, on December 29, 2023, Auxin and Concept Clean Energy, Inc. filed suit in the U.S. Court of International Trade challenging the legal basis for the moratorium and implementing regulations. In August 2025 the Court of International Trade found the moratorium on the collection of AD/CVD duties to be unlawful and ordered retroactive collection of duties that should have been paid during that period. The retroactive collection of duties was stayed pending appeal. On February 9, 2026, the U.S. government withdrew its appeal of that decision, but other parties continue to pursue the appeal. In addition, on May 15, 2024 the Department of Commerce and the U.S. International Trade Commission initiated antidumping and countervailing duty investigations of CSPV products from Cambodia, Malaysia, Thailand, and Vietnam. Both the Department of Commerce and the U.S. International Trade Commission made affirmative findings for all countries. On June 24, 2025, the Department of Commerce imposed antidumping and countervailing duty orders on CSPV products from all four countries. Duty rates range zero to over 100% antidumping duties and approximately 15% to over 3000% countervailing duties depending on the company and country. Antidumping and countervailing duties are assessed retroactively and thus final assessment of duties on imports made after June 2025 will be determined in future proceedings by the Department of Commerce.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high AD/CVD duty rates, together with uncertainty surrounding the implications of existing tariffs affecting the U.S. solar market and potential trade tensions between the U.S. and other countries has caused and is likely to cause further market volatility, price fluctuations, supply shortages, and project delays, any of which could harm our business, and the pursuit of mitigating actions may divert substantial resources from other projects.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Further, the Uyghur Forced Labor Prevention Act may inhibit importation of certain solar modules or components. In addition, the imposition of tariffs is likely to result in a wide range of impacts to the U.S. solar industry and the global manufacturing market, as well as our business in particular. Such tariffs could materially increase the price of our solar products and result in significant additional costs to the Company, its resellers, and the resellers’ customers, which could cause a significant reduction in demand for our solar power products and greatly reduce our competitive advantage.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Our business depends in part on the availability of rebates, tax credits and other financial incentives. The OBBBA has materially reduced the availability of these rebates, credits or incentives, which may adversely impact our business.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U.S. federal, state and local government bodies provide incentives to end users, distributors, system integrators and manufacturers of solar energy systems to promote solar electricity in the form of rebates, tax credits and other financial incentives such as system performance payments, payments for renewable energy credits associated with renewable energy generation and the exclusion of solar energy systems from property tax assessments. These incentives enable us to lower the price charged to customers for energy and for solar energy systems. However, these incentives may expire on a particular date, end when the allocated funding is exhausted or be reduced or terminated as solar energy adoption rates increase. These reductions or terminations often occur without warning.</w:t>
      </w:r>
    </w:p>
    <w:p>
      <w:pPr>
        <w:pStyle w:val="TextBody"/>
        <w:bidi w:val="0"/>
        <w:spacing w:before="0" w:after="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14</w:t>
      </w:r>
    </w:p>
    <w:p>
      <w:pPr>
        <w:pStyle w:val="TextBody"/>
        <w:bidi w:val="0"/>
        <w:spacing w:before="0" w:after="0"/>
        <w:ind w:left="0" w:right="0" w:hanging="0"/>
        <w:jc w:val="left"/>
        <w:rPr/>
      </w:pPr>
      <w:r>
        <w:rPr/>
        <w:t> </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Inflation Reduction Act of 2022 (“</w:t>
      </w:r>
      <w:r>
        <w:rPr>
          <w:rFonts w:ascii="Times New Roman;Times;Serif" w:hAnsi="Times New Roman;Times;Serif"/>
          <w:b/>
          <w:i w:val="false"/>
          <w:caps w:val="false"/>
          <w:smallCaps w:val="false"/>
          <w:sz w:val="20"/>
        </w:rPr>
        <w:t>IRA</w:t>
      </w:r>
      <w:r>
        <w:rPr>
          <w:rFonts w:ascii="Times New Roman;Times;Serif" w:hAnsi="Times New Roman;Times;Serif"/>
          <w:b w:val="false"/>
          <w:i w:val="false"/>
          <w:caps w:val="false"/>
          <w:smallCaps w:val="false"/>
          <w:sz w:val="20"/>
        </w:rPr>
        <w:t>”) extended and modified prior law applicable to U.S. federal tax credits that are available with respect to solar energy systems. Under the IRA, the following tax credits were generally available: (i) a production tax credit under Code Section 45 (for facilities that began construction before January 1, 2025) and Code Section 45Y (for facilities that are placed in service after December 31, 2024) (the “</w:t>
      </w:r>
      <w:r>
        <w:rPr>
          <w:rFonts w:ascii="Times New Roman;Times;Serif" w:hAnsi="Times New Roman;Times;Serif"/>
          <w:b/>
          <w:i w:val="false"/>
          <w:caps w:val="false"/>
          <w:smallCaps w:val="false"/>
          <w:sz w:val="20"/>
        </w:rPr>
        <w:t>PTC</w:t>
      </w:r>
      <w:r>
        <w:rPr>
          <w:rFonts w:ascii="Times New Roman;Times;Serif" w:hAnsi="Times New Roman;Times;Serif"/>
          <w:b w:val="false"/>
          <w:i w:val="false"/>
          <w:caps w:val="false"/>
          <w:smallCaps w:val="false"/>
          <w:sz w:val="20"/>
        </w:rPr>
        <w:t>”) with respect to electricity produced from certain qualifying facilities, (ii) an investment tax credit under Code Section 48 (for facilities that began construction before January 1, 2025) and Code Section 48E (for facilities that are placed in service after December 31, 2024) (the “</w:t>
      </w:r>
      <w:r>
        <w:rPr>
          <w:rFonts w:ascii="Times New Roman;Times;Serif" w:hAnsi="Times New Roman;Times;Serif"/>
          <w:b/>
          <w:i w:val="false"/>
          <w:caps w:val="false"/>
          <w:smallCaps w:val="false"/>
          <w:sz w:val="20"/>
        </w:rPr>
        <w:t>ITC</w:t>
      </w:r>
      <w:r>
        <w:rPr>
          <w:rFonts w:ascii="Times New Roman;Times;Serif" w:hAnsi="Times New Roman;Times;Serif"/>
          <w:b w:val="false"/>
          <w:i w:val="false"/>
          <w:caps w:val="false"/>
          <w:smallCaps w:val="false"/>
          <w:sz w:val="20"/>
        </w:rPr>
        <w:t>”) in connection with the installation of certain solar facilities and energy storage technology, and (iii) a residential clean energy credit (the “</w:t>
      </w:r>
      <w:r>
        <w:rPr>
          <w:rFonts w:ascii="Times New Roman;Times;Serif" w:hAnsi="Times New Roman;Times;Serif"/>
          <w:b/>
          <w:i w:val="false"/>
          <w:caps w:val="false"/>
          <w:smallCaps w:val="false"/>
          <w:sz w:val="20"/>
        </w:rPr>
        <w:t>Section 25D Credit</w:t>
      </w:r>
      <w:r>
        <w:rPr>
          <w:rFonts w:ascii="Times New Roman;Times;Serif" w:hAnsi="Times New Roman;Times;Serif"/>
          <w:b w:val="false"/>
          <w:i w:val="false"/>
          <w:caps w:val="false"/>
          <w:smallCaps w:val="false"/>
          <w:sz w:val="20"/>
        </w:rPr>
        <w:t>”) in connection with the installation of qualifying property that uses solar energy to generate electricity for residential use.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July 4, 2025, the One Big Beautiful Bill Act (the “</w:t>
      </w:r>
      <w:r>
        <w:rPr>
          <w:rFonts w:ascii="Times New Roman;Times;Serif" w:hAnsi="Times New Roman;Times;Serif"/>
          <w:b/>
          <w:i w:val="false"/>
          <w:caps w:val="false"/>
          <w:smallCaps w:val="false"/>
          <w:sz w:val="20"/>
        </w:rPr>
        <w:t>OBBBA</w:t>
      </w:r>
      <w:r>
        <w:rPr>
          <w:rFonts w:ascii="Times New Roman;Times;Serif" w:hAnsi="Times New Roman;Times;Serif"/>
          <w:b w:val="false"/>
          <w:i w:val="false"/>
          <w:caps w:val="false"/>
          <w:smallCaps w:val="false"/>
          <w:sz w:val="20"/>
        </w:rPr>
        <w:t>”) was enacted and significantly modified the IRA’s clean energy incentive framework by accelerating the termination of certain credits and adding new eligibility restrictions and compliance burdens. The OBBBA effectively repealed, on an accelerated timeline, key federal tax incentives for solar projects by curtailing eligibility for the clean electricity PTC and ITC for applicable solar facilities placed in service after December 31, 2027 (subject to grandfathering for projects that begin construction by July 4, 2026) and by terminating the Section 25D Credit after 2025.</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 respect to the PTC, solar energy projects that began construction before January 1, 2025 generally remain eligible for the PTC under Section 45 (as amended by the IRA) and generally are not subject to the accelerated phaseouts or other limitations introduced by the OBBBA. The PTC available to a taxpayer in 2024 and prior taxable years under Code Section 45 generally is equal to a certain rate multiplied by the kilowatt hours of electricity produced by the taxpayer from solar energy at a facility owned by it and sold to an unrelated party during that taxable year. The base rates for the PTC under Code Section 45 is 0.3 cents (adjusted for inflation). This rate is increased to 1.5 cents (adjusted for inflation) for projects that (i) have a maximum net output of less than one megawatt (measured in alternating current), (ii) begin construction before January 29, 2023, and (iii) meet certain prevailing wage and apprenticeship requirements. It also may be increased for projects that include a certain percentage of components produced in the U.S. and projects that are located in certain energy communities, in each case subject to applicable requirements and IRS guidance.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PTC under Code Section 45Y, the successor to Code Section 45 that is applicable for facilities placed in service after December 31, 2024, generally is similar to the PTC under Code Section 45 but includes certain different terms and qualification requirements. The PTC amount under Code Section 45Y generally is equal to the PTC outlined above for Code Section 45, including the availability of the same increased credit rates under the same circumstances. The PTC under Code Section 45Y applies to kilowatt hours of electricity produced at a “qualified facility,” which generally is a facility, such as a solar energy facility, that generates electricity and has a greenhouse gas emission rate that is not greater than zero.</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the OBBBA, solar facilities that begin construction after July 4, 2026 (one year after enactment of the OBBBA) are ineligible for the Code Section 45Y credit if placed in service after December 31, 2027. Facilities that begin construction prior to July 4, 2026 are not subject to this accelerated placed-in-service deadline. In addition, IRS guidance interpreting these OBBBA termination provisions imposes more stringent “beginning of construction” requirements, increasing the risk that projects may fail to qualify if development timelines slip or if the taxpayer cannot satisfy the applicable standards. Moreover, the OBBBA denies the Code Section 45Y for certain leased residential solar water heating property (while generally excluding leased solar electric generating property from that denial). A facility is not eligible for the PTC under Code Section 45Y if a tax credit already is allowed with respect to the facility under Code Section 45, 48 or 48E (or certain other tax credit provisions) for the taxable year or any prior taxable year.</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 respect to the ITC, solar energy projects that began construction before January 1, 2025 generally remain eligible for the ITC under Section 48 and are not subject to the accelerated phaseouts or other limitations introduced by the OBBBA. The ITC available under Code Section 48E is the successor provision of Code Section 48 and is applicable for investments in facilities placed in service after December 31, 2024. The ITC under Code Section 48E generally is similar to the ITC outlined above under Code Section 48 in structure, including generally providing for the same increased credit rates under the same circumstances. The ITC under Code Section 48E applies to investments in a “qualified facility” and “energy storage technology”. A “qualified facility” for these purposes generally is the same as described above for the PTC under Code Section 45Y and “energy storage technology” is defined by reference to such term in Code Section 48.</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15</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Similar to Section 45Y, solar facilities that begin construction after July 4, 2026 (one year after enactment) are ineligible for the Section 48E credit if placed in service after December 31, 2027. This placed-in-service deadline would not apply to energy storage technology. Moreover, the OBBBA denies the Code Section 48E for certain leased residential solar water heating property (while generally excluding leased solar electric generating property from that denial). The ITC under Code Section 48E is subject to recapture if the Internal Revenue Service determines that the greenhouse gas emissions rate for the facility exceeds a certain threshold. A facility is not eligible for the ITC under Code Section 48E if a tax credit already is allowed with respect to the facility under Code Section 45, 45Y or 48 (or certain other tax credit provisions) for the taxable year or any prior taxable year.</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the IRA, the Section 25D Credit available to a taxpayer is equal to the “applicable percentage” of expenditures for property that uses solar energy to generate electricity for use in a dwelling unit located in the U.S. and used as a residence by the taxpayer. The applicable percentage is 26% for such systems that are placed in service before January 1, 2022 and 30% for such systems that are placed in service after December 31, 2021. As modified by the OBBBA, the Section 25D Credit terminated with respect to expenditures made after December 31, 2025, and an expenditure generally is treated as made when the original installation of the property is completed (or, in certain cases, when construction or reconstruction is completed and the taxpayer’s original use of the structure begins). The unavailability of the Section 25D Credit for systems when installation is completed after December 31, 2025 likely will impact the prices of our solar energy systems and overall value proposition our solar systems provide to customers.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OBBBA also introduces additional restrictions relating to certain FEOC and supply chain sourcing, which may affect project eligibility and increase compliance costs. On February 12, 2026, the U.S. Treasury Department and Internal Revenue Service released IRS Notice 2026-15, which provides additional guidance regarding the prohibited foreign entity (“PFE”) rules under the OBBBA. In particular, this notice establishes interim safe harbors for determining whether a project receives material assistance from a PFE, including guidance on calculation of the Material Assistance Cost Ratio. While this guidance reduces certain uncertainties, it is interim in nature, and further rulemaking, including a notice of proposed rulemaking and final regulations expected later in 2026, may modify or replace this framework. Such future guidance could impose more restrictive requirements or additional compliance burdens, which may increase our costs and adversely affect our ability, or our customers’ ability, to qualify for applicable tax credits. If we or our customers are unable to satisfy the PFE or related eligibility requirements, it could materially and adversely affect our revenues, results of operations, cash flows and the overall demand for our products.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OBBBA has materially reduced the governmental incentives available to participants in the solar industry, which is likely to adversely affect the results of our operations and our ability to compete in this industry by increasing the cost of capital, causing us to increase the prices of our energy and solar energy systems and reduce the size of our addressable market. Even where incentives remain available, evolving statutory requirements and administrative guidance may create uncertainty, increase compliance costs, and delay or reduce tax credit financing, which could disrupt project timelines and harm our liquidity.</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Moreover, the U.S. federal tax credits discussed above have complex legal and operational requirements, including with respect to “beginning of construction” and placed-in-service requirements. There also may be uncertainty as to how such requirements promulgated under the IRA or the OBBBA are interpreted. If Internal Revenue Service guidance regarding implementation of the IRA or the OBBBA is viewed by investors as unclear, tax credit financing may be delayed or downsized, harming our ability to secure financing for customers. Our failure to either (i) interpret the new requirements under the IRA and the OBBBA regarding among other things, timing of construction, prevailing wage, apprenticeship, domestic content, siting in an “energy community,” accurately or (ii) adequately update our supply-chain, manufacturing, installation, and record-keeping processes to meet such requirements, may result a partial or full reduction in the related U.S. federal tax benefit, and our customers, financiers and shareholders may require us to indemnify them for certain of such reductions.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16</w:t>
      </w:r>
    </w:p>
    <w:p>
      <w:pPr>
        <w:pStyle w:val="TextBody"/>
        <w:bidi w:val="0"/>
        <w:spacing w:before="0" w:after="0"/>
        <w:ind w:left="0" w:right="0" w:hanging="0"/>
        <w:jc w:val="left"/>
        <w:rPr/>
      </w:pPr>
      <w:r>
        <w:rPr/>
        <w:t>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are an “emerging growth company” and a “smaller reporting company” and we cannot be certain if the reduced reporting requirements applicable to these companies will make our common stock less attractive to investors.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an “emerging growth company,” as defined in the Jumpstart Our Business Startups Act of 2012 (JOBS Act). For as long as we continue to be an emerging growth company, we intend to take advantage of exemptions from various reporting requirements that apply to other public companies that are not emerging growth companies, including:</w:t>
      </w:r>
    </w:p>
    <w:p>
      <w:pPr>
        <w:pStyle w:val="TextBody"/>
        <w:bidi w:val="0"/>
        <w:spacing w:before="0" w:after="0"/>
        <w:ind w:left="0" w:right="0" w:firstLine="40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not being required to comply with the auditor attestation requirements of Section 404 of the Sarbanes-Oxley Act of 2002, as amended (the “</w:t>
            </w:r>
            <w:r>
              <w:rPr>
                <w:rFonts w:ascii="Times New Roman;Times;Serif" w:hAnsi="Times New Roman;Times;Serif"/>
                <w:b/>
                <w:sz w:val="20"/>
              </w:rPr>
              <w:t>Sarbanes-Oxley Act</w:t>
            </w:r>
            <w:r>
              <w:rPr>
                <w:rFonts w:ascii="Times New Roman;Times;Serif" w:hAnsi="Times New Roman;Times;Serif"/>
                <w:sz w:val="20"/>
              </w:rPr>
              <w:t>”);</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not being required to comply with any requirement that may be adopted by the Public Company Accounting Oversight Board (the “</w:t>
            </w:r>
            <w:r>
              <w:rPr>
                <w:rFonts w:ascii="Times New Roman;Times;Serif" w:hAnsi="Times New Roman;Times;Serif"/>
                <w:b/>
                <w:sz w:val="20"/>
              </w:rPr>
              <w:t>PCAOB</w:t>
            </w:r>
            <w:r>
              <w:rPr>
                <w:rFonts w:ascii="Times New Roman;Times;Serif" w:hAnsi="Times New Roman;Times;Serif"/>
                <w:sz w:val="20"/>
              </w:rPr>
              <w:t>”) regarding mandatory audit firm rotation or a supplement to the auditor’s report providing additional information about the audit and the financial statements;</w:t>
            </w:r>
          </w:p>
        </w:tc>
      </w:tr>
    </w:tbl>
    <w:p>
      <w:pPr>
        <w:pStyle w:val="TextBody"/>
        <w:bidi w:val="0"/>
        <w:spacing w:before="0" w:after="0"/>
        <w:jc w:val="left"/>
        <w:rPr>
          <w:caps w:val="false"/>
          <w:smallCaps w:val="false"/>
        </w:rPr>
      </w:pPr>
      <w:r>
        <w:rPr>
          <w:caps w:val="false"/>
          <w:smallCaps w:val="false"/>
        </w:rPr>
        <w:t> </w:t>
      </w:r>
    </w:p>
    <w:tbl>
      <w:tblPr>
        <w:tblW w:w="9640" w:type="dxa"/>
        <w:jc w:val="left"/>
        <w:tblInd w:w="0" w:type="dxa"/>
        <w:tblLayout w:type="fixed"/>
        <w:tblCellMar>
          <w:top w:w="0" w:type="dxa"/>
          <w:left w:w="0" w:type="dxa"/>
          <w:bottom w:w="0" w:type="dxa"/>
          <w:right w:w="0" w:type="dxa"/>
        </w:tblCellMar>
      </w:tblPr>
      <w:tblGrid>
        <w:gridCol w:w="75"/>
        <w:gridCol w:w="170"/>
        <w:gridCol w:w="939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39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reduced disclosure obligations regarding executive compensation in our periodic reports and proxy statements; and</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exemptions from the requirements of holding nonbinding advisory stockholder votes on executive compensation and stockholder approval of any golden parachute payments not previously approved.</w:t>
            </w:r>
          </w:p>
        </w:tc>
      </w:tr>
    </w:tbl>
    <w:p>
      <w:pPr>
        <w:pStyle w:val="TextBody"/>
        <w:bidi w:val="0"/>
        <w:spacing w:before="0" w:after="0"/>
        <w:ind w:left="0" w:right="0" w:firstLine="40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the JOBS Act, emerging growth companies can also delay adopting new or revised accounting standards until such time as those standards apply to private companies. We have elected to avail ourselves of this exemption from new or revised accounting standards and, therefore, will not be subject to the same new or revised accounting standards as other public companies that are not emerging growth companies. As a result, our financial statements may be different from companies that comply with the new or revised accounting pronouncements as of public company effective dates.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will remain an emerging growth company until the earliest to occur of: (1) the last day of the fiscal year in which we have at least $1.235 billion in total annual gross revenues; (2) the date we qualify as a “large accelerated filer,” with at least $700.0 million of equity securities held by non-affiliates; (3) the date on which we have issued more than $1.0 billion in non-convertible debt securities during the prior three-year period; and (4) the last day of the fiscal year ending after the fifth anniversary of our IPO.</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Even after we no longer qualify as an emerging growth company, we may still qualify as a “smaller reporting company,” as defined in the Exchange Act, which generally would allow us to continue to take advantage of many of the same exemptions from disclosure requirements, including providing only two years of audited financial statements, not being required to comply with the auditor attestation requirements of Section 404 of the Sarbanes-Oxley Act and reduced disclosure obligations regarding executive compensation our periodic reports and proxy statements, unless we are also an accelerated filer, in which case different requirements will apply.</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cannot predict if investors will find our securities less attractive because we may rely on these exemptions. If some investors find our common stock less attractive as a result, there may be a less active trading market for our securities and the trading price of our securities may be more volatile.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Macroeconomic conditions in our domestic and international markets, as well as inflation concerns, instability of financial institutions, rising interest rates, and recessionary concerns may adversely affect our industry, business and financial results.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business depends on the overall demand for our solar energy products and on the economic health and willingness of our customers and potential customers to purchase our products and services. As a result of macroeconomic or market uncertainty, including inflation concerns, rising interest rates, recessionary concerns, and geopolitical conflicts, customers may decide to delay purchasing our products and services or not purchase at all. In addition, a number of the risks associated with our business, which are disclosed in these risk factors, may increase in likelihood, magnitude or duration, and we may face new risks that we have not yet identified.</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17</w:t>
      </w:r>
    </w:p>
    <w:p>
      <w:pPr>
        <w:pStyle w:val="TextBody"/>
        <w:bidi w:val="0"/>
        <w:spacing w:before="0" w:after="0"/>
        <w:ind w:left="0" w:right="0" w:hanging="0"/>
        <w:jc w:val="left"/>
        <w:rPr/>
      </w:pPr>
      <w:r>
        <w:rPr/>
        <w:t>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past, unfavorable macroeconomic and market conditions have resulted in sustained periods of decreased demand. Macroeconomic and market conditions could be adversely affected by a variety of political, economic or other factors in the U.S. and international markets, which could, in turn, adversely affect spending levels of installers and end users and could create volatility or deteriorating conditions in the markets in which we operate. Macroeconomic uncertainty or weakness could result in:</w:t>
      </w:r>
    </w:p>
    <w:p>
      <w:pPr>
        <w:pStyle w:val="TextBody"/>
        <w:bidi w:val="0"/>
        <w:spacing w:before="0" w:after="0"/>
        <w:ind w:left="0" w:right="0" w:firstLine="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reduced demand for our products as a result of constraints on spending for solar energy systems by our customers and/or a reduction in government subsidies for renewable energy investments;</w:t>
            </w:r>
          </w:p>
        </w:tc>
      </w:tr>
    </w:tbl>
    <w:p>
      <w:pPr>
        <w:pStyle w:val="TextBody"/>
        <w:bidi w:val="0"/>
        <w:spacing w:before="0" w:after="0"/>
        <w:jc w:val="left"/>
        <w:rPr>
          <w:caps w:val="false"/>
          <w:smallCaps w:val="false"/>
        </w:rPr>
      </w:pPr>
      <w:r>
        <w:rPr>
          <w:caps w:val="false"/>
          <w:smallCaps w:val="false"/>
        </w:rPr>
        <w:t> </w:t>
      </w:r>
    </w:p>
    <w:tbl>
      <w:tblPr>
        <w:tblW w:w="9190" w:type="dxa"/>
        <w:jc w:val="left"/>
        <w:tblInd w:w="0" w:type="dxa"/>
        <w:tblLayout w:type="fixed"/>
        <w:tblCellMar>
          <w:top w:w="0" w:type="dxa"/>
          <w:left w:w="0" w:type="dxa"/>
          <w:bottom w:w="0" w:type="dxa"/>
          <w:right w:w="0" w:type="dxa"/>
        </w:tblCellMar>
      </w:tblPr>
      <w:tblGrid>
        <w:gridCol w:w="75"/>
        <w:gridCol w:w="170"/>
        <w:gridCol w:w="894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both"/>
              <w:rPr/>
            </w:pPr>
            <w:r>
              <w:rPr/>
              <w:t>●</w:t>
            </w:r>
          </w:p>
        </w:tc>
        <w:tc>
          <w:tcPr>
            <w:tcW w:w="894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increased price competition for our products that may adversely affect revenue, gross margin and profitability;</w:t>
            </w:r>
          </w:p>
        </w:tc>
      </w:tr>
    </w:tbl>
    <w:p>
      <w:pPr>
        <w:pStyle w:val="TextBody"/>
        <w:bidi w:val="0"/>
        <w:spacing w:before="0" w:after="0"/>
        <w:jc w:val="left"/>
        <w:rPr>
          <w:caps w:val="false"/>
          <w:smallCaps w:val="false"/>
        </w:rPr>
      </w:pPr>
      <w:r>
        <w:rPr>
          <w:caps w:val="false"/>
          <w:smallCaps w:val="false"/>
        </w:rPr>
        <w:t> </w:t>
      </w:r>
    </w:p>
    <w:tbl>
      <w:tblPr>
        <w:tblW w:w="7360" w:type="dxa"/>
        <w:jc w:val="left"/>
        <w:tblInd w:w="0" w:type="dxa"/>
        <w:tblLayout w:type="fixed"/>
        <w:tblCellMar>
          <w:top w:w="0" w:type="dxa"/>
          <w:left w:w="0" w:type="dxa"/>
          <w:bottom w:w="0" w:type="dxa"/>
          <w:right w:w="0" w:type="dxa"/>
        </w:tblCellMar>
      </w:tblPr>
      <w:tblGrid>
        <w:gridCol w:w="75"/>
        <w:gridCol w:w="170"/>
        <w:gridCol w:w="711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both"/>
              <w:rPr/>
            </w:pPr>
            <w:r>
              <w:rPr/>
              <w:t>●</w:t>
            </w:r>
          </w:p>
        </w:tc>
        <w:tc>
          <w:tcPr>
            <w:tcW w:w="711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introduction of any disadvantageous trade regulations and import duties and tariffs;</w:t>
            </w:r>
          </w:p>
        </w:tc>
      </w:tr>
    </w:tbl>
    <w:p>
      <w:pPr>
        <w:pStyle w:val="TextBody"/>
        <w:bidi w:val="0"/>
        <w:spacing w:before="0" w:after="0"/>
        <w:jc w:val="left"/>
        <w:rPr>
          <w:caps w:val="false"/>
          <w:smallCaps w:val="false"/>
        </w:rPr>
      </w:pPr>
      <w:r>
        <w:rPr>
          <w:caps w:val="false"/>
          <w:smallCaps w:val="false"/>
        </w:rPr>
        <w:t> </w:t>
      </w:r>
    </w:p>
    <w:tbl>
      <w:tblPr>
        <w:tblW w:w="9745" w:type="dxa"/>
        <w:jc w:val="left"/>
        <w:tblInd w:w="0" w:type="dxa"/>
        <w:tblLayout w:type="fixed"/>
        <w:tblCellMar>
          <w:top w:w="0" w:type="dxa"/>
          <w:left w:w="0" w:type="dxa"/>
          <w:bottom w:w="0" w:type="dxa"/>
          <w:right w:w="0" w:type="dxa"/>
        </w:tblCellMar>
      </w:tblPr>
      <w:tblGrid>
        <w:gridCol w:w="75"/>
        <w:gridCol w:w="170"/>
        <w:gridCol w:w="950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both"/>
              <w:rPr/>
            </w:pPr>
            <w:r>
              <w:rPr/>
              <w:t>●</w:t>
            </w:r>
          </w:p>
        </w:tc>
        <w:tc>
          <w:tcPr>
            <w:tcW w:w="950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decreased ability to forecast operating results and make decisions about budgeting, planning and future investments;</w:t>
            </w:r>
          </w:p>
        </w:tc>
      </w:tr>
    </w:tbl>
    <w:p>
      <w:pPr>
        <w:pStyle w:val="TextBody"/>
        <w:bidi w:val="0"/>
        <w:spacing w:before="0" w:after="0"/>
        <w:jc w:val="left"/>
        <w:rPr>
          <w:caps w:val="false"/>
          <w:smallCaps w:val="false"/>
        </w:rPr>
      </w:pPr>
      <w:r>
        <w:rPr>
          <w:caps w:val="false"/>
          <w:smallCaps w:val="false"/>
        </w:rPr>
        <w:t> </w:t>
      </w:r>
    </w:p>
    <w:tbl>
      <w:tblPr>
        <w:tblW w:w="5845" w:type="dxa"/>
        <w:jc w:val="left"/>
        <w:tblInd w:w="0" w:type="dxa"/>
        <w:tblLayout w:type="fixed"/>
        <w:tblCellMar>
          <w:top w:w="0" w:type="dxa"/>
          <w:left w:w="0" w:type="dxa"/>
          <w:bottom w:w="0" w:type="dxa"/>
          <w:right w:w="0" w:type="dxa"/>
        </w:tblCellMar>
      </w:tblPr>
      <w:tblGrid>
        <w:gridCol w:w="75"/>
        <w:gridCol w:w="170"/>
        <w:gridCol w:w="560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both"/>
              <w:rPr/>
            </w:pPr>
            <w:r>
              <w:rPr/>
              <w:t>●</w:t>
            </w:r>
          </w:p>
        </w:tc>
        <w:tc>
          <w:tcPr>
            <w:tcW w:w="560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decrease in the popularity of solar energy as a green energy solution;</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both"/>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business and financial difficulties faced by our suppliers or other partners, including impacts to material costs, sales, liquidity levels, ability to continue investing in their businesses, ability to import or export goods, ability to meet development commitments and manufacturing capability; and</w:t>
            </w:r>
          </w:p>
        </w:tc>
      </w:tr>
    </w:tbl>
    <w:p>
      <w:pPr>
        <w:pStyle w:val="TextBody"/>
        <w:bidi w:val="0"/>
        <w:spacing w:before="0" w:after="0"/>
        <w:jc w:val="left"/>
        <w:rPr>
          <w:caps w:val="false"/>
          <w:smallCaps w:val="false"/>
        </w:rPr>
      </w:pPr>
      <w:r>
        <w:rPr>
          <w:caps w:val="false"/>
          <w:smallCaps w:val="false"/>
        </w:rPr>
        <w:t> </w:t>
      </w:r>
    </w:p>
    <w:tbl>
      <w:tblPr>
        <w:tblW w:w="5800" w:type="dxa"/>
        <w:jc w:val="left"/>
        <w:tblInd w:w="0" w:type="dxa"/>
        <w:tblLayout w:type="fixed"/>
        <w:tblCellMar>
          <w:top w:w="0" w:type="dxa"/>
          <w:left w:w="0" w:type="dxa"/>
          <w:bottom w:w="0" w:type="dxa"/>
          <w:right w:w="0" w:type="dxa"/>
        </w:tblCellMar>
      </w:tblPr>
      <w:tblGrid>
        <w:gridCol w:w="75"/>
        <w:gridCol w:w="170"/>
        <w:gridCol w:w="555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both"/>
              <w:rPr/>
            </w:pPr>
            <w:r>
              <w:rPr/>
              <w:t>●</w:t>
            </w:r>
          </w:p>
        </w:tc>
        <w:tc>
          <w:tcPr>
            <w:tcW w:w="555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increased overhead and production costs as a percentage of revenue.</w:t>
            </w:r>
          </w:p>
        </w:tc>
      </w:tr>
    </w:tbl>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Reductions in customer spending in response to unfavorable or uncertain macroeconomic and market conditions, globally or in a particular region where we operate, would adversely affect our business, results of operations and financial condition.</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Existing regulations and policies, including trade policies and tariffs, and changes to these regulations and policies, including changes to trade policies and tariffs, may present technical, regulatory, and economic barriers to the purchase and use of solar power products, which may significantly reduce demand for our products and services.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market for electric generation products is heavily influenced by federal, state and local government laws, geopolitical forces (such as trade policies and tariffs), regulations and policies concerning the electric utility industry in the U.S. and abroad, as well as policies promulgated by electric utilities. These regulations and policies often relate to electricity pricing and technical interconnection of customer-owned electricity generation, and trade and policy changes that make solar power less competitive with other power sources could deter investment in the research and development of alternative energy sources as well as customer purchases of solar power technology, which could in turn result in a significant reduction in the demand for our solar power products. The market for electric generation equipment is also influenced by geopolitics, trade and local content laws, policies and tariffs, regulations and policies that can discourage growth and competition in the solar industry and create economic barriers to the purchase of solar power products, thus reducing demand for our solar products. In addition, on-grid applications depend on access to the grid, which is also regulated by government entities. We anticipate that our solar power products and our installation will continue to be subject to oversight and regulation in accordance with federal, state, local and foreign regulations relating to construction, safety, environmental protection, utility interconnection and metering, trade, and related matters. It is difficult to track the requirements of individual states or local jurisdictions and design equipment to comply with the varying standards. In addition, the U.S. and European Union, among others, have imposed tariffs or are in the process of evaluating the imposition of tariffs on solar panels, solar cells, polysilicon, and potentially other components. These and any other tariffs or similar taxes or duties may increase the price of our solar products and adversely affect our cost reduction roadmap, which could harm our results of operations and financial condition. We cannot predict what actions may be taken by the United States or other countries with respect to trade policies and tariffs or with respect to other policies and incentives that impact the solar industry, or that promote other forms of energy production over the solar industry. Any new regulations or policies pertaining our solar power products may result in significant additional expenses for our customers, which could cause a significant reduction in demand for our solar power products.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18</w:t>
      </w:r>
    </w:p>
    <w:p>
      <w:pPr>
        <w:pStyle w:val="TextBody"/>
        <w:bidi w:val="0"/>
        <w:spacing w:before="0" w:after="0"/>
        <w:ind w:left="0" w:right="0" w:hanging="0"/>
        <w:jc w:val="left"/>
        <w:rPr/>
      </w:pPr>
      <w:r>
        <w:rPr/>
        <w:t>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rely on net metering and related policies to offer competitive pricing to customers in many of our current markets and changes to net metering policies may significantly reduce demand for electricity from residential solar energy systems.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metering is one of several key policies that have enabled the growth of distributed generation solar energy systems in the U.S., providing significant value to customers for electricity generated by their residential solar energy systems but not directly consumed on-site. Net metering allows a homeowner to pay his or her local electric utility for power usage net of production from the solar energy system or other distributed generation source. Homeowners receive a credit for the energy an interconnected solar energy system generates in excess of that needed by the home to offset energy purchases from the centralized utility made at times when the solar energy system is not generating sufficient energy to meet the customer’s demand. In many markets, this credit is equal to the residential retail rate for electricity and in other markets, such as Hawaii and Nevada, the rate is less than the retail rate and may be set, for example, as a percentage of the retail rate or based upon a valuation of the excess electricity. In some states and utility territories, customers are also reimbursed by the centralized electric utility for net excess generation on a periodic basis.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metering programs have been subject to legislative and regulatory scrutiny in some states and territories including, but not limited to, California, New Jersey, Arizona, Nevada, Connecticut, Florida, Maine, Kentucky, Puerto Rico and Guam. These jurisdictions, by statute, regulation, administrative order or a combination thereof, have recently adopted or are considering new restrictions and additional changes to net metering programs either on a state-wide basis or within specific utility territories. Many of these measures were introduced and supported by centralized electric utilities. These measures vary by jurisdiction and may include a reduction in the rates or value of the credits customers are paid or receive for the power they deliver back to the electrical grid, caps or limits on the aggregate installed capacity of generation in a state or utility territory eligible for net metering, expiration dates for and phasing out of net metering programs, replacement of net metering programs with alternative programs that may provide less compensation and limits on the capacity size of individual distributed generation systems that can qualify for net metering. Net metering and related policies concerning distributed generation also received attention from federal legislators and regulators.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California, the California Public Utilities Commission (“</w:t>
      </w:r>
      <w:r>
        <w:rPr>
          <w:rFonts w:ascii="Times New Roman;Times;Serif" w:hAnsi="Times New Roman;Times;Serif"/>
          <w:b/>
          <w:i w:val="false"/>
          <w:caps w:val="false"/>
          <w:smallCaps w:val="false"/>
          <w:sz w:val="20"/>
        </w:rPr>
        <w:t>CPUC</w:t>
      </w:r>
      <w:r>
        <w:rPr>
          <w:rFonts w:ascii="Times New Roman;Times;Serif" w:hAnsi="Times New Roman;Times;Serif"/>
          <w:b w:val="false"/>
          <w:i w:val="false"/>
          <w:caps w:val="false"/>
          <w:smallCaps w:val="false"/>
          <w:sz w:val="20"/>
        </w:rPr>
        <w:t>”) issued an order in 2016 retaining retail-based net metering credits for residential customers of California’s major utilities as part of Net Energy Metering 2.0 (“</w:t>
      </w:r>
      <w:r>
        <w:rPr>
          <w:rFonts w:ascii="Times New Roman;Times;Serif" w:hAnsi="Times New Roman;Times;Serif"/>
          <w:b/>
          <w:i w:val="false"/>
          <w:caps w:val="false"/>
          <w:smallCaps w:val="false"/>
          <w:sz w:val="20"/>
        </w:rPr>
        <w:t>NEM 2.0</w:t>
      </w:r>
      <w:r>
        <w:rPr>
          <w:rFonts w:ascii="Times New Roman;Times;Serif" w:hAnsi="Times New Roman;Times;Serif"/>
          <w:b w:val="false"/>
          <w:i w:val="false"/>
          <w:caps w:val="false"/>
          <w:smallCaps w:val="false"/>
          <w:sz w:val="20"/>
        </w:rPr>
        <w:t>”). Under NEM 2.0, new distributed generation customers receive the retail rate for electricity exported to the grid, less certain non-by passable fees. Customers under NEM 2.0 also are subject to interconnection charges and time-of-use rates. Existing customers who receive service under the prior net metering program, as well as new customers under the NEM 2.0 program, currently are permitted to remain covered by them on a legacy basis for a period of 20 years. On September 3, 2020, the CPUC opened a new proceeding to review its current net metering policies and to develop Net Energy Metering 3.0 (“</w:t>
      </w:r>
      <w:r>
        <w:rPr>
          <w:rFonts w:ascii="Times New Roman;Times;Serif" w:hAnsi="Times New Roman;Times;Serif"/>
          <w:b/>
          <w:i w:val="false"/>
          <w:caps w:val="false"/>
          <w:smallCaps w:val="false"/>
          <w:sz w:val="20"/>
        </w:rPr>
        <w:t>NEM 3.0</w:t>
      </w:r>
      <w:r>
        <w:rPr>
          <w:rFonts w:ascii="Times New Roman;Times;Serif" w:hAnsi="Times New Roman;Times;Serif"/>
          <w:b w:val="false"/>
          <w:i w:val="false"/>
          <w:caps w:val="false"/>
          <w:smallCaps w:val="false"/>
          <w:sz w:val="20"/>
        </w:rPr>
        <w:t>”), also referred to by the CPUC as the NEM 2.0 successor tariff. NEM 3.0 was finalized on December 15, 2022 and includes several changes from previous net metering plans. The changes instituted by NEM 3.0 impacted the amount that homeowners with solar power will be able to recuperate when selling excess energy back to the utility grid. With NEM 3.0, the value of the credits for net exports are tied to the state’s Distributed Energy Resources Avoided Cost Calculator Documentation (“</w:t>
      </w:r>
      <w:r>
        <w:rPr>
          <w:rFonts w:ascii="Times New Roman;Times;Serif" w:hAnsi="Times New Roman;Times;Serif"/>
          <w:b/>
          <w:i w:val="false"/>
          <w:caps w:val="false"/>
          <w:smallCaps w:val="false"/>
          <w:sz w:val="20"/>
        </w:rPr>
        <w:t>ACC</w:t>
      </w:r>
      <w:r>
        <w:rPr>
          <w:rFonts w:ascii="Times New Roman;Times;Serif" w:hAnsi="Times New Roman;Times;Serif"/>
          <w:b w:val="false"/>
          <w:i w:val="false"/>
          <w:caps w:val="false"/>
          <w:smallCaps w:val="false"/>
          <w:sz w:val="20"/>
        </w:rPr>
        <w:t>”). Another significant change with NEM 3.0 relates to the netting period: the time period over which the utilities measure the clean energy being imported or exported. In general, longer netting periods have typically been advantageous for solar power customers because production can offset any consumption. NEM 3.0 will instead measure energy using instantaneous netting, which means interval netting approximately every 15 minutes. This will lead to more NEM customers’ electricity registering as exports, now valued at the new, lower ACC value. Overall, the institution on NEM 3.0 has resulted in a smaller market for residential solar systems and it is not certain that market conditions will improve or that NEM 3.0 will be amended or replaced with a more solar-friendly rate structure. Other states may adopt policies similar to NEM 3.0 that cause deterioration to other residential solar markets.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19</w:t>
      </w:r>
    </w:p>
    <w:p>
      <w:pPr>
        <w:pStyle w:val="TextBody"/>
        <w:bidi w:val="0"/>
        <w:spacing w:before="0" w:after="0"/>
        <w:ind w:left="0" w:right="0" w:hanging="0"/>
        <w:jc w:val="left"/>
        <w:rPr/>
      </w:pPr>
      <w:r>
        <w:rPr/>
        <w:t>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Any shortage, delay or component price change from these suppliers or delays and price increases associated with the product transport logistics could result in sales and installation delays, cancellations and loss of market share.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purchase solar panels, inverters and other system components from a number of suppliers for certain components; however, we may be susceptible to quality issues, shortages and price changes. If we fail to develop, maintain and expand relationships with existing or new suppliers, we may be unable to adequately meet anticipated demand for our solar energy systems or may only be able to offer our systems at higher costs or after delays. If one or more of the suppliers that we rely upon to meet anticipated demand ceases or reduces production, we may be unable to satisfy this demand due to an inability to quickly identify alternate suppliers or to qualify alternative products on commercially reasonable terms.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particular, there are a limited number of inverter and battery suppliers. Once we design a system for use with a particular inverter or battery, if that type of inverter or battery is not readily available at an anticipated price, we may incur additional delay and expense to redesign the system and source alternative inventory.</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production of solar panels involves the use of numerous raw materials and components. Several of these have experienced periods of limited availability, particularly polysilicon, as well as indium, cadmium telluride, aluminum and copper. The manufacturing infrastructure for some of these raw materials and components has a long lead time, requires significant capital investment and relies on the continued availability of key commodity materials, potentially resulting in an inability to meet demand for these components. The prices for these raw materials and components fluctuate depending on global market conditions and demand and we may experience rapid increases in costs or sustained periods of limited supplies.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Despite efforts to obtain components from multiple sources whenever possible, many suppliers may be single-source suppliers of certain components. If we cannot maintain long-term supply agreements or identify and qualify multiple sources for components, access to supplies at satisfactory prices, volumes and quality levels may be harmed. We may also experience delivery delays of components from suppliers in various global locations. In addition, while there are alternative suppliers and service providers that we could enter into agreements with to replace our suppliers on commercially reasonable terms, we may be unable to establish alternate supply relationships or obtain or engineer replacement components in the short term, or at all, at favorable prices or costs. Qualifying alternate suppliers or developing our own replacements for certain components may be time-consuming and costly and may force us to make modifications to our product designs.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need to purchase supplies globally and our continued international expansion further subjects us to risks relating to currency fluctuations. Any decline in the exchange rate of the U.S. dollar compared to the functional currency of component suppliers could increase component prices. In addition, the state of the financial markets could limit suppliers’ ability to raise capital if they are required to expand their production to meet our needs or satisfy our operating capital requirements. Changes in economic and business conditions, wars, governmental changes and other factors beyond our control or which we do not presently anticipate, could also affect suppliers’ solvency and ability to deliver components on a timely basis. Any of these shortages, delays or price changes could limit our growth, cause cancellations or adversely affect profitability and the ability to compete in the markets in which we operate effectively.</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Our business substantially focuses on solar service agreements and transactions with residential customers.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business substantially focuses on solar service agreements and transactions with residential customers. Our energy system sales to homeowners utilize power purchase agreements (“</w:t>
      </w:r>
      <w:r>
        <w:rPr>
          <w:rFonts w:ascii="Times New Roman;Times;Serif" w:hAnsi="Times New Roman;Times;Serif"/>
          <w:b/>
          <w:i w:val="false"/>
          <w:caps w:val="false"/>
          <w:smallCaps w:val="false"/>
          <w:sz w:val="20"/>
        </w:rPr>
        <w:t>PPAs</w:t>
      </w:r>
      <w:r>
        <w:rPr>
          <w:rFonts w:ascii="Times New Roman;Times;Serif" w:hAnsi="Times New Roman;Times;Serif"/>
          <w:b w:val="false"/>
          <w:i w:val="false"/>
          <w:caps w:val="false"/>
          <w:smallCaps w:val="false"/>
          <w:sz w:val="20"/>
        </w:rPr>
        <w:t>”), leases, loans and other products and services. We currently offer PPAs and leases through Goodleap, LLC, LightReach, EverBright, LLC, Dividend Solar Loan Company and other financial institutions. If we were unable to arrange new or alternative financing methods for PPAs and leases on favorable terms, our business, financial condition, results of operations, and prospects could be materially and adversely affected.</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If we fail to manage operations and growth effectively, we may be unable to execute our business plan, maintain high levels of customer service or adequately address competitive challenges.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experienced significant growth in recent periods (including through the integration of acquired companies) as measured by our number of customers, and we intend to continue efforts to expand our business within existing and new markets. This growth (including these integration activities) has placed, and any future growth may place, a strain on management, operational and financial infrastructure. Our growth requires our management to devote a significant amount of time and effort to maintain and expand relationships with customers, dealers and other third parties, attract new customers and dealers, arrange financing for growth and manage expansion into additional markets.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20</w:t>
      </w:r>
    </w:p>
    <w:p>
      <w:pPr>
        <w:pStyle w:val="TextBody"/>
        <w:bidi w:val="0"/>
        <w:spacing w:before="0" w:after="0"/>
        <w:ind w:left="0" w:right="0" w:hanging="0"/>
        <w:jc w:val="left"/>
        <w:rPr/>
      </w:pPr>
      <w:r>
        <w:rPr/>
        <w:t>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our current and planned operations, personnel, information technology and other systems and procedures might need to be revised to support future growth and may require us to make additional unanticipated investments in its infrastructure. Our success and ability to further scale our business will depend, in part, on our ability to manage these changes in a cost-effective and efficient manner.</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we cannot manage operations and growth, we may be unable to meet expectations regarding growth, opportunity and financial targets, take advantage of market opportunities, execute our business strategies or respond to competitive pressures. This could also result in declines in quality or customer satisfaction, increased costs, difficulties in introducing new offerings or other operational difficulties. Any failure to effectively manage our operations and growth could adversely impact our reputation, business, financial condition, cash flows and results of operations.</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have incurred losses and may be unable to achieve or sustain profitability in the future.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incurred net losses in the past, including a net loss from continuing operations of $44.3 million in the fiscal year ended December 28, 2025. We had an accumulated deficit of $451.5 million as of March 29, 2026. Additionally, as of March 29, 2026, we had current indebtedness of $38.0 million and long-term indebtedness, including derivative liabilities, net of current of $131.8 million. We will continue to incur net losses as spending increases to finance the expansion of operations, installation, engineering, administrative, sales and marketing staffs, spending increases on brand awareness and other sales and marketing initiatives and implement internal systems and infrastructure to support the Company’s growth. We do not know whether revenue will grow rapidly enough to absorb these costs, and our limited operating history makes it difficult to assess the extent of these expenses or their impact on results of operations. Our ability to achieve profitability depends on a number of factors, including but not limited to:</w:t>
      </w:r>
    </w:p>
    <w:p>
      <w:pPr>
        <w:pStyle w:val="TextBody"/>
        <w:bidi w:val="0"/>
        <w:spacing w:before="0" w:after="0"/>
        <w:ind w:left="0" w:right="0" w:firstLine="360"/>
        <w:jc w:val="both"/>
        <w:rPr>
          <w:caps w:val="false"/>
          <w:smallCaps w:val="false"/>
        </w:rPr>
      </w:pPr>
      <w:r>
        <w:rPr>
          <w:caps w:val="false"/>
          <w:smallCaps w:val="false"/>
        </w:rPr>
        <w:t> </w:t>
      </w:r>
    </w:p>
    <w:tbl>
      <w:tblPr>
        <w:tblW w:w="2530" w:type="dxa"/>
        <w:jc w:val="left"/>
        <w:tblInd w:w="0" w:type="dxa"/>
        <w:tblLayout w:type="fixed"/>
        <w:tblCellMar>
          <w:top w:w="0" w:type="dxa"/>
          <w:left w:w="0" w:type="dxa"/>
          <w:bottom w:w="0" w:type="dxa"/>
          <w:right w:w="0" w:type="dxa"/>
        </w:tblCellMar>
      </w:tblPr>
      <w:tblGrid>
        <w:gridCol w:w="75"/>
        <w:gridCol w:w="170"/>
        <w:gridCol w:w="228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228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Growing the customer base;</w:t>
            </w:r>
          </w:p>
        </w:tc>
      </w:tr>
    </w:tbl>
    <w:p>
      <w:pPr>
        <w:pStyle w:val="TextBody"/>
        <w:bidi w:val="0"/>
        <w:spacing w:before="0" w:after="0"/>
        <w:jc w:val="left"/>
        <w:rPr>
          <w:caps w:val="false"/>
          <w:smallCaps w:val="false"/>
        </w:rPr>
      </w:pPr>
      <w:r>
        <w:rPr>
          <w:caps w:val="false"/>
          <w:smallCaps w:val="false"/>
        </w:rPr>
        <w:t> </w:t>
      </w:r>
    </w:p>
    <w:tbl>
      <w:tblPr>
        <w:tblW w:w="4405" w:type="dxa"/>
        <w:jc w:val="left"/>
        <w:tblInd w:w="0" w:type="dxa"/>
        <w:tblLayout w:type="fixed"/>
        <w:tblCellMar>
          <w:top w:w="0" w:type="dxa"/>
          <w:left w:w="0" w:type="dxa"/>
          <w:bottom w:w="0" w:type="dxa"/>
          <w:right w:w="0" w:type="dxa"/>
        </w:tblCellMar>
      </w:tblPr>
      <w:tblGrid>
        <w:gridCol w:w="75"/>
        <w:gridCol w:w="170"/>
        <w:gridCol w:w="41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41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Maintaining or further lowering the cost of capital;</w:t>
            </w:r>
          </w:p>
        </w:tc>
      </w:tr>
    </w:tbl>
    <w:p>
      <w:pPr>
        <w:pStyle w:val="TextBody"/>
        <w:bidi w:val="0"/>
        <w:spacing w:before="0" w:after="0"/>
        <w:jc w:val="left"/>
        <w:rPr>
          <w:caps w:val="false"/>
          <w:smallCaps w:val="false"/>
        </w:rPr>
      </w:pPr>
      <w:r>
        <w:rPr>
          <w:caps w:val="false"/>
          <w:smallCaps w:val="false"/>
        </w:rPr>
        <w:t> </w:t>
      </w:r>
    </w:p>
    <w:tbl>
      <w:tblPr>
        <w:tblW w:w="5455" w:type="dxa"/>
        <w:jc w:val="left"/>
        <w:tblInd w:w="0" w:type="dxa"/>
        <w:tblLayout w:type="fixed"/>
        <w:tblCellMar>
          <w:top w:w="0" w:type="dxa"/>
          <w:left w:w="0" w:type="dxa"/>
          <w:bottom w:w="0" w:type="dxa"/>
          <w:right w:w="0" w:type="dxa"/>
        </w:tblCellMar>
      </w:tblPr>
      <w:tblGrid>
        <w:gridCol w:w="75"/>
        <w:gridCol w:w="170"/>
        <w:gridCol w:w="521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521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Reducing the cost of components for our solar service offerings;</w:t>
            </w:r>
          </w:p>
        </w:tc>
      </w:tr>
    </w:tbl>
    <w:p>
      <w:pPr>
        <w:pStyle w:val="TextBody"/>
        <w:bidi w:val="0"/>
        <w:spacing w:before="0" w:after="0"/>
        <w:jc w:val="left"/>
        <w:rPr>
          <w:caps w:val="false"/>
          <w:smallCaps w:val="false"/>
        </w:rPr>
      </w:pPr>
      <w:r>
        <w:rPr>
          <w:caps w:val="false"/>
          <w:smallCaps w:val="false"/>
        </w:rPr>
        <w:t> </w:t>
      </w:r>
    </w:p>
    <w:tbl>
      <w:tblPr>
        <w:tblW w:w="4495" w:type="dxa"/>
        <w:jc w:val="left"/>
        <w:tblInd w:w="0" w:type="dxa"/>
        <w:tblLayout w:type="fixed"/>
        <w:tblCellMar>
          <w:top w:w="0" w:type="dxa"/>
          <w:left w:w="0" w:type="dxa"/>
          <w:bottom w:w="0" w:type="dxa"/>
          <w:right w:w="0" w:type="dxa"/>
        </w:tblCellMar>
      </w:tblPr>
      <w:tblGrid>
        <w:gridCol w:w="75"/>
        <w:gridCol w:w="170"/>
        <w:gridCol w:w="425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425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Growing and maintaining our sales partner network;</w:t>
            </w:r>
          </w:p>
        </w:tc>
      </w:tr>
    </w:tbl>
    <w:p>
      <w:pPr>
        <w:pStyle w:val="TextBody"/>
        <w:bidi w:val="0"/>
        <w:spacing w:before="0" w:after="0"/>
        <w:jc w:val="left"/>
        <w:rPr>
          <w:caps w:val="false"/>
          <w:smallCaps w:val="false"/>
        </w:rPr>
      </w:pPr>
      <w:r>
        <w:rPr>
          <w:caps w:val="false"/>
          <w:smallCaps w:val="false"/>
        </w:rPr>
        <w:t> </w:t>
      </w:r>
    </w:p>
    <w:tbl>
      <w:tblPr>
        <w:tblW w:w="6025" w:type="dxa"/>
        <w:jc w:val="left"/>
        <w:tblInd w:w="0" w:type="dxa"/>
        <w:tblLayout w:type="fixed"/>
        <w:tblCellMar>
          <w:top w:w="0" w:type="dxa"/>
          <w:left w:w="0" w:type="dxa"/>
          <w:bottom w:w="0" w:type="dxa"/>
          <w:right w:w="0" w:type="dxa"/>
        </w:tblCellMar>
      </w:tblPr>
      <w:tblGrid>
        <w:gridCol w:w="75"/>
        <w:gridCol w:w="170"/>
        <w:gridCol w:w="578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578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Growing our direct-to-consumer and New Homes business to scale; and</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Reducing operating costs by lowering customer acquisition costs and optimizing our design and installation processes and supply chain logistics.</w:t>
            </w:r>
          </w:p>
        </w:tc>
      </w:tr>
    </w:tbl>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Even if we do achieve profitability, we may be unable to sustain or increase profitability in the future.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A material drop in the retail price of utility-generated electricity or electricity from other sources could adversely impact our ability to attract customers, which would harm our business, financial condition, and results of operations.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believe a homeowner’s decision to buy solar energy from us is primarily driven by a desire to lower electricity costs. Decreases in the retail prices of electricity from utilities or other energy sources would harm our ability to offer competitive pricing and could harm its business. The price of electricity from utilities could decrease as a result of:</w:t>
      </w:r>
    </w:p>
    <w:p>
      <w:pPr>
        <w:pStyle w:val="TextBody"/>
        <w:bidi w:val="0"/>
        <w:spacing w:before="0" w:after="0"/>
        <w:ind w:left="0" w:right="0" w:firstLine="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construction of a significant number of new power generation plants, including nuclear, coal, natural gas or renewable energy technologies;</w:t>
            </w:r>
          </w:p>
        </w:tc>
      </w:tr>
    </w:tbl>
    <w:p>
      <w:pPr>
        <w:pStyle w:val="TextBody"/>
        <w:bidi w:val="0"/>
        <w:spacing w:before="0" w:after="0"/>
        <w:jc w:val="left"/>
        <w:rPr>
          <w:caps w:val="false"/>
          <w:smallCaps w:val="false"/>
        </w:rPr>
      </w:pPr>
      <w:r>
        <w:rPr>
          <w:caps w:val="false"/>
          <w:smallCaps w:val="false"/>
        </w:rPr>
        <w:t> </w:t>
      </w:r>
    </w:p>
    <w:tbl>
      <w:tblPr>
        <w:tblW w:w="6250" w:type="dxa"/>
        <w:jc w:val="left"/>
        <w:tblInd w:w="0" w:type="dxa"/>
        <w:tblLayout w:type="fixed"/>
        <w:tblCellMar>
          <w:top w:w="0" w:type="dxa"/>
          <w:left w:w="0" w:type="dxa"/>
          <w:bottom w:w="0" w:type="dxa"/>
          <w:right w:w="0" w:type="dxa"/>
        </w:tblCellMar>
      </w:tblPr>
      <w:tblGrid>
        <w:gridCol w:w="75"/>
        <w:gridCol w:w="170"/>
        <w:gridCol w:w="600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600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construction of additional electric transmission and distribution lines;</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21</w:t>
      </w:r>
    </w:p>
    <w:p>
      <w:pPr>
        <w:pStyle w:val="TextBody"/>
        <w:bidi w:val="0"/>
        <w:spacing w:before="0" w:after="0"/>
        <w:ind w:left="0" w:right="0" w:hanging="0"/>
        <w:jc w:val="left"/>
        <w:rPr/>
      </w:pPr>
      <w:r>
        <w:rPr/>
        <w:t> </w:t>
      </w:r>
    </w:p>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 reduction in the price of natural gas or other natural resources as a result of new drilling techniques or other technological developments, a relaxation of associated regulatory standards, or broader economic or policy developments;</w:t>
            </w:r>
          </w:p>
        </w:tc>
      </w:tr>
    </w:tbl>
    <w:p>
      <w:pPr>
        <w:pStyle w:val="TextBody"/>
        <w:bidi w:val="0"/>
        <w:spacing w:before="0" w:after="0"/>
        <w:jc w:val="left"/>
        <w:rPr>
          <w:caps w:val="false"/>
          <w:smallCaps w:val="false"/>
        </w:rPr>
      </w:pPr>
      <w:r>
        <w:rPr>
          <w:caps w:val="false"/>
          <w:smallCaps w:val="false"/>
        </w:rPr>
        <w:t> </w:t>
      </w:r>
    </w:p>
    <w:tbl>
      <w:tblPr>
        <w:tblW w:w="7645" w:type="dxa"/>
        <w:jc w:val="left"/>
        <w:tblInd w:w="0" w:type="dxa"/>
        <w:tblLayout w:type="fixed"/>
        <w:tblCellMar>
          <w:top w:w="0" w:type="dxa"/>
          <w:left w:w="0" w:type="dxa"/>
          <w:bottom w:w="0" w:type="dxa"/>
          <w:right w:w="0" w:type="dxa"/>
        </w:tblCellMar>
      </w:tblPr>
      <w:tblGrid>
        <w:gridCol w:w="75"/>
        <w:gridCol w:w="170"/>
        <w:gridCol w:w="740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740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energy conservation technologies and public initiatives to reduce electricity consumption;</w:t>
            </w:r>
          </w:p>
        </w:tc>
      </w:tr>
    </w:tbl>
    <w:p>
      <w:pPr>
        <w:pStyle w:val="TextBody"/>
        <w:bidi w:val="0"/>
        <w:spacing w:before="0" w:after="0"/>
        <w:jc w:val="left"/>
        <w:rPr>
          <w:caps w:val="false"/>
          <w:smallCaps w:val="false"/>
        </w:rPr>
      </w:pPr>
      <w:r>
        <w:rPr>
          <w:caps w:val="false"/>
          <w:smallCaps w:val="false"/>
        </w:rPr>
        <w:t> </w:t>
      </w:r>
    </w:p>
    <w:tbl>
      <w:tblPr>
        <w:tblW w:w="9355" w:type="dxa"/>
        <w:jc w:val="left"/>
        <w:tblInd w:w="0" w:type="dxa"/>
        <w:tblLayout w:type="fixed"/>
        <w:tblCellMar>
          <w:top w:w="0" w:type="dxa"/>
          <w:left w:w="0" w:type="dxa"/>
          <w:bottom w:w="0" w:type="dxa"/>
          <w:right w:w="0" w:type="dxa"/>
        </w:tblCellMar>
      </w:tblPr>
      <w:tblGrid>
        <w:gridCol w:w="75"/>
        <w:gridCol w:w="170"/>
        <w:gridCol w:w="911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11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subsidies impacting electricity prices, including in connection with electricity generation and transmission; and</w:t>
            </w:r>
          </w:p>
        </w:tc>
      </w:tr>
    </w:tbl>
    <w:p>
      <w:pPr>
        <w:pStyle w:val="TextBody"/>
        <w:bidi w:val="0"/>
        <w:spacing w:before="0" w:after="0"/>
        <w:jc w:val="left"/>
        <w:rPr>
          <w:caps w:val="false"/>
          <w:smallCaps w:val="false"/>
        </w:rPr>
      </w:pPr>
      <w:r>
        <w:rPr>
          <w:caps w:val="false"/>
          <w:smallCaps w:val="false"/>
        </w:rPr>
        <w:t> </w:t>
      </w:r>
    </w:p>
    <w:tbl>
      <w:tblPr>
        <w:tblW w:w="6520" w:type="dxa"/>
        <w:jc w:val="left"/>
        <w:tblInd w:w="0" w:type="dxa"/>
        <w:tblLayout w:type="fixed"/>
        <w:tblCellMar>
          <w:top w:w="0" w:type="dxa"/>
          <w:left w:w="0" w:type="dxa"/>
          <w:bottom w:w="0" w:type="dxa"/>
          <w:right w:w="0" w:type="dxa"/>
        </w:tblCellMar>
      </w:tblPr>
      <w:tblGrid>
        <w:gridCol w:w="75"/>
        <w:gridCol w:w="170"/>
        <w:gridCol w:w="627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627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development of new energy technologies that provide less expensive energy.</w:t>
            </w:r>
          </w:p>
        </w:tc>
      </w:tr>
    </w:tbl>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reduction in utility electricity prices would make the purchase of our solar service offerings less attractive. If the retail price of energy available from utilities were to decrease due to any of these or other reasons, we would be at a competitive disadvantage. As a result, we may be unable to attract new homeowners and growth would be limited.</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face competition from both traditional energy companies and renewable energy companies.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solar energy and renewable energy industries are both highly competitive and continually evolving as participants strive to distinguish themselves within their markets and compete with large utilities. Our primary competitors are the traditional utilities that supply energy to potential customers. We compete with these utilities primarily based on price, predictability of price and the ease by which customers can switch to electricity generated by our solar energy systems. If we cannot offer compelling value to its customers based on these factors, then our business will not grow. Utilities generally have substantially greater financial, technical, operational and other resources than us. As a result of their greater size, these competitors may be able to devote more resources to the research, development, promotion and sale of their products or respond more quickly to evolving industry standards and changes in market conditions than we can. Utilities could also offer other value added products and services that could help them compete with us even if the cost of electricity they offer is higher than ours. In addition, utilities’ diversified generation portfolios which may allow utilities to sell electricity more cheaply than electricity generated by our solar energy systems.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Our growth strategy depends on the widespread adoption of solar power technology.</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distributed residential solar energy market is at a relatively early stage of development compared to fossil fuel-based electricity generation. If additional demand for distributed residential solar energy systems fails to develop sufficiently or takes longer to develop than we anticipate, the Company may be unable to originate additional solar service agreements and related solar energy systems and energy storage systems to grow the business. In addition, demand for solar energy systems and energy storage systems in our targeted markets may not develop to the extent it anticipates. As a result, we may need to successfully broaden our customer base through origination of solar service agreements and related solar energy systems and energy storage systems within its current markets or in new markets we may enter.</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Many factors may affect the demand for solar energy systems, including, but not limited to, the following:</w:t>
      </w:r>
    </w:p>
    <w:p>
      <w:pPr>
        <w:pStyle w:val="TextBody"/>
        <w:bidi w:val="0"/>
        <w:spacing w:before="0" w:after="0"/>
        <w:ind w:left="0" w:right="0" w:firstLine="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availability, substance and magnitude of solar support programs including government targets, subsidies, incentives, renewable portfolio standards and residential net metering rules;</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relative pricing of other conventional and non-renewable energy sources, such as natural gas, coal, oil and other fossil fuels, wind, utility-scale solar, nuclear, geothermal and biomass;</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performance, reliability and availability of energy generated by solar energy systems compared to conventional and other non-solar renewable energy sources;</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availability and performance of energy storage technology, the ability to implement such technology for use in conjunction with solar energy systems and the cost competitiveness such technology provides to customers as compared to costs for those customers reliant on the conventional electrical grid; and</w:t>
            </w:r>
          </w:p>
        </w:tc>
      </w:tr>
    </w:tbl>
    <w:p>
      <w:pPr>
        <w:pStyle w:val="TextBody"/>
        <w:bidi w:val="0"/>
        <w:spacing w:before="0" w:after="0"/>
        <w:jc w:val="left"/>
        <w:rPr>
          <w:caps w:val="false"/>
          <w:smallCaps w:val="false"/>
        </w:rPr>
      </w:pPr>
      <w:r>
        <w:rPr>
          <w:caps w:val="false"/>
          <w:smallCaps w:val="false"/>
        </w:rPr>
        <w:t> </w:t>
      </w:r>
    </w:p>
    <w:tbl>
      <w:tblPr>
        <w:tblW w:w="5050" w:type="dxa"/>
        <w:jc w:val="left"/>
        <w:tblInd w:w="0" w:type="dxa"/>
        <w:tblLayout w:type="fixed"/>
        <w:tblCellMar>
          <w:top w:w="0" w:type="dxa"/>
          <w:left w:w="0" w:type="dxa"/>
          <w:bottom w:w="0" w:type="dxa"/>
          <w:right w:w="0" w:type="dxa"/>
        </w:tblCellMar>
      </w:tblPr>
      <w:tblGrid>
        <w:gridCol w:w="75"/>
        <w:gridCol w:w="170"/>
        <w:gridCol w:w="480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480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general economic conditions and the level of interest rates.</w:t>
            </w:r>
          </w:p>
        </w:tc>
      </w:tr>
    </w:tbl>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22</w:t>
      </w:r>
    </w:p>
    <w:p>
      <w:pPr>
        <w:pStyle w:val="TextBody"/>
        <w:bidi w:val="0"/>
        <w:spacing w:before="0" w:after="0"/>
        <w:ind w:left="0" w:right="0" w:hanging="0"/>
        <w:jc w:val="left"/>
        <w:rPr/>
      </w:pPr>
      <w:r>
        <w:rPr/>
        <w:t>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residential solar energy industry is constantly evolving, which makes it difficult to evaluate our prospects. We cannot be certain if historical growth rates reflect future opportunities or its anticipated growth will be realized. The failure of distributed residential solar energy to achieve, or its being significantly delayed in achieving, widespread adoption could have a material adverse effect on our business, financial condition and results of operations.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Our business could be adversely affected by seasonal trends, poor weather, labor shortages, and construction cycles.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business is subject to significant industry-specific seasonal fluctuations. In the U.S., many customers make purchasing decisions towards the end of the year in order to take advantage of tax credits and residential solar sales tend to decline during the winter months. In addition, sales in the new home development market are often tied to construction market demands, which tend to follow national trends in construction, including declining sales during cold weather months.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Natural disasters, terrorist activities, political unrest, economic volatility, and other outbreaks could disrupt our delivery and operations, which could materially and adversely affect our business, financial condition, and results of operations.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Global pandemics or fear of spread of contagious diseases, such as Ebola virus disease (EVD), coronavirus disease 2019 (COVID-19), Middle East respiratory syndrome (MERS), severe acute respiratory syndrome (SARS), H1N1 flu, H7N9 flu, avian flu and monkeypox, as well as hurricanes, earthquakes, tsunamis, or other natural disasters could disrupt our business operations, reduce or restrict operations and services, incur significant costs to protect its employees and facilities, or result in regional or global economic distress, which may materially and adversely affect business, financial condition, and results of operations. Actual or threatened war, terrorist activities, political unrest, civil strife, future disruptions in access to bank deposits or lending commitments due to bank failures and other geopolitical uncertainty could have a similar adverse effect on our business, financial condition, and results of operations. On February 24, 2022, the Russian Federation launched an invasion of Ukraine that has had an immediate impact on the global economy resulting in higher energy prices and higher prices for certain raw materials and goods and services which in turn is contributing to higher inflation in the U.S. and other countries across the globe with significant disruption to financial markets. Any one or more of these events may impede our operation and delivery efforts and adversely affect sales results, or even for a prolonged period of time, which could materially and adversely affect our business, financial condition, and results of operations. We cannot predict the full effects the supply chain constraints will have on our business, cash flows, liquidity, financial condition and results of operations at this time due to numerous uncertainties.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are exposed to the credit risk of customers and our finance partners, and payment delinquencies on accounts receivables.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Defaults by customers and the financial institutions that fund some of our customers’ solar systems have not been material to date, but we expect that the risk of customer defaults or financial partner defaults may increase as we grow our business. For example, Sunnova Energy International, Inc. (“Sunnova”), a major provider of financing for solar systems, announced that substantial doubt exists regarding its ability to continue as a going concern. While the Company does not use Sunnova for any of its customer financing, if any of our financing partners experience liquidity concerns or stop funding projects, we may incur significant losses or project delays. If any of our customers are unable to make milestone payments on systems purchased in cash, our revenue and costs could be adversely affected. If economic conditions worsen, certain of our customers or finance partners may face liquidity concerns and may be unable to satisfy their payment obligations to us on a timely basis or at all, which could have a material adverse effect on our financial condition and results of operations.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23</w:t>
      </w:r>
    </w:p>
    <w:p>
      <w:pPr>
        <w:pStyle w:val="TextBody"/>
        <w:bidi w:val="0"/>
        <w:spacing w:before="0" w:after="0"/>
        <w:ind w:left="0" w:right="0" w:hanging="0"/>
        <w:jc w:val="left"/>
        <w:rPr/>
      </w:pPr>
      <w:r>
        <w:rPr/>
        <w:t>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may not realize the anticipated benefits of past or future acquisitions, including the transactions under the asset purchase agreement with the SunPower Debtors, the Sunder Acquisition, the Ambia Acquisition and the Cobalt Acquisition and integration of these acquisitions may disrupt our business.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November 2022, we acquired The Solaria Corporation (“</w:t>
      </w:r>
      <w:r>
        <w:rPr>
          <w:rFonts w:ascii="Times New Roman;Times;Serif" w:hAnsi="Times New Roman;Times;Serif"/>
          <w:b/>
          <w:i w:val="false"/>
          <w:caps w:val="false"/>
          <w:smallCaps w:val="false"/>
          <w:sz w:val="20"/>
        </w:rPr>
        <w:t>Solaria</w:t>
      </w:r>
      <w:r>
        <w:rPr>
          <w:rFonts w:ascii="Times New Roman;Times;Serif" w:hAnsi="Times New Roman;Times;Serif"/>
          <w:b w:val="false"/>
          <w:i w:val="false"/>
          <w:caps w:val="false"/>
          <w:smallCaps w:val="false"/>
          <w:sz w:val="20"/>
        </w:rPr>
        <w:t>”), after which Complete Solar was renamed “Complete Solaria, Inc.” In October 2023, we subsequently sold solar panel assets of Solaria, including intellectual property and customer contracts, to Maxeon Solar Technologies, Ltd., which resulted in an impairment loss of $147.5 million and loss on disposal of $1.8 million. On September 30, 2024, we completed the acquisition of the Acquired SunPower Assets under the APA with the SunPower Debtors, which resulted in our acquisition of the SunPower Businesses and a significant expansion of our business operations and headcount. On September 21, 2025, we entered into an agreement to acquire Sunder and completed the Sunder Acquisition effective September 24, 2025. On November 21, 2025, we entered into an agreement to acquire Ambia and completed the Ambia Acquisition on November 21, 2025. We completed the acquisition of Cobalt on February 2, 2026. In the future, we may acquire additional companies, project pipelines, products, or technologies, or enter into joint ventures or other strategic initiatives. Our ability as an organization to integrate acquisitions is unproven. We may not realize the anticipated benefits of our acquisitions or any other future acquisition or the acquisition may be viewed negatively by customers, financial markets or investors.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acquisition has numerous risks, including, but not limited to, the following:</w:t>
      </w:r>
    </w:p>
    <w:p>
      <w:pPr>
        <w:pStyle w:val="TextBody"/>
        <w:bidi w:val="0"/>
        <w:spacing w:before="0" w:after="0"/>
        <w:jc w:val="both"/>
        <w:rPr>
          <w:caps w:val="false"/>
          <w:smallCaps w:val="false"/>
        </w:rPr>
      </w:pPr>
      <w:r>
        <w:rPr>
          <w:caps w:val="false"/>
          <w:smallCaps w:val="false"/>
        </w:rPr>
        <w:t> </w:t>
      </w:r>
    </w:p>
    <w:tbl>
      <w:tblPr>
        <w:tblW w:w="6790" w:type="dxa"/>
        <w:jc w:val="left"/>
        <w:tblInd w:w="0" w:type="dxa"/>
        <w:tblLayout w:type="fixed"/>
        <w:tblCellMar>
          <w:top w:w="0" w:type="dxa"/>
          <w:left w:w="0" w:type="dxa"/>
          <w:bottom w:w="0" w:type="dxa"/>
          <w:right w:w="0" w:type="dxa"/>
        </w:tblCellMar>
      </w:tblPr>
      <w:tblGrid>
        <w:gridCol w:w="75"/>
        <w:gridCol w:w="170"/>
        <w:gridCol w:w="654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654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difficulty in assimilating the operations and personnel of the acquired company;</w:t>
            </w:r>
          </w:p>
        </w:tc>
      </w:tr>
    </w:tbl>
    <w:p>
      <w:pPr>
        <w:pStyle w:val="TextBody"/>
        <w:bidi w:val="0"/>
        <w:spacing w:before="0" w:after="0"/>
        <w:jc w:val="left"/>
        <w:rPr>
          <w:caps w:val="false"/>
          <w:smallCaps w:val="false"/>
        </w:rPr>
      </w:pPr>
      <w:r>
        <w:rPr>
          <w:caps w:val="false"/>
          <w:smallCaps w:val="false"/>
        </w:rPr>
        <w:t> </w:t>
      </w:r>
    </w:p>
    <w:tbl>
      <w:tblPr>
        <w:tblW w:w="9490" w:type="dxa"/>
        <w:jc w:val="left"/>
        <w:tblInd w:w="0" w:type="dxa"/>
        <w:tblLayout w:type="fixed"/>
        <w:tblCellMar>
          <w:top w:w="0" w:type="dxa"/>
          <w:left w:w="0" w:type="dxa"/>
          <w:bottom w:w="0" w:type="dxa"/>
          <w:right w:w="0" w:type="dxa"/>
        </w:tblCellMar>
      </w:tblPr>
      <w:tblGrid>
        <w:gridCol w:w="75"/>
        <w:gridCol w:w="170"/>
        <w:gridCol w:w="924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24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difficulty in effectively integrating the acquired technologies or products with current products and technologies;</w:t>
            </w:r>
          </w:p>
        </w:tc>
      </w:tr>
    </w:tbl>
    <w:p>
      <w:pPr>
        <w:pStyle w:val="TextBody"/>
        <w:bidi w:val="0"/>
        <w:spacing w:before="0" w:after="0"/>
        <w:jc w:val="left"/>
        <w:rPr>
          <w:caps w:val="false"/>
          <w:smallCaps w:val="false"/>
        </w:rPr>
      </w:pPr>
      <w:r>
        <w:rPr>
          <w:caps w:val="false"/>
          <w:smallCaps w:val="false"/>
        </w:rPr>
        <w:t> </w:t>
      </w:r>
    </w:p>
    <w:tbl>
      <w:tblPr>
        <w:tblW w:w="8065" w:type="dxa"/>
        <w:jc w:val="left"/>
        <w:tblInd w:w="0" w:type="dxa"/>
        <w:tblLayout w:type="fixed"/>
        <w:tblCellMar>
          <w:top w:w="0" w:type="dxa"/>
          <w:left w:w="0" w:type="dxa"/>
          <w:bottom w:w="0" w:type="dxa"/>
          <w:right w:w="0" w:type="dxa"/>
        </w:tblCellMar>
      </w:tblPr>
      <w:tblGrid>
        <w:gridCol w:w="75"/>
        <w:gridCol w:w="170"/>
        <w:gridCol w:w="782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782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difficulty in maintaining controls, procedures and policies during the transition and integration;</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disruption of ongoing business and distraction of management and employees from other opportunities and challenges due to integration issues;</w:t>
            </w:r>
          </w:p>
        </w:tc>
      </w:tr>
    </w:tbl>
    <w:p>
      <w:pPr>
        <w:pStyle w:val="TextBody"/>
        <w:bidi w:val="0"/>
        <w:spacing w:before="0" w:after="0"/>
        <w:jc w:val="left"/>
        <w:rPr>
          <w:caps w:val="false"/>
          <w:smallCaps w:val="false"/>
        </w:rPr>
      </w:pPr>
      <w:r>
        <w:rPr>
          <w:caps w:val="false"/>
          <w:smallCaps w:val="false"/>
        </w:rPr>
        <w:t> </w:t>
      </w:r>
    </w:p>
    <w:tbl>
      <w:tblPr>
        <w:tblW w:w="9820" w:type="dxa"/>
        <w:jc w:val="left"/>
        <w:tblInd w:w="0" w:type="dxa"/>
        <w:tblLayout w:type="fixed"/>
        <w:tblCellMar>
          <w:top w:w="0" w:type="dxa"/>
          <w:left w:w="0" w:type="dxa"/>
          <w:bottom w:w="0" w:type="dxa"/>
          <w:right w:w="0" w:type="dxa"/>
        </w:tblCellMar>
      </w:tblPr>
      <w:tblGrid>
        <w:gridCol w:w="75"/>
        <w:gridCol w:w="170"/>
        <w:gridCol w:w="957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57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difficulty integrating the acquired company’s accounting, management information and other administrative systems;</w:t>
            </w:r>
          </w:p>
        </w:tc>
      </w:tr>
    </w:tbl>
    <w:p>
      <w:pPr>
        <w:pStyle w:val="TextBody"/>
        <w:bidi w:val="0"/>
        <w:spacing w:before="0" w:after="0"/>
        <w:jc w:val="left"/>
        <w:rPr>
          <w:caps w:val="false"/>
          <w:smallCaps w:val="false"/>
        </w:rPr>
      </w:pPr>
      <w:r>
        <w:rPr>
          <w:caps w:val="false"/>
          <w:smallCaps w:val="false"/>
        </w:rPr>
        <w:t> </w:t>
      </w:r>
    </w:p>
    <w:tbl>
      <w:tblPr>
        <w:tblW w:w="7030" w:type="dxa"/>
        <w:jc w:val="left"/>
        <w:tblInd w:w="0" w:type="dxa"/>
        <w:tblLayout w:type="fixed"/>
        <w:tblCellMar>
          <w:top w:w="0" w:type="dxa"/>
          <w:left w:w="0" w:type="dxa"/>
          <w:bottom w:w="0" w:type="dxa"/>
          <w:right w:w="0" w:type="dxa"/>
        </w:tblCellMar>
      </w:tblPr>
      <w:tblGrid>
        <w:gridCol w:w="75"/>
        <w:gridCol w:w="170"/>
        <w:gridCol w:w="678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678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inability to retain key technical and managerial personnel of the acquired business;</w:t>
            </w:r>
          </w:p>
        </w:tc>
      </w:tr>
    </w:tbl>
    <w:p>
      <w:pPr>
        <w:pStyle w:val="TextBody"/>
        <w:bidi w:val="0"/>
        <w:spacing w:before="0" w:after="0"/>
        <w:jc w:val="left"/>
        <w:rPr>
          <w:caps w:val="false"/>
          <w:smallCaps w:val="false"/>
        </w:rPr>
      </w:pPr>
      <w:r>
        <w:rPr>
          <w:caps w:val="false"/>
          <w:smallCaps w:val="false"/>
        </w:rPr>
        <w:t> </w:t>
      </w:r>
    </w:p>
    <w:tbl>
      <w:tblPr>
        <w:tblW w:w="7975" w:type="dxa"/>
        <w:jc w:val="left"/>
        <w:tblInd w:w="0" w:type="dxa"/>
        <w:tblLayout w:type="fixed"/>
        <w:tblCellMar>
          <w:top w:w="0" w:type="dxa"/>
          <w:left w:w="0" w:type="dxa"/>
          <w:bottom w:w="0" w:type="dxa"/>
          <w:right w:w="0" w:type="dxa"/>
        </w:tblCellMar>
      </w:tblPr>
      <w:tblGrid>
        <w:gridCol w:w="75"/>
        <w:gridCol w:w="170"/>
        <w:gridCol w:w="773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773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inability to retain key customers, vendors, and other business partners of the acquired business;</w:t>
            </w:r>
          </w:p>
        </w:tc>
      </w:tr>
    </w:tbl>
    <w:p>
      <w:pPr>
        <w:pStyle w:val="TextBody"/>
        <w:bidi w:val="0"/>
        <w:spacing w:before="0" w:after="0"/>
        <w:jc w:val="left"/>
        <w:rPr>
          <w:caps w:val="false"/>
          <w:smallCaps w:val="false"/>
        </w:rPr>
      </w:pPr>
      <w:r>
        <w:rPr>
          <w:caps w:val="false"/>
          <w:smallCaps w:val="false"/>
        </w:rPr>
        <w:t> </w:t>
      </w:r>
    </w:p>
    <w:tbl>
      <w:tblPr>
        <w:tblW w:w="7975" w:type="dxa"/>
        <w:jc w:val="left"/>
        <w:tblInd w:w="0" w:type="dxa"/>
        <w:tblLayout w:type="fixed"/>
        <w:tblCellMar>
          <w:top w:w="0" w:type="dxa"/>
          <w:left w:w="0" w:type="dxa"/>
          <w:bottom w:w="0" w:type="dxa"/>
          <w:right w:w="0" w:type="dxa"/>
        </w:tblCellMar>
      </w:tblPr>
      <w:tblGrid>
        <w:gridCol w:w="75"/>
        <w:gridCol w:w="170"/>
        <w:gridCol w:w="773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773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inability to achieve the financial and strategic goals for the acquired and combined businesses;</w:t>
            </w:r>
          </w:p>
        </w:tc>
      </w:tr>
    </w:tbl>
    <w:p>
      <w:pPr>
        <w:pStyle w:val="TextBody"/>
        <w:bidi w:val="0"/>
        <w:spacing w:before="0" w:after="0"/>
        <w:jc w:val="left"/>
        <w:rPr>
          <w:caps w:val="false"/>
          <w:smallCaps w:val="false"/>
        </w:rPr>
      </w:pPr>
      <w:r>
        <w:rPr>
          <w:caps w:val="false"/>
          <w:smallCaps w:val="false"/>
        </w:rPr>
        <w:t> </w:t>
      </w:r>
    </w:p>
    <w:tbl>
      <w:tblPr>
        <w:tblW w:w="10135" w:type="dxa"/>
        <w:jc w:val="left"/>
        <w:tblInd w:w="0" w:type="dxa"/>
        <w:tblLayout w:type="fixed"/>
        <w:tblCellMar>
          <w:top w:w="0" w:type="dxa"/>
          <w:left w:w="0" w:type="dxa"/>
          <w:bottom w:w="0" w:type="dxa"/>
          <w:right w:w="0" w:type="dxa"/>
        </w:tblCellMar>
      </w:tblPr>
      <w:tblGrid>
        <w:gridCol w:w="75"/>
        <w:gridCol w:w="170"/>
        <w:gridCol w:w="989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89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incurring acquisition-related costs or amortization costs for acquired intangible assets that could impact operating results;</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failure of due diligence processes to identify significant issues with product quality, legal and financial liabilities, among other things;</w:t>
            </w:r>
          </w:p>
        </w:tc>
      </w:tr>
    </w:tbl>
    <w:p>
      <w:pPr>
        <w:pStyle w:val="TextBody"/>
        <w:bidi w:val="0"/>
        <w:spacing w:before="0" w:after="0"/>
        <w:jc w:val="left"/>
        <w:rPr>
          <w:caps w:val="false"/>
          <w:smallCaps w:val="false"/>
        </w:rPr>
      </w:pPr>
      <w:r>
        <w:rPr>
          <w:caps w:val="false"/>
          <w:smallCaps w:val="false"/>
        </w:rPr>
        <w:t> </w:t>
      </w:r>
    </w:p>
    <w:tbl>
      <w:tblPr>
        <w:tblW w:w="6835" w:type="dxa"/>
        <w:jc w:val="left"/>
        <w:tblInd w:w="0" w:type="dxa"/>
        <w:tblLayout w:type="fixed"/>
        <w:tblCellMar>
          <w:top w:w="0" w:type="dxa"/>
          <w:left w:w="0" w:type="dxa"/>
          <w:bottom w:w="0" w:type="dxa"/>
          <w:right w:w="0" w:type="dxa"/>
        </w:tblCellMar>
      </w:tblPr>
      <w:tblGrid>
        <w:gridCol w:w="75"/>
        <w:gridCol w:w="170"/>
        <w:gridCol w:w="659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659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inability to assert that internal controls over financial reporting are effective; and</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inability to obtain, or obtain in a timely manner, approvals from governmental authorities, which could delay or prevent such acquisitions.</w:t>
            </w:r>
          </w:p>
        </w:tc>
      </w:tr>
    </w:tbl>
    <w:p>
      <w:pPr>
        <w:pStyle w:val="TextBody"/>
        <w:bidi w:val="0"/>
        <w:spacing w:before="0" w:after="0"/>
        <w:jc w:val="left"/>
        <w:rPr>
          <w:caps w:val="false"/>
          <w:smallCaps w:val="false"/>
        </w:rPr>
      </w:pPr>
      <w:r>
        <w:rPr>
          <w:caps w:val="false"/>
          <w:smallCaps w:val="false"/>
        </w:rPr>
        <w:t> </w:t>
      </w:r>
    </w:p>
    <w:tbl>
      <w:tblPr>
        <w:tblW w:w="7795" w:type="dxa"/>
        <w:jc w:val="left"/>
        <w:tblInd w:w="0" w:type="dxa"/>
        <w:tblLayout w:type="fixed"/>
        <w:tblCellMar>
          <w:top w:w="0" w:type="dxa"/>
          <w:left w:w="0" w:type="dxa"/>
          <w:bottom w:w="0" w:type="dxa"/>
          <w:right w:w="0" w:type="dxa"/>
        </w:tblCellMar>
      </w:tblPr>
      <w:tblGrid>
        <w:gridCol w:w="75"/>
        <w:gridCol w:w="170"/>
        <w:gridCol w:w="755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755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 xml:space="preserve">inability to rebuild trust with home builders due to the bankruptcy of the SunPower Debtors. </w:t>
            </w:r>
          </w:p>
        </w:tc>
      </w:tr>
    </w:tbl>
    <w:p>
      <w:pPr>
        <w:pStyle w:val="TextBody"/>
        <w:bidi w:val="0"/>
        <w:spacing w:before="0" w:after="0"/>
        <w:jc w:val="left"/>
        <w:rPr>
          <w:caps w:val="false"/>
          <w:smallCaps w:val="false"/>
        </w:rPr>
      </w:pPr>
      <w:r>
        <w:rPr>
          <w:caps w:val="false"/>
          <w:smallCaps w:val="false"/>
        </w:rPr>
        <w:t> </w:t>
      </w:r>
    </w:p>
    <w:tbl>
      <w:tblPr>
        <w:tblW w:w="9655" w:type="dxa"/>
        <w:jc w:val="left"/>
        <w:tblInd w:w="0" w:type="dxa"/>
        <w:tblLayout w:type="fixed"/>
        <w:tblCellMar>
          <w:top w:w="0" w:type="dxa"/>
          <w:left w:w="0" w:type="dxa"/>
          <w:bottom w:w="0" w:type="dxa"/>
          <w:right w:w="0" w:type="dxa"/>
        </w:tblCellMar>
      </w:tblPr>
      <w:tblGrid>
        <w:gridCol w:w="75"/>
        <w:gridCol w:w="170"/>
        <w:gridCol w:w="941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41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inability to obtain advantageous financing arrangements with financiers in order to pass the saving on to customers.</w:t>
            </w:r>
          </w:p>
        </w:tc>
      </w:tr>
    </w:tbl>
    <w:p>
      <w:pPr>
        <w:pStyle w:val="TextBody"/>
        <w:bidi w:val="0"/>
        <w:spacing w:before="0" w:after="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24</w:t>
      </w:r>
    </w:p>
    <w:p>
      <w:pPr>
        <w:pStyle w:val="TextBody"/>
        <w:bidi w:val="0"/>
        <w:spacing w:before="0" w:after="0"/>
        <w:ind w:left="0" w:right="0" w:hanging="0"/>
        <w:jc w:val="left"/>
        <w:rPr/>
      </w:pPr>
      <w:r>
        <w:rPr/>
        <w:t> </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may be required to file claims against other parties for infringing its intellectual property that may be costly and may not be resolved in its favor.</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protect our intellectual property rights and to maintain competitive advantage, we have filed, and may continue to file, suits against parties we believe infringe or misappropriate our intellectual property. Intellectual property litigation is expensive and time-consuming, could divert management’s attention from our business, and could have a material adverse effect on our business, operating results, or financial condition, and our enforcement efforts may not be successful. In addition, the validity of our patents may be challenged in such litigation. Our participation in intellectual property enforcement actions may negatively impact our financial results.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Developments in technology or improvements in distributed solar energy generation and related technologies or components may materially adversely affect demand for our offerings.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Significant developments in technology, such as advances in distributed solar power generation, energy storage solutions such as batteries, energy storage management systems, the widespread use or adoption of fuel cells for residential or commercial properties or improvements in other forms of distributed or centralized power production may materially and adversely affect demand for our offerings and otherwise affect our business. Future technological advancements may result in reduced prices to consumers or more efficient solar energy systems than those available today, either of which may result in current customer dissatisfaction. We may not be able to adopt these new technologies as quickly as its competitors or on a cost-effective basis.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Additionally, recent technological advancements may impact our business in ways not currently anticipated. Any failure by us to adopt or have access to new or enhanced technologies or processes, or to react to changes in existing technologies, could result in product obsolescence or the loss of competitiveness of and decreased consumer interest in its solar energy services, which could have a material adverse effect on its business, financial condition and results of operations.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Our business is subject to complex and evolving data protection laws. Many of these laws and regulations are subject to change and uncertain interpretation and could result in claims, increased cost of operations or otherwise harm its business.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Consumer personal privacy and data security have become significant issues and the subject of rapidly evolving regulation in the U.S. Furthermore, federal, state and local government bodies or agencies have in the past adopted, and may in the future adopt, more laws and regulations affecting data privacy. For example, the state of California enacted the California Consumer Privacy Act of 2018 (“</w:t>
      </w:r>
      <w:r>
        <w:rPr>
          <w:rFonts w:ascii="Times New Roman;Times;Serif" w:hAnsi="Times New Roman;Times;Serif"/>
          <w:b/>
          <w:i w:val="false"/>
          <w:caps w:val="false"/>
          <w:smallCaps w:val="false"/>
          <w:sz w:val="20"/>
        </w:rPr>
        <w:t>CCPA</w:t>
      </w:r>
      <w:r>
        <w:rPr>
          <w:rFonts w:ascii="Times New Roman;Times;Serif" w:hAnsi="Times New Roman;Times;Serif"/>
          <w:b w:val="false"/>
          <w:i w:val="false"/>
          <w:caps w:val="false"/>
          <w:smallCaps w:val="false"/>
          <w:sz w:val="20"/>
        </w:rPr>
        <w:t>”) and California voters recently approved the California Privacy Rights Act (“</w:t>
      </w:r>
      <w:r>
        <w:rPr>
          <w:rFonts w:ascii="Times New Roman;Times;Serif" w:hAnsi="Times New Roman;Times;Serif"/>
          <w:b/>
          <w:i w:val="false"/>
          <w:caps w:val="false"/>
          <w:smallCaps w:val="false"/>
          <w:sz w:val="20"/>
        </w:rPr>
        <w:t>CPRA</w:t>
      </w:r>
      <w:r>
        <w:rPr>
          <w:rFonts w:ascii="Times New Roman;Times;Serif" w:hAnsi="Times New Roman;Times;Serif"/>
          <w:b w:val="false"/>
          <w:i w:val="false"/>
          <w:caps w:val="false"/>
          <w:smallCaps w:val="false"/>
          <w:sz w:val="20"/>
        </w:rPr>
        <w:t>”). The CCPA creates individual privacy rights for consumers and places increased privacy and security obligations on entities handling the personal data of consumers or households. The CCPA went into effect in January 2020 and it requires covered companies to provide new disclosures to California consumers, provides such consumers, business-to-business contacts and employees new ways to opt-out of certain sales of personal information, and allows for a new private right of action for data breaches. The CPRA modifies the CCPA and imposes additional data protection obligations on companies doing business in California, including additional consumer rights processes and opt outs for certain uses of sensitive data. The CCPA and the CPRA may significantly impact the Company’s business activities and require substantial compliance costs that adversely affect its business, operating results, prospects and financial condition. To date, we have not experienced substantial compliance costs in connection with fulfilling the requirements under the CCPA or CPRA. However, we cannot be certain that compliance costs will not increase in the future with respect to the CCPA and CPRA or any other recently passed consumer privacy regulation.</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Outside the U.S., an increasing number of laws, regulations, and industry standards may govern data privacy and security. For example, the European Union’s General Data Protection Regulation (“</w:t>
      </w:r>
      <w:r>
        <w:rPr>
          <w:rFonts w:ascii="Times New Roman;Times;Serif" w:hAnsi="Times New Roman;Times;Serif"/>
          <w:b/>
          <w:i w:val="false"/>
          <w:caps w:val="false"/>
          <w:smallCaps w:val="false"/>
          <w:sz w:val="20"/>
        </w:rPr>
        <w:t>EU GDPR</w:t>
      </w:r>
      <w:r>
        <w:rPr>
          <w:rFonts w:ascii="Times New Roman;Times;Serif" w:hAnsi="Times New Roman;Times;Serif"/>
          <w:b w:val="false"/>
          <w:i w:val="false"/>
          <w:caps w:val="false"/>
          <w:smallCaps w:val="false"/>
          <w:sz w:val="20"/>
        </w:rPr>
        <w:t>”) and the United Kingdom’s GDPR (“</w:t>
      </w:r>
      <w:r>
        <w:rPr>
          <w:rFonts w:ascii="Times New Roman;Times;Serif" w:hAnsi="Times New Roman;Times;Serif"/>
          <w:b/>
          <w:i w:val="false"/>
          <w:caps w:val="false"/>
          <w:smallCaps w:val="false"/>
          <w:sz w:val="20"/>
        </w:rPr>
        <w:t>UK GDPR</w:t>
      </w:r>
      <w:r>
        <w:rPr>
          <w:rFonts w:ascii="Times New Roman;Times;Serif" w:hAnsi="Times New Roman;Times;Serif"/>
          <w:b w:val="false"/>
          <w:i w:val="false"/>
          <w:caps w:val="false"/>
          <w:smallCaps w:val="false"/>
          <w:sz w:val="20"/>
        </w:rPr>
        <w:t>”) impose strict requirements for processing personal data. Under the EU GDPR, companies may face temporary or definitive bans on data processing and other corrective actions; fines of up to 20 million Euros or 4% of annual global revenue, whichever is greater; or private litigation related to processing of personal data brought by classes of data subjects or consumer protection organizations authorized at law to represent their interests. Non-compliance with the UK GDPR may result in substantially similar adverse consequences to those in relation to the EU GDPR, including monetary penalties of up to £17.5 million or 4% of worldwide revenue, whichever is higher.</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25</w:t>
      </w:r>
    </w:p>
    <w:p>
      <w:pPr>
        <w:pStyle w:val="TextBody"/>
        <w:bidi w:val="0"/>
        <w:spacing w:before="0" w:after="0"/>
        <w:ind w:left="0" w:right="0" w:hanging="0"/>
        <w:jc w:val="left"/>
        <w:rPr/>
      </w:pPr>
      <w:r>
        <w:rPr/>
        <w:t>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we may be unable to transfer personal data from Europe and other jurisdictions to the U.S. or other countries due to data localization requirements or limitations on cross-border data flows. Europe and other jurisdictions have enacted laws requiring data to be localized or limiting the transfer of personal data to other countries. In particular, the European Economic Area (“</w:t>
      </w:r>
      <w:r>
        <w:rPr>
          <w:rFonts w:ascii="Times New Roman;Times;Serif" w:hAnsi="Times New Roman;Times;Serif"/>
          <w:b/>
          <w:i w:val="false"/>
          <w:caps w:val="false"/>
          <w:smallCaps w:val="false"/>
          <w:sz w:val="20"/>
        </w:rPr>
        <w:t>EEA</w:t>
      </w:r>
      <w:r>
        <w:rPr>
          <w:rFonts w:ascii="Times New Roman;Times;Serif" w:hAnsi="Times New Roman;Times;Serif"/>
          <w:b w:val="false"/>
          <w:i w:val="false"/>
          <w:caps w:val="false"/>
          <w:smallCaps w:val="false"/>
          <w:sz w:val="20"/>
        </w:rPr>
        <w:t>”) and the United Kingdom have significantly restricted the transfer of personal data to the U.S. and other countries whose privacy laws it believes are not adequate. Other jurisdictions may adopt similarly stringent interpretations of their data localization and cross- border data transfer laws. Although there are currently various mechanisms that may be used to transfer personal data from the EEA and UK to the U.S. in compliance with law, such as the EEA and UK’s standard contractual clauses, these mechanisms are subject to legal challenges, and there is no assurance that the Company can satisfy or rely on these measures to lawfully transfer personal data to the U.S. If there is no lawful manner for us to transfer personal data from the EEA, the UK, or other jurisdictions to the U.S., or if the requirements for a legally-compliant transfer are too onerous, we could face significant adverse consequences, including the interruption or degradation of its operations, the need to relocate part of or all of its business or data processing activities to other jurisdictions at significant expense, increased exposure to regulatory actions, substantial fines and penalties, the inability to transfer data and work with partners, vendors and other third parties, and injunctions against its processing or transferring of personal data necessary to operate its business. Some European regulators have ordered certain companies to suspend or permanently cease certain transfers out of Europe for allegedly violating the EU GDPR’s cross-border data transfer limitations.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inability to adequately address privacy and security concerns, even if unfounded, or comply with applicable privacy and data security laws, regulations and policies, could result in additional cost and liability to us damage our reputation, inhibit sales and adversely affect our business. Furthermore, the costs of compliance with, and other burdens imposed by, the laws, regulations and policies that are applicable to our business may limit the use and adoption of, and reduce the overall demand for, its solutions. If we are not able to adjust to changing laws, regulations and standards related to privacy or security, our business may be harmed.</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Any unauthorized access to or disclosure or theft of personal information we gather, store or use could harm our reputation and subject us to claims or litigation.</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receive, store and use personal information of customers, including names, addresses, e-mail addresses, and other housing and energy use information. We also store information of dealers, including employee, financial and operational information. We rely on the availability of data collected from customers and dealers in order to manage our business and market our offerings. We take certain steps in an effort to protect the security, integrity and confidentiality of the personal information collected, stored or transmitted, but there is no guarantee inadvertent or unauthorized use or disclosure will not occur or third parties will not gain unauthorized access to this information despite our efforts. Although we take precautions to provide for disaster recovery, our ability to recover systems or data may be expensive and may interfere with normal operations. Also, although we obtain assurances from such third parties that they will use reasonable safeguards to secure their systems, we may be adversely affected by unavailability of their systems or unauthorized use or disclosure or its data maintained in such systems. Because techniques used to obtain unauthorized access or sabotage systems change frequently and generally are not identified until they are launched against a target, our suppliers or vendors and our dealers may be unable to anticipate these techniques or to implement adequate preventative or mitigation measures.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Cyberattacks in particular are becoming more sophisticated and include, but are not limited to, malicious software, attempts to gain unauthorized access to data and other electronic security breaches that could lead to disruptions in critical systems, disruption of customers’ operations, loss or damage to data delivery systems, unauthorized release of confidential or otherwise protected information, corruption of data and increased costs to prevent, respond to or mitigate cybersecurity events. In addition, certain cyber incidents, such as advanced persistent threats, may remain undetected for an extended period.</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Unauthorized use, disclosure of or access to any personal information maintained by us or on the behalf of us, whether through breach of our systems, breach of the systems of our suppliers, vendors or dealers by an unauthorized party or through employee or contractor error, theft or misuse or otherwise, could harm our business. If any such unauthorized use, disclosure of or access to such personal information were to occur, our operations could be seriously disrupted and we could be subject to demands, claims and litigation by private parties and investigations, related actions and penalties by regulatory authorities.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26</w:t>
      </w:r>
    </w:p>
    <w:p>
      <w:pPr>
        <w:pStyle w:val="TextBody"/>
        <w:bidi w:val="0"/>
        <w:spacing w:before="0" w:after="0"/>
        <w:ind w:left="0" w:right="0" w:hanging="0"/>
        <w:jc w:val="left"/>
        <w:rPr/>
      </w:pPr>
      <w:r>
        <w:rPr/>
        <w:t>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we could incur significant costs in notifying affected persons and entities and otherwise complying with the multitude of federal, state and local laws and regulations relating to the unauthorized access to, use of or disclosure of personal information. Finally, any perceived or actual unauthorized access to, use of or disclosure of such information could harm our reputation, substantially impair our business, financial condition and results of operations. While we currently maintain cybersecurity insurance, such insurance may not be sufficient to cover against claims, and we cannot be certain that cyber insurance will continue to be available on economically reasonable terms, or at all, or that any insurer will not deny coverage as to any future claim.</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If we fail to comply with laws and regulations relating to interactions by the Company or its dealers with current or prospective residential customers, it could result in negative publicity, claims, investigations and litigation and adversely affect financial performance.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business substantially focuses on home improvement contracts for the installation of solar systems for residential customers. We offer leases, loans and other products and services directly to consumers and through sales partners in our dealer networks, who utilize sales people employed by or engaged as third-party service providers of such contractors. We and our dealers must comply with numerous federal, state and local laws and regulations that govern matters relating to interactions with residential consumers, including those pertaining to consumer protection, marketing and sales, privacy and data security, consumer financial and credit transactions, mortgages and refinancings, home improvement contracts, warranties and various means of customer solicitation, including under the laws described below in “</w:t>
      </w:r>
      <w:r>
        <w:rPr>
          <w:rFonts w:ascii="Times New Roman;Times;Serif" w:hAnsi="Times New Roman;Times;Serif"/>
          <w:b w:val="false"/>
          <w:i/>
          <w:caps w:val="false"/>
          <w:smallCaps w:val="false"/>
          <w:sz w:val="20"/>
        </w:rPr>
        <w:t>As sales to residential customers have grown, we have increasingly become subject to substantial financing and consumer protection laws and regulations.</w:t>
      </w:r>
      <w:r>
        <w:rPr>
          <w:rFonts w:ascii="Times New Roman;Times;Serif" w:hAnsi="Times New Roman;Times;Serif"/>
          <w:b w:val="false"/>
          <w:i w:val="false"/>
          <w:caps w:val="false"/>
          <w:smallCaps w:val="false"/>
          <w:sz w:val="20"/>
        </w:rPr>
        <w:t>” These laws and regulations are dynamic and subject to potentially differing interpretations and various federal, state and local legislative and regulatory bodies may initiate investigations, expand current laws or regulations, or enact new laws and regulations regarding these matters. Changes in these laws or regulations or their interpretation could dramatically affect how we and our dealers do business, acquire customers and manage and use information collected from and about current and prospective customers and the costs associated therewith. We and our dealers strive to comply with all applicable laws and regulations relating to interactions with residential customers. It is possible, however, that these requirements may be interpreted and applied in a manner inconsistent from one jurisdiction to another and may conflict with other rules or our practices or the practices of our dealers.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Although we require dealers to meet consumer compliance requirements, we do not control dealers and their suppliers or their business practices. Accordingly, we cannot guarantee they follow ethical business practices such as fair wage practices and compliance with environmental, safety and other local laws. A lack of demonstrated compliance could lead us to seek alternative dealers or suppliers, which could increase costs and have a negative effect on business and prospects for growth. Violation of labor or other laws by our dealers or suppliers or the divergence of a dealer or supplier’s labor or other practices from those generally accepted as ethical in the U.S. or other markets in which the Company does or intends to do business could also attract negative publicity and harm the business.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From time to time, we have been included in lawsuits brought by the consumer customers of certain contractors in our networks, citing claims based on the sales practices of these contractors. We cannot be sure that a court of law would not determine that we are liable for the actions of the contractors in our networks or that a regulator or state attorney general’s office may hold us accountable for violations of consumer protection or other applicable laws by. Our risk mitigation processes may not be sufficient to mitigate financial harm associated with violations of applicable law by our contractors or ensure that any such contractor is able to satisfy its indemnification obligations to us. Any significant judgment against us could expose it to broader liabilities, a need to adjust our distribution channels for products and services or otherwise change our business model and could adversely impact the business.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may be unsuccessful in introducing new services and product offerings.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intend to introduce new offerings of services and products to both new and existing customers in the future, including home automation products and additional home technology solutions. We may be unsuccessful in significantly broadening our customer base through the addition of these services and products within current markets or in new markets the Company may enter. Additionally, we may not be successful in generating substantial revenue from any additional services and products introduced in the future and may decline to initiate new product and service offerings.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27</w:t>
      </w:r>
    </w:p>
    <w:p>
      <w:pPr>
        <w:pStyle w:val="TextBody"/>
        <w:bidi w:val="0"/>
        <w:spacing w:before="0" w:after="0"/>
        <w:ind w:left="0" w:right="0" w:hanging="0"/>
        <w:jc w:val="left"/>
        <w:rPr/>
      </w:pPr>
      <w:r>
        <w:rPr/>
        <w:t>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Damage to our brand and reputation or change or loss of use of our brand could harm our business and results of operations.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depend significantly on our reputation for high-quality products, excellent customer service and the brand name “SunPower” to attract new customers and grow our business. If we fail to continue to deliver solar energy systems or energy storage systems within the planned timelines, if our offerings do not perform as anticipated or if we damage any of our customers’ properties or delays or cancels projects, our brand and reputation could be significantly impaired. Future technological improvements may allow the company to offer lower prices or offer new technology to new customers; however, technical limitations in our current solar energy systems and energy storage systems may prevent us from offering such lower prices or new technology to existing customers.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given the sheer number of interactions our personnel or dealers operating on our behalf have with customers and potential customers, it is inevitable that some customers’ and potential customers’ interactions with us or dealers operating on our behalf will be perceived as less than satisfactory. This has led to instances of customer complaints, some of which have affected our digital footprint on rating websites and social media platforms. If we cannot manage hiring and training processes to avoid or minimize these issues to the extent possible, our reputation may be harmed and our ability to attract new customers would suffer.</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if we were to no longer use, lose the right to continue to use or if others use the “SunPower” brand, we could lose recognition in the marketplace among customers, suppliers and dealers, which could affect our business, financial condition, results of operations and would require financial and other investment and management attention in new branding, which may not be as successful.</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 xml:space="preserve">Our success depends on the continuing contributions of key personnel, including Thurman J. Rodgers. If we are unable to attract and retain key employees and qualified personnel, our business and prospects could be harmed.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rely heavily on the services of our key executive officers and other key employees, in particular Thurman J. Rodgers, and the loss of services of any principal member of the management team or other key employees could adversely affect our operations. There have been, and from time to time there may continue to be, changes in our management team resulting from the hiring or departure of executives and key employees, or the transition of executives within our business, which could disrupt our business. For example, during 2024, 2025 and early 2026, we had turnover in key positions, including our Chief Executive Officer and our Chief Financial Officer. As a result of the SunPower Acquisition, the Sunder Acquisition, the Ambia Acquisition and the Cobalt Acquisition, we also appointed new employees to key positions and restructured our management reporting lines. Such changes in our executive management team or workforce may be disruptive to our business, divert management’s attention, result in a loss of knowledge and negatively impact employee morale. If we encounter further turnover or difficulties associated with the transition or departure of our executive officers and key employees, or if we are unsuccessful in recruiting new personnel or in retaining and motivating existing personnel, our operations may be disrupted, which could harm our business.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investing significant resources in developing new members of management as we complete our restructuring and strategic transformation, including as a result of the SunPower Acquisition. We also anticipate that over time we will need to hire a number of highly skilled technical, sales, marketing, administrative, and accounting personnel. The competition for qualified personnel is intense in this industry. We may not be successful in attracting and retaining sufficient numbers of qualified personnel to support its anticipated growth. We cannot guarantee that any employee will remain employed with us for any definite period of time since all employees, including key executive officers, serve at-will and may terminate their employment at any time for any reason.</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Labor is subject to external factors that are beyond our control, including our industry’s highly competitive market for skilled workers and leaders, cost inflation, and workforce participation rates. As we build our brand and become more well known and grow globally, there is increased risk that competitors or other companies will seek to hire our personnel. The failure to attract, integrate, train, motivate and retain these personnel could seriously harm our business and prospects.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28</w:t>
      </w:r>
    </w:p>
    <w:p>
      <w:pPr>
        <w:pStyle w:val="TextBody"/>
        <w:bidi w:val="0"/>
        <w:spacing w:before="0" w:after="0"/>
        <w:ind w:left="0" w:right="0" w:hanging="0"/>
        <w:jc w:val="left"/>
        <w:rPr/>
      </w:pPr>
      <w:r>
        <w:rPr/>
        <w:t>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If we or our dealers or suppliers fail to hire and retain sufficient employees and service providers in key functions, our growth and ability to timely complete customer projects and successfully manage customer accounts would be constrained.</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support growth, we and our dealers need to hire, train, deploy, manage and retain a substantial number of skilled employees, engineers, installers, electricians and sales and project finance specialists. Competition for qualified personnel in this industry has increased substantially, particularly for skilled personnel involved in the installation of solar energy systems. We and our dealers also compete with the homebuilding and construction industries for skilled labor. These industries are cyclical and when participants in these industries seek to hire additional workers, it puts upward pressure on us and our dealers’ labor costs. Companies with whom our dealers compete to hire installers may offer compensation or incentive plans that certain installers may view as more favorable. As a result, our dealers may be unable to attract or retain qualified and skilled installation personnel. The further unionization of the industry’s labor force or the homebuilding and construction industries’ labor forces could also increase our dealers’ labor costs.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Shortages of skilled labor could significantly delay a project or otherwise increase dealers’ costs. Further, we need to continue to increase the training of the customer service team to provide high-end account management and service to homeowners before, during and following the point of installation of its solar energy systems. Identifying and recruiting qualified personnel and training them requires significant time, expense and attention. It can take several months before a new customer service team member is fully trained and productive at the standards established by us. If we are unable to hire, develop and retain talented customer service or other personnel, we may not be able to grow our business.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Our operating results and ability to grow may fluctuate from quarter to quarter and year to year, which could make future performance difficult to predict and could cause operating results for a particular period to fall below expectations.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quarterly and annual operating results and its ability to grow are difficult to predict and may fluctuate significantly. We have experienced seasonal and quarterly fluctuations in the past and expect to experience such fluctuations in the future. In addition to the other risks described in this “Risk Factors” section, the following factors could cause operating results to fluctuate:</w:t>
      </w:r>
    </w:p>
    <w:p>
      <w:pPr>
        <w:pStyle w:val="TextBody"/>
        <w:bidi w:val="0"/>
        <w:spacing w:before="0" w:after="0"/>
        <w:jc w:val="both"/>
        <w:rPr>
          <w:caps w:val="false"/>
          <w:smallCaps w:val="false"/>
        </w:rPr>
      </w:pPr>
      <w:r>
        <w:rPr>
          <w:caps w:val="false"/>
          <w:smallCaps w:val="false"/>
        </w:rPr>
        <w:t> </w:t>
      </w:r>
    </w:p>
    <w:tbl>
      <w:tblPr>
        <w:tblW w:w="5635" w:type="dxa"/>
        <w:jc w:val="left"/>
        <w:tblInd w:w="0" w:type="dxa"/>
        <w:tblLayout w:type="fixed"/>
        <w:tblCellMar>
          <w:top w:w="0" w:type="dxa"/>
          <w:left w:w="0" w:type="dxa"/>
          <w:bottom w:w="0" w:type="dxa"/>
          <w:right w:w="0" w:type="dxa"/>
        </w:tblCellMar>
      </w:tblPr>
      <w:tblGrid>
        <w:gridCol w:w="75"/>
        <w:gridCol w:w="170"/>
        <w:gridCol w:w="539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539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expiration or initiation of any governmental rebates or incentives;</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significant fluctuations in customer demand for our solar energy services, solar energy systems and energy storage systems;</w:t>
            </w:r>
          </w:p>
        </w:tc>
      </w:tr>
    </w:tbl>
    <w:p>
      <w:pPr>
        <w:pStyle w:val="TextBody"/>
        <w:bidi w:val="0"/>
        <w:spacing w:before="0" w:after="0"/>
        <w:jc w:val="left"/>
        <w:rPr>
          <w:caps w:val="false"/>
          <w:smallCaps w:val="false"/>
        </w:rPr>
      </w:pPr>
      <w:r>
        <w:rPr>
          <w:caps w:val="false"/>
          <w:smallCaps w:val="false"/>
        </w:rPr>
        <w:t> </w:t>
      </w:r>
    </w:p>
    <w:tbl>
      <w:tblPr>
        <w:tblW w:w="5485" w:type="dxa"/>
        <w:jc w:val="left"/>
        <w:tblInd w:w="0" w:type="dxa"/>
        <w:tblLayout w:type="fixed"/>
        <w:tblCellMar>
          <w:top w:w="0" w:type="dxa"/>
          <w:left w:w="0" w:type="dxa"/>
          <w:bottom w:w="0" w:type="dxa"/>
          <w:right w:w="0" w:type="dxa"/>
        </w:tblCellMar>
      </w:tblPr>
      <w:tblGrid>
        <w:gridCol w:w="75"/>
        <w:gridCol w:w="170"/>
        <w:gridCol w:w="524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524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dealers’ ability to complete installations in a timely manner;</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and our dealers’ ability to gain interconnection permission for an installed solar energy system from the relevant utility;</w:t>
            </w:r>
          </w:p>
        </w:tc>
      </w:tr>
    </w:tbl>
    <w:p>
      <w:pPr>
        <w:pStyle w:val="TextBody"/>
        <w:bidi w:val="0"/>
        <w:spacing w:before="0" w:after="0"/>
        <w:jc w:val="left"/>
        <w:rPr>
          <w:caps w:val="false"/>
          <w:smallCaps w:val="false"/>
        </w:rPr>
      </w:pPr>
      <w:r>
        <w:rPr>
          <w:caps w:val="false"/>
          <w:smallCaps w:val="false"/>
        </w:rPr>
        <w:t> </w:t>
      </w:r>
    </w:p>
    <w:tbl>
      <w:tblPr>
        <w:tblW w:w="4630" w:type="dxa"/>
        <w:jc w:val="left"/>
        <w:tblInd w:w="0" w:type="dxa"/>
        <w:tblLayout w:type="fixed"/>
        <w:tblCellMar>
          <w:top w:w="0" w:type="dxa"/>
          <w:left w:w="0" w:type="dxa"/>
          <w:bottom w:w="0" w:type="dxa"/>
          <w:right w:w="0" w:type="dxa"/>
        </w:tblCellMar>
      </w:tblPr>
      <w:tblGrid>
        <w:gridCol w:w="75"/>
        <w:gridCol w:w="170"/>
        <w:gridCol w:w="4385"/>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438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availability, terms and costs of suitable financing;</w:t>
            </w:r>
          </w:p>
        </w:tc>
      </w:tr>
    </w:tbl>
    <w:p>
      <w:pPr>
        <w:pStyle w:val="TextBody"/>
        <w:bidi w:val="0"/>
        <w:spacing w:before="0" w:after="0"/>
        <w:jc w:val="left"/>
        <w:rPr>
          <w:caps w:val="false"/>
          <w:smallCaps w:val="false"/>
        </w:rPr>
      </w:pPr>
      <w:r>
        <w:rPr>
          <w:caps w:val="false"/>
          <w:smallCaps w:val="false"/>
        </w:rPr>
        <w:t> </w:t>
      </w:r>
    </w:p>
    <w:tbl>
      <w:tblPr>
        <w:tblW w:w="8395" w:type="dxa"/>
        <w:jc w:val="left"/>
        <w:tblInd w:w="0" w:type="dxa"/>
        <w:tblLayout w:type="fixed"/>
        <w:tblCellMar>
          <w:top w:w="0" w:type="dxa"/>
          <w:left w:w="0" w:type="dxa"/>
          <w:bottom w:w="0" w:type="dxa"/>
          <w:right w:w="0" w:type="dxa"/>
        </w:tblCellMar>
      </w:tblPr>
      <w:tblGrid>
        <w:gridCol w:w="75"/>
        <w:gridCol w:w="170"/>
        <w:gridCol w:w="815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815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amount, timing of sales and potential decreases in value of Solar Renewable Energy Certificates;</w:t>
            </w:r>
          </w:p>
        </w:tc>
      </w:tr>
    </w:tbl>
    <w:p>
      <w:pPr>
        <w:pStyle w:val="TextBody"/>
        <w:bidi w:val="0"/>
        <w:spacing w:before="0" w:after="0"/>
        <w:jc w:val="left"/>
        <w:rPr>
          <w:caps w:val="false"/>
          <w:smallCaps w:val="false"/>
        </w:rPr>
      </w:pPr>
      <w:r>
        <w:rPr>
          <w:caps w:val="false"/>
          <w:smallCaps w:val="false"/>
        </w:rPr>
        <w:t> </w:t>
      </w:r>
    </w:p>
    <w:tbl>
      <w:tblPr>
        <w:tblW w:w="9745" w:type="dxa"/>
        <w:jc w:val="left"/>
        <w:tblInd w:w="0" w:type="dxa"/>
        <w:tblLayout w:type="fixed"/>
        <w:tblCellMar>
          <w:top w:w="0" w:type="dxa"/>
          <w:left w:w="0" w:type="dxa"/>
          <w:bottom w:w="0" w:type="dxa"/>
          <w:right w:w="0" w:type="dxa"/>
        </w:tblCellMar>
      </w:tblPr>
      <w:tblGrid>
        <w:gridCol w:w="75"/>
        <w:gridCol w:w="170"/>
        <w:gridCol w:w="950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50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continue to expand its operations and the amount and timing of expenditures related to this expansion;</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announcements by us or our competitors of significant acquisitions, strategic partnerships, joint ventures or capital-raising activities or commitments;</w:t>
            </w:r>
          </w:p>
        </w:tc>
      </w:tr>
    </w:tbl>
    <w:p>
      <w:pPr>
        <w:pStyle w:val="TextBody"/>
        <w:bidi w:val="0"/>
        <w:spacing w:before="0" w:after="0"/>
        <w:jc w:val="left"/>
        <w:rPr>
          <w:caps w:val="false"/>
          <w:smallCaps w:val="false"/>
        </w:rPr>
      </w:pPr>
      <w:r>
        <w:rPr>
          <w:caps w:val="false"/>
          <w:smallCaps w:val="false"/>
        </w:rPr>
        <w:t> </w:t>
      </w:r>
    </w:p>
    <w:tbl>
      <w:tblPr>
        <w:tblW w:w="8590" w:type="dxa"/>
        <w:jc w:val="left"/>
        <w:tblInd w:w="0" w:type="dxa"/>
        <w:tblLayout w:type="fixed"/>
        <w:tblCellMar>
          <w:top w:w="0" w:type="dxa"/>
          <w:left w:w="0" w:type="dxa"/>
          <w:bottom w:w="0" w:type="dxa"/>
          <w:right w:w="0" w:type="dxa"/>
        </w:tblCellMar>
      </w:tblPr>
      <w:tblGrid>
        <w:gridCol w:w="75"/>
        <w:gridCol w:w="170"/>
        <w:gridCol w:w="8345"/>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834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changes in our pricing policies or terms or those of competitors, including centralized electric utilities;</w:t>
            </w:r>
          </w:p>
        </w:tc>
      </w:tr>
    </w:tbl>
    <w:p>
      <w:pPr>
        <w:pStyle w:val="TextBody"/>
        <w:bidi w:val="0"/>
        <w:spacing w:before="0" w:after="0"/>
        <w:jc w:val="left"/>
        <w:rPr>
          <w:caps w:val="false"/>
          <w:smallCaps w:val="false"/>
        </w:rPr>
      </w:pPr>
      <w:r>
        <w:rPr>
          <w:caps w:val="false"/>
          <w:smallCaps w:val="false"/>
        </w:rPr>
        <w:t> </w:t>
      </w:r>
    </w:p>
    <w:tbl>
      <w:tblPr>
        <w:tblW w:w="9115" w:type="dxa"/>
        <w:jc w:val="left"/>
        <w:tblInd w:w="0" w:type="dxa"/>
        <w:tblLayout w:type="fixed"/>
        <w:tblCellMar>
          <w:top w:w="0" w:type="dxa"/>
          <w:left w:w="0" w:type="dxa"/>
          <w:bottom w:w="0" w:type="dxa"/>
          <w:right w:w="0" w:type="dxa"/>
        </w:tblCellMar>
      </w:tblPr>
      <w:tblGrid>
        <w:gridCol w:w="75"/>
        <w:gridCol w:w="170"/>
        <w:gridCol w:w="887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887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actual or anticipated developments in competitors’ businesses, technology or the competitive landscape; and</w:t>
            </w:r>
          </w:p>
        </w:tc>
      </w:tr>
    </w:tbl>
    <w:p>
      <w:pPr>
        <w:pStyle w:val="TextBody"/>
        <w:bidi w:val="0"/>
        <w:spacing w:before="0" w:after="0"/>
        <w:jc w:val="left"/>
        <w:rPr>
          <w:caps w:val="false"/>
          <w:smallCaps w:val="false"/>
        </w:rPr>
      </w:pPr>
      <w:r>
        <w:rPr>
          <w:caps w:val="false"/>
          <w:smallCaps w:val="false"/>
        </w:rPr>
        <w:t> </w:t>
      </w:r>
    </w:p>
    <w:tbl>
      <w:tblPr>
        <w:tblW w:w="5380" w:type="dxa"/>
        <w:jc w:val="left"/>
        <w:tblInd w:w="0" w:type="dxa"/>
        <w:tblLayout w:type="fixed"/>
        <w:tblCellMar>
          <w:top w:w="0" w:type="dxa"/>
          <w:left w:w="0" w:type="dxa"/>
          <w:bottom w:w="0" w:type="dxa"/>
          <w:right w:w="0" w:type="dxa"/>
        </w:tblCellMar>
      </w:tblPr>
      <w:tblGrid>
        <w:gridCol w:w="75"/>
        <w:gridCol w:w="170"/>
        <w:gridCol w:w="5135"/>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513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natural disasters or other weather or meteorological conditions.</w:t>
            </w:r>
          </w:p>
        </w:tc>
      </w:tr>
    </w:tbl>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these or other reasons, the results of any prior quarterly or annual periods should not be relied upon as indications of our future performance.</w:t>
      </w:r>
    </w:p>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29</w:t>
      </w:r>
    </w:p>
    <w:p>
      <w:pPr>
        <w:pStyle w:val="TextBody"/>
        <w:bidi w:val="0"/>
        <w:spacing w:before="0" w:after="0"/>
        <w:ind w:left="0" w:right="0" w:hanging="0"/>
        <w:jc w:val="left"/>
        <w:rPr/>
      </w:pPr>
      <w:r>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Our ability to obtain insurance on the terms of any available insurance coverage could be materially adversely affected by international, national, state or local events or company-specific events, as well as the financial condition of insurers.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insurance policies cover legal and contractual liabilities arising out of bodily injury, personal injury or property damage to third parties and are subject to policy limits.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However, such policies do not cover all potential losses and coverage is not always available in the insurance market on commercially reasonable terms. In addition, we may have disagreements with insurers on the amount of recoverable damages and the insurance proceeds received for any loss of, or any damage to, any of our assets may be claimed by lenders under financing arrangements or otherwise may not be sufficient to restore the loss or damage without a negative impact on its results of operations. Furthermore, the receipt of insurance proceeds may be delayed, requiring us to use cash or incur financing costs in the interim. To the extent our experiences covered losses under its insurance policies, the limit of our coverage for potential losses may be decreased or the insurance rates it has to pay increased. Furthermore, the losses insured through commercial insurance are subject to the credit risk of those insurance companies. While we believe our commercial insurance providers are currently creditworthy, we cannot assure such insurance companies will remain so in the future.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not be able to maintain or obtain insurance of the type and amount desired at reasonable rates. The insurance coverage obtained may contain large deductibles or fail to cover certain risks or all potential losses. In addition, our insurance policies are subject to annual review by insurers and may not be renewed on similar or favorable terms, including coverage, deductibles or premiums, or at all. If a significant accident or event occurs for which we are not fully insured or the Company suffers losses due to one or more of its insurance carriers defaulting on their obligations or contesting their coverage obligations, it could have a material adverse effect on our business, financial condition and results of operations.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may be subject to breaches of our information technology systems, which could lead to disclosure of internal information, damage to our reputation or relationships with dealers, suppliers, and customers, and disrupt access to online services. Such breaches could subject us to significant reputational, financial, legal, and operational consequences.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business requires the use and storage of confidential and proprietary information, intellectual property, commercial banking information, personal information concerning customers, employees, and business partners, and corporate information concerning internal processes and business functions. Malicious attacks to gain access to such information affects many companies across various industries, including ours.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 appropriate, we use encryption and authentication technologies to secure the transmission and storage of data. These security measures may be compromised as a result of third-party security breaches, employee error, malfeasance, faulty password management, or other irregularity or malicious effort, and result in persons obtaining unauthorized access to data.</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devote resources to network security, data encryption, and other security measures to protect our systems and data, but these security measures cannot provide absolute security. Because the techniques used to obtain unauthorized access, disable or degrade service, or sabotage systems change frequently, target end users through phishing and other malicious techniques, and/or may be difficult to detect for long periods of time, we may be unable to anticipate these techniques or implement adequate preventative measures. As a result, we may experience a breach of our systems in the future that reduces our ability to protect sensitive data. In addition, hardware, software, or applications we develop or procure from third parties may contain defects in design or manufacture or other problems that could unexpectedly compromise information security. Unauthorized parties may also attempt to gain access to our systems or facilities through fraud, trickery or other forms of deceiving team members, contractors and temporary staff. If we experience, or are perceived to have experienced, a significant data security breach, fail to detect and appropriately respond to a significant data security breach, or fail to implement disclosure controls and procedures that provide for timely disclosure of data security breaches deemed material to our business, including corrections or updates to previous disclosures, we could be exposed to a risk of loss, increased insurance costs, remediation and prospective prevention costs, damage to our reputation and brand, litigation and possible liability, or government enforcement actions, any of which could detrimentally affect our business, results of operations, and financial condition.</w:t>
      </w:r>
    </w:p>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30</w:t>
      </w:r>
    </w:p>
    <w:p>
      <w:pPr>
        <w:pStyle w:val="TextBody"/>
        <w:bidi w:val="0"/>
        <w:spacing w:before="0" w:after="0"/>
        <w:ind w:left="0" w:right="0" w:hanging="0"/>
        <w:jc w:val="left"/>
        <w:rPr/>
      </w:pPr>
      <w:r>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also share information with contractors and third-party providers to conduct business. While we generally review and typically request or require such contractors and third-party providers to implement security measures, such as encryption and authentication technologies to secure the transmission and storage of data, those third-party providers may experience a significant data security breach, which may also detrimentally affect our business, results of operations, and financial condition as discussed above. See also under this section, “</w:t>
      </w:r>
      <w:r>
        <w:rPr>
          <w:rFonts w:ascii="Times New Roman;Times;Serif" w:hAnsi="Times New Roman;Times;Serif"/>
          <w:b w:val="false"/>
          <w:i/>
          <w:caps w:val="false"/>
          <w:smallCaps w:val="false"/>
          <w:sz w:val="20"/>
        </w:rPr>
        <w:t>We may be required to file claims against other parties for infringing its intellectual property that may be costly and may not be resolved in our favor</w:t>
      </w:r>
      <w:r>
        <w:rPr>
          <w:rFonts w:ascii="Times New Roman;Times;Serif" w:hAnsi="Times New Roman;Times;Serif"/>
          <w:b w:val="false"/>
          <w:i w:val="false"/>
          <w:caps w:val="false"/>
          <w:smallCaps w:val="false"/>
          <w:sz w:val="20"/>
        </w:rPr>
        <w:t>.” We rely substantially upon trade secret laws and contractual restrictions to protect our proprietary rights, and, if these rights are not sufficiently protected, our ability to compete and generate revenue could suffer.</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As sales to residential customers have grown, we have increasingly become subject to consumer protection laws and regulations.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we continue to seek to expand our retail customer base, our activities with customers are subject to consumer protection laws that may not be applicable to other businesses, such as federal truth-in-lending, consumer leasing, telephone and digital marketing, and equal credit opportunity laws and regulations, as well as state and local finance laws and regulations. Claims arising out of actual or alleged violations of law may be asserted against us by individuals or governmental entities and may expose the Company to significant damages or other penalties, including fines. In addition, our affiliations with third-party dealers may subject the Company to alleged liability in connection with actual or alleged violations of law by such dealers, whether or not actually attributable to us, which may expose us to significant damages and penalties, and we may incur substantial expenses in defending against legal actions related to third-party dealers, whether or not ultimately found liable.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The competitive environment in which we operate often requires the undertaking of customer obligations, which may turn out to be costlier than anticipated and, in turn, materially and adversely affect our business, results of operations and financial condition.</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often required, at the request of our end customer, to undertake certain obligations such as:</w:t>
      </w:r>
    </w:p>
    <w:p>
      <w:pPr>
        <w:pStyle w:val="TextBody"/>
        <w:bidi w:val="0"/>
        <w:spacing w:before="0" w:after="0"/>
        <w:ind w:left="0" w:right="0" w:firstLine="360"/>
        <w:jc w:val="both"/>
        <w:rPr>
          <w:caps w:val="false"/>
          <w:smallCaps w:val="false"/>
        </w:rPr>
      </w:pPr>
      <w:r>
        <w:rPr>
          <w:caps w:val="false"/>
          <w:smallCaps w:val="false"/>
        </w:rPr>
        <w:t> </w:t>
      </w:r>
    </w:p>
    <w:tbl>
      <w:tblPr>
        <w:tblW w:w="3745" w:type="dxa"/>
        <w:jc w:val="left"/>
        <w:tblInd w:w="0" w:type="dxa"/>
        <w:tblLayout w:type="fixed"/>
        <w:tblCellMar>
          <w:top w:w="0" w:type="dxa"/>
          <w:left w:w="0" w:type="dxa"/>
          <w:bottom w:w="0" w:type="dxa"/>
          <w:right w:w="0" w:type="dxa"/>
        </w:tblCellMar>
      </w:tblPr>
      <w:tblGrid>
        <w:gridCol w:w="75"/>
        <w:gridCol w:w="170"/>
        <w:gridCol w:w="350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35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system output performance warranties; and</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350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35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system maintenance.</w:t>
            </w:r>
          </w:p>
        </w:tc>
      </w:tr>
    </w:tbl>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Such customer obligations involve complex accounting analyses and judgments regarding the timing of revenue and expense recognition, and in certain situations these factors may require us to defer revenue or profit recognition until projects are completed or until contingencies are resolved, which could adversely affect revenues and profits in a particular period.</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are subject to risks associated with construction, cost overruns, delays, regulatory compliance and other contingencies, any of which could have a material adverse effect on its business and results of operations.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a licensed contractor in certain communities that we service and are ultimately responsible as the contracting party for every solar energy system installation. A significant portion of our business depends on obtaining and maintaining required licenses in various jurisdictions. All such licenses are subject to audit by the relevant government agency. Our failure to obtain or maintain required licenses could result in the termination of certain of our contracts. For example, we hold a license with California’s Contractors State License Board (the “</w:t>
      </w:r>
      <w:r>
        <w:rPr>
          <w:rFonts w:ascii="Times New Roman;Times;Serif" w:hAnsi="Times New Roman;Times;Serif"/>
          <w:b/>
          <w:i w:val="false"/>
          <w:caps w:val="false"/>
          <w:smallCaps w:val="false"/>
          <w:sz w:val="20"/>
        </w:rPr>
        <w:t>CSLB</w:t>
      </w:r>
      <w:r>
        <w:rPr>
          <w:rFonts w:ascii="Times New Roman;Times;Serif" w:hAnsi="Times New Roman;Times;Serif"/>
          <w:b w:val="false"/>
          <w:i w:val="false"/>
          <w:caps w:val="false"/>
          <w:smallCaps w:val="false"/>
          <w:sz w:val="20"/>
        </w:rPr>
        <w:t>”) and that license is currently under probation with the CSLB. If we fail to comply with the CSLB’s law and regulations, it could result in termination of certain of our contracts, monetary penalties, extension of the license probation period or revocation of its license in California. In addition, we may be liable, either directly or through its solar partners, to homeowners for any damage we cause to them, their home, belongings or property during the installation of our systems. For example, we either directly or through its solar partners, frequently penetrate homeowners’ roofs during the installation process and may incur liability for the failure to adequately weatherproof such penetrations following the completion of construction. In addition, because the solar energy systems we or our solar partners deploy are high voltage energy systems, we may incur liability for failing to comply with electrical standards and manufacturer recommendations.</w:t>
      </w:r>
    </w:p>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31</w:t>
      </w:r>
    </w:p>
    <w:p>
      <w:pPr>
        <w:pStyle w:val="TextBody"/>
        <w:bidi w:val="0"/>
        <w:spacing w:before="0" w:after="0"/>
        <w:ind w:left="0" w:right="0" w:hanging="0"/>
        <w:jc w:val="left"/>
        <w:rPr/>
      </w:pPr>
      <w:r>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Further, we or our installation partners may face construction delays or cost overruns, which may adversely affect our or our sales partners’ ability to ramp up the volume of installation in accordance with our plans. Such delays or overruns may occur as a result of a variety of factors, such as labor shortages, defects in materials and workmanship, adverse weather conditions, transportation constraints, construction change orders, site changes, labor issues and other unforeseen difficulties, any of which could lead to increased cancellation rates, reputational harm and other adverse effects.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the installation of solar energy systems, energy storage systems, and other energy-related products requiring building modifications are subject to oversight and regulation in accordance with national, state, and local laws and ordinances relating to building, fire, and electrical codes, safety, environmental protection, utility interconnection and metering, and related matters. We also rely on certain employees to maintain professional licenses in many of the jurisdictions in which we operate, and the failure to employ properly licensed personnel could adversely affect our licensing status in those jurisdictions. It is difficult and costly to track the requirements of every individual authority having jurisdiction over our installations and to design solar energy systems to comply with these varying standards. Any new government regulations or utility policies pertaining to our systems may result in significant additional expenses to homeowners and us and, as a result, could cause a significant reduction in demand for solar service offerings.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While we have a variety of stringent quality standards that the Company applies in the selection of its solar partners, we do not control our suppliers and solar partners or their business practices. Accordingly, we cannot guarantee that they follow our standards or ethical business practices, such as fair wage practices and compliance with environmental, safety and other local laws. A lack of demonstrated compliance could lead us to seek alternative suppliers or contractors, which could increase costs and result in delayed delivery or installation of our products, product shortages or other disruptions of its operations. Violation of labor or other laws by our suppliers and solar partners or the divergence of a supplier’s or solar partners’ labor or other practices from those generally accepted as ethical in the U.S. or other markets in which we do business could also attract negative publicity and harm our business, brand and reputation in the market.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Compliance with occupational safety and health requirements and best practices can be costly, and noncompliance with such requirements may result in potentially significant penalties, operational delays and adverse publicity.</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installation and ongoing operations and maintenance of solar energy systems and energy storage systems requires individuals hired by us, our dealers, or third-party contractors, potentially including employees, to work at heights with complicated and potentially dangerous electrical systems. The evaluation and modification of buildings as part of the installation process requires these individuals to work in locations that may contain potentially dangerous levels of asbestos, lead, mold or other materials known or believed to be hazardous to human health. There is substantial risk of serious injury or death if proper safety procedures are not followed. Our operations are subject to regulation by the Occupational Safety and Health Administration (“</w:t>
      </w:r>
      <w:r>
        <w:rPr>
          <w:rFonts w:ascii="Times New Roman;Times;Serif" w:hAnsi="Times New Roman;Times;Serif"/>
          <w:b/>
          <w:i w:val="false"/>
          <w:caps w:val="false"/>
          <w:smallCaps w:val="false"/>
          <w:sz w:val="20"/>
        </w:rPr>
        <w:t>OSHA</w:t>
      </w:r>
      <w:r>
        <w:rPr>
          <w:rFonts w:ascii="Times New Roman;Times;Serif" w:hAnsi="Times New Roman;Times;Serif"/>
          <w:b w:val="false"/>
          <w:i w:val="false"/>
          <w:caps w:val="false"/>
          <w:smallCaps w:val="false"/>
          <w:sz w:val="20"/>
        </w:rPr>
        <w:t>”) and the Department of Transportation (“</w:t>
      </w:r>
      <w:r>
        <w:rPr>
          <w:rFonts w:ascii="Times New Roman;Times;Serif" w:hAnsi="Times New Roman;Times;Serif"/>
          <w:b/>
          <w:i w:val="false"/>
          <w:caps w:val="false"/>
          <w:smallCaps w:val="false"/>
          <w:sz w:val="20"/>
        </w:rPr>
        <w:t>DOT</w:t>
      </w:r>
      <w:r>
        <w:rPr>
          <w:rFonts w:ascii="Times New Roman;Times;Serif" w:hAnsi="Times New Roman;Times;Serif"/>
          <w:b w:val="false"/>
          <w:i w:val="false"/>
          <w:caps w:val="false"/>
          <w:smallCaps w:val="false"/>
          <w:sz w:val="20"/>
        </w:rPr>
        <w:t>”) and equivalent state and local laws. Changes to OSHA or DOT requirements, or stricter interpretation or enforcement of existing laws or regulations, could result in increased costs. If we fail to comply with applicable OSHA or DOT regulations, even if no work-related serious injury or death occurs, we may be subject to civil or criminal enforcement and be required to pay substantial penalties, incur significant capital expenditures or suspend or limit operations. Because individuals hired by us or on our behalf to perform installation and ongoing operations and maintenance of the Company’s solar energy systems and energy storage systems, including its dealers and third-party contractors, are compensated on a per project basis, they are incentivized to work more quickly than installers compensated on an hourly basis. While we have not experienced a high level of injuries to date, this incentive structure may result in higher injury rates than others in the industry and could accordingly expose the Company to increased liability. Individuals hired by or on behalf of us may have workplace accidents and receive citations from OSHA regulators for alleged safety violations, resulting in fines. Any such accidents, citations, violations, injuries or failure to comply with industry best practices may subject us to adverse publicity, damage its reputation and competitive position and adversely affect the business.</w:t>
      </w:r>
    </w:p>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32</w:t>
      </w:r>
    </w:p>
    <w:p>
      <w:pPr>
        <w:pStyle w:val="TextBody"/>
        <w:bidi w:val="0"/>
        <w:spacing w:before="0" w:after="0"/>
        <w:ind w:left="0" w:right="0" w:hanging="0"/>
        <w:jc w:val="left"/>
        <w:rPr/>
      </w:pPr>
      <w:r>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Our business has benefited from the declining cost of solar energy system components, but it may be harmed if the cost of such components stabilizes or increases in the future.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business has benefited from the declining cost of solar energy system components and to the extent such costs stabilize, decline at a slower rate or increase, our future growth rate may be negatively impacted. The declining cost of solar energy system components and the raw materials necessary to manufacture them has been a key driver in the price of our solar energy systems, and the prices charged for electricity and customer adoption of solar energy. Solar energy system component and raw material prices may not continue to decline at the same rate as they have over the past several years or at all. In addition, growth in the solar industry and the resulting increase in demand for solar energy system components and the raw materials necessary to manufacture them may also put upward pressure on prices. An increase of solar energy system components and raw materials prices could slow growth and cause business and results of operations to suffer. Further, the cost of solar energy system components and raw materials has increased and could increase in the future due to tariff penalties, duties, the loss of or changes in economic governmental incentives or other factors.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Product liability claims against us could result in adverse publicity and potentially significant monetary damages.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 is possible our solar energy systems or energy storage systems could injure customers or other third parties or our solar energy systems or energy storage systems could cause property damage as a result of product malfunctions, defects, improper installation, fire or other causes. Any product liability claim we face could be expensive to defend and may divert management’s attention. The successful assertion of product liability claims against us could result in potentially significant monetary damages, potential increases in insurance expenses, penalties or fines, subject the Company to adverse publicity, damage our reputation and competitive position and adversely affect sales of solar energy systems or energy storage systems. In addition, product liability claims, injuries, defects or other problems experienced by other companies in the residential solar industry could lead to unfavorable market conditions to the industry as a whole and may have an adverse effect on our ability to expand its portfolio of solar service agreements and related solar energy systems and energy storage systems, thus affecting our business, financial condition and results of operations.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Our warranty costs may exceed the warranty reserve.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provide warranties that cover parts performance and labor to purchasers of our solar modules. We also have legacy warranty and performance obligations from our former business manufacturing solar panels. We maintain a warranty reserve on our financial statements, and our warranty claims may exceed the warranty reserve. Any significant warranty expenses could adversely affect our financial condition and results of operations. Significant warranty problems could impair our reputation which could result in lower revenue and a lower gross margin.</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are subject to legal proceedings and regulatory inquiries and may be named in additional claims or legal proceedings or become involved in regulatory inquiries, all of which are costly, distracting to our core business and could result in an unfavorable outcome or harm our business, financial condition, results of operations or the trading price for our securities.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involved in claims and legal proceedings that arise from normal business activities. In addition, from time to time, third parties have asserted and may in the future assert claims against us. We evaluate all claims, lawsuits and investigations with respect to their potential merits, our potential defenses and counter claims, settlement or litigation potential and the expected effect on us. In the event that we are involved in significant disputes, including the legal claims noted below, or are the subject of a formal action by a regulatory agency, we could be exposed to costly and time-consuming legal proceedings that could result in any number of outcomes. Although outcomes of such actions vary, any claims, proceedings or regulatory actions initiated by or against us whether successful or not, could result in expensive costs of defense, costly damage awards, injunctive relief, increased costs of business, fines or orders to change certain business practices, significant dedication of management time, diversion of significant operational resources or some other harm to the business. In any of these cases, our business, financial condition or results of operations could be negatively impacted. We make a provision for a liability relating to legal matters when it is both probable that a liability has been incurred and the amount of the loss can be reasonably estimated. These provisions are reviewed at least quarterly and adjusted to reflect the impacts of negotiations, estimated settlements, legal rulings, advice of legal counsel and other information and events pertaining to a particular matter. Depending on the nature and timing of any such controversy, an unfavorable resolution of a matter could materially affect our future business, financial condition or results of operations, or all of the foregoing, in a particular quarter.</w:t>
      </w:r>
    </w:p>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33</w:t>
      </w:r>
    </w:p>
    <w:p>
      <w:pPr>
        <w:pStyle w:val="TextBody"/>
        <w:bidi w:val="0"/>
        <w:spacing w:before="0" w:after="0"/>
        <w:ind w:left="0" w:right="0" w:hanging="0"/>
        <w:jc w:val="left"/>
        <w:rPr/>
      </w:pPr>
      <w:r>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See “Note 12 - Commitments and Contingencies” in the notes to consolidated financial statements included elsewhere in this prospectus for a further discussion of the legal claims summarized therein.</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to the other information provided in Note 12, on February 22, 2024, the court in the case issued an order against certain subsidiaries of the Company which awarded Siemens approximately $6.9 million. On March 15, 2024, Siemens filed a motion seeking to recover $2.67 million for attorneys’ fees, expenses, and pre-and post-judgment interest. The Company opposed Siemens’ motion for attorneys’ fees, expenses, and pre- and post-judgment interest on April 5, 2024. On June 17, 2024, the court entered a final order which awarded Siemens a total of $2.0 million in attorneys’ fees and costs. We have appealed these judgments. On August 19, 2024, Siemens applied for the enforcement to a sister state judgment in the Superior Court of Alameda, California and the court entered a judgement in favor of Siemens. On December 9, 2024, Siemens moved to amend the judgment to add the Company as a judgement debtor. Our subsidiaries opposed the Siemens motion. The court heard the motion by submission on April 3, 2025, but has not yet issued a ruling. The Company recognized $6.9 million as a legal loss related to this litigation in 2023, and in 2024, the Company recorded an additional accrual for $2.0 million for attorneys’ fees, expenses, and pre-judgment interest, in accrued expenses and other current liabilities within its consolidated balance sheet as of December 29, 2024. This legal loss was recognized in fiscal 2024 in loss from discontinued operations, net of tax on the consolidated statements of operations and comprehensive loss. The Company had liability of $6.9 million recorded as a legal loss related to this litigation, excluding amounts for attorneys’ fees and costs, in accrued expenses and other current liabilities within its consolidated balance sheet at December 29, 2024. On December 4, 2025, the Company entered into a Settlement Agreement with Siemens Government Technologies, Inc. and Siemens Industry, Inc. to resolve a case in the Circuit Court of Fairfax County, Virginia and other related cases as well as to resolve potential claims related to Siemens’ Atwater Wastewater Treatment Plant. In exchange for full releases, the Company has agreed to pay Siemens $9.5 million as follows: $4.75 million was payable prior to April 30, 2026 and a payment of $2.375 million is due on each of September 30, 2026 and December 31, 2026. If the Company successfully engages in one or more financing transactions with $5.0 million or more after the Company’s issuances of the 10.0% convertible senior secured notes due 2029, any remaining payments to Siemens (if any) will become immediately due and payable. The settlement payment to Siemens is secured by a first-priority continuing security interest in $9.5 million of Company collateral. This security interest is reduced on a one-to-one basis as the settlement payments are made.</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The requirements of being a public company may strain our resources, divert management’s attention and affect our ability to attract and retain qualified directors and officers.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face increased legal, accounting, administrative and other costs and expenses as a public company that we did not incur as a private company. The Sarbanes-Oxley Act, including the requirements of Section 404, as well as rules and regulations subsequently implemented by the SEC, the Dodd-Frank Wall Street Reform and Consumer Protection Act of 2010 and the rules and regulations promulgated and to be promulgated thereunder, the PCAOB and the securities exchanges, impose additional reporting and other obligations on public companies. Compliance with public company requirements will increase costs and make certain activities more time- consuming. A number of those requirements will require us to carry out activities we had not done previously.</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any issues in complying with those requirements are identified (for example, if we or the auditors identify a material weakness or significant deficiency in the internal control over financial reporting), we could incur additional costs rectifying those issues, and the existence of those issues could adversely affect our reputation or investor perceptions of it. It may also be more expensive to obtain director and officer liability insurance. Risks associated with our status as a public company may make it more difficult to attract and retain qualified persons to serve on the SunPower Board or as executive officers. The additional reporting and other obligations imposed by these rules and regulations will increase legal and financial compliance costs and the costs of related legal, accounting and administrative activities. These increased costs will require us to divert a significant amount of money that could otherwise be used to expand the business and achieve strategic objectives. Advocacy efforts by stockholders and third parties may also prompt additional changes in governance and reporting requirements, which could further increase costs.</w:t>
      </w:r>
    </w:p>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34</w:t>
      </w:r>
    </w:p>
    <w:p>
      <w:pPr>
        <w:pStyle w:val="TextBody"/>
        <w:bidi w:val="0"/>
        <w:spacing w:before="0" w:after="0"/>
        <w:ind w:left="0" w:right="0" w:hanging="0"/>
        <w:jc w:val="left"/>
        <w:rPr/>
      </w:pPr>
      <w:r>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Our ability to use net operating loss carryforwards and certain other tax attributes may be limited.</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incurred substantial losses during our history and do not expect to become profitable in the near future and may never achieve profitability. Under current U.S. federal income tax law, unused losses for the tax year ended December 31, 2017 and prior tax years will carry forward to offset future taxable income, if any, until such unused losses expire, and unused federal losses generated after December 31, 2017 will not expire and may be carried forward indefinitely but will be only deductible to the extent of 80% of current year taxable income in any given year. Many states have similar laws.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both current and future unused net operating loss (“</w:t>
      </w:r>
      <w:r>
        <w:rPr>
          <w:rFonts w:ascii="Times New Roman;Times;Serif" w:hAnsi="Times New Roman;Times;Serif"/>
          <w:b/>
          <w:i w:val="false"/>
          <w:caps w:val="false"/>
          <w:smallCaps w:val="false"/>
          <w:sz w:val="20"/>
        </w:rPr>
        <w:t>NOL</w:t>
      </w:r>
      <w:r>
        <w:rPr>
          <w:rFonts w:ascii="Times New Roman;Times;Serif" w:hAnsi="Times New Roman;Times;Serif"/>
          <w:b w:val="false"/>
          <w:i w:val="false"/>
          <w:caps w:val="false"/>
          <w:smallCaps w:val="false"/>
          <w:sz w:val="20"/>
        </w:rPr>
        <w:t>”) carryforwards and other tax attributes may be subject to limitation under Sections 382 and 383 of the Internal Revenue Code of 1986, as amended (the “Code”), if a corporation undergoes an “ownership change,” generally defined as a greater than 50 percentage point change (by value) in equity ownership by certain stockholders over a three-year period. The Business Combination may have resulted in an ownership change for us and, accordingly, our NOL carryforwards and certain other tax attributes may be subject to limitations (or disallowance) on their use after the Business Combination. Our NOL carryforwards may also be subject to limitation as a result of prior shifts in equity ownership. Additional ownership changes in the future could result in additional limitations on our NOL carryforwards. Consequently, even if we achieve profitability, we may not be able to utilize a material portion of our NOL carryforwards and other tax attributes, which could have a material adverse effect on cash flow and results of operations.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Risks Related to the Offering</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Investors who buy shares at different times will likely pay different prices.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Selling Securityholders may resell all, some or none of such the shares of common stock offered hereunder at any time or from time to time in their discretion and at different prices. As a result, investors who purchase shares from the Selling Securityholders in this offering at different times will likely pay different prices for those shares, and so may experience different levels of dilution, and in some cases substantial dilution, and different outcomes in their investment results. Investors may experience a decline in the value of the shares they purchase from the Selling Securityholders in this offering as a result of future sales made by us to third parties under our existing equity lines of credit at prices lower than the prices such investors paid for their shares in this offering. In addition, if we sell or issue a substantial number of shares to third parties under our existing equity lines of credit or pursuant to conversions of our Convertible Senior Notes, respectively, or if investors expect that we will do so, the actual sales of shares or the mere existence of our arrangements with third parties and the Selling Securityholders may make it more difficult for us to sell equity or equity-related securities in the future at a time and at a price that we might otherwise wish to effect such sales.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Sales of a substantial number of our securities in the public market by our existing stockholders could cause the price of our shares of common stock to fall.</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Selling Securityholders can resell, under this prospectus, up to 13,277,150 shares of common stock from time to time after the date of this prospectus relating to the Offered Securities. If all 13,277,150 shares offered for resale by the Selling Stockholders under this prospectus were issued and outstanding as of the date hereof (without taking into account the any limitations on exercise in any securities convertible into the Offered Securities), such shares would represent approximately 7.5% of the total number of outstanding shares of common stock and approximately 12.2% of the total number of outstanding shares of common stock held by non-affiliates, in each case as of June 22, 2026.</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Sales of a substantial number of our shares of common stock in the public market by the Selling Securityholders and/or by our other existing stockholders, or the perception that those sales might occur, could depress the market price of our shares of common stock and could impair our ability to raise capital through the sale of additional equity securities</w:t>
      </w:r>
      <w:r>
        <w:rPr>
          <w:rFonts w:ascii="Times New Roman;Times;Serif" w:hAnsi="Times New Roman;Times;Serif"/>
          <w:b w:val="false"/>
          <w:i/>
          <w:caps w:val="false"/>
          <w:smallCaps w:val="false"/>
          <w:sz w:val="20"/>
        </w:rPr>
        <w:t>.</w:t>
      </w:r>
    </w:p>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35</w:t>
      </w:r>
    </w:p>
    <w:p>
      <w:pPr>
        <w:pStyle w:val="TextBody"/>
        <w:bidi w:val="0"/>
        <w:spacing w:before="0" w:after="0"/>
        <w:ind w:left="0" w:right="0" w:hanging="0"/>
        <w:jc w:val="left"/>
        <w:rPr/>
      </w:pPr>
      <w:r>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Risks Related to our Common Stock and Other Securities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Our Directors, executive officers and principal stockholders will continue to have significant influence over our company, which could limit your ability to influence the outcome of key transactions, including a change of control.</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Our Directors, executive officers and each of our 5% stockholders and their affiliates, in the aggregate, beneficially own approximately 48.3% of the outstanding shares of our common stock, based on the number of shares outstanding as of June 22, 2026 (including all convertible securities and securities that such holders have the right to acquire within 60 days following June 22, 2026). As a result, these stockholders, if acting together, will be able to significantly influence matters requiring approval by our stockholders, including the election of directors and the approval of mergers, acquisitions or other extraordinary transactions. They may also have interests that differ from yours and may vote in a way with which you disagree, and which may be adverse to your interests. This concentration of ownership may have the effect of delaying, preventing or deterring a change of control of our company, could deprive our stockholders of an opportunity to receive a premium for their common stock as part of a sale of our company and might ultimately affect the market price of our common stock.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The trading price of our common stock may be volatile, and you could lose all or part of your investment.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Fluctuations in the price of our securities could contribute to the loss of all or part of your investment. The trading price of our securities could be volatile and subject to wide fluctuations in response to various factors, some of which are beyond our control. Any of the factors listed below could have a material adverse effect on your investment in our securities and our securities may trade at prices significantly below the price you paid for them. In such circumstances, the trading price of our securities may not recover and may experience a further decline.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Factors affecting the trading price of our securities:</w:t>
      </w:r>
    </w:p>
    <w:p>
      <w:pPr>
        <w:pStyle w:val="TextBody"/>
        <w:bidi w:val="0"/>
        <w:spacing w:before="0" w:after="0"/>
        <w:ind w:left="0" w:right="0" w:firstLine="408"/>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actual or anticipated fluctuations in our quarterly financial results or the quarterly financial results of companies perceived to be similar to us;</w:t>
            </w:r>
          </w:p>
        </w:tc>
      </w:tr>
    </w:tbl>
    <w:p>
      <w:pPr>
        <w:pStyle w:val="TextBody"/>
        <w:bidi w:val="0"/>
        <w:spacing w:before="0" w:after="0"/>
        <w:jc w:val="left"/>
        <w:rPr>
          <w:caps w:val="false"/>
          <w:smallCaps w:val="false"/>
        </w:rPr>
      </w:pPr>
      <w:r>
        <w:rPr>
          <w:caps w:val="false"/>
          <w:smallCaps w:val="false"/>
        </w:rPr>
        <w:t> </w:t>
      </w:r>
    </w:p>
    <w:tbl>
      <w:tblPr>
        <w:tblW w:w="5545" w:type="dxa"/>
        <w:jc w:val="left"/>
        <w:tblInd w:w="0" w:type="dxa"/>
        <w:tblLayout w:type="fixed"/>
        <w:tblCellMar>
          <w:top w:w="0" w:type="dxa"/>
          <w:left w:w="0" w:type="dxa"/>
          <w:bottom w:w="0" w:type="dxa"/>
          <w:right w:w="0" w:type="dxa"/>
        </w:tblCellMar>
      </w:tblPr>
      <w:tblGrid>
        <w:gridCol w:w="75"/>
        <w:gridCol w:w="170"/>
        <w:gridCol w:w="530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530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changes in the market’s expectations about our operating results;</w:t>
            </w:r>
          </w:p>
        </w:tc>
      </w:tr>
    </w:tbl>
    <w:p>
      <w:pPr>
        <w:pStyle w:val="TextBody"/>
        <w:bidi w:val="0"/>
        <w:spacing w:before="0" w:after="0"/>
        <w:jc w:val="left"/>
        <w:rPr>
          <w:caps w:val="false"/>
          <w:smallCaps w:val="false"/>
        </w:rPr>
      </w:pPr>
      <w:r>
        <w:rPr>
          <w:caps w:val="false"/>
          <w:smallCaps w:val="false"/>
        </w:rPr>
        <w:t> </w:t>
      </w:r>
    </w:p>
    <w:tbl>
      <w:tblPr>
        <w:tblW w:w="2155" w:type="dxa"/>
        <w:jc w:val="left"/>
        <w:tblInd w:w="0" w:type="dxa"/>
        <w:tblLayout w:type="fixed"/>
        <w:tblCellMar>
          <w:top w:w="0" w:type="dxa"/>
          <w:left w:w="0" w:type="dxa"/>
          <w:bottom w:w="0" w:type="dxa"/>
          <w:right w:w="0" w:type="dxa"/>
        </w:tblCellMar>
      </w:tblPr>
      <w:tblGrid>
        <w:gridCol w:w="75"/>
        <w:gridCol w:w="170"/>
        <w:gridCol w:w="191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19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success of competitors;</w:t>
            </w:r>
          </w:p>
        </w:tc>
      </w:tr>
    </w:tbl>
    <w:p>
      <w:pPr>
        <w:pStyle w:val="TextBody"/>
        <w:bidi w:val="0"/>
        <w:spacing w:before="0" w:after="0"/>
        <w:jc w:val="left"/>
        <w:rPr>
          <w:caps w:val="false"/>
          <w:smallCaps w:val="false"/>
        </w:rPr>
      </w:pPr>
      <w:r>
        <w:rPr>
          <w:caps w:val="false"/>
          <w:smallCaps w:val="false"/>
        </w:rPr>
        <w:t> </w:t>
      </w:r>
    </w:p>
    <w:tbl>
      <w:tblPr>
        <w:tblW w:w="8995" w:type="dxa"/>
        <w:jc w:val="left"/>
        <w:tblInd w:w="0" w:type="dxa"/>
        <w:tblLayout w:type="fixed"/>
        <w:tblCellMar>
          <w:top w:w="0" w:type="dxa"/>
          <w:left w:w="0" w:type="dxa"/>
          <w:bottom w:w="0" w:type="dxa"/>
          <w:right w:w="0" w:type="dxa"/>
        </w:tblCellMar>
      </w:tblPr>
      <w:tblGrid>
        <w:gridCol w:w="75"/>
        <w:gridCol w:w="170"/>
        <w:gridCol w:w="875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875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operating results failing to meet the expectation of securities analysts or investors in a particular period;</w:t>
            </w:r>
          </w:p>
        </w:tc>
      </w:tr>
    </w:tbl>
    <w:p>
      <w:pPr>
        <w:pStyle w:val="TextBody"/>
        <w:bidi w:val="0"/>
        <w:spacing w:before="0" w:after="0"/>
        <w:jc w:val="left"/>
        <w:rPr>
          <w:caps w:val="false"/>
          <w:smallCaps w:val="false"/>
        </w:rPr>
      </w:pPr>
      <w:r>
        <w:rPr>
          <w:caps w:val="false"/>
          <w:smallCaps w:val="false"/>
        </w:rPr>
        <w:t> </w:t>
      </w:r>
    </w:p>
    <w:tbl>
      <w:tblPr>
        <w:tblW w:w="9520" w:type="dxa"/>
        <w:jc w:val="left"/>
        <w:tblInd w:w="0" w:type="dxa"/>
        <w:tblLayout w:type="fixed"/>
        <w:tblCellMar>
          <w:top w:w="0" w:type="dxa"/>
          <w:left w:w="0" w:type="dxa"/>
          <w:bottom w:w="0" w:type="dxa"/>
          <w:right w:w="0" w:type="dxa"/>
        </w:tblCellMar>
      </w:tblPr>
      <w:tblGrid>
        <w:gridCol w:w="75"/>
        <w:gridCol w:w="170"/>
        <w:gridCol w:w="9275"/>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27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changes in financial estimates and recommendations by securities analysts concerning us or the market in general;</w:t>
            </w:r>
          </w:p>
        </w:tc>
      </w:tr>
    </w:tbl>
    <w:p>
      <w:pPr>
        <w:pStyle w:val="TextBody"/>
        <w:bidi w:val="0"/>
        <w:spacing w:before="0" w:after="0"/>
        <w:jc w:val="left"/>
        <w:rPr>
          <w:caps w:val="false"/>
          <w:smallCaps w:val="false"/>
        </w:rPr>
      </w:pPr>
      <w:r>
        <w:rPr>
          <w:caps w:val="false"/>
          <w:smallCaps w:val="false"/>
        </w:rPr>
        <w:t> </w:t>
      </w:r>
    </w:p>
    <w:tbl>
      <w:tblPr>
        <w:tblW w:w="8080" w:type="dxa"/>
        <w:jc w:val="left"/>
        <w:tblInd w:w="0" w:type="dxa"/>
        <w:tblLayout w:type="fixed"/>
        <w:tblCellMar>
          <w:top w:w="0" w:type="dxa"/>
          <w:left w:w="0" w:type="dxa"/>
          <w:bottom w:w="0" w:type="dxa"/>
          <w:right w:w="0" w:type="dxa"/>
        </w:tblCellMar>
      </w:tblPr>
      <w:tblGrid>
        <w:gridCol w:w="75"/>
        <w:gridCol w:w="170"/>
        <w:gridCol w:w="7835"/>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783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operating and stock price performance of other companies that investors deem comparable to us;</w:t>
            </w:r>
          </w:p>
        </w:tc>
      </w:tr>
    </w:tbl>
    <w:p>
      <w:pPr>
        <w:pStyle w:val="TextBody"/>
        <w:bidi w:val="0"/>
        <w:spacing w:before="0" w:after="0"/>
        <w:jc w:val="left"/>
        <w:rPr>
          <w:caps w:val="false"/>
          <w:smallCaps w:val="false"/>
        </w:rPr>
      </w:pPr>
      <w:r>
        <w:rPr>
          <w:caps w:val="false"/>
          <w:smallCaps w:val="false"/>
        </w:rPr>
        <w:t> </w:t>
      </w:r>
    </w:p>
    <w:tbl>
      <w:tblPr>
        <w:tblW w:w="3700" w:type="dxa"/>
        <w:jc w:val="left"/>
        <w:tblInd w:w="0" w:type="dxa"/>
        <w:tblLayout w:type="fixed"/>
        <w:tblCellMar>
          <w:top w:w="0" w:type="dxa"/>
          <w:left w:w="0" w:type="dxa"/>
          <w:bottom w:w="0" w:type="dxa"/>
          <w:right w:w="0" w:type="dxa"/>
        </w:tblCellMar>
      </w:tblPr>
      <w:tblGrid>
        <w:gridCol w:w="75"/>
        <w:gridCol w:w="170"/>
        <w:gridCol w:w="3455"/>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345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develop product candidates;</w:t>
            </w:r>
          </w:p>
        </w:tc>
      </w:tr>
    </w:tbl>
    <w:p>
      <w:pPr>
        <w:pStyle w:val="TextBody"/>
        <w:bidi w:val="0"/>
        <w:spacing w:before="0" w:after="0"/>
        <w:jc w:val="left"/>
        <w:rPr>
          <w:caps w:val="false"/>
          <w:smallCaps w:val="false"/>
        </w:rPr>
      </w:pPr>
      <w:r>
        <w:rPr>
          <w:caps w:val="false"/>
          <w:smallCaps w:val="false"/>
        </w:rPr>
        <w:t> </w:t>
      </w:r>
    </w:p>
    <w:tbl>
      <w:tblPr>
        <w:tblW w:w="4735" w:type="dxa"/>
        <w:jc w:val="left"/>
        <w:tblInd w:w="0" w:type="dxa"/>
        <w:tblLayout w:type="fixed"/>
        <w:tblCellMar>
          <w:top w:w="0" w:type="dxa"/>
          <w:left w:w="0" w:type="dxa"/>
          <w:bottom w:w="0" w:type="dxa"/>
          <w:right w:w="0" w:type="dxa"/>
        </w:tblCellMar>
      </w:tblPr>
      <w:tblGrid>
        <w:gridCol w:w="75"/>
        <w:gridCol w:w="170"/>
        <w:gridCol w:w="449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449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changes in laws and regulations affecting our business;</w:t>
            </w:r>
          </w:p>
        </w:tc>
      </w:tr>
    </w:tbl>
    <w:p>
      <w:pPr>
        <w:pStyle w:val="TextBody"/>
        <w:bidi w:val="0"/>
        <w:spacing w:before="0" w:after="0"/>
        <w:jc w:val="left"/>
        <w:rPr>
          <w:caps w:val="false"/>
          <w:smallCaps w:val="false"/>
        </w:rPr>
      </w:pPr>
      <w:r>
        <w:rPr>
          <w:caps w:val="false"/>
          <w:smallCaps w:val="false"/>
        </w:rPr>
        <w:t> </w:t>
      </w:r>
    </w:p>
    <w:tbl>
      <w:tblPr>
        <w:tblW w:w="5305" w:type="dxa"/>
        <w:jc w:val="left"/>
        <w:tblInd w:w="0" w:type="dxa"/>
        <w:tblLayout w:type="fixed"/>
        <w:tblCellMar>
          <w:top w:w="0" w:type="dxa"/>
          <w:left w:w="0" w:type="dxa"/>
          <w:bottom w:w="0" w:type="dxa"/>
          <w:right w:w="0" w:type="dxa"/>
        </w:tblCellMar>
      </w:tblPr>
      <w:tblGrid>
        <w:gridCol w:w="75"/>
        <w:gridCol w:w="170"/>
        <w:gridCol w:w="50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50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commencement of, or involvement in, litigation involving us;</w:t>
            </w:r>
          </w:p>
        </w:tc>
      </w:tr>
    </w:tbl>
    <w:p>
      <w:pPr>
        <w:pStyle w:val="TextBody"/>
        <w:bidi w:val="0"/>
        <w:spacing w:before="0" w:after="0"/>
        <w:jc w:val="left"/>
        <w:rPr>
          <w:caps w:val="false"/>
          <w:smallCaps w:val="false"/>
        </w:rPr>
      </w:pPr>
      <w:r>
        <w:rPr>
          <w:caps w:val="false"/>
          <w:smallCaps w:val="false"/>
        </w:rPr>
        <w:t> </w:t>
      </w:r>
    </w:p>
    <w:tbl>
      <w:tblPr>
        <w:tblW w:w="8815" w:type="dxa"/>
        <w:jc w:val="left"/>
        <w:tblInd w:w="0" w:type="dxa"/>
        <w:tblLayout w:type="fixed"/>
        <w:tblCellMar>
          <w:top w:w="0" w:type="dxa"/>
          <w:left w:w="0" w:type="dxa"/>
          <w:bottom w:w="0" w:type="dxa"/>
          <w:right w:w="0" w:type="dxa"/>
        </w:tblCellMar>
      </w:tblPr>
      <w:tblGrid>
        <w:gridCol w:w="75"/>
        <w:gridCol w:w="170"/>
        <w:gridCol w:w="857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857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changes in our capital structure, such as future issuances of securities or the incurrence of additional debt;</w:t>
            </w:r>
          </w:p>
        </w:tc>
      </w:tr>
    </w:tbl>
    <w:p>
      <w:pPr>
        <w:pStyle w:val="TextBody"/>
        <w:bidi w:val="0"/>
        <w:spacing w:before="0" w:after="0"/>
        <w:jc w:val="left"/>
        <w:rPr>
          <w:caps w:val="false"/>
          <w:smallCaps w:val="false"/>
        </w:rPr>
      </w:pPr>
      <w:r>
        <w:rPr>
          <w:caps w:val="false"/>
          <w:smallCaps w:val="false"/>
        </w:rPr>
        <w:t> </w:t>
      </w:r>
    </w:p>
    <w:tbl>
      <w:tblPr>
        <w:tblW w:w="5275" w:type="dxa"/>
        <w:jc w:val="left"/>
        <w:tblInd w:w="0" w:type="dxa"/>
        <w:tblLayout w:type="fixed"/>
        <w:tblCellMar>
          <w:top w:w="0" w:type="dxa"/>
          <w:left w:w="0" w:type="dxa"/>
          <w:bottom w:w="0" w:type="dxa"/>
          <w:right w:w="0" w:type="dxa"/>
        </w:tblCellMar>
      </w:tblPr>
      <w:tblGrid>
        <w:gridCol w:w="75"/>
        <w:gridCol w:w="170"/>
        <w:gridCol w:w="503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503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volume of shares of our securities available for public sale</w:t>
            </w:r>
          </w:p>
        </w:tc>
      </w:tr>
    </w:tbl>
    <w:p>
      <w:pPr>
        <w:pStyle w:val="TextBody"/>
        <w:bidi w:val="0"/>
        <w:spacing w:before="0" w:after="0"/>
        <w:jc w:val="left"/>
        <w:rPr>
          <w:caps w:val="false"/>
          <w:smallCaps w:val="false"/>
        </w:rPr>
      </w:pPr>
      <w:r>
        <w:rPr>
          <w:caps w:val="false"/>
          <w:smallCaps w:val="false"/>
        </w:rPr>
        <w:t> </w:t>
      </w:r>
    </w:p>
    <w:tbl>
      <w:tblPr>
        <w:tblW w:w="5125" w:type="dxa"/>
        <w:jc w:val="left"/>
        <w:tblInd w:w="0" w:type="dxa"/>
        <w:tblLayout w:type="fixed"/>
        <w:tblCellMar>
          <w:top w:w="0" w:type="dxa"/>
          <w:left w:w="0" w:type="dxa"/>
          <w:bottom w:w="0" w:type="dxa"/>
          <w:right w:w="0" w:type="dxa"/>
        </w:tblCellMar>
      </w:tblPr>
      <w:tblGrid>
        <w:gridCol w:w="75"/>
        <w:gridCol w:w="170"/>
        <w:gridCol w:w="488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488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major change in our Board of Directors or management;</w:t>
            </w:r>
          </w:p>
        </w:tc>
      </w:tr>
    </w:tbl>
    <w:p>
      <w:pPr>
        <w:pStyle w:val="TextBody"/>
        <w:bidi w:val="0"/>
        <w:spacing w:before="0" w:after="0"/>
        <w:ind w:left="0" w:right="0" w:firstLine="3375"/>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sales of substantial amounts of common stock by our Directors, executive officers or significant stockholders or the perception that such sales could occur; and</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general economic and political conditions such as recessions, interest rates, fuel prices, international currency fluctuations and acts of war or terrorism.</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36</w:t>
      </w:r>
    </w:p>
    <w:p>
      <w:pPr>
        <w:pStyle w:val="TextBody"/>
        <w:bidi w:val="0"/>
        <w:spacing w:before="0" w:after="0"/>
        <w:ind w:left="0" w:right="0" w:hanging="0"/>
        <w:jc w:val="left"/>
        <w:rPr/>
      </w:pPr>
      <w:r>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If securities or industry analysts do not publish or cease publishing research or reports about us, our business, or our market, or if they change their recommendations regarding our securities adversely, the price and trading volume of our securities could decline.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trading market for our securities is influenced by the research and reports that industry or securities analysts may publish about us, our business, our market, or our competitors. If any of the analysts who currently cover us change their recommendation regarding our stock adversely, or provide more favorable relative recommendations about our competitors, the price of our securities would likely decline. If any analyst who currently cover us were to cease coverage of us or fail to regularly publish reports on us, we could lose visibility in the financial markets, which could cause our stock price or trading volume to decline. If we obtain additional coverage and any new analyst issues, an adverse or misleading opinion regarding us, our business model, our intellectual property or our stock performance, or if our operating results fail to meet the expectations of analysts, our stock price could decline.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A market for our securities may not continue, which would adversely affect the liquidity and price of our securities.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price of our securities may fluctuate significantly due to general market and economic conditions and an active trading market for our securities may not be sustained. In addition, the price of our securities can vary due to general economic conditions and forecasts, our general business condition and the release of our financial reports. If our securities are not listed on, or become delisted from Nasdaq for any reason, and are quoted on the OTC Bulletin Board, an inter-dealer automated quotation system for equity securities that is not a national securities exchange, the liquidity and price of our securities may be more limited than if we were quoted or listed on Nasdaq or another national securities exchange. You may be unable to sell your securities unless a market can be established or sustained.</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If we fail to meet all applicable requirements of Nasdaq and Nasdaq determines to delist our common stock, the delisting could adversely affect the market liquidity of our common stock and the market price of our common stock could decrease.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we are unable to satisfy the Nasdaq criteria for continued listing, our common stock would be subject to delisting. A delisting of our common stock could negatively impact us by, among other things, reducing the liquidity and market price of our common stock; reducing the number of investors willing to hold or acquire our common stock, which could negatively impact our ability to raise equity financing; decreasing the amount of news and analyst coverage of us; and limiting our ability to issue additional securities or obtain additional financing in the future. In addition, delisting from Nasdaq may negatively impact our reputation and, consequently, our business.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can be no assurance that we will maintain compliance with the requirements for listing our common stock on Nasdaq. On April 28, 2025, we received a letter from the Listing Qualifications staff of Nasdaq (the “</w:t>
      </w:r>
      <w:r>
        <w:rPr>
          <w:rFonts w:ascii="Times New Roman;Times;Serif" w:hAnsi="Times New Roman;Times;Serif"/>
          <w:b/>
          <w:i w:val="false"/>
          <w:caps w:val="false"/>
          <w:smallCaps w:val="false"/>
          <w:sz w:val="20"/>
        </w:rPr>
        <w:t>Nasdaq Staff</w:t>
      </w:r>
      <w:r>
        <w:rPr>
          <w:rFonts w:ascii="Times New Roman;Times;Serif" w:hAnsi="Times New Roman;Times;Serif"/>
          <w:b w:val="false"/>
          <w:i w:val="false"/>
          <w:caps w:val="false"/>
          <w:smallCaps w:val="false"/>
          <w:sz w:val="20"/>
        </w:rPr>
        <w:t>”) indicating that, as a result of our delay in filing the Company’s Annual Report on Form 10-K for the year ended December 29, 2024 (the “</w:t>
      </w:r>
      <w:r>
        <w:rPr>
          <w:rFonts w:ascii="Times New Roman;Times;Serif" w:hAnsi="Times New Roman;Times;Serif"/>
          <w:b/>
          <w:i w:val="false"/>
          <w:caps w:val="false"/>
          <w:smallCaps w:val="false"/>
          <w:sz w:val="20"/>
        </w:rPr>
        <w:t>2024 Form 10-K</w:t>
      </w:r>
      <w:r>
        <w:rPr>
          <w:rFonts w:ascii="Times New Roman;Times;Serif" w:hAnsi="Times New Roman;Times;Serif"/>
          <w:b w:val="false"/>
          <w:i w:val="false"/>
          <w:caps w:val="false"/>
          <w:smallCaps w:val="false"/>
          <w:sz w:val="20"/>
        </w:rPr>
        <w:t>”), we were not in compliance with the timely filing requirements for continued listing under Nasdaq Listing Rule 5250(c)(1). The Nasdaq letter had no immediate effect on the listing or trading of our common stock or warrants. The Nasdaq listing rules require Nasdaq-listed companies to timely file all required periodic reports with the SEC. The Nasdaq letter stated that, under Nasdaq rules, the Company had 60 calendar days to submit a plan to regain compliance with Nasdaq’s continued listing requirements. We filed our 2024 Form 10-K on April 30, 2025. Subsequently, on November 19, 2025, we received a notice from the Nasdaq staff indicating that, as a result of our delay in filing the Company’s Quarterly Report on Form 10-Q for the quarter ended September 28, 2025 (the “</w:t>
      </w:r>
      <w:r>
        <w:rPr>
          <w:rFonts w:ascii="Times New Roman;Times;Serif" w:hAnsi="Times New Roman;Times;Serif"/>
          <w:b/>
          <w:i w:val="false"/>
          <w:caps w:val="false"/>
          <w:smallCaps w:val="false"/>
          <w:sz w:val="20"/>
        </w:rPr>
        <w:t>Q3 Form 10-Q</w:t>
      </w:r>
      <w:r>
        <w:rPr>
          <w:rFonts w:ascii="Times New Roman;Times;Serif" w:hAnsi="Times New Roman;Times;Serif"/>
          <w:b w:val="false"/>
          <w:i w:val="false"/>
          <w:caps w:val="false"/>
          <w:smallCaps w:val="false"/>
          <w:sz w:val="20"/>
        </w:rPr>
        <w:t>”), we were not in compliance with the timely filing requirements for continued listing under Nasdaq Listing Rule 5250(c)(1). The Nasdaq letter relating to our Q3 Form 10-Q had no immediate effect on the listing or trading of our common stock or warrants. The Nasdaq letter stated that, under Nasdaq rules, the Company had 60 calendar days to submit a plan to regain compliance with Nasdaq’s continued listing requirements. We filed the Q3 Form 10-Q on December 19, 2025.</w:t>
      </w:r>
    </w:p>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37</w:t>
      </w:r>
    </w:p>
    <w:p>
      <w:pPr>
        <w:pStyle w:val="TextBody"/>
        <w:bidi w:val="0"/>
        <w:spacing w:before="0" w:after="0"/>
        <w:ind w:left="0" w:right="0" w:hanging="0"/>
        <w:jc w:val="left"/>
        <w:rPr/>
      </w:pPr>
      <w:r>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Nasdaq delists our securities from trading on its exchange for failure to meet the listing standards, we and our stockholders could face significant material adverse consequences including:</w:t>
      </w:r>
    </w:p>
    <w:p>
      <w:pPr>
        <w:pStyle w:val="TextBody"/>
        <w:bidi w:val="0"/>
        <w:spacing w:before="0" w:after="0"/>
        <w:ind w:left="0" w:right="0" w:firstLine="360"/>
        <w:jc w:val="both"/>
        <w:rPr>
          <w:caps w:val="false"/>
          <w:smallCaps w:val="false"/>
        </w:rPr>
      </w:pPr>
      <w:r>
        <w:rPr>
          <w:caps w:val="false"/>
          <w:smallCaps w:val="false"/>
        </w:rPr>
        <w:t> </w:t>
      </w:r>
    </w:p>
    <w:tbl>
      <w:tblPr>
        <w:tblW w:w="5170" w:type="dxa"/>
        <w:jc w:val="left"/>
        <w:tblInd w:w="0" w:type="dxa"/>
        <w:tblLayout w:type="fixed"/>
        <w:tblCellMar>
          <w:top w:w="0" w:type="dxa"/>
          <w:left w:w="0" w:type="dxa"/>
          <w:bottom w:w="0" w:type="dxa"/>
          <w:right w:w="0" w:type="dxa"/>
        </w:tblCellMar>
      </w:tblPr>
      <w:tblGrid>
        <w:gridCol w:w="75"/>
        <w:gridCol w:w="170"/>
        <w:gridCol w:w="4925"/>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492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limited availability of market quotations for our securities;</w:t>
            </w:r>
          </w:p>
        </w:tc>
      </w:tr>
    </w:tbl>
    <w:p>
      <w:pPr>
        <w:pStyle w:val="TextBody"/>
        <w:bidi w:val="0"/>
        <w:spacing w:before="0" w:after="0"/>
        <w:ind w:left="36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determination that our common stock is a “penny stock” which will require brokers trading in our common stock to adhere to more stringent rules, possibly resulting in a reduced level of trading activity in the secondary trading market for our common stock;</w:t>
            </w:r>
          </w:p>
        </w:tc>
      </w:tr>
    </w:tbl>
    <w:p>
      <w:pPr>
        <w:pStyle w:val="TextBody"/>
        <w:bidi w:val="0"/>
        <w:spacing w:before="0" w:after="0"/>
        <w:ind w:left="36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limited amount of analyst coverage; and a decreased ability to issue additional securities or obtain additional financing in the future.</w:t>
            </w:r>
          </w:p>
        </w:tc>
      </w:tr>
    </w:tbl>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Sales of a substantial number of shares of our common stock in the public market by our shareholders could cause the price of our common stock to decline.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Sales of a substantial number of shares of our common stock in the public market could occur at any time. If our stockholders sell, or the market perceives that our stockholders intend to sell, substantial amounts of our common stock in the public market, the market price of our common stock could decline.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Provisions in our Certificate of Incorporation and Bylaws and provisions of the Delaware General Corporation Law may delay or prevent an acquisition by a third party that could otherwise be in the interests of shareholders.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Certificate of Incorporation and Bylaws contain several provisions that may make it more difficult or expensive for a third party to acquire control of us without the approval of our board. These provisions, which may delay, prevent or deter a merger, acquisition, tender offer, proxy contest, or other transaction that stockholders may consider favorable, include the following:</w:t>
      </w:r>
    </w:p>
    <w:p>
      <w:pPr>
        <w:pStyle w:val="TextBody"/>
        <w:bidi w:val="0"/>
        <w:spacing w:before="0" w:after="0"/>
        <w:jc w:val="both"/>
        <w:rPr>
          <w:caps w:val="false"/>
          <w:smallCaps w:val="false"/>
        </w:rPr>
      </w:pPr>
      <w:r>
        <w:rPr>
          <w:caps w:val="false"/>
          <w:smallCaps w:val="false"/>
        </w:rPr>
        <w:t> </w:t>
      </w:r>
    </w:p>
    <w:tbl>
      <w:tblPr>
        <w:tblW w:w="6850" w:type="dxa"/>
        <w:jc w:val="left"/>
        <w:tblInd w:w="0" w:type="dxa"/>
        <w:tblLayout w:type="fixed"/>
        <w:tblCellMar>
          <w:top w:w="0" w:type="dxa"/>
          <w:left w:w="0" w:type="dxa"/>
          <w:bottom w:w="0" w:type="dxa"/>
          <w:right w:w="0" w:type="dxa"/>
        </w:tblCellMar>
      </w:tblPr>
      <w:tblGrid>
        <w:gridCol w:w="75"/>
        <w:gridCol w:w="170"/>
        <w:gridCol w:w="6605"/>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660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advance notice requirements for stockholder proposals and director nominations;</w:t>
            </w:r>
          </w:p>
        </w:tc>
      </w:tr>
    </w:tbl>
    <w:p>
      <w:pPr>
        <w:pStyle w:val="TextBody"/>
        <w:bidi w:val="0"/>
        <w:spacing w:before="0" w:after="0"/>
        <w:jc w:val="left"/>
        <w:rPr>
          <w:caps w:val="false"/>
          <w:smallCaps w:val="false"/>
        </w:rPr>
      </w:pPr>
      <w:r>
        <w:rPr>
          <w:caps w:val="false"/>
          <w:smallCaps w:val="false"/>
        </w:rPr>
        <w:t> </w:t>
      </w:r>
    </w:p>
    <w:tbl>
      <w:tblPr>
        <w:tblW w:w="9910" w:type="dxa"/>
        <w:jc w:val="left"/>
        <w:tblInd w:w="0" w:type="dxa"/>
        <w:tblLayout w:type="fixed"/>
        <w:tblCellMar>
          <w:top w:w="0" w:type="dxa"/>
          <w:left w:w="0" w:type="dxa"/>
          <w:bottom w:w="0" w:type="dxa"/>
          <w:right w:w="0" w:type="dxa"/>
        </w:tblCellMar>
      </w:tblPr>
      <w:tblGrid>
        <w:gridCol w:w="75"/>
        <w:gridCol w:w="170"/>
        <w:gridCol w:w="9665"/>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66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provisions limiting stockholders’ ability to call special meetings of stockholders and to take action by written consent;</w:t>
            </w:r>
          </w:p>
        </w:tc>
      </w:tr>
    </w:tbl>
    <w:p>
      <w:pPr>
        <w:pStyle w:val="TextBody"/>
        <w:bidi w:val="0"/>
        <w:spacing w:before="0" w:after="0"/>
        <w:jc w:val="left"/>
        <w:rPr>
          <w:caps w:val="false"/>
          <w:smallCaps w:val="false"/>
        </w:rPr>
      </w:pPr>
      <w:r>
        <w:rPr>
          <w:caps w:val="false"/>
          <w:smallCaps w:val="false"/>
        </w:rPr>
        <w:t> </w:t>
      </w:r>
    </w:p>
    <w:tbl>
      <w:tblPr>
        <w:tblW w:w="5710" w:type="dxa"/>
        <w:jc w:val="left"/>
        <w:tblInd w:w="0" w:type="dxa"/>
        <w:tblLayout w:type="fixed"/>
        <w:tblCellMar>
          <w:top w:w="0" w:type="dxa"/>
          <w:left w:w="0" w:type="dxa"/>
          <w:bottom w:w="0" w:type="dxa"/>
          <w:right w:w="0" w:type="dxa"/>
        </w:tblCellMar>
      </w:tblPr>
      <w:tblGrid>
        <w:gridCol w:w="75"/>
        <w:gridCol w:w="170"/>
        <w:gridCol w:w="5465"/>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546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restrictions on business combinations with interested stockholders;</w:t>
            </w:r>
          </w:p>
        </w:tc>
      </w:tr>
    </w:tbl>
    <w:p>
      <w:pPr>
        <w:pStyle w:val="TextBody"/>
        <w:bidi w:val="0"/>
        <w:spacing w:before="0" w:after="0"/>
        <w:jc w:val="left"/>
        <w:rPr>
          <w:caps w:val="false"/>
          <w:smallCaps w:val="false"/>
        </w:rPr>
      </w:pPr>
      <w:r>
        <w:rPr>
          <w:caps w:val="false"/>
          <w:smallCaps w:val="false"/>
        </w:rPr>
        <w:t> </w:t>
      </w:r>
    </w:p>
    <w:tbl>
      <w:tblPr>
        <w:tblW w:w="2440" w:type="dxa"/>
        <w:jc w:val="left"/>
        <w:tblInd w:w="0" w:type="dxa"/>
        <w:tblLayout w:type="fixed"/>
        <w:tblCellMar>
          <w:top w:w="0" w:type="dxa"/>
          <w:left w:w="0" w:type="dxa"/>
          <w:bottom w:w="0" w:type="dxa"/>
          <w:right w:w="0" w:type="dxa"/>
        </w:tblCellMar>
      </w:tblPr>
      <w:tblGrid>
        <w:gridCol w:w="75"/>
        <w:gridCol w:w="170"/>
        <w:gridCol w:w="2195"/>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219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cumulative voting; and</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ability of the Board of Directors to designate the terms of and issue new series of preferred stock without stockholder approval, which could be used, among other things, to institute a rights plan that would have the effect of significantly diluting the stock ownership of a potential hostile acquirer, likely preventing acquisitions by such acquirer.</w:t>
            </w:r>
          </w:p>
        </w:tc>
      </w:tr>
    </w:tbl>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These provisions of our Certificate of Incorporation and Bylaws could discourage potential takeover attempts and reduce the price that investors might be willing to pay for the shares of our common stock in the future, which could reduce the market price of our common stock.</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38</w:t>
      </w:r>
    </w:p>
    <w:p>
      <w:pPr>
        <w:pStyle w:val="TextBody"/>
        <w:bidi w:val="0"/>
        <w:spacing w:before="0" w:after="0"/>
        <w:ind w:left="0" w:right="0" w:hanging="0"/>
        <w:jc w:val="left"/>
        <w:rPr/>
      </w:pPr>
      <w:r>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The provision of our Certificate of Incorporation requiring exclusive venue in the Court of Chancery in the State of Delaware and the federal district courts of the U.S. for certain types of lawsuits may have the effect of discouraging lawsuits against directors and officers.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Certificate of Incorporation provides that, unless otherwise consented to by us in writing, the Court of Chancery of the State of Delaware (or, if the Court of Chancery does not have jurisdiction, another State court in Delaware or the federal district court for the District of Delaware) will, to the fullest extent permitted by law, be the sole and exclusive forum for the following types of actions or proceedings:</w:t>
      </w:r>
    </w:p>
    <w:p>
      <w:pPr>
        <w:pStyle w:val="TextBody"/>
        <w:bidi w:val="0"/>
        <w:spacing w:before="0" w:after="0"/>
        <w:jc w:val="both"/>
        <w:rPr>
          <w:caps w:val="false"/>
          <w:smallCaps w:val="false"/>
        </w:rPr>
      </w:pPr>
      <w:r>
        <w:rPr>
          <w:caps w:val="false"/>
          <w:smallCaps w:val="false"/>
        </w:rPr>
        <w:t> </w:t>
      </w:r>
    </w:p>
    <w:tbl>
      <w:tblPr>
        <w:tblW w:w="5170" w:type="dxa"/>
        <w:jc w:val="left"/>
        <w:tblInd w:w="0" w:type="dxa"/>
        <w:tblLayout w:type="fixed"/>
        <w:tblCellMar>
          <w:top w:w="0" w:type="dxa"/>
          <w:left w:w="0" w:type="dxa"/>
          <w:bottom w:w="0" w:type="dxa"/>
          <w:right w:w="0" w:type="dxa"/>
        </w:tblCellMar>
      </w:tblPr>
      <w:tblGrid>
        <w:gridCol w:w="75"/>
        <w:gridCol w:w="170"/>
        <w:gridCol w:w="4925"/>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492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derivative action or proceeding brought on behalf of us;</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action asserting a claim of breach of a duty (including any fiduciary duty) owed by any of our current or former Directors, officers, stockholders, employees or agents to us or our stockholders;</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action asserting a claim against us or any of our current or former Directors, officers, stockholders, employees or agents relating to any provision of the Delaware General Corporation Law (“</w:t>
            </w:r>
            <w:r>
              <w:rPr>
                <w:rFonts w:ascii="Times New Roman;Times;Serif" w:hAnsi="Times New Roman;Times;Serif"/>
                <w:b/>
                <w:i w:val="false"/>
                <w:caps w:val="false"/>
                <w:smallCaps w:val="false"/>
                <w:sz w:val="20"/>
              </w:rPr>
              <w:t>DGCL</w:t>
            </w:r>
            <w:r>
              <w:rPr>
                <w:rFonts w:ascii="Times New Roman;Times;Serif" w:hAnsi="Times New Roman;Times;Serif"/>
                <w:b w:val="false"/>
                <w:i w:val="false"/>
                <w:caps w:val="false"/>
                <w:smallCaps w:val="false"/>
                <w:sz w:val="20"/>
              </w:rPr>
              <w:t>”) or our Certificate of Incorporation or the Bylaws or as to which the DGCL confers jurisdiction on the Court of Chancery of the State of Delaware; and</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action asserting a claim against us or any of our current or former Directors, officers, stockholders, employees or agents governed by the internal affairs doctrine of the State of Delaware, in each such case unless the Court of Chancery (or such other state or federal court located within the State of Delaware, as applicable) has dismissed a prior action by the same plaintiff asserting the same claims because such court lacked personal jurisdiction over an indispensable party named as a defendant therein.</w:t>
            </w:r>
          </w:p>
        </w:tc>
      </w:tr>
    </w:tbl>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Certificate of Incorporation will further provide that, unless otherwise consented to by us in writing to the selection of an alternative forum, the federal district courts of the U.S. will, to the fullest extent permitted by law, be the sole and exclusive forum for the resolution of any complaint against any person in connection with any offering of our securities, asserting a cause of action arising under the Securities Act. Any person or entity purchasing or otherwise acquiring any interest in our securities will be deemed to have notice of and consented to this provision.</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Although our Certificate of Incorporation contains the choice of forum provisions described above, it is possible that a court could rule that such provisions are inapplicable for a particular claim or action or that such provisions are unenforceable. For example, under the Securities Act, federal courts have concurrent jurisdiction over all suits brought to enforce any duty or liability created by the Securities Act, and investors cannot waive compliance with the federal securities laws and the rules and regulations thereunder. In addition, Section 27 of the Exchange Act creates exclusive federal jurisdiction over all suits brought to enforce any duty or liability created by the Exchange Act or the rules and regulations thereunder, and, therefore, the exclusive forum provisions described above do not apply to any actions brought under the Exchange Act.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Although we believe these provisions will benefit us by limiting costly and time-consuming litigation in multiple forums and by providing increased consistency in the application of applicable law, these exclusive forum provisions may limit the ability of our shareholders to bring a claim in a judicial forum that such shareholders find favorable for disputes with us or our Directors, officers or employees, which may discourage such lawsuits against us and our Directors, officers and other employees.</w:t>
      </w:r>
    </w:p>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39</w:t>
      </w:r>
    </w:p>
    <w:p>
      <w:pPr>
        <w:pStyle w:val="TextBody"/>
        <w:bidi w:val="0"/>
        <w:spacing w:before="0" w:after="0"/>
        <w:ind w:left="0" w:right="0" w:hanging="0"/>
        <w:jc w:val="left"/>
        <w:rPr/>
      </w:pPr>
      <w:r>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may be required to repurchase up to 5,618,488 shares of common stock from the investors with whom we entered into Forward Purchase Agreements in connection with the closing of the Business Combination, which would reduce the amount of cash available to us to fund our growth plan.</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and around July 13, 2023, FACT entered into separate Forward Purchase Agreements (the “Forward Purchase Agreements”) with each of (i) Meteora Special Opportunity Fund I, LP (“</w:t>
      </w:r>
      <w:r>
        <w:rPr>
          <w:rFonts w:ascii="Times New Roman;Times;Serif" w:hAnsi="Times New Roman;Times;Serif"/>
          <w:b/>
          <w:i w:val="false"/>
          <w:caps w:val="false"/>
          <w:smallCaps w:val="false"/>
          <w:sz w:val="20"/>
        </w:rPr>
        <w:t>MSOF</w:t>
      </w:r>
      <w:r>
        <w:rPr>
          <w:rFonts w:ascii="Times New Roman;Times;Serif" w:hAnsi="Times New Roman;Times;Serif"/>
          <w:b w:val="false"/>
          <w:i w:val="false"/>
          <w:caps w:val="false"/>
          <w:smallCaps w:val="false"/>
          <w:sz w:val="20"/>
        </w:rPr>
        <w:t>”), Meteora Capital Partners, LP (“</w:t>
      </w:r>
      <w:r>
        <w:rPr>
          <w:rFonts w:ascii="Times New Roman;Times;Serif" w:hAnsi="Times New Roman;Times;Serif"/>
          <w:b/>
          <w:i w:val="false"/>
          <w:caps w:val="false"/>
          <w:smallCaps w:val="false"/>
          <w:sz w:val="20"/>
        </w:rPr>
        <w:t>MCP</w:t>
      </w:r>
      <w:r>
        <w:rPr>
          <w:rFonts w:ascii="Times New Roman;Times;Serif" w:hAnsi="Times New Roman;Times;Serif"/>
          <w:b w:val="false"/>
          <w:i w:val="false"/>
          <w:caps w:val="false"/>
          <w:smallCaps w:val="false"/>
          <w:sz w:val="20"/>
        </w:rPr>
        <w:t>”) and Meteora Select Trading Opportunities Master, LP (“MSTO”) (with MSOF, MCP, and MSTO collectively as “</w:t>
      </w:r>
      <w:r>
        <w:rPr>
          <w:rFonts w:ascii="Times New Roman;Times;Serif" w:hAnsi="Times New Roman;Times;Serif"/>
          <w:b/>
          <w:i w:val="false"/>
          <w:caps w:val="false"/>
          <w:smallCaps w:val="false"/>
          <w:sz w:val="20"/>
        </w:rPr>
        <w:t>Meteora</w:t>
      </w:r>
      <w:r>
        <w:rPr>
          <w:rFonts w:ascii="Times New Roman;Times;Serif" w:hAnsi="Times New Roman;Times;Serif"/>
          <w:b w:val="false"/>
          <w:i w:val="false"/>
          <w:caps w:val="false"/>
          <w:smallCaps w:val="false"/>
          <w:sz w:val="20"/>
        </w:rPr>
        <w:t>”); (ii) Polar Multi-Strategy Master Fund (“</w:t>
      </w:r>
      <w:r>
        <w:rPr>
          <w:rFonts w:ascii="Times New Roman;Times;Serif" w:hAnsi="Times New Roman;Times;Serif"/>
          <w:b/>
          <w:i w:val="false"/>
          <w:caps w:val="false"/>
          <w:smallCaps w:val="false"/>
          <w:sz w:val="20"/>
        </w:rPr>
        <w:t>Polar</w:t>
      </w:r>
      <w:r>
        <w:rPr>
          <w:rFonts w:ascii="Times New Roman;Times;Serif" w:hAnsi="Times New Roman;Times;Serif"/>
          <w:b w:val="false"/>
          <w:i w:val="false"/>
          <w:caps w:val="false"/>
          <w:smallCaps w:val="false"/>
          <w:sz w:val="20"/>
        </w:rPr>
        <w:t>”), and (iii) Diametric True Alpha Market Neutral Master Fund, LP, Diametric True Alpha Enhanced Market Neutral Master Fund, LP, and Pinebridge Partners Master Fund, LP (collectively, “</w:t>
      </w:r>
      <w:r>
        <w:rPr>
          <w:rFonts w:ascii="Times New Roman;Times;Serif" w:hAnsi="Times New Roman;Times;Serif"/>
          <w:b/>
          <w:i w:val="false"/>
          <w:caps w:val="false"/>
          <w:smallCaps w:val="false"/>
          <w:sz w:val="20"/>
        </w:rPr>
        <w:t>Sandia</w:t>
      </w:r>
      <w:r>
        <w:rPr>
          <w:rFonts w:ascii="Times New Roman;Times;Serif" w:hAnsi="Times New Roman;Times;Serif"/>
          <w:b w:val="false"/>
          <w:i w:val="false"/>
          <w:caps w:val="false"/>
          <w:smallCaps w:val="false"/>
          <w:sz w:val="20"/>
        </w:rPr>
        <w:t>”, and each of Meteora, Polar, and Sandia, individually, an “</w:t>
      </w:r>
      <w:r>
        <w:rPr>
          <w:rFonts w:ascii="Times New Roman;Times;Serif" w:hAnsi="Times New Roman;Times;Serif"/>
          <w:b/>
          <w:i w:val="false"/>
          <w:caps w:val="false"/>
          <w:smallCaps w:val="false"/>
          <w:sz w:val="20"/>
        </w:rPr>
        <w:t>FPA Investor</w:t>
      </w:r>
      <w:r>
        <w:rPr>
          <w:rFonts w:ascii="Times New Roman;Times;Serif" w:hAnsi="Times New Roman;Times;Serif"/>
          <w:b w:val="false"/>
          <w:i w:val="false"/>
          <w:caps w:val="false"/>
          <w:smallCaps w:val="false"/>
          <w:sz w:val="20"/>
        </w:rPr>
        <w:t>”, and together, the “</w:t>
      </w:r>
      <w:r>
        <w:rPr>
          <w:rFonts w:ascii="Times New Roman;Times;Serif" w:hAnsi="Times New Roman;Times;Serif"/>
          <w:b/>
          <w:i w:val="false"/>
          <w:caps w:val="false"/>
          <w:smallCaps w:val="false"/>
          <w:sz w:val="20"/>
        </w:rPr>
        <w:t>FPA Investors</w:t>
      </w:r>
      <w:r>
        <w:rPr>
          <w:rFonts w:ascii="Times New Roman;Times;Serif" w:hAnsi="Times New Roman;Times;Serif"/>
          <w:b w:val="false"/>
          <w:i w:val="false"/>
          <w:caps w:val="false"/>
          <w:smallCaps w:val="false"/>
          <w:sz w:val="20"/>
        </w:rPr>
        <w:t>”), pursuant to which FACT (now SunPower Inc. (f/k/a Complete Solaria, Inc.) following the closing of the Business Combination) agreed to purchase in the aggregate, on the date that is 24 months after the closing date of the Forward Purchase Agreements (the “</w:t>
      </w:r>
      <w:r>
        <w:rPr>
          <w:rFonts w:ascii="Times New Roman;Times;Serif" w:hAnsi="Times New Roman;Times;Serif"/>
          <w:b/>
          <w:i w:val="false"/>
          <w:caps w:val="false"/>
          <w:smallCaps w:val="false"/>
          <w:sz w:val="20"/>
        </w:rPr>
        <w:t>Maturity Date</w:t>
      </w:r>
      <w:r>
        <w:rPr>
          <w:rFonts w:ascii="Times New Roman;Times;Serif" w:hAnsi="Times New Roman;Times;Serif"/>
          <w:b w:val="false"/>
          <w:i w:val="false"/>
          <w:caps w:val="false"/>
          <w:smallCaps w:val="false"/>
          <w:sz w:val="20"/>
        </w:rPr>
        <w:t>”), up to 5,618,488 shares of common stock then held by the FPA Investors (subject to certain conditions and purchase limits set forth in the Forward Purchase Agreements). Pursuant to the terms of the Forward Purchase Agreements, each FPA Investor further agreed not to redeem any of the FACT Class A Ordinary Shares owned by it at such time. The per price at which the FPA Investors have the right to sell the shares to us on the Maturity Date will not be less than $5.00 per share. On December 18, 2023, the Company and each FPA Investor entered into separate amendments to the Forward Purchase Agreements (the “</w:t>
      </w:r>
      <w:r>
        <w:rPr>
          <w:rFonts w:ascii="Times New Roman;Times;Serif" w:hAnsi="Times New Roman;Times;Serif"/>
          <w:b/>
          <w:i w:val="false"/>
          <w:caps w:val="false"/>
          <w:smallCaps w:val="false"/>
          <w:sz w:val="20"/>
        </w:rPr>
        <w:t xml:space="preserve">First Amendments”). </w:t>
      </w:r>
      <w:r>
        <w:rPr>
          <w:rFonts w:ascii="Times New Roman;Times;Serif" w:hAnsi="Times New Roman;Times;Serif"/>
          <w:b w:val="false"/>
          <w:i w:val="false"/>
          <w:caps w:val="false"/>
          <w:smallCaps w:val="false"/>
          <w:sz w:val="20"/>
        </w:rPr>
        <w:t>The First Amendments lower the reset floor price of each Forward Purchase Agreement from $5.00 to $3.00 and allow the Company to raise up to $10,000,000 of equity from existing stockholders without triggering certain anti-dilution provisions contained in the Forward Purchase Agreements; provided, the insiders pay a price per share for their initial investment equal to the closing price per share as quoted on the Nasdaq on the day of purchase; provided, further, that any subsequent investments are made at a price per share equal to the greater of (a) the closing price per share as quoted by Nasdaq on the day of the purchase or (b) the amount paid in connection with the initial investment. On May 7 and 8, 2024, respectively, the Company entered into separate amendments to the Forward Purchase Agreements (the collectively the “</w:t>
      </w:r>
      <w:r>
        <w:rPr>
          <w:rFonts w:ascii="Times New Roman;Times;Serif" w:hAnsi="Times New Roman;Times;Serif"/>
          <w:b/>
          <w:i w:val="false"/>
          <w:caps w:val="false"/>
          <w:smallCaps w:val="false"/>
          <w:sz w:val="20"/>
        </w:rPr>
        <w:t>Second Amendments</w:t>
      </w:r>
      <w:r>
        <w:rPr>
          <w:rFonts w:ascii="Times New Roman;Times;Serif" w:hAnsi="Times New Roman;Times;Serif"/>
          <w:b w:val="false"/>
          <w:i w:val="false"/>
          <w:caps w:val="false"/>
          <w:smallCaps w:val="false"/>
          <w:sz w:val="20"/>
        </w:rPr>
        <w:t>”) with Sandia (the “</w:t>
      </w:r>
      <w:r>
        <w:rPr>
          <w:rFonts w:ascii="Times New Roman;Times;Serif" w:hAnsi="Times New Roman;Times;Serif"/>
          <w:b/>
          <w:i w:val="false"/>
          <w:caps w:val="false"/>
          <w:smallCaps w:val="false"/>
          <w:sz w:val="20"/>
        </w:rPr>
        <w:t>Sandia Second Amendment</w:t>
      </w:r>
      <w:r>
        <w:rPr>
          <w:rFonts w:ascii="Times New Roman;Times;Serif" w:hAnsi="Times New Roman;Times;Serif"/>
          <w:b w:val="false"/>
          <w:i w:val="false"/>
          <w:caps w:val="false"/>
          <w:smallCaps w:val="false"/>
          <w:sz w:val="20"/>
        </w:rPr>
        <w:t>”) and Polar (the “</w:t>
      </w:r>
      <w:r>
        <w:rPr>
          <w:rFonts w:ascii="Times New Roman;Times;Serif" w:hAnsi="Times New Roman;Times;Serif"/>
          <w:b/>
          <w:i w:val="false"/>
          <w:caps w:val="false"/>
          <w:smallCaps w:val="false"/>
          <w:sz w:val="20"/>
        </w:rPr>
        <w:t>Polar Second Amendment</w:t>
      </w:r>
      <w:r>
        <w:rPr>
          <w:rFonts w:ascii="Times New Roman;Times;Serif" w:hAnsi="Times New Roman;Times;Serif"/>
          <w:b w:val="false"/>
          <w:i w:val="false"/>
          <w:caps w:val="false"/>
          <w:smallCaps w:val="false"/>
          <w:sz w:val="20"/>
        </w:rPr>
        <w:t>”). The Second Amendments lower the reset price of each Forward Purchase Agreement from $3.00 to $1.00 per share and amend the VWAP Trigger Event provision to read: “After December 31, 2024, an event that occurs if the VWAP Price, for any 20 trading days during a 30 consecutive trading day-period, is below $1.00 per Share.” The Sandia Second Amendment is not effective until the Company executes similar amendments with both Polar and Meteora. Subsequently, on June 14, 2024, the Company entered into an amendment to the Forward Purchase Agreement with Sandia (the “</w:t>
      </w:r>
      <w:r>
        <w:rPr>
          <w:rFonts w:ascii="Times New Roman;Times;Serif" w:hAnsi="Times New Roman;Times;Serif"/>
          <w:b/>
          <w:i w:val="false"/>
          <w:caps w:val="false"/>
          <w:smallCaps w:val="false"/>
          <w:sz w:val="20"/>
        </w:rPr>
        <w:t>Sandia Third Amendment</w:t>
      </w:r>
      <w:r>
        <w:rPr>
          <w:rFonts w:ascii="Times New Roman;Times;Serif" w:hAnsi="Times New Roman;Times;Serif"/>
          <w:b w:val="false"/>
          <w:i w:val="false"/>
          <w:caps w:val="false"/>
          <w:smallCaps w:val="false"/>
          <w:sz w:val="20"/>
        </w:rPr>
        <w:t>”). The Sandia Third Amendment sets the reset price of each Forward Purchase Agreement to $1.00 per share and amends the VWAP Trigger Event provision to read: “After December 31, 2024, an event that occurs if the VWAP Price, for any 20 trading days during a 30 consecutive trading day-period, is below $1.00 per Share.” In the event either Polar or Meteora amend their Forward Purchase Agreements to include different terms from the $1.00 reset price and VWAP trigger adjustment, or file a notice of a VWAP trigger event, as referenced herein, the Sandia Forward Purchase Agreement will be retroactively amended to reflect those improved terms and liquidity on the Sandia Forward Purchase Agreement, including any of the 1,050,000 shares that were sold upon execution of the Sandia Forward Purchase Agreement. On July 17, 2024, the Company entered into the third amendment to the Forward Purchase Agreement with Polar (the “</w:t>
      </w:r>
      <w:r>
        <w:rPr>
          <w:rFonts w:ascii="Times New Roman;Times;Serif" w:hAnsi="Times New Roman;Times;Serif"/>
          <w:b/>
          <w:i w:val="false"/>
          <w:caps w:val="false"/>
          <w:smallCaps w:val="false"/>
          <w:sz w:val="20"/>
        </w:rPr>
        <w:t>Polar Third Amendment</w:t>
      </w:r>
      <w:r>
        <w:rPr>
          <w:rFonts w:ascii="Times New Roman;Times;Serif" w:hAnsi="Times New Roman;Times;Serif"/>
          <w:b w:val="false"/>
          <w:i w:val="false"/>
          <w:caps w:val="false"/>
          <w:smallCaps w:val="false"/>
          <w:sz w:val="20"/>
        </w:rPr>
        <w:t>”), pursuant to which the Company and Polar agreed that Section 2 (Most Favored Nation) of the Forward Purchase Agreement is applicable to all 2,450,000 shares subject to the Forward Purchase Agreement. On July 15, 2025, the Company and Meteora entered into an amendment to the FPA between Meteora and the Company, on July 16, 2025, the Company and Sandia entered into an amendment to the FPA between Sandia and the Company, and on August 1, 2025, the Company and Polar entered in an amendment to the FPA between Polar and the Company (collectively, the “FPA Amendments”). The FPA Amendments extend the valuation date applicable to the Forward Purchase Agreements (the “Valuation Date”) to the earliest to occur of (a) July 17, 2026, (b) the date specified by Meteora or Sandia, as applicable, in a written notice to be delivered to the Company at their discretion and (c) 90 days after delivery by us of a written notice in the event that for any 20 trading days during a 30 consecutive trading day-period that occurs at least six months after the closing date of the transactions under the Amended and Restated Business Combination Agreement entered into on May 26, 2023, the applicable volume-weighted average price (“VWAP Price”) is less than the then applicable reset price, provided that a registration statement was effective and available for the entire measurement period and remains continuously effective and available during the entire 90 day notice period. The FPA Amendments further amend the definition of “Settlement Amount Adjustment” to provide that if the expected Settlement Amount (as defined in the FPA Amendments) determined by the VWAP Price over the 15 scheduled trading days ending on but excluding the valuation date exceeds the Settlement Amount Adjustment, then the Settlement Amount Adjustment shall be deemed to be zero, and that if the Settlement Amount Adjustment exceeds the Settlement Amount, then the Settlement Amount Adjustment shall be paid, at the Company’s option, in cash or shares of our common stock. The FPA Amendments also amend the definition of “Cash Settlement Payment Date” to provide that if the Settlement Amount Adjustment exceeds the Settlement Amount, we shall remit to the applicable seller the difference between (i) the Settlement Amount Adjustment and (ii) the Settlement Amount. The FPA Amendments further provide that the Settlement Amount will be used solely as a calculation mechanism to determine any liability the Company may owe to the applicable seller via the Settlement Amount Adjustment, and notwithstanding anything to the contrary, the applicable seller shall not be required to remit the Settlement Amount to the Company or return any portion of the Prepayment Amount.</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FPA Investors hold some or all of the 5,618,488 forward purchase agreement shares on the Maturity Date, and the per share trading price of our common stock is less than the per share price at which the FPA Investors have the right to sell the common stock to us on the Maturity Date, we would expect that the FPA Investors will exercise this repurchase right with respect to such shares. In the event that we are required to repurchase these forward purchase agreement shares, or in the event that the Forward Purchase Agreements are terminated, the amount of cash arising from the Business Combination that would ultimately be available to fund our liquidity and capital resource requirements would be reduced accordingly, which would adversely affect our ability to fund our growth plan in the manner we had contemplated when entering into the Forward Purchase Agreements.</w:t>
      </w:r>
    </w:p>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40</w:t>
      </w:r>
    </w:p>
    <w:p>
      <w:pPr>
        <w:pStyle w:val="TextBody"/>
        <w:bidi w:val="0"/>
        <w:spacing w:before="0" w:after="0"/>
        <w:ind w:left="0" w:right="0" w:hanging="0"/>
        <w:jc w:val="left"/>
        <w:rPr/>
      </w:pPr>
      <w:r>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Warrants to purchase shares of our common stock may not be exercised at all or may be exercised on a cashless basis and we may not receive any cash proceeds from the exercise of such warrants.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exercise price of warrants to purchase shares of our common stock may be higher than the prevailing market price of the underlying shares of common stock. The exercise price of such warrants is subject to market conditions and may not be advantageous if the prevailing market price of the underlying shares of common stock is lower than the exercise price. The cash proceeds associated with the exercise of such warrants to purchase our common stock are contingent upon our stock price. The value of our common stock will fluctuate and may not align with the exercise price of such warrants at any given time. If such warrants are “out of the money,” meaning the exercise price is higher than the market price of our common stock, there is a high likelihood that warrant holders may choose not to exercise their warrants. As a result, we may not receive any proceeds from the exercise of such warrants.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Furthermore, with regard to certain warrants to purchase shares of our common stock that were issued in a private placement at the time of FACT’s IPO and warrants issued to certain selling securityholders in connection with conversion of working capital loans, it is possible that we may not receive cash upon their exercise, since these warrants may be exercised on a cashless basis. A cashless exercise allows warrant holders to convert the warrants into shares of our common stock without the need for a cash payment. Instead of paying cash upon exercise, the warrant holder would receive a reduced number of shares based on a predetermined formula. As a result, the number of shares issued through a cashless exercise will be lower than if the warrants were exercised on a cash basis, which could impact the cash proceeds we receive from the exercise of such warrants.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Servicing our outstanding debt requires a significant amount of cash, and we may not have sufficient cash flow from our business to pay our substantial debt.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make scheduled payments of the principal of, to pay interest on or to refinance our indebtedness, including (a) 12.00% Notes due 2029 (the “</w:t>
      </w:r>
      <w:r>
        <w:rPr>
          <w:rFonts w:ascii="Times New Roman;Times;Serif" w:hAnsi="Times New Roman;Times;Serif"/>
          <w:b/>
          <w:i w:val="false"/>
          <w:caps w:val="false"/>
          <w:smallCaps w:val="false"/>
          <w:sz w:val="20"/>
        </w:rPr>
        <w:t>12.0% Notes</w:t>
      </w:r>
      <w:r>
        <w:rPr>
          <w:rFonts w:ascii="Times New Roman;Times;Serif" w:hAnsi="Times New Roman;Times;Serif"/>
          <w:b w:val="false"/>
          <w:i w:val="false"/>
          <w:caps w:val="false"/>
          <w:smallCaps w:val="false"/>
          <w:sz w:val="20"/>
        </w:rPr>
        <w:t>”), the 7.00% Notes due 2029 (the “</w:t>
      </w:r>
      <w:r>
        <w:rPr>
          <w:rFonts w:ascii="Times New Roman;Times;Serif" w:hAnsi="Times New Roman;Times;Serif"/>
          <w:b/>
          <w:i w:val="false"/>
          <w:caps w:val="false"/>
          <w:smallCaps w:val="false"/>
          <w:sz w:val="20"/>
        </w:rPr>
        <w:t>7.0% Notes</w:t>
      </w:r>
      <w:r>
        <w:rPr>
          <w:rFonts w:ascii="Times New Roman;Times;Serif" w:hAnsi="Times New Roman;Times;Serif"/>
          <w:b w:val="false"/>
          <w:i w:val="false"/>
          <w:caps w:val="false"/>
          <w:smallCaps w:val="false"/>
          <w:sz w:val="20"/>
        </w:rPr>
        <w:t>”) and the 10.00% Senior Secured Convertible Notes due 2029 (the “</w:t>
      </w:r>
      <w:r>
        <w:rPr>
          <w:rFonts w:ascii="Times New Roman;Times;Serif" w:hAnsi="Times New Roman;Times;Serif"/>
          <w:b/>
          <w:i w:val="false"/>
          <w:caps w:val="false"/>
          <w:smallCaps w:val="false"/>
          <w:sz w:val="20"/>
        </w:rPr>
        <w:t>10.0% Notes</w:t>
      </w:r>
      <w:r>
        <w:rPr>
          <w:rFonts w:ascii="Times New Roman;Times;Serif" w:hAnsi="Times New Roman;Times;Serif"/>
          <w:b w:val="false"/>
          <w:i w:val="false"/>
          <w:caps w:val="false"/>
          <w:smallCaps w:val="false"/>
          <w:sz w:val="20"/>
        </w:rPr>
        <w:t>” and, collectively with the 12.0% Notes and the 7.0% Notes, the “</w:t>
      </w:r>
      <w:r>
        <w:rPr>
          <w:rFonts w:ascii="Times New Roman;Times;Serif" w:hAnsi="Times New Roman;Times;Serif"/>
          <w:b/>
          <w:i w:val="false"/>
          <w:caps w:val="false"/>
          <w:smallCaps w:val="false"/>
          <w:sz w:val="20"/>
        </w:rPr>
        <w:t>Convertible Senior Notes</w:t>
      </w:r>
      <w:r>
        <w:rPr>
          <w:rFonts w:ascii="Times New Roman;Times;Serif" w:hAnsi="Times New Roman;Times;Serif"/>
          <w:b w:val="false"/>
          <w:i w:val="false"/>
          <w:caps w:val="false"/>
          <w:smallCaps w:val="false"/>
          <w:sz w:val="20"/>
        </w:rPr>
        <w:t>”), and (b) the Promissory Note and YA Debenture issued to Yorkville (collectively, the “</w:t>
      </w:r>
      <w:r>
        <w:rPr>
          <w:rFonts w:ascii="Times New Roman;Times;Serif" w:hAnsi="Times New Roman;Times;Serif"/>
          <w:b/>
          <w:i w:val="false"/>
          <w:caps w:val="false"/>
          <w:smallCaps w:val="false"/>
          <w:sz w:val="20"/>
        </w:rPr>
        <w:t>Yorkville Notes</w:t>
      </w:r>
      <w:r>
        <w:rPr>
          <w:rFonts w:ascii="Times New Roman;Times;Serif" w:hAnsi="Times New Roman;Times;Serif"/>
          <w:b w:val="false"/>
          <w:i w:val="false"/>
          <w:caps w:val="false"/>
          <w:smallCaps w:val="false"/>
          <w:sz w:val="20"/>
        </w:rPr>
        <w:t>”), depends on our future performance, which is subject to economic, financial, competitive and other factors beyond our control. Our business may not continue to generate cash flow from operations in the future sufficient to service our debt and make necessary capital expenditures. Additionally, as a result of the delayed filing of our Annual Report on Form 10-K for the year ended December 29, 2024 and, subsequently, our Quarterly Report on Form 10-Q for the quarter ended September 28, 2025, we incurred additional interest under the then-outstanding 12.0% Notes and 7.0% Notes. If we are unable to generate such cash flow, we may be required to adopt one or more alternatives, such as selling assets, restructuring debt or obtaining additional equity capital on terms that may be onerous or highly dilutive. Our ability to refinance our indebtedness will depend on the capital markets and our financial condition at such time. We may not be able to engage in any of these activities or engage in these activities on desirable terms, which could result in a default on our debt obligations, including the Convertible Senior Notes.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Our 10.0% Senior Secured Notes are secured obligations, and there are risks associated with our 10.0% Senior Secured Notes that could adversely affect our business and financial condition.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April 21, 2026, the Company entered into note purchase agreements in connection with a private offering of $41.0 million aggregate principal amount of 10.0% Notes. The indenture for the 10.0% Notes (the “</w:t>
      </w:r>
      <w:r>
        <w:rPr>
          <w:rFonts w:ascii="Times New Roman;Times;Serif" w:hAnsi="Times New Roman;Times;Serif"/>
          <w:b/>
          <w:i w:val="false"/>
          <w:caps w:val="false"/>
          <w:smallCaps w:val="false"/>
          <w:sz w:val="20"/>
        </w:rPr>
        <w:t>Indenture</w:t>
      </w:r>
      <w:r>
        <w:rPr>
          <w:rFonts w:ascii="Times New Roman;Times;Serif" w:hAnsi="Times New Roman;Times;Serif"/>
          <w:b w:val="false"/>
          <w:i w:val="false"/>
          <w:caps w:val="false"/>
          <w:smallCaps w:val="false"/>
          <w:sz w:val="20"/>
        </w:rPr>
        <w:t>”) includes customary covenants and sets forth certain events of default after which the 10.0% Notes may be declared immediately due and payable and sets forth certain types of bankruptcy or insolvency events of default involving the Company after which the 10.0% Notes become automatically due and payable, which include the following:</w:t>
      </w:r>
    </w:p>
    <w:p>
      <w:pPr>
        <w:pStyle w:val="TextBody"/>
        <w:bidi w:val="0"/>
        <w:spacing w:before="0" w:after="0"/>
        <w:ind w:left="0" w:right="0" w:firstLine="72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certain payment defaults on the 10% Notes (which, in the case of a default in the payment of interest on the Notes, will be subject to a 30-day cure period);</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failure by the Company to comply with its obligation to convert the 10.0% Notes in accordance with the Indenture upon exercise of a holder’s conversion right;</w:t>
            </w:r>
          </w:p>
        </w:tc>
      </w:tr>
    </w:tbl>
    <w:p>
      <w:pPr>
        <w:pStyle w:val="TextBody"/>
        <w:bidi w:val="0"/>
        <w:spacing w:before="0" w:after="0"/>
        <w:jc w:val="left"/>
        <w:rPr>
          <w:caps w:val="false"/>
          <w:smallCaps w:val="false"/>
        </w:rPr>
      </w:pPr>
      <w:r>
        <w:rPr>
          <w:caps w:val="false"/>
          <w:smallCaps w:val="false"/>
        </w:rPr>
        <w:t> </w:t>
      </w:r>
    </w:p>
    <w:tbl>
      <w:tblPr>
        <w:tblW w:w="8245" w:type="dxa"/>
        <w:jc w:val="left"/>
        <w:tblInd w:w="0" w:type="dxa"/>
        <w:tblLayout w:type="fixed"/>
        <w:tblCellMar>
          <w:top w:w="0" w:type="dxa"/>
          <w:left w:w="0" w:type="dxa"/>
          <w:bottom w:w="0" w:type="dxa"/>
          <w:right w:w="0" w:type="dxa"/>
        </w:tblCellMar>
      </w:tblPr>
      <w:tblGrid>
        <w:gridCol w:w="75"/>
        <w:gridCol w:w="170"/>
        <w:gridCol w:w="800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800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failure to send certain notices under the Indenture within specified periods of time;</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failure to comply with certain covenants in the Indenture relating to the Company’s ability to consolidate with or merge with or into, or sell, lease or otherwise transfer, in one transaction or a series of transactions, all or substantially all of the assets of the Company and its subsidiaries, taken as a whole, to another person;</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41</w:t>
      </w:r>
    </w:p>
    <w:p>
      <w:pPr>
        <w:pStyle w:val="TextBody"/>
        <w:bidi w:val="0"/>
        <w:spacing w:before="0" w:after="0"/>
        <w:ind w:left="0" w:right="0" w:hanging="0"/>
        <w:jc w:val="left"/>
        <w:rPr/>
      </w:pPr>
      <w:r>
        <w:rPr/>
        <w:t> </w:t>
      </w:r>
    </w:p>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default by the Company in its other obligations or agreements under the Indenture or the Notes if such default is not cured or waived within 60 days after notice is given in accordance with the Indenture;</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certain defaults by the Company or any of its significant subsidiaries with respect to (y) the liens securing the Company’s payment obligations under Siemens Settlement, or (z) indebtedness for borrowed money of at least $10.0 million;</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certain events of bankruptcy, insolvency or reorganization of the Company or any of the Company’s significant subsidiaries;</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final judgment or judgments for the payment of $10,000,000 (or its foreign currency equivalent) or more (excluding any amounts covered by insurance) in the aggregate rendered against the Company or any significant subsidiary, which judgment is not discharged, bonded, paid, waived or stayed within 60 days after (i) the date on which the right to appeal thereof has expired if no such appeal has commenced, or (ii) the date on which all rights to appeal have been extinguished;</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security interest and liens purported to be created by any collateral document, including the Security Agreement (as defined below), shall cease to be in full force and effect or shall cease to give the collateral agent, for the benefit of the holders of the 10.0% Notes, the liens, rights, powers and privileges purported to be created and granted under such collateral documents, subject to certain exceptions; and</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guarantee with respect to the 10.0% Notes ceases to be in full force and effect or the Company or any guarantor denies or disaffirms its obligations under the Indenture or any guarantee with respect to the 10.0% Notes.</w:t>
            </w:r>
          </w:p>
        </w:tc>
      </w:tr>
    </w:tbl>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certain bankruptcy and insolvency-related events of default occur with respect to the Company, the principal of, and accrued and unpaid interest, if any, on, all of the 10.0% Notes then outstanding shall automatically become due and payable.</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remain in compliance with the covenants under the 10% Senior Secured Notes depends on, among other things, our operating performance, competitive developments, financial market conditions and stock exchange listing of our common stock, all of which are significantly affected by financial, business, economic and other factors. We are not able to control many of these factors. Accordingly, our cash flow may not be sufficient to allow us to make required payments under the 10.0% Notes or meet our other obligations thereunder.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we are not able to satisfy our obligations under the 10.0% Notes, including compliance with the affirmative, negative and financial covenants applicable to the Company, or if there are events of defaults under the 10.0% Notes, the holders will have the right to foreclose on their first priority security interest relating to substantially all of our assets to the exclusion of our general unsecured creditors. If the holders of the 10.0% Notes pursue foreclosure, any such foreclosure would have a material and adverse impact on our business.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The conversion features of the Convertible Senior Notes may adversely affect our financial condition and operating results.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holders of Convertible Senior Notes will be entitled to convert their notes at and during specified periods at their option. If one or more holders elect to convert their notes, unless we elect to satisfy our conversion obligation by delivering solely shares of our common stock (other than paying cash in lieu of delivering any fractional share), at maturity, we would be required to settle a portion or all of our conversion obligation through the payment of cash, which could adversely affect our liquidity.</w:t>
      </w:r>
    </w:p>
    <w:p>
      <w:pPr>
        <w:pStyle w:val="TextBody"/>
        <w:bidi w:val="0"/>
        <w:spacing w:before="0" w:after="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42</w:t>
      </w:r>
    </w:p>
    <w:p>
      <w:pPr>
        <w:pStyle w:val="TextBody"/>
        <w:bidi w:val="0"/>
        <w:spacing w:before="0" w:after="0"/>
        <w:ind w:left="0" w:right="0" w:hanging="0"/>
        <w:jc w:val="left"/>
        <w:rPr/>
      </w:pPr>
      <w:r>
        <w:rPr/>
        <w:t> </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Certain provisions in the indentures or other agreements governing the Convertible Senior Notes, as well as the agreements governing the Yorkville Notes may delay or prevent an otherwise a beneficial takeover attempt of us.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Certain provisions in the indentures or other agreements governing the Convertible Senior Notes may make it more difficult or expensive for a third party to acquire us. For example, the indentures and other agreements governing the Convertible Senior Notes will require us to repurchase the Convertible Senior Notes for cash upon the occurrence of a fundamental change and, in certain circumstances, to increase the conversion rate for a holder that converts its notes in connection with a make-whole fundamental change. A takeover of us may trigger the requirement that we repurchase the Convertible Senior Notes and/or increase the conversion rate, which could make it costlier for a potential acquirer to engage in such takeover. Such additional costs may have the effect of delaying or preventing a takeover of us that would otherwise be beneficial to investors.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Conversion of the Convertible Senior Notes or the Yorkville Notes may dilute the ownership interest of our stockholders or may otherwise depress the price of our common stock.</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conversion of some or all of the Convertible Senior Notes or the Yorkville Notes may dilute the ownership interests of our stockholders. Upon conversion of the Convertible Senior Notes, we have the option to pay or deliver, as the case may be, cash, shares of our common stock or a combination of cash and shares of our common stock. If we elect to settle our conversion obligation in shares of our common stock or a combination of cash and shares of our common stock, any sales in the public market of our common stock issuable upon such conversion could adversely affect prevailing market prices of our common stock. In addition, the existence of the Convertible Senior Notes may encourage short selling by market participants because the conversion of the Convertible Senior Notes could be used to satisfy short positions, or anticipated conversion of the Convertible Senior Notes into shares of our common stock could depress the price of our common stock.</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The accounting method for the Convertible Senior Notes could adversely affect our reported financial condition and results.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accounting method for reflecting the Convertible Senior Notes on our balance sheet, accruing interest expense for the Convertible Senior Notes and reflecting the underlying shares of our common stock in our reported diluted earnings per share may adversely affect our reported earnings and financial condition.</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we expect that the shares of common stock underlying the Convertible Senior Notes will be reflected in our diluted earnings per share using the “if converted” method. Under that method, diluted earnings per share would generally be calculated assuming that all the Convertible Senior Notes were converted solely into shares of common stock at the beginning of the reporting period, unless the result would be anti-dilutive. The application of the if-converted method may reduce our reported diluted earnings per share to the extent we are profitable in the future, and accounting standards may change in the future in a manner that may adversely affect our diluted earnings per share.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Furthermore, if any of the conditions to the convertibility of the Convertible Senior Notes is satisfied, then we may be required under applicable accounting standards to reclassify the liability carrying value of the Convertible Senior Notes as a current, rather than a long-term, liability. This reclassification could be required even if no noteholders or holders of affiliate notes convert their notes or affiliate notes, respectively, following the satisfaction of those conditions and could materially reduce our reported working capital.</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Future sales (including potential sales of securities by the Selling Securityholders), or the perception of future sales, by us or our stockholders in the public market could cause the market price for the common stock to decline.</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sale of shares of our common stock in the public market, or the perception that such sales could occur, could harm the prevailing market price of shares of our common stock. These sales, or the possibility that these sales may occur, also might make it more difficult for us to sell equity securities in the future at a time and at a price that it deems appropriate. In the future, we may issue our securities to raise capital or in connection with investments or acquisitions. The amount of shares of common stock issued or issuable upon exercise or conversion of securities issued in connection with a capital raise or an investment or acquisition could constitute a material portion of the then-outstanding shares of our common stock. Any issuance of additional securities in connection with capital raising activities, investments or acquisitions may result in additional dilution to our stockholders.</w:t>
      </w:r>
    </w:p>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43</w:t>
      </w:r>
    </w:p>
    <w:p>
      <w:pPr>
        <w:pStyle w:val="TextBody"/>
        <w:bidi w:val="0"/>
        <w:spacing w:before="0" w:after="0"/>
        <w:ind w:left="0" w:right="0" w:hanging="0"/>
        <w:jc w:val="left"/>
        <w:rPr/>
      </w:pPr>
      <w:r>
        <w:rPr/>
        <w:t> </w:t>
      </w:r>
    </w:p>
    <w:p>
      <w:pPr>
        <w:pStyle w:val="TextBody"/>
        <w:bidi w:val="0"/>
        <w:spacing w:before="0" w:after="0"/>
        <w:jc w:val="left"/>
        <w:rPr>
          <w:caps/>
        </w:rPr>
      </w:pPr>
      <w:r>
        <w:rPr>
          <w:caps/>
        </w:rPr>
        <w:t> </w:t>
      </w:r>
    </w:p>
    <w:p>
      <w:pPr>
        <w:pStyle w:val="TextBody"/>
        <w:bidi w:val="0"/>
        <w:spacing w:before="0" w:after="0"/>
        <w:jc w:val="center"/>
        <w:rPr>
          <w:rFonts w:ascii="Times New Roman;Times;Serif" w:hAnsi="Times New Roman;Times;Serif"/>
          <w:b/>
          <w:i w:val="false"/>
          <w:caps/>
          <w:sz w:val="20"/>
        </w:rPr>
      </w:pPr>
      <w:bookmarkStart w:id="4" w:name="a_003"/>
      <w:bookmarkEnd w:id="4"/>
      <w:r>
        <w:rPr>
          <w:rFonts w:ascii="Times New Roman;Times;Serif" w:hAnsi="Times New Roman;Times;Serif"/>
          <w:b/>
          <w:i w:val="false"/>
          <w:caps/>
          <w:sz w:val="20"/>
        </w:rPr>
        <w:t>Market and Industry Data</w:t>
      </w:r>
    </w:p>
    <w:p>
      <w:pPr>
        <w:pStyle w:val="TextBody"/>
        <w:bidi w:val="0"/>
        <w:spacing w:before="0" w:after="0"/>
        <w:jc w:val="center"/>
        <w:rPr>
          <w:caps/>
        </w:rPr>
      </w:pPr>
      <w:r>
        <w:rPr>
          <w:caps/>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Information contained in this prospectus concerning the market and the industries in which SunPower competes, including its market position, general expectations of market opportunities and market size, is based on information from various third-party sources, publicly available information, various industry publications, internal data and estimates, and assumptions made by SunPower based on such sources. Internal data and estimates are based upon information obtained from trade and business organizations and other contacts in the markets in which SunPower operates and SunPower management’s understanding of industry conditions. This information and any estimates provided herein involve numerous assumptions and limitations, and you are cautioned not to give undue weight to such information. Third-party sources generally state that the information contained in such sources has been obtained from sources believed to be reliable. Although we believe that such information is reliable, there can be no assurance as to the accuracy or completeness of such information. Industry and market data could be wrong because of the method by which sources obtained their data and because information cannot always be verified with complete certainty due to the limits on the availability and reliability of raw data, the voluntary nature of the data gathering process and other limitations and uncertainties. Although we are responsible for all of the disclosure contained in this prospectus and we believe the third-party market position, general expectations of market opportunity and market size data included in this prospectus are reliable, we have not independently verified any third-party information and each publication speaks as of its original publication date (and not as of the date of this prospectus). In addition, we do not know all of the assumptions regarding general economic conditions or growth that were used in preparing the forecasts from the sources relied upon or cited herein.</w:t>
      </w:r>
    </w:p>
    <w:p>
      <w:pPr>
        <w:pStyle w:val="TextBody"/>
        <w:bidi w:val="0"/>
        <w:spacing w:before="0" w:after="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44</w:t>
      </w:r>
    </w:p>
    <w:p>
      <w:pPr>
        <w:pStyle w:val="TextBody"/>
        <w:bidi w:val="0"/>
        <w:spacing w:before="0" w:after="0"/>
        <w:ind w:left="0" w:right="0" w:hanging="0"/>
        <w:jc w:val="left"/>
        <w:rPr/>
      </w:pPr>
      <w:r>
        <w:rPr/>
        <w:t> </w:t>
      </w:r>
    </w:p>
    <w:p>
      <w:pPr>
        <w:pStyle w:val="TextBody"/>
        <w:bidi w:val="0"/>
        <w:spacing w:before="0" w:after="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sz w:val="20"/>
        </w:rPr>
      </w:pPr>
      <w:bookmarkStart w:id="5" w:name="a_004"/>
      <w:bookmarkEnd w:id="5"/>
      <w:r>
        <w:rPr>
          <w:rFonts w:ascii="Times New Roman;Times;Serif" w:hAnsi="Times New Roman;Times;Serif"/>
          <w:b/>
          <w:i w:val="false"/>
          <w:caps/>
          <w:sz w:val="20"/>
        </w:rPr>
        <w:t>Use of Proceeds</w:t>
      </w:r>
    </w:p>
    <w:p>
      <w:pPr>
        <w:pStyle w:val="TextBody"/>
        <w:bidi w:val="0"/>
        <w:spacing w:before="0" w:after="0"/>
        <w:jc w:val="center"/>
        <w:rPr>
          <w:caps/>
        </w:rPr>
      </w:pPr>
      <w:r>
        <w:rPr>
          <w:caps/>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of the shares of common stock offered by the Selling Securityholders pursuant to this prospectus will be sold by the Selling Securityholders for their own accounts. We will not receive any of the proceeds from the resale of the shares of common stock by the Selling Securityholders.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Selling Securityholders will pay any underwriting fees, discounts and selling commissions incurred by the Selling Securityholders in connection with any sale of their shares. We will incur all costs associated with this prospectus and the registration statement of which it is a part.</w:t>
      </w:r>
    </w:p>
    <w:p>
      <w:pPr>
        <w:pStyle w:val="TextBody"/>
        <w:bidi w:val="0"/>
        <w:spacing w:before="0" w:after="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45</w:t>
      </w:r>
    </w:p>
    <w:p>
      <w:pPr>
        <w:pStyle w:val="TextBody"/>
        <w:bidi w:val="0"/>
        <w:spacing w:before="0" w:after="0"/>
        <w:ind w:left="0" w:right="0" w:hanging="0"/>
        <w:jc w:val="left"/>
        <w:rPr/>
      </w:pPr>
      <w:r>
        <w:rPr/>
        <w:t> </w:t>
      </w:r>
    </w:p>
    <w:p>
      <w:pPr>
        <w:pStyle w:val="TextBody"/>
        <w:bidi w:val="0"/>
        <w:spacing w:before="0" w:after="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sz w:val="20"/>
        </w:rPr>
      </w:pPr>
      <w:bookmarkStart w:id="6" w:name="a_005"/>
      <w:bookmarkEnd w:id="6"/>
      <w:r>
        <w:rPr>
          <w:rFonts w:ascii="Times New Roman;Times;Serif" w:hAnsi="Times New Roman;Times;Serif"/>
          <w:b/>
          <w:i w:val="false"/>
          <w:caps/>
          <w:sz w:val="20"/>
        </w:rPr>
        <w:t>Determination of Offering Price</w:t>
      </w:r>
    </w:p>
    <w:p>
      <w:pPr>
        <w:pStyle w:val="TextBody"/>
        <w:bidi w:val="0"/>
        <w:spacing w:before="0" w:after="0"/>
        <w:jc w:val="center"/>
        <w:rPr>
          <w:caps/>
        </w:rPr>
      </w:pPr>
      <w:r>
        <w:rPr>
          <w:caps/>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cannot currently determine the price or prices at which shares of common stock may be sold by the Selling Securityholders under this prospectus.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sz w:val="20"/>
        </w:rPr>
      </w:pPr>
      <w:bookmarkStart w:id="7" w:name="a_006"/>
      <w:bookmarkEnd w:id="7"/>
      <w:r>
        <w:rPr>
          <w:rFonts w:ascii="Times New Roman;Times;Serif" w:hAnsi="Times New Roman;Times;Serif"/>
          <w:b/>
          <w:i w:val="false"/>
          <w:caps/>
          <w:sz w:val="20"/>
        </w:rPr>
        <w:t>Market Information for Securities and Dividend Policy</w:t>
      </w:r>
    </w:p>
    <w:p>
      <w:pPr>
        <w:pStyle w:val="TextBody"/>
        <w:bidi w:val="0"/>
        <w:spacing w:before="0" w:after="0"/>
        <w:jc w:val="center"/>
        <w:rPr>
          <w:caps/>
        </w:rPr>
      </w:pPr>
      <w:r>
        <w:rPr>
          <w:caps/>
        </w:rPr>
        <w:t> </w:t>
      </w:r>
    </w:p>
    <w:p>
      <w:pPr>
        <w:pStyle w:val="TextBody"/>
        <w:bidi w:val="0"/>
        <w:spacing w:before="0" w:after="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Market Information</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common stock and Public Warrants are currently listed on Nasdaq under the symbols “SPWR” and “SPWRW,” respectively. Our common stock and public warrants were previously listed on Nasdaq under the symbols “CSLR” and “CSLRW”, respectively. Prior to the consummation of the Business Combination, our common stock and our Public Warrants were listed on the New York Stock Exchange under the symbols “FACT” and “FACT WS,” respectively. On June 22, 2026, there were 146 holders of record of the common stock. We currently do not intend to list the Private Warrants on any stock exchange or stock market.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Dividend Policy</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never declared or paid any dividends on shares of our common stock. We anticipate that we will retain all of our future earnings, if any, for use in the operation and expansion of our business and do not anticipate paying cash dividends in the foreseeable future. Any decision to declare and pay dividends in the future will depend on, among other things, the consent of our lender(s), our results of operations, cash requirements, financial condition, contractual restrictions and other factors that the SunPower Board may deem relevant.</w:t>
      </w:r>
    </w:p>
    <w:p>
      <w:pPr>
        <w:pStyle w:val="TextBody"/>
        <w:bidi w:val="0"/>
        <w:spacing w:before="0" w:after="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46</w:t>
      </w:r>
    </w:p>
    <w:p>
      <w:pPr>
        <w:pStyle w:val="TextBody"/>
        <w:bidi w:val="0"/>
        <w:spacing w:before="0" w:after="0"/>
        <w:ind w:left="0" w:right="0" w:hanging="0"/>
        <w:jc w:val="left"/>
        <w:rPr/>
      </w:pPr>
      <w:r>
        <w:rPr/>
        <w:t> </w:t>
      </w:r>
    </w:p>
    <w:p>
      <w:pPr>
        <w:pStyle w:val="TextBody"/>
        <w:bidi w:val="0"/>
        <w:spacing w:before="0" w:after="0"/>
        <w:jc w:val="left"/>
        <w:rPr>
          <w:caps/>
        </w:rPr>
      </w:pPr>
      <w:r>
        <w:rPr>
          <w:caps/>
        </w:rPr>
        <w:t> </w:t>
      </w:r>
    </w:p>
    <w:p>
      <w:pPr>
        <w:pStyle w:val="TextBody"/>
        <w:bidi w:val="0"/>
        <w:spacing w:before="0" w:after="0"/>
        <w:jc w:val="center"/>
        <w:rPr>
          <w:rFonts w:ascii="Times New Roman;Times;Serif" w:hAnsi="Times New Roman;Times;Serif"/>
          <w:b/>
          <w:i w:val="false"/>
          <w:caps/>
          <w:sz w:val="20"/>
        </w:rPr>
      </w:pPr>
      <w:bookmarkStart w:id="8" w:name="a_007"/>
      <w:bookmarkEnd w:id="8"/>
      <w:r>
        <w:rPr>
          <w:rFonts w:ascii="Times New Roman;Times;Serif" w:hAnsi="Times New Roman;Times;Serif"/>
          <w:b/>
          <w:i w:val="false"/>
          <w:caps/>
          <w:sz w:val="20"/>
        </w:rPr>
        <w:t>Management’s Discussion and Analysis of Financial Condition and Results of Operations</w:t>
      </w:r>
    </w:p>
    <w:p>
      <w:pPr>
        <w:pStyle w:val="TextBody"/>
        <w:bidi w:val="0"/>
        <w:spacing w:before="0" w:after="0"/>
        <w:jc w:val="center"/>
        <w:rPr>
          <w:caps/>
        </w:rPr>
      </w:pPr>
      <w:r>
        <w:rPr>
          <w:caps/>
        </w:rPr>
        <w:t> </w:t>
      </w:r>
    </w:p>
    <w:p>
      <w:pPr>
        <w:pStyle w:val="TextBody"/>
        <w:bidi w:val="0"/>
        <w:spacing w:before="0" w:after="0"/>
        <w:ind w:left="0" w:right="0" w:firstLine="36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You should read the following discussion and analysis of our financial condition and results of operations together with our consolidated financial statements and the related notes included elsewhere in this prospectus. Some of the information contained in this discussion and analysis or set forth elsewhere in this prospectus, including information with respect to our plans and strategy for our business, includes forward-looking statements that involve risks, uncertainties and assumptions. You should read the “Special Note Regarding Forward-Looking Statements” and “Risk Factors” sections of this prospectus for a discussion of important factors that could cause actual results to differ materially from the results described in or implied by the forward-looking statements contained in the following discussion and analysis.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Overview </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SunPower Inc. is a residential solar and energy services company headquartered in Orem, Utah. We operate a technology-enabled platform that supports a national network of sales partners, dealers, and installation professionals to deliver solar energy systems, battery storage solutions, and related services to homeowners and homebuilders throughout the United States.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fulfill our customer contracts by using in-house installation experts and by engaging with local construction specialists. We manage the customer experience and complete all pre-construction activities prior to delivering build-ready projects including hardware, engineering plans, and building permits to our builder partners. We manage and coordinate this process through our proprietary software system.</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2025 and through the thirteen week period ended March 29, 2026 we significantly reshaped our business through a series of strategic acquisitions, including the acquisition of Sunder Energy, LLC (“Sunder”), Ambia Energy LLC (“Ambia”) and Cobalt Power Systems, Inc. (“Cobalt”). These acquisitions expanded our geographic footprint, dealer network, installation capacity, and national sales presence. The operating results in the current quarter reflect the integration and ongoing operations of these acquired businesses.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further discussed below and in the notes to the consolidated financial statements included in this prospectus, we have three reportable segments: Residential Solar Installation, New Homes Business and Dealer.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is substantial doubt about our ability to continue as a going concern within one year after the date that the unaudited condensed consolidated financial statements are issued. The consolidated financial statements included in this prospectus have been prepared assuming our Company will continue to operate as a going concern, which contemplates the realization of assets and settlement of liabilities in the normal course of business. They do not include any adjustments to reflect the possible future effects on the recoverability and classification of assets or the amounts and classifications of liabilities that may result from uncertainty related to our ability to continue as a going concern.</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Recent Developments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Acquisitions</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continued the integration of recent acquisitions of Sunder and Ambia into our operating platform. In the thirteen week period ended March 29, 2026, we acquired Cobalt for $9.7 million. Cobalt focuses on large premium renewable energy systems across residential, new home, multifamily and commercial projects and its operating results will be incorporated into the New Homes reportable segment.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47</w:t>
      </w:r>
    </w:p>
    <w:p>
      <w:pPr>
        <w:pStyle w:val="TextBody"/>
        <w:bidi w:val="0"/>
        <w:spacing w:before="0" w:after="0"/>
        <w:ind w:left="0" w:right="0" w:hanging="0"/>
        <w:jc w:val="left"/>
        <w:rPr/>
      </w:pPr>
      <w:r>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Growth Strategy and Outlook</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growth strategy contains the following elements:</w:t>
      </w:r>
    </w:p>
    <w:p>
      <w:pPr>
        <w:pStyle w:val="TextBody"/>
        <w:bidi w:val="0"/>
        <w:spacing w:before="0" w:after="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Increase revenue by expanding installation capacity and developing new geographic markets</w:t>
            </w:r>
            <w:r>
              <w:rPr>
                <w:rFonts w:ascii="Times New Roman;Times;Serif" w:hAnsi="Times New Roman;Times;Serif"/>
                <w:b w:val="false"/>
                <w:i w:val="false"/>
                <w:caps w:val="false"/>
                <w:smallCaps w:val="false"/>
                <w:sz w:val="20"/>
              </w:rPr>
              <w:t xml:space="preserve"> - We continue to expand our network of partners who will install systems resulting from sales generated by our sales partners. By leveraging this network of skilled builders in addition to our in-house installation experts, we aim to increase our installation capacity in our traditional markets and expand our offering into new geographies throughout the U.S. This will enable greater sales growth in existing markets and create new revenue in expansion markets.</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Increase revenue and margin by engaging national-scale sales partners</w:t>
            </w:r>
            <w:r>
              <w:rPr>
                <w:rFonts w:ascii="Times New Roman;Times;Serif" w:hAnsi="Times New Roman;Times;Serif"/>
                <w:b w:val="false"/>
                <w:i w:val="false"/>
                <w:caps w:val="false"/>
                <w:smallCaps w:val="false"/>
                <w:sz w:val="20"/>
              </w:rPr>
              <w:t xml:space="preserve"> - We aim to offer a turnkey solar solution to prospective sales partners with a national footprint. These include electric vehicle manufacturers, national home security providers, and real estate brokerages. We expect to create a consistent offering with a single execution process for such sales partners throughout their geographic territories. These national accounts have unique customer relationships that we believe will facilitate meaningful sales opportunities and low cost of acquisition to both increase revenue and improve margin.</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 xml:space="preserve">Increase revenue and margin by executing on a battery storage opportunity </w:t>
            </w:r>
            <w:r>
              <w:rPr>
                <w:rFonts w:ascii="Times New Roman;Times;Serif" w:hAnsi="Times New Roman;Times;Serif"/>
                <w:b w:val="false"/>
                <w:i w:val="false"/>
                <w:caps w:val="false"/>
                <w:smallCaps w:val="false"/>
                <w:sz w:val="20"/>
              </w:rPr>
              <w:t>- We have an opportunity to increase our revenue and margin in the battery space through our partnership with Enphase. By providing homeowners with an option to include battery storage as part of their solar system install, we believe there will be a greater need for battery storage as the demand and costs of energy will increase.</w:t>
            </w:r>
          </w:p>
        </w:tc>
      </w:tr>
    </w:tbl>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The Mergers</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entered into an Amended and Restated Business Combination Agreement with FACT, First Merger Sub, Second Merger Sub, and Solaria on October 3, 2022. The Merger was consummated on July 18, 2023. Upon the terms and subject to the conditions of the Merger, (i) First Merger Sub merged with and into Complete Solaria with Complete Solaria surviving as a wholly-owned subsidiary of FACT (the “</w:t>
      </w:r>
      <w:r>
        <w:rPr>
          <w:rFonts w:ascii="Times New Roman;Times;Serif" w:hAnsi="Times New Roman;Times;Serif"/>
          <w:b/>
          <w:i w:val="false"/>
          <w:caps w:val="false"/>
          <w:smallCaps w:val="false"/>
          <w:sz w:val="20"/>
        </w:rPr>
        <w:t>First Merger</w:t>
      </w:r>
      <w:r>
        <w:rPr>
          <w:rFonts w:ascii="Times New Roman;Times;Serif" w:hAnsi="Times New Roman;Times;Serif"/>
          <w:b w:val="false"/>
          <w:i w:val="false"/>
          <w:caps w:val="false"/>
          <w:smallCaps w:val="false"/>
          <w:sz w:val="20"/>
        </w:rPr>
        <w:t>”), (ii) immediately thereafter and as part of the same overall transaction, Complete Solaria merged with and into Second Merger Sub, with Second Merger Sub surviving as a wholly-owned subsidiary of FACT (the “</w:t>
      </w:r>
      <w:r>
        <w:rPr>
          <w:rFonts w:ascii="Times New Roman;Times;Serif" w:hAnsi="Times New Roman;Times;Serif"/>
          <w:b/>
          <w:i w:val="false"/>
          <w:caps w:val="false"/>
          <w:smallCaps w:val="false"/>
          <w:sz w:val="20"/>
        </w:rPr>
        <w:t>Second Merger</w:t>
      </w:r>
      <w:r>
        <w:rPr>
          <w:rFonts w:ascii="Times New Roman;Times;Serif" w:hAnsi="Times New Roman;Times;Serif"/>
          <w:b w:val="false"/>
          <w:i w:val="false"/>
          <w:caps w:val="false"/>
          <w:smallCaps w:val="false"/>
          <w:sz w:val="20"/>
        </w:rPr>
        <w:t>”), and FACT changed its name to “Complete Solaria, Inc.” and Second Merger Sub changed its name to “CS, LLC” and (iii) immediately after the consummation of the Second Merger and as part of the same overall transaction, Solaria merged with and into a newly formed Delaware limited liability company and wholly-owned subsidiary of FACT and changed its name to “The SolarCA LLC” (“</w:t>
      </w:r>
      <w:r>
        <w:rPr>
          <w:rFonts w:ascii="Times New Roman;Times;Serif" w:hAnsi="Times New Roman;Times;Serif"/>
          <w:b/>
          <w:i w:val="false"/>
          <w:caps w:val="false"/>
          <w:smallCaps w:val="false"/>
          <w:sz w:val="20"/>
        </w:rPr>
        <w:t>Third Merger Sub</w:t>
      </w:r>
      <w:r>
        <w:rPr>
          <w:rFonts w:ascii="Times New Roman;Times;Serif" w:hAnsi="Times New Roman;Times;Serif"/>
          <w:b w:val="false"/>
          <w:i w:val="false"/>
          <w:caps w:val="false"/>
          <w:smallCaps w:val="false"/>
          <w:sz w:val="20"/>
        </w:rPr>
        <w:t>”), with Third Merger Sub surviving as a wholly-owned subsidiary of FACT (the “</w:t>
      </w:r>
      <w:r>
        <w:rPr>
          <w:rFonts w:ascii="Times New Roman;Times;Serif" w:hAnsi="Times New Roman;Times;Serif"/>
          <w:b/>
          <w:i w:val="false"/>
          <w:caps w:val="false"/>
          <w:smallCaps w:val="false"/>
          <w:sz w:val="20"/>
        </w:rPr>
        <w:t>Additional Merger</w:t>
      </w:r>
      <w:r>
        <w:rPr>
          <w:rFonts w:ascii="Times New Roman;Times;Serif" w:hAnsi="Times New Roman;Times;Serif"/>
          <w:b w:val="false"/>
          <w:i w:val="false"/>
          <w:caps w:val="false"/>
          <w:smallCaps w:val="false"/>
          <w:sz w:val="20"/>
        </w:rPr>
        <w:t>”, and together with the First Merger and the Second Merger, the “</w:t>
      </w:r>
      <w:r>
        <w:rPr>
          <w:rFonts w:ascii="Times New Roman;Times;Serif" w:hAnsi="Times New Roman;Times;Serif"/>
          <w:b/>
          <w:i w:val="false"/>
          <w:caps w:val="false"/>
          <w:smallCaps w:val="false"/>
          <w:sz w:val="20"/>
        </w:rPr>
        <w:t>Mergers</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Mergers between Complete Solaria and FACT were accounted for as a reverse recapitalization. Under this method of accounting, FACT was treated as the acquired company for financial statement reporting purposes. This determination was primarily based on the Company having a majority of the voting power of the post-combination company, the Company’s senior management comprising substantially all of the senior management of the post-combination company, and the Company’s operations comprising the ongoing operations of the post-combination company. Accordingly, for accounting purposes, the Mergers were treated as the equivalent of a capital transaction in which Complete Solaria issued stock for the net assets of FACT. The net assets of FACT were stated at historical cost, with no goodwill or other intangible assets recorded.</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Disposal Transaction</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October 2023, we completed the divestiture of our solar panel business to Maxeon (“</w:t>
      </w:r>
      <w:r>
        <w:rPr>
          <w:rFonts w:ascii="Times New Roman;Times;Serif" w:hAnsi="Times New Roman;Times;Serif"/>
          <w:b/>
          <w:i w:val="false"/>
          <w:caps w:val="false"/>
          <w:smallCaps w:val="false"/>
          <w:sz w:val="20"/>
        </w:rPr>
        <w:t>Divestiture</w:t>
      </w:r>
      <w:r>
        <w:rPr>
          <w:rFonts w:ascii="Times New Roman;Times;Serif" w:hAnsi="Times New Roman;Times;Serif"/>
          <w:b w:val="false"/>
          <w:i w:val="false"/>
          <w:caps w:val="false"/>
          <w:smallCaps w:val="false"/>
          <w:sz w:val="20"/>
        </w:rPr>
        <w:t>”), pursuant to the terms of the Disposal Agreement. Under the terms of the Disposal Agreement, Maxeon agreed to acquire certain assets and employees of Complete Solaria, for an aggregate purchase price of approximately $11.0 million consisting of 1,100,000 shares of Maxeon ordinary shares. We determined that the criteria were met for discontinued operations classification as the divestiture represented a strategic shift in our business. In connection with the Divestiture, we recognized a loss from discontinued operations of $1.1 million, $2.0 million and $173.4 million in the fiscal years ended December 28, 2025, December 29, 2024 and December 31, 2023, respectively. We also sold all the Maxeon shares in the year ended December 31, 2023, and recorded a $4.2 million loss on the sale of these shares in our consolidated statements of operations and comprehensive loss.</w:t>
      </w:r>
    </w:p>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48</w:t>
      </w:r>
    </w:p>
    <w:p>
      <w:pPr>
        <w:pStyle w:val="TextBody"/>
        <w:bidi w:val="0"/>
        <w:spacing w:before="0" w:after="0"/>
        <w:ind w:left="0" w:right="0" w:hanging="0"/>
        <w:jc w:val="left"/>
        <w:rPr/>
      </w:pPr>
      <w:r>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Acquisitions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Certain Assets of SunPower Debtors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On September 30, 2024, we acquired the SunPower Businesses for consideration of $54.5 million which we financed through the issuance of $66.8 million of 7.0% senior unsecured convertible notes in September 2024. These notes mature on July 1, 2029 and are convertible into shares of the Company’s common stock at the option of the holder at a current conversion rate of $1.71 per share. The SunPower Businesses operated as a solar technology and energy services provider that offered fully integrated solar, storage, and home energy solutions to customers in the United States through an array of hardware, software, and “Smart Energy” solutions. This transaction was accounted for as a business combination under Accounting Standards Codification (“ASC”) 805, </w:t>
      </w:r>
      <w:r>
        <w:rPr>
          <w:rFonts w:ascii="Times New Roman;Times;Serif" w:hAnsi="Times New Roman;Times;Serif"/>
          <w:b w:val="false"/>
          <w:i/>
          <w:caps w:val="false"/>
          <w:smallCaps w:val="false"/>
          <w:sz w:val="20"/>
        </w:rPr>
        <w:t>Business Combinations</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Sunder Energy LLC</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September 24, 2025, we acquired all of the membership interests in Sunder Energy LLC (“Sunder”) for consideration of $57.8 million. We financed this transaction through (1) $20.7 million in cash, subject to certain working capital and other adjustments; (2) a promissory note to the seller in the principal amount of $20.0 million (“Seller Note”); and (3) 10.0 million shares of the Company’s common stock valued at $17.1 million (based on the $1.71 closing share price of the Company’s common stock on September 24, 2025). We issued 3.3 million shares at the acquisition date and will issue the remaining shares in two equal tranches of 3.3 million shares at 12 months and 18 months following the date of acquisition. Sunder is a solar sales company. Sunder provides a third-party solar energy sales force to initiate and execute contracts with customers throughout the United States. Sunder’s sales force works with solar installation companies in which Sunder acts as the agent for each transaction entered. Sunder earns revenue from contracts sold to customers for solar installations performed by third-party installation companies. We acquired Sunder as a strategic acquisition to expand its overall market share and its penetration into more U.S. states. We accounted for this transaction as a business combination under ASC 805.</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Ambia Energy LLC</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November 21, 2025, we acquired all of the membership interests in Ambia Energy LLC (“Ambia”) for consideration of $33.4 million. We financed this acquisition through the issuance of 10.2 million shares of our common stock with a fair value of $16.5 million on the date of acquisition and an agreement to issue an additional $16.9 million in shares of our common stock in two tranches with the final issuance on the 12-month anniversary of the Ambia closing. Ambia is a residential solar energy system installer and operates in various markets throughout the United States.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Supply Chain Constraints and Risk</w:t>
      </w:r>
    </w:p>
    <w:p>
      <w:pPr>
        <w:pStyle w:val="TextBody"/>
        <w:shd w:fill="FFFFFF" w:val="clear"/>
        <w:bidi w:val="0"/>
        <w:spacing w:before="0" w:after="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global supply chain and our industry have experienced significant disruptions in recent periods. We have seen supply chain challenges and logistics constraints increase, including shortages of panels, inverters, batteries and associated component parts for inverters and solar energy systems available for purchase, which materially impacted our results of operations. These shortages and delays can be attributed in part to the broader macroeconomic conditions and have been exacerbated by the conflicts in Ukraine and Israel. If any of our suppliers of solar modules experienced disruptions in the supply of the modules’ component parts, for example semiconductor solar wafers or inverters, this may decrease production capabilities and restrict our inventory and sales. In addition, we have experienced and are experiencing varying levels of volatility in costs of equipment and labor resulting in part from disruptions caused by general global economic conditions. While inflationary pressures have resulted in higher costs of products, in part due to an increase in the cost of the materials and wage rates, these additional costs have been offset by the related rise in electricity rates.</w:t>
      </w:r>
    </w:p>
    <w:p>
      <w:pPr>
        <w:pStyle w:val="TextBody"/>
        <w:shd w:fill="FFFFFF" w:val="clear"/>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cannot predict the full effects the supply chain constraints will have on our business, cash flows, liquidity, financial condition and results of operations at this time due to numerous uncertainties. Given the dynamic nature of these circumstances on our ongoing business, results of operations and overall financial performance, the full impact of macroeconomic factors, including the conflicts in Ukraine and Israel, cannot be reasonably estimated at this time. In the event we are unable to mitigate the impact of delays or price volatility in solar energy systems, raw materials, and freight, it could materially adversely affect our business, prospects, financial condition and results of operations.</w:t>
      </w:r>
    </w:p>
    <w:p>
      <w:pPr>
        <w:pStyle w:val="TextBody"/>
        <w:shd w:fill="FFFFFF" w:val="clear"/>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additional information on risk factors that could impact our results, please refer to “</w:t>
      </w:r>
      <w:r>
        <w:rPr>
          <w:rFonts w:ascii="Times New Roman;Times;Serif" w:hAnsi="Times New Roman;Times;Serif"/>
          <w:b w:val="false"/>
          <w:i/>
          <w:caps w:val="false"/>
          <w:smallCaps w:val="false"/>
          <w:sz w:val="20"/>
        </w:rPr>
        <w:t>Risk Factors</w:t>
      </w:r>
      <w:r>
        <w:rPr>
          <w:rFonts w:ascii="Times New Roman;Times;Serif" w:hAnsi="Times New Roman;Times;Serif"/>
          <w:b w:val="false"/>
          <w:i w:val="false"/>
          <w:caps w:val="false"/>
          <w:smallCaps w:val="false"/>
          <w:sz w:val="20"/>
        </w:rPr>
        <w:t>”.</w:t>
      </w:r>
    </w:p>
    <w:p>
      <w:pPr>
        <w:pStyle w:val="TextBody"/>
        <w:bidi w:val="0"/>
        <w:spacing w:before="0" w:after="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49</w:t>
      </w:r>
    </w:p>
    <w:p>
      <w:pPr>
        <w:pStyle w:val="TextBody"/>
        <w:bidi w:val="0"/>
        <w:spacing w:before="0" w:after="0"/>
        <w:ind w:left="0" w:right="0" w:hanging="0"/>
        <w:jc w:val="left"/>
        <w:rPr/>
      </w:pPr>
      <w:r>
        <w:rPr/>
        <w:t> </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Key Financial Definitions/Components of Results of Operations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Revenues</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recognize revenue for the Residential Solar Installation and New Homes Business reportable segments when installation is substantially complete, the system is capable of interconnection to the local power grid, and control has transferred to the customer.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Installation activities-including system design, equipment delivery, installation, and grid interconnection-are treated as a single performance obligation. For most contracts, revenue is recognized over time beginning upon installation, using an input method based on direct installation costs. Installation costs incurred prior to this point are deferred.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Residential Solar Installation revenue is generated through cash sales, third-party financing arrangements, and power purchase or lease structures. Homeowners are the customers in cash and financing arrangements, while leasing partners are the customers in power purchase and lease arrangements. New Homes Business revenue is primarily generated from sales to homebuilders, with limited lease arrangements recognized upon system acceptance.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Revenue is recorded at the transaction price, net of customer incentives and financing-related fees, and may include estimated variable consideration. Deferred revenue represents amounts billed or collected in advance of performance. None of the Company’s arrangements contain a significant financing component.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 respect to our Dealer reportable segment, we earn revenue from contracts in which solar installations are performed by third-party installation companies. In these arrangements, our performance obligation is to facilitate the transaction and arrange for installation services rather than provide those services directly. As a result, we act as an agent and recognize revenue on a net basis, representing the fee retained by us.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Dealer revenue is recognized at a point in time when Permission to Operate (“PTO”) is obtained, which indicates that installation is complete and the system is authorized for operation. These arrangements do not include significant financing components, and we do not provide warranty services related to dealer-installed systems.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Costs to Obtain and Fulfill Contracts</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costs to obtain and fulfill contracts, when recognized, associated with systems sales are expensed as sales commission and cost of revenue, respectively. In addition, incentives we provide to our customers, such as discounts and rebates, are recorded net to the revenue we have recognized on the solar power system.</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Costs of Revenues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Cost of revenues is comprised primarily of cost of material, internal labor costs, third-party subcontractors, design services, engineering personnel and employee-related expenses associated with permitting services, associated warranty costs, freight and delivery costs, depreciation, amortization of internally developed software and amortization of developed technology. Cost of revenues from these services is recognized when we transfer control of the product to the customer, which is generally upon installation.</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Operating Expenses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Sales Commissions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Sales commissions are direct and incremental costs of obtaining customer contracts. These costs are paid to internal sales teams and third-party vendors who source residential customer contracts for the sale of solar energy systems.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Sales and Marketing</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Sales and marketing expenses primarily consist of personnel related costs, including salaries and employee benefits, stock-based compensation, and other advertising and promotional expenses. We expense certain sales and marketing, including promotional expenses, as incurred.</w:t>
      </w:r>
    </w:p>
    <w:p>
      <w:pPr>
        <w:pStyle w:val="TextBody"/>
        <w:bidi w:val="0"/>
        <w:spacing w:before="0" w:after="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50</w:t>
      </w:r>
    </w:p>
    <w:p>
      <w:pPr>
        <w:pStyle w:val="TextBody"/>
        <w:bidi w:val="0"/>
        <w:spacing w:before="0" w:after="0"/>
        <w:ind w:left="0" w:right="0" w:hanging="0"/>
        <w:jc w:val="left"/>
        <w:rPr/>
      </w:pPr>
      <w:r>
        <w:rPr/>
        <w:t> </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General and Administrative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General and administrative expenses consist primarily of personnel and related expenses for employees, in our finance, research, engineering, and administrative teams including salaries, bonuses, payroll taxes, and stock-based compensation. It also consists of legal, consulting, and professional fees, rent expenses pertaining to our offices, depreciation expense, business insurance costs and other costs.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Other (Expense) Income, Net</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Other non-operating income, net</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classify changes in the fair value of (i) derivative liabilities associated with our debt, (ii) warrant liabilities, (iii) Simple Agreements for Future Equity (“SAFE”), and (iv) forward purchase agreements (“FPAs”) as non-operating gains and losses within this category.</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Critical Accounting Estimates</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discussion and analysis of our financial condition and results of operations are based upon our financial statements, which have been prepared in accordance with GAAP. GAAP requires us to make estimates and assumptions that affect the reported amounts of assets, liabilities, revenue, expenses and related disclosures. We base our estimates on historical experience and on various other assumptions that we believe to be reasonable under the circumstances. In many instances, we could have reasonably used different accounting estimates, and in other instances, changes in the accounting estimates are reasonably likely to occur from period-to-period. Actual results could differ significantly from our estimates. Our future financial statements will be affected to the extent that our actual results materially differ from these estimates. For further information on all of our significant accounting policies, see Note 2 - Summary of Significant Accounting Policies, to our consolidated financial statements included elsewhere in this prospectus.</w:t>
      </w:r>
    </w:p>
    <w:p>
      <w:pPr>
        <w:pStyle w:val="TextBody"/>
        <w:shd w:fill="FFFFFF" w:val="clear"/>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believe that policies associated with our revenue recognition and business combination have the greatest impact on our consolidated financial statements. Therefore, we consider these to be our critical accounting policies and estimates.</w:t>
      </w:r>
    </w:p>
    <w:p>
      <w:pPr>
        <w:pStyle w:val="TextBody"/>
        <w:shd w:fill="FFFFFF" w:val="clear"/>
        <w:bidi w:val="0"/>
        <w:spacing w:before="0" w:after="0"/>
        <w:ind w:left="0" w:right="0" w:firstLine="720"/>
        <w:jc w:val="both"/>
        <w:rPr>
          <w:caps w:val="false"/>
          <w:smallCaps w:val="false"/>
        </w:rPr>
      </w:pPr>
      <w:r>
        <w:rPr>
          <w:caps w:val="false"/>
          <w:smallCaps w:val="false"/>
        </w:rPr>
        <w:t> </w:t>
      </w:r>
    </w:p>
    <w:p>
      <w:pPr>
        <w:pStyle w:val="TextBody"/>
        <w:shd w:fill="FFFFFF" w:val="clear"/>
        <w:bidi w:val="0"/>
        <w:spacing w:before="0" w:after="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Revenue Recognition</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Revenue recognition involves significant judgment in determining the timing of control transfer, identification of the customer, estimation of variable consideration, and measurement of progress toward completion. For the Residential Solar Installation and New Homes Business segments, the Company’s performance obligation is the design and installation of a fully functioning solar energy system, which includes design, equipment delivery, installation, and grid interconnection services. These activities are combined into a single performance obligation.</w:t>
      </w:r>
    </w:p>
    <w:p>
      <w:pPr>
        <w:pStyle w:val="TextBody"/>
        <w:shd w:fill="FFFFFF" w:val="clear"/>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Revenue is generally recognized over time using an input method based on direct installation costs, beginning when installation is complete and control of the system begins to transfer to the customer. This approach requires management to estimate total expected installation costs, and changes in these estimates may impact the timing and amount of revenue recognized. Installation costs incurred prior to the transfer of control are deferred.</w:t>
      </w:r>
    </w:p>
    <w:p>
      <w:pPr>
        <w:pStyle w:val="TextBody"/>
        <w:shd w:fill="FFFFFF" w:val="clear"/>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certain New Homes Business lease arrangements, revenue is recognized at a point in time upon system acceptance. In arrangements involving financing partners or leasing partners, judgment is required to determine the appropriate customer, which affects revenue timing and presentation. Dealer segment revenue is recognized on a net basis at the point in time when Permission to Operate is obtained.</w:t>
      </w:r>
    </w:p>
    <w:p>
      <w:pPr>
        <w:pStyle w:val="TextBody"/>
        <w:shd w:fill="FFFFFF" w:val="clear"/>
        <w:bidi w:val="0"/>
        <w:spacing w:before="0" w:after="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transaction price may include variable consideration, which is estimated using the most likely amount and constrained to amounts for which a significant revenue reversal is not probable. Estimates are reassessed each reporting period, and changes are recognized prospectively. Revenue is recorded net of customer incentives and does not include a significant financing component. Changes in assumptions related to these estimates could materially affect reported revenue and deferred balances.</w:t>
      </w:r>
    </w:p>
    <w:p>
      <w:pPr>
        <w:pStyle w:val="TextBody"/>
        <w:shd w:fill="FFFFFF" w:val="clear"/>
        <w:bidi w:val="0"/>
        <w:spacing w:before="0" w:after="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Dealer revenue is recognized at a point in time when PTO is obtained, which indicates that installation is complete and the system is authorized for operation. These arrangements do not include significant financing components, and we do not provide warranty services related to dealer-installed systems.</w:t>
      </w:r>
    </w:p>
    <w:p>
      <w:pPr>
        <w:pStyle w:val="TextBody"/>
        <w:shd w:fill="FFFFFF" w:val="clear"/>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51</w:t>
      </w:r>
    </w:p>
    <w:p>
      <w:pPr>
        <w:pStyle w:val="TextBody"/>
        <w:bidi w:val="0"/>
        <w:spacing w:before="0" w:after="0"/>
        <w:ind w:left="0" w:right="0" w:hanging="0"/>
        <w:jc w:val="left"/>
        <w:rPr/>
      </w:pPr>
      <w:r>
        <w:rPr/>
        <w:t> </w:t>
      </w:r>
    </w:p>
    <w:p>
      <w:pPr>
        <w:pStyle w:val="TextBody"/>
        <w:shd w:fill="FFFFFF" w:val="clear"/>
        <w:bidi w:val="0"/>
        <w:spacing w:before="0" w:after="0"/>
        <w:jc w:val="left"/>
        <w:rPr>
          <w:caps w:val="false"/>
          <w:smallCaps w:val="false"/>
        </w:rPr>
      </w:pPr>
      <w:r>
        <w:rPr>
          <w:caps w:val="false"/>
          <w:smallCaps w:val="false"/>
        </w:rPr>
        <w:t> </w:t>
      </w:r>
    </w:p>
    <w:p>
      <w:pPr>
        <w:pStyle w:val="TextBody"/>
        <w:bidi w:val="0"/>
        <w:spacing w:before="0" w:after="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Accounting for Business Combinations</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record all acquired assets and liabilities, including goodwill, and other identifiable intangible assets at fair value. The initial recognition of identifiable intangible assets, requires certain estimates and assumptions concerning the determination of the fair values and useful lives. The judgments made in the context of the purchase price allocation can materially affect our future results of operations. Accordingly, when valuing identifiable intangible assets, we obtain assistance from third-party valuation specialists. The valuations calculated from estimates are based on information available at the acquisition date. Goodwill is not amortized but is subject to annual tests for impairment or more frequent tests if events or circumstances indicate it may be impaired. Other intangible assets are amortized over their estimated useful lives and are subject to impairment if events or circumstances indicate a possible inability to realize the carrying amount.</w:t>
      </w:r>
    </w:p>
    <w:p>
      <w:pPr>
        <w:pStyle w:val="TextBody"/>
        <w:shd w:fill="FFFFFF" w:val="clear"/>
        <w:bidi w:val="0"/>
        <w:spacing w:before="0" w:after="0"/>
        <w:ind w:left="0" w:right="0" w:firstLine="108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Recent Accounting Pronouncements</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discussion of recently issued accounting standards applicable to our Company is described in </w:t>
      </w:r>
      <w:r>
        <w:rPr>
          <w:rFonts w:ascii="Times New Roman;Times;Serif" w:hAnsi="Times New Roman;Times;Serif"/>
          <w:b/>
          <w:i w:val="false"/>
          <w:caps w:val="false"/>
          <w:smallCaps w:val="false"/>
          <w:sz w:val="20"/>
        </w:rPr>
        <w:t>Note 2 - Summary of Significant Accounting Policies,</w:t>
      </w:r>
      <w:r>
        <w:rPr>
          <w:rFonts w:ascii="Times New Roman;Times;Serif" w:hAnsi="Times New Roman;Times;Serif"/>
          <w:b w:val="false"/>
          <w:i w:val="false"/>
          <w:caps w:val="false"/>
          <w:smallCaps w:val="false"/>
          <w:sz w:val="20"/>
        </w:rPr>
        <w:t xml:space="preserve"> in the accompanying notes to the consolidated financial statements.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Results of Operations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Thirteen weeks ended March 29, 2026 and March 30, 2025</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sets forth our unaudited statements of operations data for the thirteen-weeks ended March 29, 2026 and the thirteen-weeks ended March 30, 2025 (</w:t>
      </w:r>
      <w:r>
        <w:rPr>
          <w:rFonts w:ascii="Times New Roman;Times;Serif" w:hAnsi="Times New Roman;Times;Serif"/>
          <w:b w:val="false"/>
          <w:i/>
          <w:caps w:val="false"/>
          <w:smallCaps w:val="false"/>
          <w:sz w:val="20"/>
        </w:rPr>
        <w:t>in thousands</w:t>
      </w:r>
      <w:r>
        <w:rPr>
          <w:rFonts w:ascii="Times New Roman;Times;Serif" w:hAnsi="Times New Roman;Times;Serif"/>
          <w:b w:val="false"/>
          <w:i w:val="false"/>
          <w:caps w:val="false"/>
          <w:smallCaps w:val="false"/>
          <w:sz w:val="20"/>
        </w:rPr>
        <w:t>). We have derived this data from our unaudited condensed consolidated financial statements included elsewhere in this prospectus. This information should be read in conjunction with our unaudited condensed consolidated financial statements and related notes included elsewhere in this prospectus. The results of historical periods are not necessarily indicative of the results of operations for any future period.</w:t>
      </w:r>
    </w:p>
    <w:p>
      <w:pPr>
        <w:pStyle w:val="TextBody"/>
        <w:bidi w:val="0"/>
        <w:spacing w:before="0" w:after="0"/>
        <w:ind w:left="0" w:right="0" w:firstLine="720"/>
        <w:jc w:val="both"/>
        <w:rPr>
          <w:caps w:val="false"/>
          <w:smallCaps w:val="false"/>
        </w:rPr>
      </w:pPr>
      <w:r>
        <w:rPr>
          <w:caps w:val="false"/>
          <w:smallCaps w:val="false"/>
        </w:rPr>
        <w:t> </w:t>
      </w:r>
    </w:p>
    <w:tbl>
      <w:tblPr>
        <w:tblW w:w="7261" w:type="dxa"/>
        <w:jc w:val="left"/>
        <w:tblInd w:w="0" w:type="dxa"/>
        <w:tblLayout w:type="fixed"/>
        <w:tblCellMar>
          <w:top w:w="0" w:type="dxa"/>
          <w:left w:w="0" w:type="dxa"/>
          <w:bottom w:w="0" w:type="dxa"/>
          <w:right w:w="0" w:type="dxa"/>
        </w:tblCellMar>
      </w:tblPr>
      <w:tblGrid>
        <w:gridCol w:w="2975"/>
        <w:gridCol w:w="60"/>
        <w:gridCol w:w="150"/>
        <w:gridCol w:w="784"/>
        <w:gridCol w:w="206"/>
        <w:gridCol w:w="67"/>
        <w:gridCol w:w="162"/>
        <w:gridCol w:w="772"/>
        <w:gridCol w:w="185"/>
        <w:gridCol w:w="60"/>
        <w:gridCol w:w="125"/>
        <w:gridCol w:w="650"/>
        <w:gridCol w:w="80"/>
        <w:gridCol w:w="60"/>
        <w:gridCol w:w="87"/>
        <w:gridCol w:w="578"/>
        <w:gridCol w:w="260"/>
      </w:tblGrid>
      <w:tr>
        <w:trPr/>
        <w:tc>
          <w:tcPr>
            <w:tcW w:w="297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2141" w:type="dxa"/>
            <w:gridSpan w:val="6"/>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Thirteen Weeks Ended</w:t>
            </w:r>
          </w:p>
        </w:tc>
        <w:tc>
          <w:tcPr>
            <w:tcW w:w="18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75" w:type="dxa"/>
            <w:gridSpan w:val="2"/>
            <w:tcBorders/>
            <w:vAlign w:val="center"/>
          </w:tcPr>
          <w:p>
            <w:pPr>
              <w:pStyle w:val="TableContents"/>
              <w:bidi w:val="0"/>
              <w:spacing w:before="0" w:after="283"/>
              <w:jc w:val="center"/>
              <w:rPr>
                <w:caps w:val="false"/>
                <w:smallCaps w:val="false"/>
              </w:rPr>
            </w:pPr>
            <w:r>
              <w:rPr>
                <w:caps w:val="false"/>
                <w:smallCaps w:val="false"/>
              </w:rPr>
              <w:t> </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65" w:type="dxa"/>
            <w:gridSpan w:val="2"/>
            <w:tcBorders/>
            <w:vAlign w:val="center"/>
          </w:tcPr>
          <w:p>
            <w:pPr>
              <w:pStyle w:val="TableContents"/>
              <w:bidi w:val="0"/>
              <w:spacing w:before="0" w:after="283"/>
              <w:jc w:val="center"/>
              <w:rPr>
                <w:caps w:val="false"/>
                <w:smallCaps w:val="false"/>
              </w:rPr>
            </w:pPr>
            <w:r>
              <w:rPr>
                <w:caps w:val="false"/>
                <w:smallCaps w:val="false"/>
              </w:rPr>
              <w:t> </w:t>
            </w:r>
          </w:p>
        </w:tc>
        <w:tc>
          <w:tcPr>
            <w:tcW w:w="26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2975" w:type="dxa"/>
            <w:tcBorders>
              <w:bottom w:val="single" w:sz="12" w:space="0" w:color="000000"/>
            </w:tcBorders>
            <w:tcMar>
              <w:bottom w:w="28" w:type="dxa"/>
            </w:tcMar>
            <w:vAlign w:val="center"/>
          </w:tcPr>
          <w:p>
            <w:pPr>
              <w:pStyle w:val="TableContents"/>
              <w:bidi w:val="0"/>
              <w:spacing w:before="0" w:after="283"/>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(in thousands)</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34"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March 29, </w:t>
              <w:br/>
              <w:t>2026</w:t>
            </w:r>
          </w:p>
        </w:tc>
        <w:tc>
          <w:tcPr>
            <w:tcW w:w="206" w:type="dxa"/>
            <w:tcBorders/>
            <w:vAlign w:val="center"/>
          </w:tcPr>
          <w:p>
            <w:pPr>
              <w:pStyle w:val="TableContents"/>
              <w:bidi w:val="0"/>
              <w:spacing w:before="0" w:after="283"/>
              <w:jc w:val="left"/>
              <w:rPr>
                <w:caps w:val="false"/>
                <w:smallCaps w:val="false"/>
              </w:rPr>
            </w:pPr>
            <w:r>
              <w:rPr>
                <w:caps w:val="false"/>
                <w:smallCaps w:val="false"/>
              </w:rPr>
              <w:t> </w:t>
            </w:r>
          </w:p>
        </w:tc>
        <w:tc>
          <w:tcPr>
            <w:tcW w:w="67" w:type="dxa"/>
            <w:tcBorders/>
            <w:vAlign w:val="center"/>
          </w:tcPr>
          <w:p>
            <w:pPr>
              <w:pStyle w:val="TableContents"/>
              <w:bidi w:val="0"/>
              <w:spacing w:before="0" w:after="283"/>
              <w:jc w:val="left"/>
              <w:rPr>
                <w:caps w:val="false"/>
                <w:smallCaps w:val="false"/>
              </w:rPr>
            </w:pPr>
            <w:r>
              <w:rPr>
                <w:caps w:val="false"/>
                <w:smallCaps w:val="false"/>
              </w:rPr>
              <w:t> </w:t>
            </w:r>
          </w:p>
        </w:tc>
        <w:tc>
          <w:tcPr>
            <w:tcW w:w="934"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March 30, </w:t>
              <w:br/>
              <w:t>2025</w:t>
            </w:r>
          </w:p>
        </w:tc>
        <w:tc>
          <w:tcPr>
            <w:tcW w:w="18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75"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 </w:t>
              <w:br/>
              <w:t>Change</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65"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 </w:t>
              <w:br/>
              <w:t>Change</w:t>
            </w:r>
          </w:p>
        </w:tc>
        <w:tc>
          <w:tcPr>
            <w:tcW w:w="260" w:type="dxa"/>
            <w:tcBorders/>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297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Revenues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784"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72,793</w:t>
            </w:r>
          </w:p>
        </w:tc>
        <w:tc>
          <w:tcPr>
            <w:tcW w:w="20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62"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772"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78,413</w:t>
            </w:r>
          </w:p>
        </w:tc>
        <w:tc>
          <w:tcPr>
            <w:tcW w:w="18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5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(5,620</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78"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w:t>
            </w:r>
          </w:p>
        </w:tc>
        <w:tc>
          <w:tcPr>
            <w:tcW w:w="260" w:type="dxa"/>
            <w:tcBorders/>
            <w:shd w:fill="CCEEFF" w:val="clear"/>
            <w:vAlign w:val="center"/>
          </w:tcPr>
          <w:p>
            <w:pPr>
              <w:pStyle w:val="TableContents"/>
              <w:bidi w:val="0"/>
              <w:spacing w:before="0" w:after="283"/>
              <w:ind w:left="0" w:right="0" w:hanging="18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297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Cost of revenues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0" w:type="dxa"/>
            <w:tcBorders>
              <w:bottom w:val="single" w:sz="12"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784"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28,106</w:t>
            </w:r>
          </w:p>
        </w:tc>
        <w:tc>
          <w:tcPr>
            <w:tcW w:w="20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62" w:type="dxa"/>
            <w:tcBorders>
              <w:bottom w:val="single" w:sz="12"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772"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51,037</w:t>
            </w:r>
          </w:p>
        </w:tc>
        <w:tc>
          <w:tcPr>
            <w:tcW w:w="18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12"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50"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(22,931</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78"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(45</w:t>
            </w:r>
          </w:p>
        </w:tc>
        <w:tc>
          <w:tcPr>
            <w:tcW w:w="260" w:type="dxa"/>
            <w:tcBorders/>
            <w:shd w:fill="FFFFFF" w:val="clear"/>
            <w:vAlign w:val="center"/>
          </w:tcPr>
          <w:p>
            <w:pPr>
              <w:pStyle w:val="TableContents"/>
              <w:bidi w:val="0"/>
              <w:spacing w:before="0" w:after="283"/>
              <w:ind w:left="0" w:right="0" w:hanging="18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297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Gross (loss) profit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0" w:type="dxa"/>
            <w:tcBorders>
              <w:bottom w:val="single" w:sz="12"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784"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44,687</w:t>
            </w:r>
          </w:p>
        </w:tc>
        <w:tc>
          <w:tcPr>
            <w:tcW w:w="20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62" w:type="dxa"/>
            <w:tcBorders>
              <w:bottom w:val="single" w:sz="12"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772"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27,376</w:t>
            </w:r>
          </w:p>
        </w:tc>
        <w:tc>
          <w:tcPr>
            <w:tcW w:w="18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12"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50"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17,311</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78"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63</w:t>
            </w:r>
          </w:p>
        </w:tc>
        <w:tc>
          <w:tcPr>
            <w:tcW w:w="260" w:type="dxa"/>
            <w:tcBorders/>
            <w:shd w:fill="CCEEFF" w:val="clear"/>
            <w:vAlign w:val="center"/>
          </w:tcPr>
          <w:p>
            <w:pPr>
              <w:pStyle w:val="TableContents"/>
              <w:bidi w:val="0"/>
              <w:spacing w:before="0" w:after="283"/>
              <w:ind w:left="0" w:right="0" w:hanging="18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297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Gross margin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84"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61</w:t>
            </w:r>
          </w:p>
        </w:tc>
        <w:tc>
          <w:tcPr>
            <w:tcW w:w="206"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6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72"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35</w:t>
            </w:r>
          </w:p>
        </w:tc>
        <w:tc>
          <w:tcPr>
            <w:tcW w:w="18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50"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78"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260" w:type="dxa"/>
            <w:tcBorders/>
            <w:shd w:fill="FFFFFF" w:val="clear"/>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297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Operating expenses: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84"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20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6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72"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18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50"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78"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260" w:type="dxa"/>
            <w:tcBorders/>
            <w:shd w:fill="CCEEFF" w:val="clear"/>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297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Sales commissions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84"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28,564</w:t>
            </w:r>
          </w:p>
        </w:tc>
        <w:tc>
          <w:tcPr>
            <w:tcW w:w="20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6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72"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7,684</w:t>
            </w:r>
          </w:p>
        </w:tc>
        <w:tc>
          <w:tcPr>
            <w:tcW w:w="18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5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20,880</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78"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272</w:t>
            </w:r>
          </w:p>
        </w:tc>
        <w:tc>
          <w:tcPr>
            <w:tcW w:w="260" w:type="dxa"/>
            <w:tcBorders/>
            <w:shd w:fill="FFFFFF" w:val="clear"/>
            <w:vAlign w:val="center"/>
          </w:tcPr>
          <w:p>
            <w:pPr>
              <w:pStyle w:val="TableContents"/>
              <w:bidi w:val="0"/>
              <w:spacing w:before="0" w:after="283"/>
              <w:ind w:left="0" w:right="0" w:hanging="18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297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Sales and marketing</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84"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4,993</w:t>
            </w:r>
          </w:p>
        </w:tc>
        <w:tc>
          <w:tcPr>
            <w:tcW w:w="20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6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72"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8,522</w:t>
            </w:r>
          </w:p>
        </w:tc>
        <w:tc>
          <w:tcPr>
            <w:tcW w:w="18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5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(3,529</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78"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(41</w:t>
            </w:r>
          </w:p>
        </w:tc>
        <w:tc>
          <w:tcPr>
            <w:tcW w:w="260" w:type="dxa"/>
            <w:tcBorders/>
            <w:shd w:fill="CCEEFF" w:val="clear"/>
            <w:vAlign w:val="center"/>
          </w:tcPr>
          <w:p>
            <w:pPr>
              <w:pStyle w:val="TableContents"/>
              <w:bidi w:val="0"/>
              <w:spacing w:before="0" w:after="283"/>
              <w:ind w:left="0" w:right="0" w:hanging="18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297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General and administrative</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0" w:type="dxa"/>
            <w:tcBorders>
              <w:bottom w:val="single" w:sz="12"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784"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30,325</w:t>
            </w:r>
          </w:p>
        </w:tc>
        <w:tc>
          <w:tcPr>
            <w:tcW w:w="20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62" w:type="dxa"/>
            <w:tcBorders>
              <w:bottom w:val="single" w:sz="12"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772"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14,896</w:t>
            </w:r>
          </w:p>
        </w:tc>
        <w:tc>
          <w:tcPr>
            <w:tcW w:w="18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12"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50"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15,429</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78"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104</w:t>
            </w:r>
          </w:p>
        </w:tc>
        <w:tc>
          <w:tcPr>
            <w:tcW w:w="260" w:type="dxa"/>
            <w:tcBorders/>
            <w:shd w:fill="FFFFFF" w:val="clear"/>
            <w:vAlign w:val="center"/>
          </w:tcPr>
          <w:p>
            <w:pPr>
              <w:pStyle w:val="TableContents"/>
              <w:bidi w:val="0"/>
              <w:spacing w:before="0" w:after="283"/>
              <w:ind w:left="0" w:right="0" w:hanging="18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297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Total operating expenses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0" w:type="dxa"/>
            <w:tcBorders>
              <w:bottom w:val="single" w:sz="12"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784"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63,882</w:t>
            </w:r>
          </w:p>
        </w:tc>
        <w:tc>
          <w:tcPr>
            <w:tcW w:w="20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62" w:type="dxa"/>
            <w:tcBorders>
              <w:bottom w:val="single" w:sz="12"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772"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31,102</w:t>
            </w:r>
          </w:p>
        </w:tc>
        <w:tc>
          <w:tcPr>
            <w:tcW w:w="18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12"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50"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32,780</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78"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105</w:t>
            </w:r>
          </w:p>
        </w:tc>
        <w:tc>
          <w:tcPr>
            <w:tcW w:w="260" w:type="dxa"/>
            <w:tcBorders/>
            <w:shd w:fill="CCEEFF" w:val="clear"/>
            <w:vAlign w:val="center"/>
          </w:tcPr>
          <w:p>
            <w:pPr>
              <w:pStyle w:val="TableContents"/>
              <w:bidi w:val="0"/>
              <w:spacing w:before="0" w:after="283"/>
              <w:ind w:left="0" w:right="0" w:hanging="18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297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Loss from operations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0" w:type="dxa"/>
            <w:tcBorders>
              <w:bottom w:val="single" w:sz="12"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784"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(19,195</w:t>
            </w:r>
          </w:p>
        </w:tc>
        <w:tc>
          <w:tcPr>
            <w:tcW w:w="206"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62" w:type="dxa"/>
            <w:tcBorders>
              <w:bottom w:val="single" w:sz="12"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772"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(3,726</w:t>
            </w:r>
          </w:p>
        </w:tc>
        <w:tc>
          <w:tcPr>
            <w:tcW w:w="18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12"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50"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(15,469</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78"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415</w:t>
            </w:r>
          </w:p>
        </w:tc>
        <w:tc>
          <w:tcPr>
            <w:tcW w:w="260" w:type="dxa"/>
            <w:tcBorders/>
            <w:shd w:fill="FFFFFF" w:val="clear"/>
            <w:vAlign w:val="center"/>
          </w:tcPr>
          <w:p>
            <w:pPr>
              <w:pStyle w:val="TableContents"/>
              <w:bidi w:val="0"/>
              <w:spacing w:before="0" w:after="283"/>
              <w:ind w:left="0" w:right="0" w:hanging="18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297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Interest expense</w:t>
            </w:r>
            <w:r>
              <w:rPr>
                <w:rFonts w:ascii="Times New Roman;Times;Serif" w:hAnsi="Times New Roman;Times;Serif"/>
                <w:b w:val="false"/>
                <w:i w:val="false"/>
                <w:caps w:val="false"/>
                <w:smallCaps w:val="false"/>
                <w:position w:val="7"/>
                <w:sz w:val="16"/>
                <w:sz w:val="20"/>
              </w:rPr>
              <w:t>(1)</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84"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(6,924</w:t>
            </w:r>
          </w:p>
        </w:tc>
        <w:tc>
          <w:tcPr>
            <w:tcW w:w="206"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6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72"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(6,041</w:t>
            </w:r>
          </w:p>
        </w:tc>
        <w:tc>
          <w:tcPr>
            <w:tcW w:w="18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5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(883</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78"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w:t>
            </w:r>
          </w:p>
        </w:tc>
        <w:tc>
          <w:tcPr>
            <w:tcW w:w="260" w:type="dxa"/>
            <w:tcBorders/>
            <w:shd w:fill="CCEEFF" w:val="clear"/>
            <w:vAlign w:val="center"/>
          </w:tcPr>
          <w:p>
            <w:pPr>
              <w:pStyle w:val="TableContents"/>
              <w:bidi w:val="0"/>
              <w:spacing w:before="0" w:after="283"/>
              <w:ind w:left="0" w:right="0" w:hanging="18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297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Interest income</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84"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20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6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72"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w:t>
            </w:r>
          </w:p>
        </w:tc>
        <w:tc>
          <w:tcPr>
            <w:tcW w:w="18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5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78"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(100</w:t>
            </w:r>
          </w:p>
        </w:tc>
        <w:tc>
          <w:tcPr>
            <w:tcW w:w="26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297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non-operating income, net</w:t>
            </w:r>
            <w:r>
              <w:rPr>
                <w:rFonts w:ascii="Times New Roman;Times;Serif" w:hAnsi="Times New Roman;Times;Serif"/>
                <w:b w:val="false"/>
                <w:i w:val="false"/>
                <w:caps w:val="false"/>
                <w:smallCaps w:val="false"/>
                <w:position w:val="7"/>
                <w:sz w:val="16"/>
                <w:sz w:val="20"/>
              </w:rPr>
              <w:t>(2)</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0" w:type="dxa"/>
            <w:tcBorders>
              <w:bottom w:val="single" w:sz="12"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784"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30,761</w:t>
            </w:r>
          </w:p>
        </w:tc>
        <w:tc>
          <w:tcPr>
            <w:tcW w:w="20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62" w:type="dxa"/>
            <w:tcBorders>
              <w:bottom w:val="single" w:sz="12"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772"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14,576</w:t>
            </w:r>
          </w:p>
        </w:tc>
        <w:tc>
          <w:tcPr>
            <w:tcW w:w="18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12"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50"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16,185</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78"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111</w:t>
            </w:r>
          </w:p>
        </w:tc>
        <w:tc>
          <w:tcPr>
            <w:tcW w:w="260" w:type="dxa"/>
            <w:tcBorders/>
            <w:shd w:fill="CCEEFF" w:val="clear"/>
            <w:vAlign w:val="center"/>
          </w:tcPr>
          <w:p>
            <w:pPr>
              <w:pStyle w:val="TableContents"/>
              <w:bidi w:val="0"/>
              <w:spacing w:before="0" w:after="283"/>
              <w:ind w:left="0" w:right="0" w:hanging="18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297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Income from operations before taxes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0" w:type="dxa"/>
            <w:tcBorders>
              <w:bottom w:val="single" w:sz="12"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784"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4,642</w:t>
            </w:r>
          </w:p>
        </w:tc>
        <w:tc>
          <w:tcPr>
            <w:tcW w:w="20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62" w:type="dxa"/>
            <w:tcBorders>
              <w:bottom w:val="single" w:sz="12"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772"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4,812</w:t>
            </w:r>
          </w:p>
        </w:tc>
        <w:tc>
          <w:tcPr>
            <w:tcW w:w="18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12"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50"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(170</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78"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w:t>
            </w:r>
          </w:p>
        </w:tc>
        <w:tc>
          <w:tcPr>
            <w:tcW w:w="260" w:type="dxa"/>
            <w:tcBorders/>
            <w:shd w:fill="FFFFFF" w:val="clear"/>
            <w:vAlign w:val="center"/>
          </w:tcPr>
          <w:p>
            <w:pPr>
              <w:pStyle w:val="TableContents"/>
              <w:bidi w:val="0"/>
              <w:spacing w:before="0" w:after="283"/>
              <w:ind w:left="0" w:right="0" w:hanging="18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297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Income tax benefit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0" w:type="dxa"/>
            <w:tcBorders>
              <w:bottom w:val="single" w:sz="12"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784"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608</w:t>
            </w:r>
          </w:p>
        </w:tc>
        <w:tc>
          <w:tcPr>
            <w:tcW w:w="20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62" w:type="dxa"/>
            <w:tcBorders>
              <w:bottom w:val="single" w:sz="12"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772" w:type="dxa"/>
            <w:tcBorders>
              <w:bottom w:val="single" w:sz="12" w:space="0" w:color="000000"/>
            </w:tcBorders>
            <w:shd w:fill="CCEEFF" w:val="clear"/>
            <w:tcMar>
              <w:bottom w:w="28" w:type="dxa"/>
            </w:tcMar>
            <w:vAlign w:val="center"/>
          </w:tcPr>
          <w:p>
            <w:pPr>
              <w:pStyle w:val="TableContents"/>
              <w:bidi w:val="0"/>
              <w:spacing w:before="0" w:after="283"/>
              <w:jc w:val="right"/>
              <w:rPr>
                <w:caps w:val="false"/>
                <w:smallCaps w:val="false"/>
              </w:rPr>
            </w:pPr>
            <w:r>
              <w:rPr>
                <w:caps w:val="false"/>
                <w:smallCaps w:val="false"/>
              </w:rPr>
              <w:t>—</w:t>
            </w:r>
          </w:p>
        </w:tc>
        <w:tc>
          <w:tcPr>
            <w:tcW w:w="18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12"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50"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608</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78"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260" w:type="dxa"/>
            <w:tcBorders/>
            <w:shd w:fill="CCEEFF" w:val="clear"/>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297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income</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0" w:type="dxa"/>
            <w:tcBorders>
              <w:bottom w:val="double" w:sz="10"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784" w:type="dxa"/>
            <w:tcBorders>
              <w:bottom w:val="double" w:sz="10"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5,250</w:t>
            </w:r>
          </w:p>
        </w:tc>
        <w:tc>
          <w:tcPr>
            <w:tcW w:w="20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62" w:type="dxa"/>
            <w:tcBorders>
              <w:bottom w:val="double" w:sz="10"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772" w:type="dxa"/>
            <w:tcBorders>
              <w:bottom w:val="double" w:sz="10"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4,812</w:t>
            </w:r>
          </w:p>
        </w:tc>
        <w:tc>
          <w:tcPr>
            <w:tcW w:w="18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double" w:sz="10"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50" w:type="dxa"/>
            <w:tcBorders>
              <w:bottom w:val="double" w:sz="10"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438</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78"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w:t>
            </w:r>
          </w:p>
        </w:tc>
        <w:tc>
          <w:tcPr>
            <w:tcW w:w="26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bl>
    <w:p>
      <w:pPr>
        <w:pStyle w:val="TextBody"/>
        <w:bidi w:val="0"/>
        <w:spacing w:before="0" w:after="0"/>
        <w:ind w:left="0" w:right="0" w:firstLine="720"/>
        <w:jc w:val="both"/>
        <w:rPr>
          <w:caps w:val="false"/>
          <w:smallCaps w:val="false"/>
        </w:rPr>
      </w:pPr>
      <w:r>
        <w:rPr>
          <w:caps w:val="false"/>
          <w:smallCaps w:val="false"/>
        </w:rPr>
        <w:t> </w:t>
      </w:r>
    </w:p>
    <w:tbl>
      <w:tblPr>
        <w:tblW w:w="3205" w:type="dxa"/>
        <w:jc w:val="left"/>
        <w:tblInd w:w="0" w:type="dxa"/>
        <w:tblLayout w:type="fixed"/>
        <w:tblCellMar>
          <w:top w:w="0" w:type="dxa"/>
          <w:left w:w="0" w:type="dxa"/>
          <w:bottom w:w="0" w:type="dxa"/>
          <w:right w:w="0" w:type="dxa"/>
        </w:tblCellMar>
      </w:tblPr>
      <w:tblGrid>
        <w:gridCol w:w="140"/>
        <w:gridCol w:w="3065"/>
      </w:tblGrid>
      <w:tr>
        <w:trPr/>
        <w:tc>
          <w:tcPr>
            <w:tcW w:w="14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306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Percentage change is not meaningful.</w:t>
            </w:r>
          </w:p>
        </w:tc>
      </w:tr>
    </w:tbl>
    <w:p>
      <w:pPr>
        <w:pStyle w:val="TextBody"/>
        <w:bidi w:val="0"/>
        <w:spacing w:before="0" w:after="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21"/>
        <w:gridCol w:w="9984"/>
      </w:tblGrid>
      <w:tr>
        <w:trPr/>
        <w:tc>
          <w:tcPr>
            <w:tcW w:w="221" w:type="dxa"/>
            <w:tcBorders/>
            <w:vAlign w:val="center"/>
          </w:tcPr>
          <w:p>
            <w:pPr>
              <w:pStyle w:val="TableContents"/>
              <w:bidi w:val="0"/>
              <w:spacing w:before="0" w:after="283"/>
              <w:jc w:val="both"/>
              <w:rPr>
                <w:rFonts w:ascii="Times New Roman;Times;Serif" w:hAnsi="Times New Roman;Times;Serif"/>
                <w:b w:val="false"/>
                <w:i w:val="false"/>
                <w:caps w:val="false"/>
                <w:smallCaps w:val="false"/>
                <w:position w:val="7"/>
                <w:sz w:val="16"/>
                <w:sz w:val="20"/>
              </w:rPr>
            </w:pPr>
            <w:r>
              <w:rPr>
                <w:rFonts w:ascii="Times New Roman;Times;Serif" w:hAnsi="Times New Roman;Times;Serif"/>
                <w:b w:val="false"/>
                <w:i w:val="false"/>
                <w:caps w:val="false"/>
                <w:smallCaps w:val="false"/>
                <w:position w:val="7"/>
                <w:sz w:val="16"/>
                <w:sz w:val="20"/>
              </w:rPr>
              <w:t>(1)</w:t>
            </w:r>
          </w:p>
        </w:tc>
        <w:tc>
          <w:tcPr>
            <w:tcW w:w="9984"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Includes interest expense and amortization of debt issuance costs to related party of $2.3 million and $1.4 million in the thirteen-weeks ended March 29, 2026 and March 30, 2025, respectively.</w:t>
            </w:r>
          </w:p>
        </w:tc>
      </w:tr>
    </w:tbl>
    <w:p>
      <w:pPr>
        <w:pStyle w:val="TextBody"/>
        <w:bidi w:val="0"/>
        <w:spacing w:before="0" w:after="0"/>
        <w:ind w:left="0" w:right="0" w:firstLine="360"/>
        <w:jc w:val="both"/>
        <w:rPr>
          <w:caps w:val="false"/>
          <w:smallCaps w:val="false"/>
        </w:rPr>
      </w:pPr>
      <w:r>
        <w:rPr>
          <w:caps w:val="false"/>
          <w:smallCaps w:val="false"/>
        </w:rPr>
        <w:t> </w:t>
      </w:r>
    </w:p>
    <w:tbl>
      <w:tblPr>
        <w:tblW w:w="6280" w:type="dxa"/>
        <w:jc w:val="left"/>
        <w:tblInd w:w="0" w:type="dxa"/>
        <w:tblLayout w:type="fixed"/>
        <w:tblCellMar>
          <w:top w:w="0" w:type="dxa"/>
          <w:left w:w="0" w:type="dxa"/>
          <w:bottom w:w="0" w:type="dxa"/>
          <w:right w:w="0" w:type="dxa"/>
        </w:tblCellMar>
      </w:tblPr>
      <w:tblGrid>
        <w:gridCol w:w="245"/>
        <w:gridCol w:w="6035"/>
      </w:tblGrid>
      <w:tr>
        <w:trPr/>
        <w:tc>
          <w:tcPr>
            <w:tcW w:w="245" w:type="dxa"/>
            <w:tcBorders/>
            <w:vAlign w:val="center"/>
          </w:tcPr>
          <w:p>
            <w:pPr>
              <w:pStyle w:val="TableContents"/>
              <w:bidi w:val="0"/>
              <w:spacing w:before="0" w:after="283"/>
              <w:jc w:val="both"/>
              <w:rPr>
                <w:rFonts w:ascii="Times New Roman;Times;Serif" w:hAnsi="Times New Roman;Times;Serif"/>
                <w:b w:val="false"/>
                <w:i w:val="false"/>
                <w:caps w:val="false"/>
                <w:smallCaps w:val="false"/>
                <w:position w:val="7"/>
                <w:sz w:val="16"/>
                <w:sz w:val="20"/>
              </w:rPr>
            </w:pPr>
            <w:r>
              <w:rPr>
                <w:rFonts w:ascii="Times New Roman;Times;Serif" w:hAnsi="Times New Roman;Times;Serif"/>
                <w:b w:val="false"/>
                <w:i w:val="false"/>
                <w:caps w:val="false"/>
                <w:smallCaps w:val="false"/>
                <w:position w:val="7"/>
                <w:sz w:val="16"/>
                <w:sz w:val="20"/>
              </w:rPr>
              <w:t>(2)</w:t>
            </w:r>
          </w:p>
        </w:tc>
        <w:tc>
          <w:tcPr>
            <w:tcW w:w="603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Includes the following gains and (losses) with related parties (in millions):</w:t>
            </w:r>
          </w:p>
        </w:tc>
      </w:tr>
    </w:tbl>
    <w:p>
      <w:pPr>
        <w:pStyle w:val="TextBody"/>
        <w:bidi w:val="0"/>
        <w:spacing w:before="0" w:after="0"/>
        <w:jc w:val="both"/>
        <w:rPr>
          <w:caps w:val="false"/>
          <w:smallCaps w:val="false"/>
        </w:rPr>
      </w:pPr>
      <w:r>
        <w:rPr>
          <w:caps w:val="false"/>
          <w:smallCaps w:val="false"/>
        </w:rPr>
        <w:t> </w:t>
      </w:r>
    </w:p>
    <w:tbl>
      <w:tblPr>
        <w:tblW w:w="7304" w:type="dxa"/>
        <w:jc w:val="left"/>
        <w:tblInd w:w="0" w:type="dxa"/>
        <w:tblLayout w:type="fixed"/>
        <w:tblCellMar>
          <w:top w:w="0" w:type="dxa"/>
          <w:left w:w="0" w:type="dxa"/>
          <w:bottom w:w="0" w:type="dxa"/>
          <w:right w:w="0" w:type="dxa"/>
        </w:tblCellMar>
      </w:tblPr>
      <w:tblGrid>
        <w:gridCol w:w="5030"/>
        <w:gridCol w:w="60"/>
        <w:gridCol w:w="253"/>
        <w:gridCol w:w="681"/>
        <w:gridCol w:w="155"/>
        <w:gridCol w:w="116"/>
        <w:gridCol w:w="291"/>
        <w:gridCol w:w="643"/>
        <w:gridCol w:w="75"/>
      </w:tblGrid>
      <w:tr>
        <w:trPr/>
        <w:tc>
          <w:tcPr>
            <w:tcW w:w="503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2139" w:type="dxa"/>
            <w:gridSpan w:val="6"/>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Thirteen Weeks Ended</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503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34"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March 29, </w:t>
              <w:br/>
              <w:t>2026</w:t>
            </w:r>
          </w:p>
        </w:tc>
        <w:tc>
          <w:tcPr>
            <w:tcW w:w="155" w:type="dxa"/>
            <w:tcBorders/>
            <w:vAlign w:val="center"/>
          </w:tcPr>
          <w:p>
            <w:pPr>
              <w:pStyle w:val="TableContents"/>
              <w:bidi w:val="0"/>
              <w:spacing w:before="0" w:after="283"/>
              <w:jc w:val="left"/>
              <w:rPr>
                <w:caps w:val="false"/>
                <w:smallCaps w:val="false"/>
              </w:rPr>
            </w:pPr>
            <w:r>
              <w:rPr>
                <w:caps w:val="false"/>
                <w:smallCaps w:val="false"/>
              </w:rPr>
              <w:t> </w:t>
            </w:r>
          </w:p>
        </w:tc>
        <w:tc>
          <w:tcPr>
            <w:tcW w:w="116" w:type="dxa"/>
            <w:tcBorders/>
            <w:vAlign w:val="center"/>
          </w:tcPr>
          <w:p>
            <w:pPr>
              <w:pStyle w:val="TableContents"/>
              <w:bidi w:val="0"/>
              <w:spacing w:before="0" w:after="283"/>
              <w:jc w:val="left"/>
              <w:rPr>
                <w:caps w:val="false"/>
                <w:smallCaps w:val="false"/>
              </w:rPr>
            </w:pPr>
            <w:r>
              <w:rPr>
                <w:caps w:val="false"/>
                <w:smallCaps w:val="false"/>
              </w:rPr>
              <w:t> </w:t>
            </w:r>
          </w:p>
        </w:tc>
        <w:tc>
          <w:tcPr>
            <w:tcW w:w="934"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March 30, </w:t>
              <w:br/>
              <w:t>2025</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503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Change in fair value of derivative liabilities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53"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81"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7.5</w:t>
            </w:r>
          </w:p>
        </w:tc>
        <w:tc>
          <w:tcPr>
            <w:tcW w:w="15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91"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43"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3.7</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503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Change in fair value of forward purchase agreement liabilities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5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81"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15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9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43"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0.1</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503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income, net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5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81"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15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9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43"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0.1</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503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Change in fair value of SAFE Agreement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5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81"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(0.2</w:t>
            </w:r>
          </w:p>
        </w:tc>
        <w:tc>
          <w:tcPr>
            <w:tcW w:w="15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1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9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43"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503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Change in fair value of Deferred Sunder Consideration</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5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81"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w:t>
            </w:r>
          </w:p>
        </w:tc>
        <w:tc>
          <w:tcPr>
            <w:tcW w:w="15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9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43"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52</w:t>
      </w:r>
    </w:p>
    <w:p>
      <w:pPr>
        <w:pStyle w:val="TextBody"/>
        <w:bidi w:val="0"/>
        <w:spacing w:before="0" w:after="0"/>
        <w:ind w:left="0" w:right="0" w:hanging="0"/>
        <w:jc w:val="left"/>
        <w:rPr/>
      </w:pPr>
      <w:r>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Revenues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We disaggregate our revenues based on the following types of services </w:t>
      </w:r>
      <w:r>
        <w:rPr>
          <w:rFonts w:ascii="Times New Roman;Times;Serif" w:hAnsi="Times New Roman;Times;Serif"/>
          <w:b w:val="false"/>
          <w:i/>
          <w:caps w:val="false"/>
          <w:smallCaps w:val="false"/>
          <w:sz w:val="20"/>
        </w:rPr>
        <w:t>(in thousands)</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tbl>
      <w:tblPr>
        <w:tblW w:w="6443" w:type="dxa"/>
        <w:jc w:val="left"/>
        <w:tblInd w:w="0" w:type="dxa"/>
        <w:tblLayout w:type="fixed"/>
        <w:tblCellMar>
          <w:top w:w="0" w:type="dxa"/>
          <w:left w:w="0" w:type="dxa"/>
          <w:bottom w:w="0" w:type="dxa"/>
          <w:right w:w="0" w:type="dxa"/>
        </w:tblCellMar>
      </w:tblPr>
      <w:tblGrid>
        <w:gridCol w:w="2405"/>
        <w:gridCol w:w="60"/>
        <w:gridCol w:w="163"/>
        <w:gridCol w:w="771"/>
        <w:gridCol w:w="75"/>
        <w:gridCol w:w="75"/>
        <w:gridCol w:w="163"/>
        <w:gridCol w:w="771"/>
        <w:gridCol w:w="60"/>
        <w:gridCol w:w="60"/>
        <w:gridCol w:w="125"/>
        <w:gridCol w:w="650"/>
        <w:gridCol w:w="80"/>
        <w:gridCol w:w="60"/>
        <w:gridCol w:w="114"/>
        <w:gridCol w:w="551"/>
        <w:gridCol w:w="260"/>
      </w:tblGrid>
      <w:tr>
        <w:trPr/>
        <w:tc>
          <w:tcPr>
            <w:tcW w:w="2405"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2018" w:type="dxa"/>
            <w:gridSpan w:val="6"/>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Thirteen Weeks Ended</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75" w:type="dxa"/>
            <w:gridSpan w:val="2"/>
            <w:tcBorders/>
            <w:vAlign w:val="center"/>
          </w:tcPr>
          <w:p>
            <w:pPr>
              <w:pStyle w:val="TableContents"/>
              <w:bidi w:val="0"/>
              <w:spacing w:before="0" w:after="283"/>
              <w:jc w:val="center"/>
              <w:rPr>
                <w:caps w:val="false"/>
                <w:smallCaps w:val="false"/>
              </w:rPr>
            </w:pPr>
            <w:r>
              <w:rPr>
                <w:caps w:val="false"/>
                <w:smallCaps w:val="false"/>
              </w:rPr>
              <w:t> </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65" w:type="dxa"/>
            <w:gridSpan w:val="2"/>
            <w:tcBorders/>
            <w:vAlign w:val="center"/>
          </w:tcPr>
          <w:p>
            <w:pPr>
              <w:pStyle w:val="TableContents"/>
              <w:bidi w:val="0"/>
              <w:spacing w:before="0" w:after="283"/>
              <w:jc w:val="center"/>
              <w:rPr>
                <w:caps w:val="false"/>
                <w:smallCaps w:val="false"/>
              </w:rPr>
            </w:pPr>
            <w:r>
              <w:rPr>
                <w:caps w:val="false"/>
                <w:smallCaps w:val="false"/>
              </w:rPr>
              <w:t> </w:t>
            </w:r>
          </w:p>
        </w:tc>
        <w:tc>
          <w:tcPr>
            <w:tcW w:w="26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2405"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34"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March 29, </w:t>
              <w:br/>
              <w:t>2026</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934"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March 30, </w:t>
              <w:br/>
              <w:t>2025</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75"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 </w:t>
              <w:br/>
              <w:t>Change</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65"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 </w:t>
              <w:br/>
              <w:t>Change</w:t>
            </w:r>
          </w:p>
        </w:tc>
        <w:tc>
          <w:tcPr>
            <w:tcW w:w="26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2405" w:type="dxa"/>
            <w:tcBorders/>
            <w:shd w:fill="CCEE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Residential Solar Installation</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63"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771"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31,541</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63"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771"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36,504</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5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(4,963</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51"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w:t>
            </w:r>
          </w:p>
        </w:tc>
        <w:tc>
          <w:tcPr>
            <w:tcW w:w="26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2405"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New Homes Business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6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71"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14,625</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6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71"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41,909</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5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(27,284</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51"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(65</w:t>
            </w:r>
          </w:p>
        </w:tc>
        <w:tc>
          <w:tcPr>
            <w:tcW w:w="26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2405" w:type="dxa"/>
            <w:tcBorders/>
            <w:shd w:fill="CCEE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Dealer</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63" w:type="dxa"/>
            <w:tcBorders>
              <w:bottom w:val="single" w:sz="12"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771"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26,627</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63" w:type="dxa"/>
            <w:tcBorders>
              <w:bottom w:val="single" w:sz="12"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771" w:type="dxa"/>
            <w:tcBorders>
              <w:bottom w:val="single" w:sz="12" w:space="0" w:color="000000"/>
            </w:tcBorders>
            <w:shd w:fill="CCEEFF" w:val="clear"/>
            <w:tcMar>
              <w:bottom w:w="28" w:type="dxa"/>
            </w:tcM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12"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50"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26,627</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51"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2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2405"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Total revenues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63" w:type="dxa"/>
            <w:tcBorders>
              <w:bottom w:val="double" w:sz="10"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771" w:type="dxa"/>
            <w:tcBorders>
              <w:bottom w:val="double" w:sz="10"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72,793</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63" w:type="dxa"/>
            <w:tcBorders>
              <w:bottom w:val="double" w:sz="10"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771" w:type="dxa"/>
            <w:tcBorders>
              <w:bottom w:val="double" w:sz="10"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78,413</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double" w:sz="10"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50" w:type="dxa"/>
            <w:tcBorders>
              <w:bottom w:val="double" w:sz="10"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(5,620</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51"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w:t>
            </w:r>
          </w:p>
        </w:tc>
        <w:tc>
          <w:tcPr>
            <w:tcW w:w="26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bl>
    <w:p>
      <w:pPr>
        <w:pStyle w:val="TextBody"/>
        <w:bidi w:val="0"/>
        <w:spacing w:before="0" w:after="0"/>
        <w:ind w:left="0" w:right="0" w:firstLine="720"/>
        <w:jc w:val="both"/>
        <w:rPr>
          <w:caps w:val="false"/>
          <w:smallCaps w:val="false"/>
        </w:rPr>
      </w:pPr>
      <w:r>
        <w:rPr>
          <w:caps w:val="false"/>
          <w:smallCaps w:val="false"/>
        </w:rPr>
        <w:t> </w:t>
      </w:r>
    </w:p>
    <w:tbl>
      <w:tblPr>
        <w:tblW w:w="3205" w:type="dxa"/>
        <w:jc w:val="left"/>
        <w:tblInd w:w="0" w:type="dxa"/>
        <w:tblLayout w:type="fixed"/>
        <w:tblCellMar>
          <w:top w:w="0" w:type="dxa"/>
          <w:left w:w="0" w:type="dxa"/>
          <w:bottom w:w="0" w:type="dxa"/>
          <w:right w:w="0" w:type="dxa"/>
        </w:tblCellMar>
      </w:tblPr>
      <w:tblGrid>
        <w:gridCol w:w="140"/>
        <w:gridCol w:w="3065"/>
      </w:tblGrid>
      <w:tr>
        <w:trPr/>
        <w:tc>
          <w:tcPr>
            <w:tcW w:w="14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306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Percentage change is not meaningful.</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decrease in Residential Solar Installation was driven primarily by lower installation volumes, reflecting softer consumer demand due to higher interest rates as a result of an increase in financing costs for residential solar. In addition, the phase out of certain residential Investment Tax Credits (“ITCs”) passed in 2025 as part of the One Big Beautiful Bill in conjunction with fewer customers qualifying for financing makes it harder for a homeowner to make the decision quickly. The decrease also reflects fewer system activations as we continued to optimize our sales channels and focus on streamlining our operations to enhance its customer experience.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New Homes Business revenues decreased primarily due to lower construction activity and selective solar integration volumes from homebuilder partners, due to higher interest rates and higher labor costs thus driving the overall costs of the home to increase. While regulatory requirements force investments in solar in certain regions and communities, the pace has slowed down due to affordability. In states and communities where regulatory requirements for new builds will not impact the demand of solar installation, homebuilders are not abandoning solar they are offering it as an option versus a spec home. Additionally, there was a backlog of jobs from the SunPower Businesses acquisition in 2024, for certain large homebuilder projects that contributed meaningfully to the prior-year quarter which did not recur in the current period as we are rebuilding our pipeline. We are also building this business which we acquired out of bankruptcy in 2024 as part of the SunPower Businesses acquisition.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Dealer revenues and costs in the thirteen week period ended March 29, 2026 are attributable to the acquisition of Sunder on September 24, 2025.</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Cost of revenues and gross margins</w:t>
      </w:r>
    </w:p>
    <w:p>
      <w:pPr>
        <w:pStyle w:val="TextBody"/>
        <w:shd w:fill="FFFFFF" w:val="clear"/>
        <w:bidi w:val="0"/>
        <w:spacing w:before="0" w:after="0"/>
        <w:ind w:left="0" w:right="0" w:firstLine="720"/>
        <w:jc w:val="both"/>
        <w:rPr>
          <w:caps w:val="false"/>
          <w:smallCaps w:val="false"/>
        </w:rPr>
      </w:pPr>
      <w:r>
        <w:rPr>
          <w:caps w:val="false"/>
          <w:smallCaps w:val="false"/>
        </w:rPr>
        <w:t> </w:t>
      </w:r>
    </w:p>
    <w:tbl>
      <w:tblPr>
        <w:tblW w:w="6611" w:type="dxa"/>
        <w:jc w:val="left"/>
        <w:tblInd w:w="0" w:type="dxa"/>
        <w:tblLayout w:type="fixed"/>
        <w:tblCellMar>
          <w:top w:w="0" w:type="dxa"/>
          <w:left w:w="0" w:type="dxa"/>
          <w:bottom w:w="0" w:type="dxa"/>
          <w:right w:w="0" w:type="dxa"/>
        </w:tblCellMar>
      </w:tblPr>
      <w:tblGrid>
        <w:gridCol w:w="2405"/>
        <w:gridCol w:w="60"/>
        <w:gridCol w:w="154"/>
        <w:gridCol w:w="735"/>
        <w:gridCol w:w="214"/>
        <w:gridCol w:w="69"/>
        <w:gridCol w:w="154"/>
        <w:gridCol w:w="735"/>
        <w:gridCol w:w="185"/>
        <w:gridCol w:w="60"/>
        <w:gridCol w:w="125"/>
        <w:gridCol w:w="650"/>
        <w:gridCol w:w="80"/>
        <w:gridCol w:w="60"/>
        <w:gridCol w:w="114"/>
        <w:gridCol w:w="551"/>
        <w:gridCol w:w="260"/>
      </w:tblGrid>
      <w:tr>
        <w:trPr/>
        <w:tc>
          <w:tcPr>
            <w:tcW w:w="2405" w:type="dxa"/>
            <w:tcBorders/>
            <w:vAlign w:val="center"/>
          </w:tcPr>
          <w:p>
            <w:pPr>
              <w:pStyle w:val="TableContents"/>
              <w:bidi w:val="0"/>
              <w:spacing w:before="0" w:after="283"/>
              <w:jc w:val="both"/>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2061" w:type="dxa"/>
            <w:gridSpan w:val="6"/>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Thirteen Weeks Ended</w:t>
            </w:r>
          </w:p>
        </w:tc>
        <w:tc>
          <w:tcPr>
            <w:tcW w:w="18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75" w:type="dxa"/>
            <w:gridSpan w:val="2"/>
            <w:tcBorders/>
            <w:vAlign w:val="center"/>
          </w:tcPr>
          <w:p>
            <w:pPr>
              <w:pStyle w:val="TableContents"/>
              <w:bidi w:val="0"/>
              <w:spacing w:before="0" w:after="283"/>
              <w:jc w:val="center"/>
              <w:rPr>
                <w:caps w:val="false"/>
                <w:smallCaps w:val="false"/>
              </w:rPr>
            </w:pPr>
            <w:r>
              <w:rPr>
                <w:caps w:val="false"/>
                <w:smallCaps w:val="false"/>
              </w:rPr>
              <w:t> </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65" w:type="dxa"/>
            <w:gridSpan w:val="2"/>
            <w:tcBorders/>
            <w:vAlign w:val="center"/>
          </w:tcPr>
          <w:p>
            <w:pPr>
              <w:pStyle w:val="TableContents"/>
              <w:bidi w:val="0"/>
              <w:spacing w:before="0" w:after="283"/>
              <w:jc w:val="center"/>
              <w:rPr>
                <w:caps w:val="false"/>
                <w:smallCaps w:val="false"/>
              </w:rPr>
            </w:pPr>
            <w:r>
              <w:rPr>
                <w:caps w:val="false"/>
                <w:smallCaps w:val="false"/>
              </w:rPr>
              <w:t> </w:t>
            </w:r>
          </w:p>
        </w:tc>
        <w:tc>
          <w:tcPr>
            <w:tcW w:w="26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2405" w:type="dxa"/>
            <w:tcBorders/>
            <w:vAlign w:val="center"/>
          </w:tcPr>
          <w:p>
            <w:pPr>
              <w:pStyle w:val="TableContents"/>
              <w:bidi w:val="0"/>
              <w:spacing w:before="0" w:after="283"/>
              <w:jc w:val="both"/>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89"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March 29,</w:t>
            </w:r>
          </w:p>
        </w:tc>
        <w:tc>
          <w:tcPr>
            <w:tcW w:w="214" w:type="dxa"/>
            <w:tcBorders/>
            <w:vAlign w:val="center"/>
          </w:tcPr>
          <w:p>
            <w:pPr>
              <w:pStyle w:val="TableContents"/>
              <w:bidi w:val="0"/>
              <w:spacing w:before="0" w:after="283"/>
              <w:jc w:val="left"/>
              <w:rPr>
                <w:caps w:val="false"/>
                <w:smallCaps w:val="false"/>
              </w:rPr>
            </w:pPr>
            <w:r>
              <w:rPr>
                <w:caps w:val="false"/>
                <w:smallCaps w:val="false"/>
              </w:rPr>
              <w:t> </w:t>
            </w:r>
          </w:p>
        </w:tc>
        <w:tc>
          <w:tcPr>
            <w:tcW w:w="69" w:type="dxa"/>
            <w:tcBorders/>
            <w:vAlign w:val="center"/>
          </w:tcPr>
          <w:p>
            <w:pPr>
              <w:pStyle w:val="TableContents"/>
              <w:bidi w:val="0"/>
              <w:spacing w:before="0" w:after="283"/>
              <w:jc w:val="left"/>
              <w:rPr>
                <w:caps w:val="false"/>
                <w:smallCaps w:val="false"/>
              </w:rPr>
            </w:pPr>
            <w:r>
              <w:rPr>
                <w:caps w:val="false"/>
                <w:smallCaps w:val="false"/>
              </w:rPr>
              <w:t> </w:t>
            </w:r>
          </w:p>
        </w:tc>
        <w:tc>
          <w:tcPr>
            <w:tcW w:w="889"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March 30,</w:t>
            </w:r>
          </w:p>
        </w:tc>
        <w:tc>
          <w:tcPr>
            <w:tcW w:w="18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75"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65"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26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2405" w:type="dxa"/>
            <w:tcBorders/>
            <w:vAlign w:val="center"/>
          </w:tcPr>
          <w:p>
            <w:pPr>
              <w:pStyle w:val="TableContents"/>
              <w:bidi w:val="0"/>
              <w:spacing w:before="0" w:after="283"/>
              <w:jc w:val="both"/>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89"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2026</w:t>
            </w:r>
          </w:p>
        </w:tc>
        <w:tc>
          <w:tcPr>
            <w:tcW w:w="214" w:type="dxa"/>
            <w:tcBorders/>
            <w:vAlign w:val="center"/>
          </w:tcPr>
          <w:p>
            <w:pPr>
              <w:pStyle w:val="TableContents"/>
              <w:bidi w:val="0"/>
              <w:spacing w:before="0" w:after="283"/>
              <w:jc w:val="left"/>
              <w:rPr>
                <w:caps w:val="false"/>
                <w:smallCaps w:val="false"/>
              </w:rPr>
            </w:pPr>
            <w:r>
              <w:rPr>
                <w:caps w:val="false"/>
                <w:smallCaps w:val="false"/>
              </w:rPr>
              <w:t> </w:t>
            </w:r>
          </w:p>
        </w:tc>
        <w:tc>
          <w:tcPr>
            <w:tcW w:w="69" w:type="dxa"/>
            <w:tcBorders/>
            <w:vAlign w:val="center"/>
          </w:tcPr>
          <w:p>
            <w:pPr>
              <w:pStyle w:val="TableContents"/>
              <w:bidi w:val="0"/>
              <w:spacing w:before="0" w:after="283"/>
              <w:jc w:val="left"/>
              <w:rPr>
                <w:caps w:val="false"/>
                <w:smallCaps w:val="false"/>
              </w:rPr>
            </w:pPr>
            <w:r>
              <w:rPr>
                <w:caps w:val="false"/>
                <w:smallCaps w:val="false"/>
              </w:rPr>
              <w:t> </w:t>
            </w:r>
          </w:p>
        </w:tc>
        <w:tc>
          <w:tcPr>
            <w:tcW w:w="889"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2025</w:t>
            </w:r>
          </w:p>
        </w:tc>
        <w:tc>
          <w:tcPr>
            <w:tcW w:w="18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75"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Change</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65"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Change</w:t>
            </w:r>
          </w:p>
        </w:tc>
        <w:tc>
          <w:tcPr>
            <w:tcW w:w="26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2405" w:type="dxa"/>
            <w:tcBorders/>
            <w:shd w:fill="CCEE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Residential Solar Installation</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4"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73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18,011</w:t>
            </w:r>
          </w:p>
        </w:tc>
        <w:tc>
          <w:tcPr>
            <w:tcW w:w="21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4"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73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22,615</w:t>
            </w:r>
          </w:p>
        </w:tc>
        <w:tc>
          <w:tcPr>
            <w:tcW w:w="18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5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(4,604</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51"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w:t>
            </w:r>
          </w:p>
        </w:tc>
        <w:tc>
          <w:tcPr>
            <w:tcW w:w="26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2405"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New Homes Business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3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9,961</w:t>
            </w:r>
          </w:p>
        </w:tc>
        <w:tc>
          <w:tcPr>
            <w:tcW w:w="21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3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28,422</w:t>
            </w:r>
          </w:p>
        </w:tc>
        <w:tc>
          <w:tcPr>
            <w:tcW w:w="18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5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(18,461</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51"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(65</w:t>
            </w:r>
          </w:p>
        </w:tc>
        <w:tc>
          <w:tcPr>
            <w:tcW w:w="26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2405" w:type="dxa"/>
            <w:tcBorders/>
            <w:shd w:fill="CCEE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Dealer</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4" w:type="dxa"/>
            <w:tcBorders>
              <w:bottom w:val="single" w:sz="12"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735"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134</w:t>
            </w:r>
          </w:p>
        </w:tc>
        <w:tc>
          <w:tcPr>
            <w:tcW w:w="21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4" w:type="dxa"/>
            <w:tcBorders>
              <w:bottom w:val="single" w:sz="12"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735" w:type="dxa"/>
            <w:tcBorders>
              <w:bottom w:val="single" w:sz="12" w:space="0" w:color="000000"/>
            </w:tcBorders>
            <w:shd w:fill="CCEEFF" w:val="clear"/>
            <w:tcMar>
              <w:bottom w:w="28" w:type="dxa"/>
            </w:tcMar>
            <w:vAlign w:val="center"/>
          </w:tcPr>
          <w:p>
            <w:pPr>
              <w:pStyle w:val="TableContents"/>
              <w:bidi w:val="0"/>
              <w:spacing w:before="0" w:after="283"/>
              <w:jc w:val="right"/>
              <w:rPr>
                <w:caps w:val="false"/>
                <w:smallCaps w:val="false"/>
              </w:rPr>
            </w:pPr>
            <w:r>
              <w:rPr>
                <w:caps w:val="false"/>
                <w:smallCaps w:val="false"/>
              </w:rPr>
              <w:t>—</w:t>
            </w:r>
          </w:p>
        </w:tc>
        <w:tc>
          <w:tcPr>
            <w:tcW w:w="18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12"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50"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134</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51"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2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2405"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Total cost of revenues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4" w:type="dxa"/>
            <w:tcBorders>
              <w:bottom w:val="double" w:sz="10"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735" w:type="dxa"/>
            <w:tcBorders>
              <w:bottom w:val="double" w:sz="10"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28,106</w:t>
            </w:r>
          </w:p>
        </w:tc>
        <w:tc>
          <w:tcPr>
            <w:tcW w:w="21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4" w:type="dxa"/>
            <w:tcBorders>
              <w:bottom w:val="double" w:sz="10"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735" w:type="dxa"/>
            <w:tcBorders>
              <w:bottom w:val="double" w:sz="10"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51,037</w:t>
            </w:r>
          </w:p>
        </w:tc>
        <w:tc>
          <w:tcPr>
            <w:tcW w:w="18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double" w:sz="10"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50" w:type="dxa"/>
            <w:tcBorders>
              <w:bottom w:val="double" w:sz="10"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(22,931</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51"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(45</w:t>
            </w:r>
          </w:p>
        </w:tc>
        <w:tc>
          <w:tcPr>
            <w:tcW w:w="26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2405" w:type="dxa"/>
            <w:tcBorders/>
            <w:shd w:fill="CCEEFF" w:val="clear"/>
            <w:vAlign w:val="center"/>
          </w:tcPr>
          <w:p>
            <w:pPr>
              <w:pStyle w:val="TableContents"/>
              <w:bidi w:val="0"/>
              <w:spacing w:before="0" w:after="283"/>
              <w:jc w:val="both"/>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35"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21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35"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18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50"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51"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2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2405" w:type="dxa"/>
            <w:tcBorders/>
            <w:shd w:fill="FFFFFF" w:val="clear"/>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Gross margin</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3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61</w:t>
            </w:r>
          </w:p>
        </w:tc>
        <w:tc>
          <w:tcPr>
            <w:tcW w:w="214"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3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35</w:t>
            </w:r>
          </w:p>
        </w:tc>
        <w:tc>
          <w:tcPr>
            <w:tcW w:w="18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50"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51"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2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bl>
    <w:p>
      <w:pPr>
        <w:pStyle w:val="TextBody"/>
        <w:shd w:fill="FFFFFF" w:val="clear"/>
        <w:bidi w:val="0"/>
        <w:spacing w:before="0" w:after="0"/>
        <w:ind w:left="0" w:right="0" w:firstLine="720"/>
        <w:jc w:val="both"/>
        <w:rPr>
          <w:caps w:val="false"/>
          <w:smallCaps w:val="false"/>
        </w:rPr>
      </w:pPr>
      <w:r>
        <w:rPr>
          <w:caps w:val="false"/>
          <w:smallCaps w:val="false"/>
        </w:rPr>
        <w:t> </w:t>
      </w:r>
    </w:p>
    <w:tbl>
      <w:tblPr>
        <w:tblW w:w="3205" w:type="dxa"/>
        <w:jc w:val="left"/>
        <w:tblInd w:w="0" w:type="dxa"/>
        <w:tblLayout w:type="fixed"/>
        <w:tblCellMar>
          <w:top w:w="0" w:type="dxa"/>
          <w:left w:w="0" w:type="dxa"/>
          <w:bottom w:w="0" w:type="dxa"/>
          <w:right w:w="0" w:type="dxa"/>
        </w:tblCellMar>
      </w:tblPr>
      <w:tblGrid>
        <w:gridCol w:w="140"/>
        <w:gridCol w:w="3065"/>
      </w:tblGrid>
      <w:tr>
        <w:trPr/>
        <w:tc>
          <w:tcPr>
            <w:tcW w:w="14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306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Percentage change is not meaningful.</w:t>
            </w:r>
          </w:p>
        </w:tc>
      </w:tr>
    </w:tbl>
    <w:p>
      <w:pPr>
        <w:pStyle w:val="TextBody"/>
        <w:shd w:fill="FFFFFF" w:val="clear"/>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Residential Solar Installation cost of revenues decreased primarily attributable to lower installation activity resulting from softer consumer demand. Higher interest rates increased financing costs for homeowners, and the expiration of certain ITCs reduced the economic incentive to adopt residential solar. As a result, installation volumes declined, leading to lower associated material, labor, and subcontractor costs.</w:t>
      </w:r>
    </w:p>
    <w:p>
      <w:pPr>
        <w:pStyle w:val="TextBody"/>
        <w:shd w:fill="FFFFFF" w:val="clear"/>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New Homes Business cost of revenues decreased primarily driven by reduced solar installation option due to the demands of keeping home prices down demanded by home buyers. Homebuilders slowed construction primarily reducing optional features due to elevated mortgage rates, affordability pressures on buyers, and the reduced benefit of ITCs for solar-equipped new homes.</w:t>
      </w:r>
    </w:p>
    <w:p>
      <w:pPr>
        <w:pStyle w:val="TextBody"/>
        <w:shd w:fill="FFFFFF" w:val="clear"/>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53</w:t>
      </w:r>
    </w:p>
    <w:p>
      <w:pPr>
        <w:pStyle w:val="TextBody"/>
        <w:bidi w:val="0"/>
        <w:spacing w:before="0" w:after="0"/>
        <w:ind w:left="0" w:right="0" w:hanging="0"/>
        <w:jc w:val="left"/>
        <w:rPr/>
      </w:pPr>
      <w:r>
        <w:rPr/>
        <w:t> </w:t>
      </w:r>
    </w:p>
    <w:p>
      <w:pPr>
        <w:pStyle w:val="TextBody"/>
        <w:shd w:fill="FFFFFF" w:val="clear"/>
        <w:bidi w:val="0"/>
        <w:spacing w:before="0" w:after="0"/>
        <w:jc w:val="left"/>
        <w:rPr>
          <w:caps w:val="false"/>
          <w:smallCaps w:val="false"/>
        </w:rPr>
      </w:pPr>
      <w:r>
        <w:rPr>
          <w:caps w:val="false"/>
          <w:smallCaps w:val="false"/>
        </w:rPr>
        <w:t> </w:t>
      </w:r>
    </w:p>
    <w:p>
      <w:pPr>
        <w:pStyle w:val="TextBody"/>
        <w:bidi w:val="0"/>
        <w:spacing w:before="0" w:after="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Sales commissions</w:t>
      </w:r>
    </w:p>
    <w:p>
      <w:pPr>
        <w:pStyle w:val="TextBody"/>
        <w:bidi w:val="0"/>
        <w:spacing w:before="0" w:after="0"/>
        <w:ind w:left="0" w:right="0" w:firstLine="720"/>
        <w:jc w:val="both"/>
        <w:rPr>
          <w:caps w:val="false"/>
          <w:smallCaps w:val="false"/>
        </w:rPr>
      </w:pPr>
      <w:r>
        <w:rPr>
          <w:caps w:val="false"/>
          <w:smallCaps w:val="false"/>
        </w:rPr>
        <w:t> </w:t>
      </w:r>
    </w:p>
    <w:tbl>
      <w:tblPr>
        <w:tblW w:w="6418" w:type="dxa"/>
        <w:jc w:val="left"/>
        <w:tblInd w:w="0" w:type="dxa"/>
        <w:tblLayout w:type="fixed"/>
        <w:tblCellMar>
          <w:top w:w="0" w:type="dxa"/>
          <w:left w:w="0" w:type="dxa"/>
          <w:bottom w:w="0" w:type="dxa"/>
          <w:right w:w="0" w:type="dxa"/>
        </w:tblCellMar>
      </w:tblPr>
      <w:tblGrid>
        <w:gridCol w:w="2405"/>
        <w:gridCol w:w="60"/>
        <w:gridCol w:w="167"/>
        <w:gridCol w:w="792"/>
        <w:gridCol w:w="80"/>
        <w:gridCol w:w="80"/>
        <w:gridCol w:w="190"/>
        <w:gridCol w:w="744"/>
        <w:gridCol w:w="60"/>
        <w:gridCol w:w="60"/>
        <w:gridCol w:w="125"/>
        <w:gridCol w:w="590"/>
        <w:gridCol w:w="80"/>
        <w:gridCol w:w="60"/>
        <w:gridCol w:w="101"/>
        <w:gridCol w:w="564"/>
        <w:gridCol w:w="260"/>
      </w:tblGrid>
      <w:tr>
        <w:trPr/>
        <w:tc>
          <w:tcPr>
            <w:tcW w:w="2405"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2053" w:type="dxa"/>
            <w:gridSpan w:val="6"/>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Thirteen Weeks Ended</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15" w:type="dxa"/>
            <w:gridSpan w:val="2"/>
            <w:tcBorders/>
            <w:vAlign w:val="center"/>
          </w:tcPr>
          <w:p>
            <w:pPr>
              <w:pStyle w:val="TableContents"/>
              <w:bidi w:val="0"/>
              <w:spacing w:before="0" w:after="283"/>
              <w:jc w:val="center"/>
              <w:rPr>
                <w:caps w:val="false"/>
                <w:smallCaps w:val="false"/>
              </w:rPr>
            </w:pPr>
            <w:r>
              <w:rPr>
                <w:caps w:val="false"/>
                <w:smallCaps w:val="false"/>
              </w:rPr>
              <w:t> </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65" w:type="dxa"/>
            <w:gridSpan w:val="2"/>
            <w:tcBorders/>
            <w:vAlign w:val="center"/>
          </w:tcPr>
          <w:p>
            <w:pPr>
              <w:pStyle w:val="TableContents"/>
              <w:bidi w:val="0"/>
              <w:spacing w:before="0" w:after="283"/>
              <w:jc w:val="center"/>
              <w:rPr>
                <w:caps w:val="false"/>
                <w:smallCaps w:val="false"/>
              </w:rPr>
            </w:pPr>
            <w:r>
              <w:rPr>
                <w:caps w:val="false"/>
                <w:smallCaps w:val="false"/>
              </w:rPr>
              <w:t> </w:t>
            </w:r>
          </w:p>
        </w:tc>
        <w:tc>
          <w:tcPr>
            <w:tcW w:w="26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2405"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59"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March 29, </w:t>
              <w:br/>
              <w:t>2026</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934"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March 30, </w:t>
              <w:br/>
              <w:t>2025</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15"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 </w:t>
              <w:br/>
              <w:t>Change</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65"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 </w:t>
              <w:br/>
              <w:t>Change</w:t>
            </w:r>
          </w:p>
        </w:tc>
        <w:tc>
          <w:tcPr>
            <w:tcW w:w="26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2405" w:type="dxa"/>
            <w:tcBorders/>
            <w:shd w:fill="CCEE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Residential Solar Installation</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67"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792"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6,553</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9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744"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6,667</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59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(114</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64"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w:t>
            </w:r>
          </w:p>
        </w:tc>
        <w:tc>
          <w:tcPr>
            <w:tcW w:w="26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2405"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New Homes Business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6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92"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1,166</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9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44"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1,017</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9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149</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64"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w:t>
            </w:r>
          </w:p>
        </w:tc>
        <w:tc>
          <w:tcPr>
            <w:tcW w:w="26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2405" w:type="dxa"/>
            <w:tcBorders/>
            <w:shd w:fill="CCEE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Dealer</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67" w:type="dxa"/>
            <w:tcBorders>
              <w:bottom w:val="single" w:sz="12"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792"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20,845</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90" w:type="dxa"/>
            <w:tcBorders>
              <w:bottom w:val="single" w:sz="12"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744" w:type="dxa"/>
            <w:tcBorders>
              <w:bottom w:val="single" w:sz="12" w:space="0" w:color="000000"/>
            </w:tcBorders>
            <w:shd w:fill="CCEEFF" w:val="clear"/>
            <w:tcMar>
              <w:bottom w:w="28" w:type="dxa"/>
            </w:tcM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12"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590"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20,845</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64"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2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2405"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Total sales commissions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67" w:type="dxa"/>
            <w:tcBorders>
              <w:bottom w:val="double" w:sz="10"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792" w:type="dxa"/>
            <w:tcBorders>
              <w:bottom w:val="double" w:sz="10"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28,564</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90" w:type="dxa"/>
            <w:tcBorders>
              <w:bottom w:val="double" w:sz="10"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744" w:type="dxa"/>
            <w:tcBorders>
              <w:bottom w:val="double" w:sz="10"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7,684</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double" w:sz="10"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590" w:type="dxa"/>
            <w:tcBorders>
              <w:bottom w:val="double" w:sz="10"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20,880</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64"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272</w:t>
            </w:r>
          </w:p>
        </w:tc>
        <w:tc>
          <w:tcPr>
            <w:tcW w:w="26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bl>
    <w:p>
      <w:pPr>
        <w:pStyle w:val="TextBody"/>
        <w:bidi w:val="0"/>
        <w:spacing w:before="0" w:after="0"/>
        <w:jc w:val="both"/>
        <w:rPr>
          <w:caps w:val="false"/>
          <w:smallCaps w:val="false"/>
        </w:rPr>
      </w:pPr>
      <w:r>
        <w:rPr>
          <w:caps w:val="false"/>
          <w:smallCaps w:val="false"/>
        </w:rPr>
        <w:t> </w:t>
      </w:r>
    </w:p>
    <w:tbl>
      <w:tblPr>
        <w:tblW w:w="3205" w:type="dxa"/>
        <w:jc w:val="left"/>
        <w:tblInd w:w="0" w:type="dxa"/>
        <w:tblLayout w:type="fixed"/>
        <w:tblCellMar>
          <w:top w:w="0" w:type="dxa"/>
          <w:left w:w="0" w:type="dxa"/>
          <w:bottom w:w="0" w:type="dxa"/>
          <w:right w:w="0" w:type="dxa"/>
        </w:tblCellMar>
      </w:tblPr>
      <w:tblGrid>
        <w:gridCol w:w="140"/>
        <w:gridCol w:w="3065"/>
      </w:tblGrid>
      <w:tr>
        <w:trPr/>
        <w:tc>
          <w:tcPr>
            <w:tcW w:w="14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306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Percentage change is not meaningful.</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Residential Solar Installation sales commissions decreased slightly primarily due to lower residential installation volumes. Softer consumer demand driven by higher interest rates increased financing costs and the expiration of certain ITCs resulted in fewer closed sales, which reduced commissionable activity.</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New Homes Business sales commissions increased modestly due to changes in the mix of homebuilder programs and compensation structures, including higher per-unit commission rates on certain projects. Timing of community launches and sales cycles also contributed to the year-over-year variance.</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Sales and marketing</w:t>
      </w:r>
    </w:p>
    <w:p>
      <w:pPr>
        <w:pStyle w:val="TextBody"/>
        <w:bidi w:val="0"/>
        <w:spacing w:before="0" w:after="0"/>
        <w:ind w:left="0" w:right="0" w:firstLine="720"/>
        <w:jc w:val="both"/>
        <w:rPr>
          <w:caps w:val="false"/>
          <w:smallCaps w:val="false"/>
        </w:rPr>
      </w:pPr>
      <w:r>
        <w:rPr>
          <w:caps w:val="false"/>
          <w:smallCaps w:val="false"/>
        </w:rPr>
        <w:t> </w:t>
      </w:r>
    </w:p>
    <w:tbl>
      <w:tblPr>
        <w:tblW w:w="6360" w:type="dxa"/>
        <w:jc w:val="left"/>
        <w:tblInd w:w="0" w:type="dxa"/>
        <w:tblLayout w:type="fixed"/>
        <w:tblCellMar>
          <w:top w:w="0" w:type="dxa"/>
          <w:left w:w="0" w:type="dxa"/>
          <w:bottom w:w="0" w:type="dxa"/>
          <w:right w:w="0" w:type="dxa"/>
        </w:tblCellMar>
      </w:tblPr>
      <w:tblGrid>
        <w:gridCol w:w="2405"/>
        <w:gridCol w:w="60"/>
        <w:gridCol w:w="190"/>
        <w:gridCol w:w="744"/>
        <w:gridCol w:w="86"/>
        <w:gridCol w:w="86"/>
        <w:gridCol w:w="190"/>
        <w:gridCol w:w="744"/>
        <w:gridCol w:w="60"/>
        <w:gridCol w:w="60"/>
        <w:gridCol w:w="125"/>
        <w:gridCol w:w="545"/>
        <w:gridCol w:w="80"/>
        <w:gridCol w:w="60"/>
        <w:gridCol w:w="114"/>
        <w:gridCol w:w="551"/>
        <w:gridCol w:w="260"/>
      </w:tblGrid>
      <w:tr>
        <w:trPr/>
        <w:tc>
          <w:tcPr>
            <w:tcW w:w="2405"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2040" w:type="dxa"/>
            <w:gridSpan w:val="6"/>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Thirteen Weeks Ended</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70" w:type="dxa"/>
            <w:gridSpan w:val="2"/>
            <w:tcBorders/>
            <w:vAlign w:val="center"/>
          </w:tcPr>
          <w:p>
            <w:pPr>
              <w:pStyle w:val="TableContents"/>
              <w:bidi w:val="0"/>
              <w:spacing w:before="0" w:after="283"/>
              <w:jc w:val="center"/>
              <w:rPr>
                <w:caps w:val="false"/>
                <w:smallCaps w:val="false"/>
              </w:rPr>
            </w:pPr>
            <w:r>
              <w:rPr>
                <w:caps w:val="false"/>
                <w:smallCaps w:val="false"/>
              </w:rPr>
              <w:t> </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65" w:type="dxa"/>
            <w:gridSpan w:val="2"/>
            <w:tcBorders/>
            <w:vAlign w:val="center"/>
          </w:tcPr>
          <w:p>
            <w:pPr>
              <w:pStyle w:val="TableContents"/>
              <w:bidi w:val="0"/>
              <w:spacing w:before="0" w:after="283"/>
              <w:jc w:val="center"/>
              <w:rPr>
                <w:caps w:val="false"/>
                <w:smallCaps w:val="false"/>
              </w:rPr>
            </w:pPr>
            <w:r>
              <w:rPr>
                <w:caps w:val="false"/>
                <w:smallCaps w:val="false"/>
              </w:rPr>
              <w:t> </w:t>
            </w:r>
          </w:p>
        </w:tc>
        <w:tc>
          <w:tcPr>
            <w:tcW w:w="26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2405"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34"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March 29, </w:t>
              <w:br/>
              <w:t>2026</w:t>
            </w:r>
          </w:p>
        </w:tc>
        <w:tc>
          <w:tcPr>
            <w:tcW w:w="86" w:type="dxa"/>
            <w:tcBorders/>
            <w:vAlign w:val="center"/>
          </w:tcPr>
          <w:p>
            <w:pPr>
              <w:pStyle w:val="TableContents"/>
              <w:bidi w:val="0"/>
              <w:spacing w:before="0" w:after="283"/>
              <w:jc w:val="left"/>
              <w:rPr>
                <w:caps w:val="false"/>
                <w:smallCaps w:val="false"/>
              </w:rPr>
            </w:pPr>
            <w:r>
              <w:rPr>
                <w:caps w:val="false"/>
                <w:smallCaps w:val="false"/>
              </w:rPr>
              <w:t> </w:t>
            </w:r>
          </w:p>
        </w:tc>
        <w:tc>
          <w:tcPr>
            <w:tcW w:w="86" w:type="dxa"/>
            <w:tcBorders/>
            <w:vAlign w:val="center"/>
          </w:tcPr>
          <w:p>
            <w:pPr>
              <w:pStyle w:val="TableContents"/>
              <w:bidi w:val="0"/>
              <w:spacing w:before="0" w:after="283"/>
              <w:jc w:val="left"/>
              <w:rPr>
                <w:caps w:val="false"/>
                <w:smallCaps w:val="false"/>
              </w:rPr>
            </w:pPr>
            <w:r>
              <w:rPr>
                <w:caps w:val="false"/>
                <w:smallCaps w:val="false"/>
              </w:rPr>
              <w:t> </w:t>
            </w:r>
          </w:p>
        </w:tc>
        <w:tc>
          <w:tcPr>
            <w:tcW w:w="934"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March 30, </w:t>
              <w:br/>
              <w:t>2025</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70"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 </w:t>
              <w:br/>
              <w:t>Change</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65"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 </w:t>
              <w:br/>
              <w:t>Change</w:t>
            </w:r>
          </w:p>
        </w:tc>
        <w:tc>
          <w:tcPr>
            <w:tcW w:w="26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2405" w:type="dxa"/>
            <w:tcBorders/>
            <w:shd w:fill="CCEE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Residential Solar Installation</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9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744"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3,539</w:t>
            </w:r>
          </w:p>
        </w:tc>
        <w:tc>
          <w:tcPr>
            <w:tcW w:w="8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9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744"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8,522</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5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(4,983</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51"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(58</w:t>
            </w:r>
          </w:p>
        </w:tc>
        <w:tc>
          <w:tcPr>
            <w:tcW w:w="26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2405"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New Homes Business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9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44"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876</w:t>
            </w:r>
          </w:p>
        </w:tc>
        <w:tc>
          <w:tcPr>
            <w:tcW w:w="8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9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44"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876</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51"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2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2405" w:type="dxa"/>
            <w:tcBorders/>
            <w:shd w:fill="CCEE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Dealer</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90" w:type="dxa"/>
            <w:tcBorders>
              <w:bottom w:val="single" w:sz="12"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744"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578</w:t>
            </w:r>
          </w:p>
        </w:tc>
        <w:tc>
          <w:tcPr>
            <w:tcW w:w="8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90" w:type="dxa"/>
            <w:tcBorders>
              <w:bottom w:val="single" w:sz="12"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744" w:type="dxa"/>
            <w:tcBorders>
              <w:bottom w:val="single" w:sz="12" w:space="0" w:color="000000"/>
            </w:tcBorders>
            <w:shd w:fill="CCEEFF" w:val="clear"/>
            <w:tcMar>
              <w:bottom w:w="28" w:type="dxa"/>
            </w:tcM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12"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545"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578</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51"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2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2405"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Total sales and marketing</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90" w:type="dxa"/>
            <w:tcBorders>
              <w:bottom w:val="double" w:sz="10"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744" w:type="dxa"/>
            <w:tcBorders>
              <w:bottom w:val="double" w:sz="10"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4,993</w:t>
            </w:r>
          </w:p>
        </w:tc>
        <w:tc>
          <w:tcPr>
            <w:tcW w:w="8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90" w:type="dxa"/>
            <w:tcBorders>
              <w:bottom w:val="double" w:sz="10"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744" w:type="dxa"/>
            <w:tcBorders>
              <w:bottom w:val="double" w:sz="10"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8,522</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double" w:sz="10"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545" w:type="dxa"/>
            <w:tcBorders>
              <w:bottom w:val="double" w:sz="10"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(3,529</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51"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(41</w:t>
            </w:r>
          </w:p>
        </w:tc>
        <w:tc>
          <w:tcPr>
            <w:tcW w:w="26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bl>
    <w:p>
      <w:pPr>
        <w:pStyle w:val="TextBody"/>
        <w:bidi w:val="0"/>
        <w:spacing w:before="0" w:after="0"/>
        <w:jc w:val="both"/>
        <w:rPr>
          <w:caps w:val="false"/>
          <w:smallCaps w:val="false"/>
        </w:rPr>
      </w:pPr>
      <w:r>
        <w:rPr>
          <w:caps w:val="false"/>
          <w:smallCaps w:val="false"/>
        </w:rPr>
        <w:t> </w:t>
      </w:r>
    </w:p>
    <w:tbl>
      <w:tblPr>
        <w:tblW w:w="3205" w:type="dxa"/>
        <w:jc w:val="left"/>
        <w:tblInd w:w="0" w:type="dxa"/>
        <w:tblLayout w:type="fixed"/>
        <w:tblCellMar>
          <w:top w:w="0" w:type="dxa"/>
          <w:left w:w="0" w:type="dxa"/>
          <w:bottom w:w="0" w:type="dxa"/>
          <w:right w:w="0" w:type="dxa"/>
        </w:tblCellMar>
      </w:tblPr>
      <w:tblGrid>
        <w:gridCol w:w="140"/>
        <w:gridCol w:w="3065"/>
      </w:tblGrid>
      <w:tr>
        <w:trPr/>
        <w:tc>
          <w:tcPr>
            <w:tcW w:w="14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306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Percentage change is not meaningful.</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Residential Solar Installation sales and marketing expenses decreased reflecting reduced spending on lead generation, advertising, and promotional programs as we scaled back customer-acquisition efforts in response to softer demand. Higher interest rates increased financing costs for homeowners, and the expiration of certain ITCs reduced the economic incentive to adopt residential solar. As a result, we intentionally moderated marketing investments to align with lower sales volumes. In addition, we acquired Sunder a sales force organization.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New Homes Business sales and marketing expenses had no comparable expenses in the prior-year period as the Company does not make significant investments in sales and marketing spend.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General and administrative</w:t>
      </w:r>
    </w:p>
    <w:p>
      <w:pPr>
        <w:pStyle w:val="TextBody"/>
        <w:bidi w:val="0"/>
        <w:spacing w:before="0" w:after="0"/>
        <w:jc w:val="both"/>
        <w:rPr>
          <w:caps w:val="false"/>
          <w:smallCaps w:val="false"/>
        </w:rPr>
      </w:pPr>
      <w:r>
        <w:rPr>
          <w:caps w:val="false"/>
          <w:smallCaps w:val="false"/>
        </w:rPr>
        <w:t> </w:t>
      </w:r>
    </w:p>
    <w:tbl>
      <w:tblPr>
        <w:tblW w:w="6573" w:type="dxa"/>
        <w:jc w:val="left"/>
        <w:tblInd w:w="0" w:type="dxa"/>
        <w:tblLayout w:type="fixed"/>
        <w:tblCellMar>
          <w:top w:w="0" w:type="dxa"/>
          <w:left w:w="0" w:type="dxa"/>
          <w:bottom w:w="0" w:type="dxa"/>
          <w:right w:w="0" w:type="dxa"/>
        </w:tblCellMar>
      </w:tblPr>
      <w:tblGrid>
        <w:gridCol w:w="2675"/>
        <w:gridCol w:w="60"/>
        <w:gridCol w:w="163"/>
        <w:gridCol w:w="771"/>
        <w:gridCol w:w="75"/>
        <w:gridCol w:w="75"/>
        <w:gridCol w:w="163"/>
        <w:gridCol w:w="771"/>
        <w:gridCol w:w="60"/>
        <w:gridCol w:w="60"/>
        <w:gridCol w:w="125"/>
        <w:gridCol w:w="590"/>
        <w:gridCol w:w="60"/>
        <w:gridCol w:w="60"/>
        <w:gridCol w:w="101"/>
        <w:gridCol w:w="564"/>
        <w:gridCol w:w="200"/>
      </w:tblGrid>
      <w:tr>
        <w:trPr/>
        <w:tc>
          <w:tcPr>
            <w:tcW w:w="2675"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2018" w:type="dxa"/>
            <w:gridSpan w:val="6"/>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Thirteen Weeks Ended</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15" w:type="dxa"/>
            <w:gridSpan w:val="2"/>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65" w:type="dxa"/>
            <w:gridSpan w:val="2"/>
            <w:tcBorders/>
            <w:vAlign w:val="center"/>
          </w:tcPr>
          <w:p>
            <w:pPr>
              <w:pStyle w:val="TableContents"/>
              <w:bidi w:val="0"/>
              <w:spacing w:before="0" w:after="283"/>
              <w:jc w:val="center"/>
              <w:rPr>
                <w:caps w:val="false"/>
                <w:smallCaps w:val="false"/>
              </w:rPr>
            </w:pPr>
            <w:r>
              <w:rPr>
                <w:caps w:val="false"/>
                <w:smallCaps w:val="false"/>
              </w:rPr>
              <w:t> </w:t>
            </w:r>
          </w:p>
        </w:tc>
        <w:tc>
          <w:tcPr>
            <w:tcW w:w="20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2675"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34"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March 29, </w:t>
              <w:br/>
              <w:t>2026</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934"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March 30, </w:t>
              <w:br/>
              <w:t>2025</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15"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 </w:t>
              <w:br/>
              <w:t>Change</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65"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 </w:t>
              <w:br/>
              <w:t>Change</w:t>
            </w:r>
          </w:p>
        </w:tc>
        <w:tc>
          <w:tcPr>
            <w:tcW w:w="20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2675" w:type="dxa"/>
            <w:tcBorders/>
            <w:shd w:fill="CCEE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Residential Solar Installation</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63"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771"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15,833</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63"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771"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8,404</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59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7,429</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64"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88</w:t>
            </w:r>
          </w:p>
        </w:tc>
        <w:tc>
          <w:tcPr>
            <w:tcW w:w="20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2675"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New Homes Business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6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71"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11,545</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6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71"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6,492</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9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5,053</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64"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78</w:t>
            </w:r>
          </w:p>
        </w:tc>
        <w:tc>
          <w:tcPr>
            <w:tcW w:w="20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2675" w:type="dxa"/>
            <w:tcBorders/>
            <w:shd w:fill="CCEE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Dealer</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63" w:type="dxa"/>
            <w:tcBorders>
              <w:bottom w:val="single" w:sz="12"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771"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2,947</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63" w:type="dxa"/>
            <w:tcBorders>
              <w:bottom w:val="single" w:sz="12"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771" w:type="dxa"/>
            <w:tcBorders>
              <w:bottom w:val="single" w:sz="12" w:space="0" w:color="000000"/>
            </w:tcBorders>
            <w:shd w:fill="CCEEFF" w:val="clear"/>
            <w:tcMar>
              <w:bottom w:w="28" w:type="dxa"/>
            </w:tcM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12"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590"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2,947</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64"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20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2675"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Total general and administrative</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63" w:type="dxa"/>
            <w:tcBorders>
              <w:bottom w:val="double" w:sz="10"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771" w:type="dxa"/>
            <w:tcBorders>
              <w:bottom w:val="double" w:sz="10"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30,325</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63" w:type="dxa"/>
            <w:tcBorders>
              <w:bottom w:val="double" w:sz="10"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771" w:type="dxa"/>
            <w:tcBorders>
              <w:bottom w:val="double" w:sz="10"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14,896</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double" w:sz="10"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590" w:type="dxa"/>
            <w:tcBorders>
              <w:bottom w:val="double" w:sz="10"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15,429</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64"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104</w:t>
            </w:r>
          </w:p>
        </w:tc>
        <w:tc>
          <w:tcPr>
            <w:tcW w:w="20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bl>
    <w:p>
      <w:pPr>
        <w:pStyle w:val="TextBody"/>
        <w:bidi w:val="0"/>
        <w:spacing w:before="0" w:after="0"/>
        <w:jc w:val="both"/>
        <w:rPr>
          <w:caps w:val="false"/>
          <w:smallCaps w:val="false"/>
        </w:rPr>
      </w:pPr>
      <w:r>
        <w:rPr>
          <w:caps w:val="false"/>
          <w:smallCaps w:val="false"/>
        </w:rPr>
        <w:t> </w:t>
      </w:r>
    </w:p>
    <w:tbl>
      <w:tblPr>
        <w:tblW w:w="3205" w:type="dxa"/>
        <w:jc w:val="left"/>
        <w:tblInd w:w="0" w:type="dxa"/>
        <w:tblLayout w:type="fixed"/>
        <w:tblCellMar>
          <w:top w:w="0" w:type="dxa"/>
          <w:left w:w="0" w:type="dxa"/>
          <w:bottom w:w="0" w:type="dxa"/>
          <w:right w:w="0" w:type="dxa"/>
        </w:tblCellMar>
      </w:tblPr>
      <w:tblGrid>
        <w:gridCol w:w="140"/>
        <w:gridCol w:w="3065"/>
      </w:tblGrid>
      <w:tr>
        <w:trPr/>
        <w:tc>
          <w:tcPr>
            <w:tcW w:w="14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306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Percentage change is not meaningful.</w:t>
            </w:r>
          </w:p>
        </w:tc>
      </w:tr>
    </w:tbl>
    <w:p>
      <w:pPr>
        <w:pStyle w:val="TextBody"/>
        <w:shd w:fill="FFFFFF" w:val="clear"/>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54</w:t>
      </w:r>
    </w:p>
    <w:p>
      <w:pPr>
        <w:pStyle w:val="TextBody"/>
        <w:bidi w:val="0"/>
        <w:spacing w:before="0" w:after="0"/>
        <w:ind w:left="0" w:right="0" w:hanging="0"/>
        <w:jc w:val="left"/>
        <w:rPr/>
      </w:pPr>
      <w:r>
        <w:rPr/>
        <w:t> </w:t>
      </w:r>
    </w:p>
    <w:p>
      <w:pPr>
        <w:pStyle w:val="TextBody"/>
        <w:shd w:fill="FFFFFF" w:val="clear"/>
        <w:bidi w:val="0"/>
        <w:spacing w:before="0" w:after="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Residential Solar Installation general and administrative expenses increased primarily due to higher employee-related expenses, including salaries, benefits, and stock-based compensation, as we continued to invest in operational infrastructure and administrative support functions. Additionally, higher insurance, facilities, and technology-related costs investments that focuses on scalability contributed to the period over period increase.</w:t>
      </w:r>
    </w:p>
    <w:p>
      <w:pPr>
        <w:pStyle w:val="TextBody"/>
        <w:shd w:fill="FFFFFF" w:val="clear"/>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New Homes Business general and administrative expenses increased primarily due to higher personnel costs and expanded administrative support for homebuilder programs, including project management, compliance, and operational oversight. We also incurred incremental technology, systems, and shared-services costs allocated to the New Homes segment as part of broader organizational growth.</w:t>
      </w:r>
    </w:p>
    <w:p>
      <w:pPr>
        <w:pStyle w:val="TextBody"/>
        <w:shd w:fill="FFFFFF" w:val="clear"/>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Dealer general and administrative expenses primarily relate to personnel, facilities, and administrative overhead associated with integrating and operating the Dealer business.</w:t>
      </w:r>
    </w:p>
    <w:p>
      <w:pPr>
        <w:pStyle w:val="TextBody"/>
        <w:shd w:fill="FFFFFF" w:val="clear"/>
        <w:bidi w:val="0"/>
        <w:spacing w:before="0" w:after="0"/>
        <w:ind w:left="0" w:right="0" w:firstLine="72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Interest expense</w:t>
      </w:r>
    </w:p>
    <w:p>
      <w:pPr>
        <w:pStyle w:val="TextBody"/>
        <w:shd w:fill="FFFFFF" w:val="clear"/>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Interest expense in the thirteen-weeks ended March 29, 2026, consisted principally of $4.5 million attributable to our September 2024 Notes and $1.8 attributable to the July 2024 Notes.</w:t>
      </w:r>
    </w:p>
    <w:p>
      <w:pPr>
        <w:pStyle w:val="TextBody"/>
        <w:shd w:fill="FFFFFF" w:val="clear"/>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Interest expense in the thirteen-weeks ended March 30, 2025, consisted principally of $5.0 million of interest expense attributable to our September 2024 Notes and the remainder principally attributable to the July 2024 Notes. </w:t>
      </w:r>
    </w:p>
    <w:p>
      <w:pPr>
        <w:pStyle w:val="TextBody"/>
        <w:shd w:fill="FFFFFF" w:val="clear"/>
        <w:bidi w:val="0"/>
        <w:spacing w:before="0" w:after="0"/>
        <w:ind w:left="0" w:right="0" w:firstLine="72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Other non-operating income, net</w:t>
      </w:r>
    </w:p>
    <w:p>
      <w:pPr>
        <w:pStyle w:val="TextBody"/>
        <w:shd w:fill="FFFFFF" w:val="clear"/>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non-operating income, net in the thirteen weeks ended March 29, 2026, was $30.8 million. The main drivers consist of $26.6 million gain on the remeasurement of the fair value of derivative liabilities associated with our 12% and 7% senior unsecured convertible notes and $5.2 million gain on the revaluation of deferred consideration, partially offset by a $1.1 million change in the fair value of our forward purchase agreements.</w:t>
      </w:r>
    </w:p>
    <w:p>
      <w:pPr>
        <w:pStyle w:val="TextBody"/>
        <w:shd w:fill="FFFFFF" w:val="clear"/>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income net, for the thirteen weeks ended March 30, 2025, was $14.6 million. The main drivers of Other non-operating income, net were $15.1 million of gains on the remeasurement of the fair value of derivative liabilities associated with our July 2024 Notes and September 2024 Notes, $0.3 million of income arising from the change in the fair value of our forward purchase agreements and $0.2 million of other income, partially offset by $1.1 million of expense associated with the change in the fair value of our public, private placement and working capital warrants which are accounted for as liabilities.</w:t>
      </w:r>
    </w:p>
    <w:p>
      <w:pPr>
        <w:pStyle w:val="TextBody"/>
        <w:shd w:fill="FFFFFF" w:val="clear"/>
        <w:bidi w:val="0"/>
        <w:spacing w:before="0" w:after="0"/>
        <w:jc w:val="left"/>
        <w:rPr>
          <w:caps w:val="false"/>
          <w:smallCaps w:val="false"/>
        </w:rPr>
      </w:pPr>
      <w:r>
        <w:rPr>
          <w:caps w:val="false"/>
          <w:smallCaps w:val="false"/>
        </w:rPr>
        <w:t> </w:t>
      </w:r>
    </w:p>
    <w:p>
      <w:pPr>
        <w:pStyle w:val="TextBody"/>
        <w:bidi w:val="0"/>
        <w:spacing w:before="0" w:after="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Net income</w:t>
      </w:r>
    </w:p>
    <w:p>
      <w:pPr>
        <w:pStyle w:val="TextBody"/>
        <w:shd w:fill="FFFFFF" w:val="clear"/>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 result of the factors discussed above, our net income for the thirteen-weeks ended March 29, 2026 was $5.25 million, a $0.4 million increase in our net income as compared to net income of $4.8 million for the thirteen weeks ended March 30, 2025.</w:t>
      </w:r>
    </w:p>
    <w:p>
      <w:pPr>
        <w:pStyle w:val="TextBody"/>
        <w:bidi w:val="0"/>
        <w:spacing w:before="0" w:after="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55</w:t>
      </w:r>
    </w:p>
    <w:p>
      <w:pPr>
        <w:pStyle w:val="TextBody"/>
        <w:bidi w:val="0"/>
        <w:spacing w:before="0" w:after="0"/>
        <w:ind w:left="0" w:right="0" w:hanging="0"/>
        <w:jc w:val="left"/>
        <w:rPr/>
      </w:pPr>
      <w:r>
        <w:rPr/>
        <w:t> </w:t>
      </w:r>
    </w:p>
    <w:p>
      <w:pPr>
        <w:pStyle w:val="TextBody"/>
        <w:bidi w:val="0"/>
        <w:spacing w:before="0" w:after="0"/>
        <w:jc w:val="both"/>
        <w:rPr>
          <w:caps w:val="false"/>
          <w:smallCaps w:val="false"/>
        </w:rPr>
      </w:pPr>
      <w:r>
        <w:rPr>
          <w:caps w:val="false"/>
          <w:smallCaps w:val="false"/>
        </w:rPr>
        <w:t> </w:t>
      </w:r>
    </w:p>
    <w:p>
      <w:pPr>
        <w:pStyle w:val="TextBody"/>
        <w:shd w:fill="FFFFFF" w:val="clear"/>
        <w:bidi w:val="0"/>
        <w:spacing w:before="0" w:after="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Fiscal year ended December 28, 2025 (“2025”) compared to the fiscal year ended December 29, 2024 (“2024”)</w:t>
      </w:r>
    </w:p>
    <w:p>
      <w:pPr>
        <w:pStyle w:val="TextBody"/>
        <w:shd w:fill="FFFFFF" w:val="clear"/>
        <w:bidi w:val="0"/>
        <w:spacing w:before="0" w:after="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this section, we discuss the results of our operations for fiscal 2025 compared to fiscal 2024. We discuss our cash flows and current financial condition under “Liquidity and Capital Resources”.</w:t>
      </w:r>
    </w:p>
    <w:p>
      <w:pPr>
        <w:pStyle w:val="TextBody"/>
        <w:shd w:fill="FFFFFF" w:val="clear"/>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sets forth our statements of operations data for the fiscal years ended December 28, 2025 and December 29, 2024, respectively. We have derived this data from our consolidated financial statements included elsewhere in this prospectus. This information should be read in conjunction with our consolidated financial statements and related notes included elsewhere in this prospectus. The results of historical periods are not necessarily indicative of the results of operations for any future period. Within the tables presented, percentages are calculated based on the underlying whole-dollar amounts and, therefore, may not recalculate exactly from the rounded numbers used for disclosure purposes.</w:t>
      </w:r>
    </w:p>
    <w:p>
      <w:pPr>
        <w:pStyle w:val="TextBody"/>
        <w:bidi w:val="0"/>
        <w:spacing w:before="0" w:after="0"/>
        <w:jc w:val="left"/>
        <w:rPr>
          <w:caps w:val="false"/>
          <w:smallCaps w:val="false"/>
        </w:rPr>
      </w:pPr>
      <w:r>
        <w:rPr>
          <w:caps w:val="false"/>
          <w:smallCaps w:val="false"/>
        </w:rPr>
        <w:t> </w:t>
      </w:r>
    </w:p>
    <w:tbl>
      <w:tblPr>
        <w:tblW w:w="8418" w:type="dxa"/>
        <w:jc w:val="left"/>
        <w:tblInd w:w="0" w:type="dxa"/>
        <w:tblLayout w:type="fixed"/>
        <w:tblCellMar>
          <w:top w:w="0" w:type="dxa"/>
          <w:left w:w="0" w:type="dxa"/>
          <w:bottom w:w="0" w:type="dxa"/>
          <w:right w:w="0" w:type="dxa"/>
        </w:tblCellMar>
      </w:tblPr>
      <w:tblGrid>
        <w:gridCol w:w="3695"/>
        <w:gridCol w:w="60"/>
        <w:gridCol w:w="178"/>
        <w:gridCol w:w="996"/>
        <w:gridCol w:w="185"/>
        <w:gridCol w:w="60"/>
        <w:gridCol w:w="178"/>
        <w:gridCol w:w="996"/>
        <w:gridCol w:w="185"/>
        <w:gridCol w:w="60"/>
        <w:gridCol w:w="125"/>
        <w:gridCol w:w="695"/>
        <w:gridCol w:w="80"/>
        <w:gridCol w:w="60"/>
        <w:gridCol w:w="87"/>
        <w:gridCol w:w="578"/>
        <w:gridCol w:w="200"/>
      </w:tblGrid>
      <w:tr>
        <w:trPr/>
        <w:tc>
          <w:tcPr>
            <w:tcW w:w="369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2593" w:type="dxa"/>
            <w:gridSpan w:val="6"/>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Fiscal Year Ended</w:t>
            </w:r>
          </w:p>
        </w:tc>
        <w:tc>
          <w:tcPr>
            <w:tcW w:w="18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20" w:type="dxa"/>
            <w:gridSpan w:val="2"/>
            <w:tcBorders/>
            <w:vAlign w:val="center"/>
          </w:tcPr>
          <w:p>
            <w:pPr>
              <w:pStyle w:val="TableContents"/>
              <w:bidi w:val="0"/>
              <w:spacing w:before="0" w:after="283"/>
              <w:jc w:val="center"/>
              <w:rPr>
                <w:caps w:val="false"/>
                <w:smallCaps w:val="false"/>
              </w:rPr>
            </w:pPr>
            <w:r>
              <w:rPr>
                <w:caps w:val="false"/>
                <w:smallCaps w:val="false"/>
              </w:rPr>
              <w:t> </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65" w:type="dxa"/>
            <w:gridSpan w:val="2"/>
            <w:tcBorders/>
            <w:vAlign w:val="center"/>
          </w:tcPr>
          <w:p>
            <w:pPr>
              <w:pStyle w:val="TableContents"/>
              <w:bidi w:val="0"/>
              <w:spacing w:before="0" w:after="283"/>
              <w:jc w:val="center"/>
              <w:rPr>
                <w:caps w:val="false"/>
                <w:smallCaps w:val="false"/>
              </w:rPr>
            </w:pPr>
            <w:r>
              <w:rPr>
                <w:caps w:val="false"/>
                <w:smallCaps w:val="false"/>
              </w:rPr>
              <w:t> </w:t>
            </w:r>
          </w:p>
        </w:tc>
        <w:tc>
          <w:tcPr>
            <w:tcW w:w="20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3695"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174"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December 28,</w:t>
            </w:r>
          </w:p>
        </w:tc>
        <w:tc>
          <w:tcPr>
            <w:tcW w:w="18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174"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December 29,</w:t>
            </w:r>
          </w:p>
        </w:tc>
        <w:tc>
          <w:tcPr>
            <w:tcW w:w="18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20"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65"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20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3695" w:type="dxa"/>
            <w:tcBorders>
              <w:bottom w:val="single" w:sz="12" w:space="0" w:color="000000"/>
            </w:tcBorders>
            <w:tcMar>
              <w:bottom w:w="28" w:type="dxa"/>
            </w:tcMar>
            <w:vAlign w:val="center"/>
          </w:tcPr>
          <w:p>
            <w:pPr>
              <w:pStyle w:val="TableContents"/>
              <w:bidi w:val="0"/>
              <w:spacing w:before="0" w:after="283"/>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(in thousands)</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174"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2025</w:t>
            </w:r>
          </w:p>
        </w:tc>
        <w:tc>
          <w:tcPr>
            <w:tcW w:w="18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174"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2024</w:t>
            </w:r>
          </w:p>
        </w:tc>
        <w:tc>
          <w:tcPr>
            <w:tcW w:w="18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20"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Change</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65"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Change</w:t>
            </w:r>
          </w:p>
        </w:tc>
        <w:tc>
          <w:tcPr>
            <w:tcW w:w="20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369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Revenues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78"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9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300,000</w:t>
            </w:r>
          </w:p>
        </w:tc>
        <w:tc>
          <w:tcPr>
            <w:tcW w:w="18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78"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9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108,742</w:t>
            </w:r>
          </w:p>
        </w:tc>
        <w:tc>
          <w:tcPr>
            <w:tcW w:w="18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9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191,258</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78"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176</w:t>
            </w:r>
          </w:p>
        </w:tc>
        <w:tc>
          <w:tcPr>
            <w:tcW w:w="20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369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Cost of revenues</w:t>
            </w:r>
            <w:r>
              <w:rPr>
                <w:rFonts w:ascii="Times New Roman;Times;Serif" w:hAnsi="Times New Roman;Times;Serif"/>
                <w:b w:val="false"/>
                <w:i w:val="false"/>
                <w:caps w:val="false"/>
                <w:smallCaps w:val="false"/>
                <w:position w:val="7"/>
                <w:sz w:val="16"/>
                <w:sz w:val="20"/>
              </w:rPr>
              <w:t>(1)</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78" w:type="dxa"/>
            <w:tcBorders>
              <w:bottom w:val="single" w:sz="12"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96"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170,788</w:t>
            </w:r>
          </w:p>
        </w:tc>
        <w:tc>
          <w:tcPr>
            <w:tcW w:w="18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78" w:type="dxa"/>
            <w:tcBorders>
              <w:bottom w:val="single" w:sz="12"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96"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69,240</w:t>
            </w:r>
          </w:p>
        </w:tc>
        <w:tc>
          <w:tcPr>
            <w:tcW w:w="18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12"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95"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101,548</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78"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147</w:t>
            </w:r>
          </w:p>
        </w:tc>
        <w:tc>
          <w:tcPr>
            <w:tcW w:w="20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369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Gross profit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78" w:type="dxa"/>
            <w:tcBorders>
              <w:bottom w:val="single" w:sz="12"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96"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129,212</w:t>
            </w:r>
          </w:p>
        </w:tc>
        <w:tc>
          <w:tcPr>
            <w:tcW w:w="18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78" w:type="dxa"/>
            <w:tcBorders>
              <w:bottom w:val="single" w:sz="12"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96"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39,502</w:t>
            </w:r>
          </w:p>
        </w:tc>
        <w:tc>
          <w:tcPr>
            <w:tcW w:w="18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12"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95"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89,710</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78"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227</w:t>
            </w:r>
          </w:p>
        </w:tc>
        <w:tc>
          <w:tcPr>
            <w:tcW w:w="20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369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Gross margin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7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96"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43</w:t>
            </w:r>
          </w:p>
        </w:tc>
        <w:tc>
          <w:tcPr>
            <w:tcW w:w="18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7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96"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36</w:t>
            </w:r>
          </w:p>
        </w:tc>
        <w:tc>
          <w:tcPr>
            <w:tcW w:w="18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95"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78"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20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369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Operating expenses: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7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96"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18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7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96"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18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95"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78"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20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369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Sales commissions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7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96"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37,009</w:t>
            </w:r>
          </w:p>
        </w:tc>
        <w:tc>
          <w:tcPr>
            <w:tcW w:w="18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7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96"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24,590</w:t>
            </w:r>
          </w:p>
        </w:tc>
        <w:tc>
          <w:tcPr>
            <w:tcW w:w="18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9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12,419</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78"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51</w:t>
            </w:r>
          </w:p>
        </w:tc>
        <w:tc>
          <w:tcPr>
            <w:tcW w:w="20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369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Sales and marketing</w:t>
            </w:r>
            <w:r>
              <w:rPr>
                <w:rFonts w:ascii="Times New Roman;Times;Serif" w:hAnsi="Times New Roman;Times;Serif"/>
                <w:b w:val="false"/>
                <w:i w:val="false"/>
                <w:caps w:val="false"/>
                <w:smallCaps w:val="false"/>
                <w:position w:val="7"/>
                <w:sz w:val="16"/>
                <w:sz w:val="20"/>
              </w:rPr>
              <w:t>(1)</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7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9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29,030</w:t>
            </w:r>
          </w:p>
        </w:tc>
        <w:tc>
          <w:tcPr>
            <w:tcW w:w="18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7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9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6,827</w:t>
            </w:r>
          </w:p>
        </w:tc>
        <w:tc>
          <w:tcPr>
            <w:tcW w:w="18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9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22,203</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78"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325</w:t>
            </w:r>
          </w:p>
        </w:tc>
        <w:tc>
          <w:tcPr>
            <w:tcW w:w="20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369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General and administrative</w:t>
            </w:r>
            <w:r>
              <w:rPr>
                <w:rFonts w:ascii="Times New Roman;Times;Serif" w:hAnsi="Times New Roman;Times;Serif"/>
                <w:b w:val="false"/>
                <w:i w:val="false"/>
                <w:caps w:val="false"/>
                <w:smallCaps w:val="false"/>
                <w:position w:val="7"/>
                <w:sz w:val="16"/>
                <w:sz w:val="20"/>
              </w:rPr>
              <w:t>(1)</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78" w:type="dxa"/>
            <w:tcBorders>
              <w:bottom w:val="single" w:sz="12"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96"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90,104</w:t>
            </w:r>
          </w:p>
        </w:tc>
        <w:tc>
          <w:tcPr>
            <w:tcW w:w="18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78" w:type="dxa"/>
            <w:tcBorders>
              <w:bottom w:val="single" w:sz="12"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96"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76,594</w:t>
            </w:r>
          </w:p>
        </w:tc>
        <w:tc>
          <w:tcPr>
            <w:tcW w:w="18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12"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95"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13,510</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78"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w:t>
            </w:r>
          </w:p>
        </w:tc>
        <w:tc>
          <w:tcPr>
            <w:tcW w:w="20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369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Total operating expenses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78" w:type="dxa"/>
            <w:tcBorders>
              <w:bottom w:val="single" w:sz="12"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96"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156,143</w:t>
            </w:r>
          </w:p>
        </w:tc>
        <w:tc>
          <w:tcPr>
            <w:tcW w:w="18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78" w:type="dxa"/>
            <w:tcBorders>
              <w:bottom w:val="single" w:sz="12"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96"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108,011</w:t>
            </w:r>
          </w:p>
        </w:tc>
        <w:tc>
          <w:tcPr>
            <w:tcW w:w="18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12"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95"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48,132</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78"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41</w:t>
            </w:r>
          </w:p>
        </w:tc>
        <w:tc>
          <w:tcPr>
            <w:tcW w:w="20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369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Loss from continuing operations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78" w:type="dxa"/>
            <w:tcBorders>
              <w:bottom w:val="single" w:sz="12"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96"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(26,931</w:t>
            </w:r>
          </w:p>
        </w:tc>
        <w:tc>
          <w:tcPr>
            <w:tcW w:w="18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78" w:type="dxa"/>
            <w:tcBorders>
              <w:bottom w:val="single" w:sz="12"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96"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(68,509</w:t>
            </w:r>
          </w:p>
        </w:tc>
        <w:tc>
          <w:tcPr>
            <w:tcW w:w="18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12"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95"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41,578</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78"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61</w:t>
            </w:r>
          </w:p>
        </w:tc>
        <w:tc>
          <w:tcPr>
            <w:tcW w:w="20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369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Interest expense</w:t>
            </w:r>
            <w:r>
              <w:rPr>
                <w:rFonts w:ascii="Times New Roman;Times;Serif" w:hAnsi="Times New Roman;Times;Serif"/>
                <w:b w:val="false"/>
                <w:i w:val="false"/>
                <w:caps w:val="false"/>
                <w:smallCaps w:val="false"/>
                <w:position w:val="7"/>
                <w:sz w:val="16"/>
                <w:sz w:val="20"/>
              </w:rPr>
              <w:t>(2)</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7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9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(25,095</w:t>
            </w:r>
          </w:p>
        </w:tc>
        <w:tc>
          <w:tcPr>
            <w:tcW w:w="18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7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9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(16,223</w:t>
            </w:r>
          </w:p>
        </w:tc>
        <w:tc>
          <w:tcPr>
            <w:tcW w:w="18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9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(8,872</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78"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55</w:t>
            </w:r>
          </w:p>
        </w:tc>
        <w:tc>
          <w:tcPr>
            <w:tcW w:w="20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369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Interest income</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7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96"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w:t>
            </w:r>
          </w:p>
        </w:tc>
        <w:tc>
          <w:tcPr>
            <w:tcW w:w="18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7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96"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19</w:t>
            </w:r>
          </w:p>
        </w:tc>
        <w:tc>
          <w:tcPr>
            <w:tcW w:w="18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9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78"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(84</w:t>
            </w:r>
          </w:p>
        </w:tc>
        <w:tc>
          <w:tcPr>
            <w:tcW w:w="20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369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non-operating income, net</w:t>
            </w:r>
            <w:r>
              <w:rPr>
                <w:rFonts w:ascii="Times New Roman;Times;Serif" w:hAnsi="Times New Roman;Times;Serif"/>
                <w:b w:val="false"/>
                <w:i w:val="false"/>
                <w:caps w:val="false"/>
                <w:smallCaps w:val="false"/>
                <w:position w:val="7"/>
                <w:sz w:val="16"/>
                <w:sz w:val="20"/>
              </w:rPr>
              <w:t>(3)</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7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9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9,347</w:t>
            </w:r>
          </w:p>
        </w:tc>
        <w:tc>
          <w:tcPr>
            <w:tcW w:w="18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7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9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7,932</w:t>
            </w:r>
          </w:p>
        </w:tc>
        <w:tc>
          <w:tcPr>
            <w:tcW w:w="18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9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1,415</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78"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w:t>
            </w:r>
          </w:p>
        </w:tc>
        <w:tc>
          <w:tcPr>
            <w:tcW w:w="20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369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Gain on troubled debt restructuring</w:t>
            </w:r>
            <w:r>
              <w:rPr>
                <w:rFonts w:ascii="Times New Roman;Times;Serif" w:hAnsi="Times New Roman;Times;Serif"/>
                <w:b w:val="false"/>
                <w:i w:val="false"/>
                <w:caps w:val="false"/>
                <w:smallCaps w:val="false"/>
                <w:position w:val="7"/>
                <w:sz w:val="16"/>
                <w:sz w:val="20"/>
              </w:rPr>
              <w:t>(4)</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78" w:type="dxa"/>
            <w:tcBorders>
              <w:bottom w:val="single" w:sz="12"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96"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8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78" w:type="dxa"/>
            <w:tcBorders>
              <w:bottom w:val="single" w:sz="12"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96"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22,337</w:t>
            </w:r>
          </w:p>
        </w:tc>
        <w:tc>
          <w:tcPr>
            <w:tcW w:w="18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12"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95"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(22,337</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78"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(100</w:t>
            </w:r>
          </w:p>
        </w:tc>
        <w:tc>
          <w:tcPr>
            <w:tcW w:w="20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369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Loss from continuing operations before taxes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78" w:type="dxa"/>
            <w:tcBorders>
              <w:bottom w:val="single" w:sz="12"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96"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(42,676</w:t>
            </w:r>
          </w:p>
        </w:tc>
        <w:tc>
          <w:tcPr>
            <w:tcW w:w="18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78" w:type="dxa"/>
            <w:tcBorders>
              <w:bottom w:val="single" w:sz="12"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96"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(54,444</w:t>
            </w:r>
          </w:p>
        </w:tc>
        <w:tc>
          <w:tcPr>
            <w:tcW w:w="18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12"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95"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11,768</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78"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w:t>
            </w:r>
          </w:p>
        </w:tc>
        <w:tc>
          <w:tcPr>
            <w:tcW w:w="20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369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Income tax (provision)</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78" w:type="dxa"/>
            <w:tcBorders>
              <w:bottom w:val="single" w:sz="12"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96"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(1,578</w:t>
            </w:r>
          </w:p>
        </w:tc>
        <w:tc>
          <w:tcPr>
            <w:tcW w:w="18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78" w:type="dxa"/>
            <w:tcBorders>
              <w:bottom w:val="single" w:sz="12"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96"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8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12"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95"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(1,578</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78"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20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369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loss from continuing operations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78" w:type="dxa"/>
            <w:tcBorders>
              <w:bottom w:val="double" w:sz="10"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96" w:type="dxa"/>
            <w:tcBorders>
              <w:bottom w:val="double" w:sz="10"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(44,254</w:t>
            </w:r>
          </w:p>
        </w:tc>
        <w:tc>
          <w:tcPr>
            <w:tcW w:w="18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78" w:type="dxa"/>
            <w:tcBorders>
              <w:bottom w:val="double" w:sz="10"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96" w:type="dxa"/>
            <w:tcBorders>
              <w:bottom w:val="double" w:sz="10"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(54,444</w:t>
            </w:r>
          </w:p>
        </w:tc>
        <w:tc>
          <w:tcPr>
            <w:tcW w:w="18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double" w:sz="10"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95" w:type="dxa"/>
            <w:tcBorders>
              <w:bottom w:val="double" w:sz="10"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10,190</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78"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19</w:t>
            </w:r>
          </w:p>
        </w:tc>
        <w:tc>
          <w:tcPr>
            <w:tcW w:w="20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jc w:val="left"/>
        <w:rPr>
          <w:caps w:val="false"/>
          <w:smallCaps w:val="false"/>
        </w:rPr>
      </w:pPr>
      <w:r>
        <w:rPr>
          <w:caps w:val="false"/>
          <w:smallCaps w:val="false"/>
        </w:rPr>
        <w:t> </w:t>
      </w:r>
    </w:p>
    <w:tbl>
      <w:tblPr>
        <w:tblW w:w="5995" w:type="dxa"/>
        <w:jc w:val="left"/>
        <w:tblInd w:w="0" w:type="dxa"/>
        <w:tblLayout w:type="fixed"/>
        <w:tblCellMar>
          <w:top w:w="0" w:type="dxa"/>
          <w:left w:w="0" w:type="dxa"/>
          <w:bottom w:w="0" w:type="dxa"/>
          <w:right w:w="0" w:type="dxa"/>
        </w:tblCellMar>
      </w:tblPr>
      <w:tblGrid>
        <w:gridCol w:w="245"/>
        <w:gridCol w:w="5750"/>
      </w:tblGrid>
      <w:tr>
        <w:trPr/>
        <w:tc>
          <w:tcPr>
            <w:tcW w:w="245" w:type="dxa"/>
            <w:tcBorders/>
            <w:vAlign w:val="center"/>
          </w:tcPr>
          <w:p>
            <w:pPr>
              <w:pStyle w:val="TableContents"/>
              <w:bidi w:val="0"/>
              <w:spacing w:before="0" w:after="283"/>
              <w:jc w:val="left"/>
              <w:rPr>
                <w:rFonts w:ascii="Times New Roman;Times;Serif" w:hAnsi="Times New Roman;Times;Serif"/>
                <w:b w:val="false"/>
                <w:i w:val="false"/>
                <w:caps w:val="false"/>
                <w:smallCaps w:val="false"/>
                <w:position w:val="7"/>
                <w:sz w:val="16"/>
                <w:sz w:val="20"/>
              </w:rPr>
            </w:pPr>
            <w:r>
              <w:rPr>
                <w:rFonts w:ascii="Times New Roman;Times;Serif" w:hAnsi="Times New Roman;Times;Serif"/>
                <w:b w:val="false"/>
                <w:i w:val="false"/>
                <w:caps w:val="false"/>
                <w:smallCaps w:val="false"/>
                <w:position w:val="7"/>
                <w:sz w:val="16"/>
                <w:sz w:val="20"/>
              </w:rPr>
              <w:t>(1)</w:t>
            </w:r>
          </w:p>
        </w:tc>
        <w:tc>
          <w:tcPr>
            <w:tcW w:w="575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Includes stock-based compensation expense as follows (</w:t>
            </w:r>
            <w:r>
              <w:rPr>
                <w:rFonts w:ascii="Times New Roman;Times;Serif" w:hAnsi="Times New Roman;Times;Serif"/>
                <w:b w:val="false"/>
                <w:i/>
                <w:caps w:val="false"/>
                <w:smallCaps w:val="false"/>
                <w:sz w:val="20"/>
              </w:rPr>
              <w:t>in thousands</w:t>
            </w:r>
            <w:r>
              <w:rPr>
                <w:rFonts w:ascii="Times New Roman;Times;Serif" w:hAnsi="Times New Roman;Times;Serif"/>
                <w:b w:val="false"/>
                <w:i w:val="false"/>
                <w:caps w:val="false"/>
                <w:smallCaps w:val="false"/>
                <w:sz w:val="20"/>
              </w:rPr>
              <w:t>):</w:t>
            </w:r>
          </w:p>
        </w:tc>
      </w:tr>
    </w:tbl>
    <w:p>
      <w:pPr>
        <w:pStyle w:val="TextBody"/>
        <w:bidi w:val="0"/>
        <w:spacing w:before="0" w:after="0"/>
        <w:jc w:val="left"/>
        <w:rPr>
          <w:caps w:val="false"/>
          <w:smallCaps w:val="false"/>
        </w:rPr>
      </w:pPr>
      <w:r>
        <w:rPr>
          <w:caps w:val="false"/>
          <w:smallCaps w:val="false"/>
        </w:rPr>
        <w:t> </w:t>
      </w:r>
    </w:p>
    <w:tbl>
      <w:tblPr>
        <w:tblW w:w="5934" w:type="dxa"/>
        <w:jc w:val="left"/>
        <w:tblInd w:w="0" w:type="dxa"/>
        <w:tblLayout w:type="fixed"/>
        <w:tblCellMar>
          <w:top w:w="0" w:type="dxa"/>
          <w:left w:w="0" w:type="dxa"/>
          <w:bottom w:w="0" w:type="dxa"/>
          <w:right w:w="0" w:type="dxa"/>
        </w:tblCellMar>
      </w:tblPr>
      <w:tblGrid>
        <w:gridCol w:w="3365"/>
        <w:gridCol w:w="60"/>
        <w:gridCol w:w="197"/>
        <w:gridCol w:w="933"/>
        <w:gridCol w:w="65"/>
        <w:gridCol w:w="65"/>
        <w:gridCol w:w="240"/>
        <w:gridCol w:w="934"/>
        <w:gridCol w:w="75"/>
      </w:tblGrid>
      <w:tr>
        <w:trPr/>
        <w:tc>
          <w:tcPr>
            <w:tcW w:w="3365"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2434" w:type="dxa"/>
            <w:gridSpan w:val="6"/>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Fiscal Year Ended</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3365"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130"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December 28</w:t>
            </w:r>
          </w:p>
        </w:tc>
        <w:tc>
          <w:tcPr>
            <w:tcW w:w="65" w:type="dxa"/>
            <w:tcBorders/>
            <w:vAlign w:val="center"/>
          </w:tcPr>
          <w:p>
            <w:pPr>
              <w:pStyle w:val="TableContents"/>
              <w:bidi w:val="0"/>
              <w:spacing w:before="0" w:after="283"/>
              <w:jc w:val="left"/>
              <w:rPr>
                <w:caps w:val="false"/>
                <w:smallCaps w:val="false"/>
              </w:rPr>
            </w:pPr>
            <w:r>
              <w:rPr>
                <w:caps w:val="false"/>
                <w:smallCaps w:val="false"/>
              </w:rPr>
              <w:t> </w:t>
            </w:r>
          </w:p>
        </w:tc>
        <w:tc>
          <w:tcPr>
            <w:tcW w:w="65" w:type="dxa"/>
            <w:tcBorders/>
            <w:vAlign w:val="center"/>
          </w:tcPr>
          <w:p>
            <w:pPr>
              <w:pStyle w:val="TableContents"/>
              <w:bidi w:val="0"/>
              <w:spacing w:before="0" w:after="283"/>
              <w:jc w:val="left"/>
              <w:rPr>
                <w:caps w:val="false"/>
                <w:smallCaps w:val="false"/>
              </w:rPr>
            </w:pPr>
            <w:r>
              <w:rPr>
                <w:caps w:val="false"/>
                <w:smallCaps w:val="false"/>
              </w:rPr>
              <w:t> </w:t>
            </w:r>
          </w:p>
        </w:tc>
        <w:tc>
          <w:tcPr>
            <w:tcW w:w="1174"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December 29,</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3365"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130"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2025</w:t>
            </w:r>
          </w:p>
        </w:tc>
        <w:tc>
          <w:tcPr>
            <w:tcW w:w="65" w:type="dxa"/>
            <w:tcBorders/>
            <w:vAlign w:val="center"/>
          </w:tcPr>
          <w:p>
            <w:pPr>
              <w:pStyle w:val="TableContents"/>
              <w:bidi w:val="0"/>
              <w:spacing w:before="0" w:after="283"/>
              <w:jc w:val="left"/>
              <w:rPr>
                <w:caps w:val="false"/>
                <w:smallCaps w:val="false"/>
              </w:rPr>
            </w:pPr>
            <w:r>
              <w:rPr>
                <w:caps w:val="false"/>
                <w:smallCaps w:val="false"/>
              </w:rPr>
              <w:t> </w:t>
            </w:r>
          </w:p>
        </w:tc>
        <w:tc>
          <w:tcPr>
            <w:tcW w:w="65" w:type="dxa"/>
            <w:tcBorders/>
            <w:vAlign w:val="center"/>
          </w:tcPr>
          <w:p>
            <w:pPr>
              <w:pStyle w:val="TableContents"/>
              <w:bidi w:val="0"/>
              <w:spacing w:before="0" w:after="283"/>
              <w:jc w:val="left"/>
              <w:rPr>
                <w:caps w:val="false"/>
                <w:smallCaps w:val="false"/>
              </w:rPr>
            </w:pPr>
            <w:r>
              <w:rPr>
                <w:caps w:val="false"/>
                <w:smallCaps w:val="false"/>
              </w:rPr>
              <w:t> </w:t>
            </w:r>
          </w:p>
        </w:tc>
        <w:tc>
          <w:tcPr>
            <w:tcW w:w="1174"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2024</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336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Cost of revenues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97"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33"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3,003</w:t>
            </w:r>
          </w:p>
        </w:tc>
        <w:tc>
          <w:tcPr>
            <w:tcW w:w="6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4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34"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157</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336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Sales and marketing</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9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33"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2,618</w:t>
            </w:r>
          </w:p>
        </w:tc>
        <w:tc>
          <w:tcPr>
            <w:tcW w:w="6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4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34"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598</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336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General and administrative</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97" w:type="dxa"/>
            <w:tcBorders>
              <w:bottom w:val="single" w:sz="12"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33"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4,867</w:t>
            </w:r>
          </w:p>
        </w:tc>
        <w:tc>
          <w:tcPr>
            <w:tcW w:w="6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40" w:type="dxa"/>
            <w:tcBorders>
              <w:bottom w:val="single" w:sz="12"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34"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2,312</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336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Total stock-based compensation expense</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97" w:type="dxa"/>
            <w:tcBorders>
              <w:bottom w:val="double" w:sz="10"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33" w:type="dxa"/>
            <w:tcBorders>
              <w:bottom w:val="double" w:sz="10"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10,488</w:t>
            </w:r>
          </w:p>
        </w:tc>
        <w:tc>
          <w:tcPr>
            <w:tcW w:w="6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40" w:type="dxa"/>
            <w:tcBorders>
              <w:bottom w:val="double" w:sz="10"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34" w:type="dxa"/>
            <w:tcBorders>
              <w:bottom w:val="double" w:sz="10"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3,067</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33"/>
        <w:gridCol w:w="9972"/>
      </w:tblGrid>
      <w:tr>
        <w:trPr/>
        <w:tc>
          <w:tcPr>
            <w:tcW w:w="233" w:type="dxa"/>
            <w:tcBorders/>
            <w:vAlign w:val="center"/>
          </w:tcPr>
          <w:p>
            <w:pPr>
              <w:pStyle w:val="TableContents"/>
              <w:bidi w:val="0"/>
              <w:spacing w:before="0" w:after="283"/>
              <w:jc w:val="left"/>
              <w:rPr>
                <w:rFonts w:ascii="Times New Roman;Times;Serif" w:hAnsi="Times New Roman;Times;Serif"/>
                <w:b w:val="false"/>
                <w:i w:val="false"/>
                <w:caps w:val="false"/>
                <w:smallCaps w:val="false"/>
                <w:position w:val="7"/>
                <w:sz w:val="16"/>
                <w:sz w:val="20"/>
              </w:rPr>
            </w:pPr>
            <w:r>
              <w:rPr>
                <w:rFonts w:ascii="Times New Roman;Times;Serif" w:hAnsi="Times New Roman;Times;Serif"/>
                <w:b w:val="false"/>
                <w:i w:val="false"/>
                <w:caps w:val="false"/>
                <w:smallCaps w:val="false"/>
                <w:position w:val="7"/>
                <w:sz w:val="16"/>
                <w:sz w:val="20"/>
              </w:rPr>
              <w:t>(2)</w:t>
            </w:r>
          </w:p>
        </w:tc>
        <w:tc>
          <w:tcPr>
            <w:tcW w:w="9972"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Includes interest expense and amortization of debt discount costs with related parties of $5.7 million and $7.6 million in 2025 and 2024, respectively.</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98"/>
        <w:gridCol w:w="10007"/>
      </w:tblGrid>
      <w:tr>
        <w:trPr/>
        <w:tc>
          <w:tcPr>
            <w:tcW w:w="198" w:type="dxa"/>
            <w:tcBorders/>
            <w:vAlign w:val="center"/>
          </w:tcPr>
          <w:p>
            <w:pPr>
              <w:pStyle w:val="TableContents"/>
              <w:bidi w:val="0"/>
              <w:spacing w:before="0" w:after="283"/>
              <w:jc w:val="left"/>
              <w:rPr>
                <w:rFonts w:ascii="Times New Roman;Times;Serif" w:hAnsi="Times New Roman;Times;Serif"/>
                <w:b w:val="false"/>
                <w:i w:val="false"/>
                <w:caps w:val="false"/>
                <w:smallCaps w:val="false"/>
                <w:position w:val="7"/>
                <w:sz w:val="16"/>
                <w:sz w:val="20"/>
              </w:rPr>
            </w:pPr>
            <w:r>
              <w:rPr>
                <w:rFonts w:ascii="Times New Roman;Times;Serif" w:hAnsi="Times New Roman;Times;Serif"/>
                <w:b w:val="false"/>
                <w:i w:val="false"/>
                <w:caps w:val="false"/>
                <w:smallCaps w:val="false"/>
                <w:position w:val="7"/>
                <w:sz w:val="16"/>
                <w:sz w:val="20"/>
              </w:rPr>
              <w:t>(3)</w:t>
            </w:r>
          </w:p>
        </w:tc>
        <w:tc>
          <w:tcPr>
            <w:tcW w:w="10007" w:type="dxa"/>
            <w:tcBorders/>
            <w:vAlign w:val="center"/>
          </w:tcPr>
          <w:p>
            <w:pPr>
              <w:pStyle w:val="TableContents"/>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Includes the following related party transactions in 2025 (i) a gain of $3.5 million due to the change in the fair value of derivative liabilities; and (ii) $0.1 million of other income due to a change in the fair value of a forward purchase agreement.</w:t>
            </w:r>
          </w:p>
          <w:p>
            <w:pPr>
              <w:pStyle w:val="TableContents"/>
              <w:bidi w:val="0"/>
              <w:spacing w:before="0" w:after="0"/>
              <w:jc w:val="both"/>
              <w:rPr>
                <w:caps w:val="false"/>
                <w:smallCaps w:val="false"/>
              </w:rPr>
            </w:pPr>
            <w:r>
              <w:rPr>
                <w:caps w:val="false"/>
                <w:smallCaps w:val="false"/>
              </w:rPr>
              <w:t> </w:t>
            </w:r>
          </w:p>
          <w:p>
            <w:pPr>
              <w:pStyle w:val="TableContents"/>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Includes the following related party transactions in 2024; (i) $0.7 million of expense in connection with the conversion of SAFE Agreements into shares of common stock and the change in the fair value of SAFE Agreements, (ii) $3.0 million of expense in connection with the loss on issuance of a derivative liability and $0.3 million of income due to the change in the value of derivative liabilities, and (iii) $0.1 million of income in connection with the change in the fair value of forward purchase agreements.</w:t>
            </w:r>
          </w:p>
        </w:tc>
      </w:tr>
    </w:tbl>
    <w:p>
      <w:pPr>
        <w:pStyle w:val="TextBody"/>
        <w:bidi w:val="0"/>
        <w:spacing w:before="0" w:after="0"/>
        <w:jc w:val="left"/>
        <w:rPr>
          <w:caps w:val="false"/>
          <w:smallCaps w:val="false"/>
        </w:rPr>
      </w:pPr>
      <w:r>
        <w:rPr>
          <w:caps w:val="false"/>
          <w:smallCaps w:val="false"/>
        </w:rPr>
        <w:t> </w:t>
      </w:r>
    </w:p>
    <w:tbl>
      <w:tblPr>
        <w:tblW w:w="4885" w:type="dxa"/>
        <w:jc w:val="left"/>
        <w:tblInd w:w="0" w:type="dxa"/>
        <w:tblLayout w:type="fixed"/>
        <w:tblCellMar>
          <w:top w:w="0" w:type="dxa"/>
          <w:left w:w="0" w:type="dxa"/>
          <w:bottom w:w="0" w:type="dxa"/>
          <w:right w:w="0" w:type="dxa"/>
        </w:tblCellMar>
      </w:tblPr>
      <w:tblGrid>
        <w:gridCol w:w="245"/>
        <w:gridCol w:w="4640"/>
      </w:tblGrid>
      <w:tr>
        <w:trPr/>
        <w:tc>
          <w:tcPr>
            <w:tcW w:w="245" w:type="dxa"/>
            <w:tcBorders/>
            <w:vAlign w:val="center"/>
          </w:tcPr>
          <w:p>
            <w:pPr>
              <w:pStyle w:val="TableContents"/>
              <w:bidi w:val="0"/>
              <w:spacing w:before="0" w:after="283"/>
              <w:jc w:val="left"/>
              <w:rPr>
                <w:rFonts w:ascii="Times New Roman;Times;Serif" w:hAnsi="Times New Roman;Times;Serif"/>
                <w:b w:val="false"/>
                <w:i w:val="false"/>
                <w:caps w:val="false"/>
                <w:smallCaps w:val="false"/>
                <w:position w:val="7"/>
                <w:sz w:val="16"/>
                <w:sz w:val="20"/>
              </w:rPr>
            </w:pPr>
            <w:r>
              <w:rPr>
                <w:rFonts w:ascii="Times New Roman;Times;Serif" w:hAnsi="Times New Roman;Times;Serif"/>
                <w:b w:val="false"/>
                <w:i w:val="false"/>
                <w:caps w:val="false"/>
                <w:smallCaps w:val="false"/>
                <w:position w:val="7"/>
                <w:sz w:val="16"/>
                <w:sz w:val="20"/>
              </w:rPr>
              <w:t>(4)</w:t>
            </w:r>
          </w:p>
        </w:tc>
        <w:tc>
          <w:tcPr>
            <w:tcW w:w="464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Gain includes $12.5 million with a related party in 2024.</w:t>
            </w:r>
          </w:p>
        </w:tc>
      </w:tr>
    </w:tbl>
    <w:p>
      <w:pPr>
        <w:pStyle w:val="TextBody"/>
        <w:bidi w:val="0"/>
        <w:spacing w:before="0" w:after="0"/>
        <w:jc w:val="left"/>
        <w:rPr>
          <w:caps w:val="false"/>
          <w:smallCaps w:val="false"/>
        </w:rPr>
      </w:pPr>
      <w:r>
        <w:rPr>
          <w:caps w:val="false"/>
          <w:smallCaps w:val="false"/>
        </w:rPr>
        <w:t> </w:t>
      </w:r>
    </w:p>
    <w:tbl>
      <w:tblPr>
        <w:tblW w:w="3010" w:type="dxa"/>
        <w:jc w:val="left"/>
        <w:tblInd w:w="0" w:type="dxa"/>
        <w:tblLayout w:type="fixed"/>
        <w:tblCellMar>
          <w:top w:w="0" w:type="dxa"/>
          <w:left w:w="0" w:type="dxa"/>
          <w:bottom w:w="0" w:type="dxa"/>
          <w:right w:w="0" w:type="dxa"/>
        </w:tblCellMar>
      </w:tblPr>
      <w:tblGrid>
        <w:gridCol w:w="125"/>
        <w:gridCol w:w="2885"/>
      </w:tblGrid>
      <w:tr>
        <w:trPr/>
        <w:tc>
          <w:tcPr>
            <w:tcW w:w="125" w:type="dxa"/>
            <w:tcBorders/>
            <w:vAlign w:val="center"/>
          </w:tcPr>
          <w:p>
            <w:pPr>
              <w:pStyle w:val="TableContents"/>
              <w:bidi w:val="0"/>
              <w:spacing w:before="0" w:after="283"/>
              <w:jc w:val="left"/>
              <w:rPr>
                <w:rFonts w:ascii="Times New Roman;Times;Serif" w:hAnsi="Times New Roman;Times;Serif"/>
                <w:b w:val="false"/>
                <w:i w:val="false"/>
                <w:caps w:val="false"/>
                <w:smallCaps w:val="false"/>
                <w:position w:val="7"/>
                <w:sz w:val="16"/>
                <w:sz w:val="20"/>
              </w:rPr>
            </w:pPr>
            <w:r>
              <w:rPr>
                <w:rFonts w:ascii="Times New Roman;Times;Serif" w:hAnsi="Times New Roman;Times;Serif"/>
                <w:b w:val="false"/>
                <w:i w:val="false"/>
                <w:caps w:val="false"/>
                <w:smallCaps w:val="false"/>
                <w:position w:val="7"/>
                <w:sz w:val="16"/>
                <w:sz w:val="20"/>
              </w:rPr>
              <w:t>*</w:t>
            </w:r>
          </w:p>
        </w:tc>
        <w:tc>
          <w:tcPr>
            <w:tcW w:w="288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Percentage change not meaningful.</w:t>
            </w:r>
          </w:p>
        </w:tc>
      </w:tr>
    </w:tbl>
    <w:p>
      <w:pPr>
        <w:pStyle w:val="TextBody"/>
        <w:bidi w:val="0"/>
        <w:spacing w:before="0" w:after="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56</w:t>
      </w:r>
    </w:p>
    <w:p>
      <w:pPr>
        <w:pStyle w:val="TextBody"/>
        <w:bidi w:val="0"/>
        <w:spacing w:before="0" w:after="0"/>
        <w:ind w:left="0" w:right="0" w:hanging="0"/>
        <w:jc w:val="left"/>
        <w:rPr/>
      </w:pPr>
      <w:r>
        <w:rPr/>
        <w:t> </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Revenues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We disaggregate our revenues based on the following reportable segments </w:t>
      </w:r>
      <w:r>
        <w:rPr>
          <w:rFonts w:ascii="Times New Roman;Times;Serif" w:hAnsi="Times New Roman;Times;Serif"/>
          <w:b w:val="false"/>
          <w:i/>
          <w:caps w:val="false"/>
          <w:smallCaps w:val="false"/>
          <w:sz w:val="20"/>
        </w:rPr>
        <w:t>(in thousands)</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tbl>
      <w:tblPr>
        <w:tblW w:w="6858" w:type="dxa"/>
        <w:jc w:val="left"/>
        <w:tblInd w:w="0" w:type="dxa"/>
        <w:tblLayout w:type="fixed"/>
        <w:tblCellMar>
          <w:top w:w="0" w:type="dxa"/>
          <w:left w:w="0" w:type="dxa"/>
          <w:bottom w:w="0" w:type="dxa"/>
          <w:right w:w="0" w:type="dxa"/>
        </w:tblCellMar>
      </w:tblPr>
      <w:tblGrid>
        <w:gridCol w:w="2405"/>
        <w:gridCol w:w="60"/>
        <w:gridCol w:w="178"/>
        <w:gridCol w:w="996"/>
        <w:gridCol w:w="60"/>
        <w:gridCol w:w="60"/>
        <w:gridCol w:w="178"/>
        <w:gridCol w:w="996"/>
        <w:gridCol w:w="60"/>
        <w:gridCol w:w="60"/>
        <w:gridCol w:w="125"/>
        <w:gridCol w:w="695"/>
        <w:gridCol w:w="60"/>
        <w:gridCol w:w="60"/>
        <w:gridCol w:w="101"/>
        <w:gridCol w:w="564"/>
        <w:gridCol w:w="200"/>
      </w:tblGrid>
      <w:tr>
        <w:trPr/>
        <w:tc>
          <w:tcPr>
            <w:tcW w:w="240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2468" w:type="dxa"/>
            <w:gridSpan w:val="6"/>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Fiscal Year Ended</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20" w:type="dxa"/>
            <w:gridSpan w:val="2"/>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65" w:type="dxa"/>
            <w:gridSpan w:val="2"/>
            <w:tcBorders/>
            <w:vAlign w:val="center"/>
          </w:tcPr>
          <w:p>
            <w:pPr>
              <w:pStyle w:val="TableContents"/>
              <w:bidi w:val="0"/>
              <w:spacing w:before="0" w:after="283"/>
              <w:jc w:val="center"/>
              <w:rPr>
                <w:caps w:val="false"/>
                <w:smallCaps w:val="false"/>
              </w:rPr>
            </w:pPr>
            <w:r>
              <w:rPr>
                <w:caps w:val="false"/>
                <w:smallCaps w:val="false"/>
              </w:rPr>
              <w:t> </w:t>
            </w:r>
          </w:p>
        </w:tc>
        <w:tc>
          <w:tcPr>
            <w:tcW w:w="20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240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174"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December 28,</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174"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December 29,</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20"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65"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20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240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174"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2025</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174"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2024</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20"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Change</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65"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Change</w:t>
            </w:r>
          </w:p>
        </w:tc>
        <w:tc>
          <w:tcPr>
            <w:tcW w:w="20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240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Residential Solar Installation</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78"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9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160,987</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78"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9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67,460</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9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93,527</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64"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139</w:t>
            </w:r>
          </w:p>
        </w:tc>
        <w:tc>
          <w:tcPr>
            <w:tcW w:w="20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240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New Homes Business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7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96"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124,595</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7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96"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41,282</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9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83,313</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64"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202</w:t>
            </w:r>
          </w:p>
        </w:tc>
        <w:tc>
          <w:tcPr>
            <w:tcW w:w="20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240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Dealer</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78" w:type="dxa"/>
            <w:tcBorders>
              <w:bottom w:val="single" w:sz="12"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96"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14,418</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78" w:type="dxa"/>
            <w:tcBorders>
              <w:bottom w:val="single" w:sz="12"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96"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12"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95"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14,418</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64"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20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240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Total revenues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78" w:type="dxa"/>
            <w:tcBorders>
              <w:bottom w:val="double" w:sz="10"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96" w:type="dxa"/>
            <w:tcBorders>
              <w:bottom w:val="double" w:sz="10"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300,000</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78" w:type="dxa"/>
            <w:tcBorders>
              <w:bottom w:val="double" w:sz="10"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96" w:type="dxa"/>
            <w:tcBorders>
              <w:bottom w:val="double" w:sz="10"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108,742</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double" w:sz="10"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95" w:type="dxa"/>
            <w:tcBorders>
              <w:bottom w:val="double" w:sz="10"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191,258</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64"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176</w:t>
            </w:r>
          </w:p>
        </w:tc>
        <w:tc>
          <w:tcPr>
            <w:tcW w:w="20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firstLine="720"/>
        <w:jc w:val="both"/>
        <w:rPr>
          <w:caps w:val="false"/>
          <w:smallCaps w:val="false"/>
        </w:rPr>
      </w:pPr>
      <w:r>
        <w:rPr>
          <w:caps w:val="false"/>
          <w:smallCaps w:val="false"/>
        </w:rPr>
        <w:t> </w:t>
      </w:r>
    </w:p>
    <w:tbl>
      <w:tblPr>
        <w:tblW w:w="3010" w:type="dxa"/>
        <w:jc w:val="left"/>
        <w:tblInd w:w="0" w:type="dxa"/>
        <w:tblLayout w:type="fixed"/>
        <w:tblCellMar>
          <w:top w:w="0" w:type="dxa"/>
          <w:left w:w="0" w:type="dxa"/>
          <w:bottom w:w="0" w:type="dxa"/>
          <w:right w:w="0" w:type="dxa"/>
        </w:tblCellMar>
      </w:tblPr>
      <w:tblGrid>
        <w:gridCol w:w="125"/>
        <w:gridCol w:w="2885"/>
      </w:tblGrid>
      <w:tr>
        <w:trPr/>
        <w:tc>
          <w:tcPr>
            <w:tcW w:w="125" w:type="dxa"/>
            <w:tcBorders/>
            <w:vAlign w:val="center"/>
          </w:tcPr>
          <w:p>
            <w:pPr>
              <w:pStyle w:val="TableContents"/>
              <w:bidi w:val="0"/>
              <w:spacing w:before="0" w:after="283"/>
              <w:jc w:val="left"/>
              <w:rPr>
                <w:rFonts w:ascii="Times New Roman;Times;Serif" w:hAnsi="Times New Roman;Times;Serif"/>
                <w:b w:val="false"/>
                <w:i w:val="false"/>
                <w:caps w:val="false"/>
                <w:smallCaps w:val="false"/>
                <w:position w:val="7"/>
                <w:sz w:val="16"/>
                <w:sz w:val="20"/>
              </w:rPr>
            </w:pPr>
            <w:r>
              <w:rPr>
                <w:rFonts w:ascii="Times New Roman;Times;Serif" w:hAnsi="Times New Roman;Times;Serif"/>
                <w:b w:val="false"/>
                <w:i w:val="false"/>
                <w:caps w:val="false"/>
                <w:smallCaps w:val="false"/>
                <w:position w:val="7"/>
                <w:sz w:val="16"/>
                <w:sz w:val="20"/>
              </w:rPr>
              <w:t>*</w:t>
            </w:r>
          </w:p>
        </w:tc>
        <w:tc>
          <w:tcPr>
            <w:tcW w:w="288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Percentage change not meaningful.</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Residential Solar Installation revenue increased primarily attributed to a full year of Solar Installation due to the acquisition of SunPower Businesses at the beginning of our fourth quarter in fiscal year ended December 29, 2024. New Homes Business increased due to the sale of solar system sales to home builders and the completion of backlog projects acquired with the SunPower Businesses. Dealer revenues are attributable to the acquisition of Sunder.</w:t>
      </w:r>
    </w:p>
    <w:p>
      <w:pPr>
        <w:pStyle w:val="TextBody"/>
        <w:shd w:fill="FFFFFF" w:val="clear"/>
        <w:bidi w:val="0"/>
        <w:spacing w:before="0" w:after="0"/>
        <w:jc w:val="both"/>
        <w:rPr>
          <w:caps w:val="false"/>
          <w:smallCaps w:val="false"/>
        </w:rPr>
      </w:pPr>
      <w:r>
        <w:rPr>
          <w:caps w:val="false"/>
          <w:smallCaps w:val="false"/>
        </w:rPr>
        <w:t> </w:t>
      </w:r>
    </w:p>
    <w:p>
      <w:pPr>
        <w:pStyle w:val="TextBody"/>
        <w:shd w:fill="FFFFFF" w:val="clear"/>
        <w:bidi w:val="0"/>
        <w:spacing w:before="0" w:after="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Cost of Revenues and Gross Margin</w:t>
      </w:r>
    </w:p>
    <w:p>
      <w:pPr>
        <w:pStyle w:val="TextBody"/>
        <w:shd w:fill="FFFFFF" w:val="clear"/>
        <w:bidi w:val="0"/>
        <w:spacing w:before="0" w:after="0"/>
        <w:ind w:left="0" w:right="0" w:firstLine="720"/>
        <w:jc w:val="both"/>
        <w:rPr>
          <w:caps w:val="false"/>
          <w:smallCaps w:val="false"/>
        </w:rPr>
      </w:pPr>
      <w:r>
        <w:rPr>
          <w:caps w:val="false"/>
          <w:smallCaps w:val="false"/>
        </w:rPr>
        <w:t> </w:t>
      </w:r>
    </w:p>
    <w:tbl>
      <w:tblPr>
        <w:tblW w:w="7108" w:type="dxa"/>
        <w:jc w:val="left"/>
        <w:tblInd w:w="0" w:type="dxa"/>
        <w:tblLayout w:type="fixed"/>
        <w:tblCellMar>
          <w:top w:w="0" w:type="dxa"/>
          <w:left w:w="0" w:type="dxa"/>
          <w:bottom w:w="0" w:type="dxa"/>
          <w:right w:w="0" w:type="dxa"/>
        </w:tblCellMar>
      </w:tblPr>
      <w:tblGrid>
        <w:gridCol w:w="2405"/>
        <w:gridCol w:w="60"/>
        <w:gridCol w:w="178"/>
        <w:gridCol w:w="996"/>
        <w:gridCol w:w="185"/>
        <w:gridCol w:w="60"/>
        <w:gridCol w:w="204"/>
        <w:gridCol w:w="970"/>
        <w:gridCol w:w="185"/>
        <w:gridCol w:w="60"/>
        <w:gridCol w:w="125"/>
        <w:gridCol w:w="695"/>
        <w:gridCol w:w="60"/>
        <w:gridCol w:w="60"/>
        <w:gridCol w:w="101"/>
        <w:gridCol w:w="564"/>
        <w:gridCol w:w="200"/>
      </w:tblGrid>
      <w:tr>
        <w:trPr/>
        <w:tc>
          <w:tcPr>
            <w:tcW w:w="240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2593" w:type="dxa"/>
            <w:gridSpan w:val="6"/>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Fiscal Year Ended</w:t>
            </w:r>
          </w:p>
        </w:tc>
        <w:tc>
          <w:tcPr>
            <w:tcW w:w="18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20" w:type="dxa"/>
            <w:gridSpan w:val="2"/>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65" w:type="dxa"/>
            <w:gridSpan w:val="2"/>
            <w:tcBorders/>
            <w:vAlign w:val="center"/>
          </w:tcPr>
          <w:p>
            <w:pPr>
              <w:pStyle w:val="TableContents"/>
              <w:bidi w:val="0"/>
              <w:spacing w:before="0" w:after="283"/>
              <w:jc w:val="center"/>
              <w:rPr>
                <w:caps w:val="false"/>
                <w:smallCaps w:val="false"/>
              </w:rPr>
            </w:pPr>
            <w:r>
              <w:rPr>
                <w:caps w:val="false"/>
                <w:smallCaps w:val="false"/>
              </w:rPr>
              <w:t> </w:t>
            </w:r>
          </w:p>
        </w:tc>
        <w:tc>
          <w:tcPr>
            <w:tcW w:w="20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240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174"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December 28,</w:t>
            </w:r>
          </w:p>
        </w:tc>
        <w:tc>
          <w:tcPr>
            <w:tcW w:w="18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174"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December 29,</w:t>
            </w:r>
          </w:p>
        </w:tc>
        <w:tc>
          <w:tcPr>
            <w:tcW w:w="18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20"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65"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20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240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174"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2025</w:t>
            </w:r>
          </w:p>
        </w:tc>
        <w:tc>
          <w:tcPr>
            <w:tcW w:w="18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174"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2024</w:t>
            </w:r>
          </w:p>
        </w:tc>
        <w:tc>
          <w:tcPr>
            <w:tcW w:w="18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20"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Change</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65"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Change</w:t>
            </w:r>
          </w:p>
        </w:tc>
        <w:tc>
          <w:tcPr>
            <w:tcW w:w="20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240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Residential Solar Installation</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78"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9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88,400</w:t>
            </w:r>
          </w:p>
        </w:tc>
        <w:tc>
          <w:tcPr>
            <w:tcW w:w="18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04"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7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45,266</w:t>
            </w:r>
          </w:p>
        </w:tc>
        <w:tc>
          <w:tcPr>
            <w:tcW w:w="18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9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43,134</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64"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95</w:t>
            </w:r>
          </w:p>
        </w:tc>
        <w:tc>
          <w:tcPr>
            <w:tcW w:w="20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240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New Homes Business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7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96"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82,288</w:t>
            </w:r>
          </w:p>
        </w:tc>
        <w:tc>
          <w:tcPr>
            <w:tcW w:w="18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0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7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23,974</w:t>
            </w:r>
          </w:p>
        </w:tc>
        <w:tc>
          <w:tcPr>
            <w:tcW w:w="18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9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58,314</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64"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243</w:t>
            </w:r>
          </w:p>
        </w:tc>
        <w:tc>
          <w:tcPr>
            <w:tcW w:w="20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240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Dealer</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78" w:type="dxa"/>
            <w:tcBorders>
              <w:bottom w:val="single" w:sz="12"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96"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100</w:t>
            </w:r>
          </w:p>
        </w:tc>
        <w:tc>
          <w:tcPr>
            <w:tcW w:w="18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04" w:type="dxa"/>
            <w:tcBorders>
              <w:bottom w:val="single" w:sz="12"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70"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8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12"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95"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100</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64"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20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240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Total cost of revenues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78" w:type="dxa"/>
            <w:tcBorders>
              <w:bottom w:val="double" w:sz="10"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96" w:type="dxa"/>
            <w:tcBorders>
              <w:bottom w:val="double" w:sz="10"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170,788</w:t>
            </w:r>
          </w:p>
        </w:tc>
        <w:tc>
          <w:tcPr>
            <w:tcW w:w="18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04" w:type="dxa"/>
            <w:tcBorders>
              <w:bottom w:val="double" w:sz="10"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70" w:type="dxa"/>
            <w:tcBorders>
              <w:bottom w:val="double" w:sz="10"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69,240</w:t>
            </w:r>
          </w:p>
        </w:tc>
        <w:tc>
          <w:tcPr>
            <w:tcW w:w="18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double" w:sz="10"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95" w:type="dxa"/>
            <w:tcBorders>
              <w:bottom w:val="double" w:sz="10"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101,548</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64"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147</w:t>
            </w:r>
          </w:p>
        </w:tc>
        <w:tc>
          <w:tcPr>
            <w:tcW w:w="20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240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7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96"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18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0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70"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18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95"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64"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20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2405"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Gross Margin</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7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96"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43</w:t>
            </w:r>
          </w:p>
        </w:tc>
        <w:tc>
          <w:tcPr>
            <w:tcW w:w="18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0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7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36</w:t>
            </w:r>
          </w:p>
        </w:tc>
        <w:tc>
          <w:tcPr>
            <w:tcW w:w="18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95"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64"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20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bl>
    <w:p>
      <w:pPr>
        <w:pStyle w:val="TextBody"/>
        <w:shd w:fill="FFFFFF" w:val="clear"/>
        <w:bidi w:val="0"/>
        <w:spacing w:before="0" w:after="0"/>
        <w:ind w:left="0" w:right="0" w:firstLine="720"/>
        <w:jc w:val="both"/>
        <w:rPr>
          <w:caps w:val="false"/>
          <w:smallCaps w:val="false"/>
        </w:rPr>
      </w:pPr>
      <w:r>
        <w:rPr>
          <w:caps w:val="false"/>
          <w:smallCaps w:val="false"/>
        </w:rPr>
        <w:t> </w:t>
      </w:r>
    </w:p>
    <w:tbl>
      <w:tblPr>
        <w:tblW w:w="3010" w:type="dxa"/>
        <w:jc w:val="left"/>
        <w:tblInd w:w="0" w:type="dxa"/>
        <w:tblLayout w:type="fixed"/>
        <w:tblCellMar>
          <w:top w:w="0" w:type="dxa"/>
          <w:left w:w="0" w:type="dxa"/>
          <w:bottom w:w="0" w:type="dxa"/>
          <w:right w:w="0" w:type="dxa"/>
        </w:tblCellMar>
      </w:tblPr>
      <w:tblGrid>
        <w:gridCol w:w="125"/>
        <w:gridCol w:w="2885"/>
      </w:tblGrid>
      <w:tr>
        <w:trPr/>
        <w:tc>
          <w:tcPr>
            <w:tcW w:w="125" w:type="dxa"/>
            <w:tcBorders/>
            <w:vAlign w:val="center"/>
          </w:tcPr>
          <w:p>
            <w:pPr>
              <w:pStyle w:val="TableContents"/>
              <w:bidi w:val="0"/>
              <w:spacing w:before="0" w:after="283"/>
              <w:jc w:val="left"/>
              <w:rPr>
                <w:rFonts w:ascii="Times New Roman;Times;Serif" w:hAnsi="Times New Roman;Times;Serif"/>
                <w:b w:val="false"/>
                <w:i w:val="false"/>
                <w:caps w:val="false"/>
                <w:smallCaps w:val="false"/>
                <w:position w:val="7"/>
                <w:sz w:val="16"/>
                <w:sz w:val="20"/>
              </w:rPr>
            </w:pPr>
            <w:r>
              <w:rPr>
                <w:rFonts w:ascii="Times New Roman;Times;Serif" w:hAnsi="Times New Roman;Times;Serif"/>
                <w:b w:val="false"/>
                <w:i w:val="false"/>
                <w:caps w:val="false"/>
                <w:smallCaps w:val="false"/>
                <w:position w:val="7"/>
                <w:sz w:val="16"/>
                <w:sz w:val="20"/>
              </w:rPr>
              <w:t>*</w:t>
            </w:r>
          </w:p>
        </w:tc>
        <w:tc>
          <w:tcPr>
            <w:tcW w:w="288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Percentage change not meaningful.</w:t>
            </w:r>
          </w:p>
        </w:tc>
      </w:tr>
    </w:tbl>
    <w:p>
      <w:pPr>
        <w:pStyle w:val="TextBody"/>
        <w:shd w:fill="FFFFFF" w:val="clear"/>
        <w:bidi w:val="0"/>
        <w:spacing w:before="0" w:after="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Residential Solar Installation cost of revenue increase is primarily attributed to a full year of Solar Installation as described above. New Homes Business cost of revenue increased as a result of a full year of completing backlog and the inventory costs associated with each solar system sale. Cost of revenues attributable to the Dealer network is attributable to the acquisition of Sunder.</w:t>
      </w:r>
    </w:p>
    <w:p>
      <w:pPr>
        <w:pStyle w:val="TextBody"/>
        <w:shd w:fill="FFFFFF" w:val="clear"/>
        <w:bidi w:val="0"/>
        <w:spacing w:before="0" w:after="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increase in gross margins is attributed to operational efficiencies gained through the synergies created by consolidating the various lines of business and streamlining direct overhead costs attributed to each solar installation.</w:t>
      </w:r>
    </w:p>
    <w:p>
      <w:pPr>
        <w:pStyle w:val="TextBody"/>
        <w:shd w:fill="FFFFFF" w:val="clear"/>
        <w:bidi w:val="0"/>
        <w:spacing w:before="0" w:after="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57</w:t>
      </w:r>
    </w:p>
    <w:p>
      <w:pPr>
        <w:pStyle w:val="TextBody"/>
        <w:bidi w:val="0"/>
        <w:spacing w:before="0" w:after="0"/>
        <w:ind w:left="0" w:right="0" w:hanging="0"/>
        <w:jc w:val="left"/>
        <w:rPr/>
      </w:pPr>
      <w:r>
        <w:rPr/>
        <w:t> </w:t>
      </w:r>
    </w:p>
    <w:p>
      <w:pPr>
        <w:pStyle w:val="TextBody"/>
        <w:shd w:fill="FFFFFF" w:val="clear"/>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Sales Commissions</w:t>
      </w:r>
    </w:p>
    <w:p>
      <w:pPr>
        <w:pStyle w:val="TextBody"/>
        <w:bidi w:val="0"/>
        <w:spacing w:before="0" w:after="0"/>
        <w:ind w:left="0" w:right="0" w:firstLine="720"/>
        <w:jc w:val="both"/>
        <w:rPr>
          <w:caps w:val="false"/>
          <w:smallCaps w:val="false"/>
        </w:rPr>
      </w:pPr>
      <w:r>
        <w:rPr>
          <w:caps w:val="false"/>
          <w:smallCaps w:val="false"/>
        </w:rPr>
        <w:t> </w:t>
      </w:r>
    </w:p>
    <w:tbl>
      <w:tblPr>
        <w:tblW w:w="6755" w:type="dxa"/>
        <w:jc w:val="left"/>
        <w:tblInd w:w="0" w:type="dxa"/>
        <w:tblLayout w:type="fixed"/>
        <w:tblCellMar>
          <w:top w:w="0" w:type="dxa"/>
          <w:left w:w="0" w:type="dxa"/>
          <w:bottom w:w="0" w:type="dxa"/>
          <w:right w:w="0" w:type="dxa"/>
        </w:tblCellMar>
      </w:tblPr>
      <w:tblGrid>
        <w:gridCol w:w="2405"/>
        <w:gridCol w:w="60"/>
        <w:gridCol w:w="204"/>
        <w:gridCol w:w="970"/>
        <w:gridCol w:w="61"/>
        <w:gridCol w:w="61"/>
        <w:gridCol w:w="204"/>
        <w:gridCol w:w="970"/>
        <w:gridCol w:w="60"/>
        <w:gridCol w:w="60"/>
        <w:gridCol w:w="125"/>
        <w:gridCol w:w="590"/>
        <w:gridCol w:w="60"/>
        <w:gridCol w:w="60"/>
        <w:gridCol w:w="101"/>
        <w:gridCol w:w="564"/>
        <w:gridCol w:w="200"/>
      </w:tblGrid>
      <w:tr>
        <w:trPr/>
        <w:tc>
          <w:tcPr>
            <w:tcW w:w="240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2470" w:type="dxa"/>
            <w:gridSpan w:val="6"/>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Fiscal Year Ended</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15" w:type="dxa"/>
            <w:gridSpan w:val="2"/>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65" w:type="dxa"/>
            <w:gridSpan w:val="2"/>
            <w:tcBorders/>
            <w:vAlign w:val="center"/>
          </w:tcPr>
          <w:p>
            <w:pPr>
              <w:pStyle w:val="TableContents"/>
              <w:bidi w:val="0"/>
              <w:spacing w:before="0" w:after="283"/>
              <w:jc w:val="center"/>
              <w:rPr>
                <w:caps w:val="false"/>
                <w:smallCaps w:val="false"/>
              </w:rPr>
            </w:pPr>
            <w:r>
              <w:rPr>
                <w:caps w:val="false"/>
                <w:smallCaps w:val="false"/>
              </w:rPr>
              <w:t> </w:t>
            </w:r>
          </w:p>
        </w:tc>
        <w:tc>
          <w:tcPr>
            <w:tcW w:w="20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240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174"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December 28,</w:t>
            </w:r>
          </w:p>
        </w:tc>
        <w:tc>
          <w:tcPr>
            <w:tcW w:w="61" w:type="dxa"/>
            <w:tcBorders/>
            <w:vAlign w:val="center"/>
          </w:tcPr>
          <w:p>
            <w:pPr>
              <w:pStyle w:val="TableContents"/>
              <w:bidi w:val="0"/>
              <w:spacing w:before="0" w:after="283"/>
              <w:jc w:val="left"/>
              <w:rPr>
                <w:caps w:val="false"/>
                <w:smallCaps w:val="false"/>
              </w:rPr>
            </w:pPr>
            <w:r>
              <w:rPr>
                <w:caps w:val="false"/>
                <w:smallCaps w:val="false"/>
              </w:rPr>
              <w:t> </w:t>
            </w:r>
          </w:p>
        </w:tc>
        <w:tc>
          <w:tcPr>
            <w:tcW w:w="61" w:type="dxa"/>
            <w:tcBorders/>
            <w:vAlign w:val="center"/>
          </w:tcPr>
          <w:p>
            <w:pPr>
              <w:pStyle w:val="TableContents"/>
              <w:bidi w:val="0"/>
              <w:spacing w:before="0" w:after="283"/>
              <w:jc w:val="left"/>
              <w:rPr>
                <w:caps w:val="false"/>
                <w:smallCaps w:val="false"/>
              </w:rPr>
            </w:pPr>
            <w:r>
              <w:rPr>
                <w:caps w:val="false"/>
                <w:smallCaps w:val="false"/>
              </w:rPr>
              <w:t> </w:t>
            </w:r>
          </w:p>
        </w:tc>
        <w:tc>
          <w:tcPr>
            <w:tcW w:w="1174"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December 29,</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15"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65"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20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240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174"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2025</w:t>
            </w:r>
          </w:p>
        </w:tc>
        <w:tc>
          <w:tcPr>
            <w:tcW w:w="61" w:type="dxa"/>
            <w:tcBorders/>
            <w:vAlign w:val="center"/>
          </w:tcPr>
          <w:p>
            <w:pPr>
              <w:pStyle w:val="TableContents"/>
              <w:bidi w:val="0"/>
              <w:spacing w:before="0" w:after="283"/>
              <w:jc w:val="left"/>
              <w:rPr>
                <w:caps w:val="false"/>
                <w:smallCaps w:val="false"/>
              </w:rPr>
            </w:pPr>
            <w:r>
              <w:rPr>
                <w:caps w:val="false"/>
                <w:smallCaps w:val="false"/>
              </w:rPr>
              <w:t> </w:t>
            </w:r>
          </w:p>
        </w:tc>
        <w:tc>
          <w:tcPr>
            <w:tcW w:w="61" w:type="dxa"/>
            <w:tcBorders/>
            <w:vAlign w:val="center"/>
          </w:tcPr>
          <w:p>
            <w:pPr>
              <w:pStyle w:val="TableContents"/>
              <w:bidi w:val="0"/>
              <w:spacing w:before="0" w:after="283"/>
              <w:jc w:val="left"/>
              <w:rPr>
                <w:caps w:val="false"/>
                <w:smallCaps w:val="false"/>
              </w:rPr>
            </w:pPr>
            <w:r>
              <w:rPr>
                <w:caps w:val="false"/>
                <w:smallCaps w:val="false"/>
              </w:rPr>
              <w:t> </w:t>
            </w:r>
          </w:p>
        </w:tc>
        <w:tc>
          <w:tcPr>
            <w:tcW w:w="1174"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2024</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15"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Change</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65"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Change</w:t>
            </w:r>
          </w:p>
        </w:tc>
        <w:tc>
          <w:tcPr>
            <w:tcW w:w="20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240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Residential Solar Installation</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04"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7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26,298</w:t>
            </w:r>
          </w:p>
        </w:tc>
        <w:tc>
          <w:tcPr>
            <w:tcW w:w="6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04"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7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23,388</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59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2,910</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64"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w:t>
            </w:r>
          </w:p>
        </w:tc>
        <w:tc>
          <w:tcPr>
            <w:tcW w:w="20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240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New Homes Business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0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7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5,032</w:t>
            </w:r>
          </w:p>
        </w:tc>
        <w:tc>
          <w:tcPr>
            <w:tcW w:w="6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0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7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1,202</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9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3,830</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64"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319</w:t>
            </w:r>
          </w:p>
        </w:tc>
        <w:tc>
          <w:tcPr>
            <w:tcW w:w="20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240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Dealer</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04" w:type="dxa"/>
            <w:tcBorders>
              <w:bottom w:val="single" w:sz="12"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70"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5,679</w:t>
            </w:r>
          </w:p>
        </w:tc>
        <w:tc>
          <w:tcPr>
            <w:tcW w:w="6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04" w:type="dxa"/>
            <w:tcBorders>
              <w:bottom w:val="single" w:sz="12"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70"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12"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590"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5,679</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64"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20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240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Total sales commissions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04" w:type="dxa"/>
            <w:tcBorders>
              <w:bottom w:val="double" w:sz="10"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70" w:type="dxa"/>
            <w:tcBorders>
              <w:bottom w:val="double" w:sz="10"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37,009</w:t>
            </w:r>
          </w:p>
        </w:tc>
        <w:tc>
          <w:tcPr>
            <w:tcW w:w="6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04" w:type="dxa"/>
            <w:tcBorders>
              <w:bottom w:val="double" w:sz="10"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70" w:type="dxa"/>
            <w:tcBorders>
              <w:bottom w:val="double" w:sz="10"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24,590</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double" w:sz="10"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590" w:type="dxa"/>
            <w:tcBorders>
              <w:bottom w:val="double" w:sz="10"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12,419</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64"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51</w:t>
            </w:r>
          </w:p>
        </w:tc>
        <w:tc>
          <w:tcPr>
            <w:tcW w:w="20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firstLine="720"/>
        <w:jc w:val="both"/>
        <w:rPr>
          <w:caps w:val="false"/>
          <w:smallCaps w:val="false"/>
        </w:rPr>
      </w:pPr>
      <w:r>
        <w:rPr>
          <w:caps w:val="false"/>
          <w:smallCaps w:val="false"/>
        </w:rPr>
        <w:t> </w:t>
      </w:r>
    </w:p>
    <w:tbl>
      <w:tblPr>
        <w:tblW w:w="3010" w:type="dxa"/>
        <w:jc w:val="left"/>
        <w:tblInd w:w="0" w:type="dxa"/>
        <w:tblLayout w:type="fixed"/>
        <w:tblCellMar>
          <w:top w:w="0" w:type="dxa"/>
          <w:left w:w="0" w:type="dxa"/>
          <w:bottom w:w="0" w:type="dxa"/>
          <w:right w:w="0" w:type="dxa"/>
        </w:tblCellMar>
      </w:tblPr>
      <w:tblGrid>
        <w:gridCol w:w="125"/>
        <w:gridCol w:w="2885"/>
      </w:tblGrid>
      <w:tr>
        <w:trPr/>
        <w:tc>
          <w:tcPr>
            <w:tcW w:w="125" w:type="dxa"/>
            <w:tcBorders/>
            <w:vAlign w:val="center"/>
          </w:tcPr>
          <w:p>
            <w:pPr>
              <w:pStyle w:val="TableContents"/>
              <w:bidi w:val="0"/>
              <w:spacing w:before="0" w:after="283"/>
              <w:jc w:val="left"/>
              <w:rPr>
                <w:rFonts w:ascii="Times New Roman;Times;Serif" w:hAnsi="Times New Roman;Times;Serif"/>
                <w:b w:val="false"/>
                <w:i w:val="false"/>
                <w:caps w:val="false"/>
                <w:smallCaps w:val="false"/>
                <w:position w:val="7"/>
                <w:sz w:val="16"/>
                <w:sz w:val="20"/>
              </w:rPr>
            </w:pPr>
            <w:r>
              <w:rPr>
                <w:rFonts w:ascii="Times New Roman;Times;Serif" w:hAnsi="Times New Roman;Times;Serif"/>
                <w:b w:val="false"/>
                <w:i w:val="false"/>
                <w:caps w:val="false"/>
                <w:smallCaps w:val="false"/>
                <w:position w:val="7"/>
                <w:sz w:val="16"/>
                <w:sz w:val="20"/>
              </w:rPr>
              <w:t>*</w:t>
            </w:r>
          </w:p>
        </w:tc>
        <w:tc>
          <w:tcPr>
            <w:tcW w:w="288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Percentage change not meaningful.</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Residential Solar and New Homes Business sales commission increased from the prior fiscal year ended December 28, 2025 is primarily attributable to the increase in revenue.</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Sales and Marketing</w:t>
      </w:r>
    </w:p>
    <w:p>
      <w:pPr>
        <w:pStyle w:val="TextBody"/>
        <w:bidi w:val="0"/>
        <w:spacing w:before="0" w:after="0"/>
        <w:jc w:val="both"/>
        <w:rPr>
          <w:caps w:val="false"/>
          <w:smallCaps w:val="false"/>
        </w:rPr>
      </w:pPr>
      <w:r>
        <w:rPr>
          <w:caps w:val="false"/>
          <w:smallCaps w:val="false"/>
        </w:rPr>
        <w:t> </w:t>
      </w:r>
    </w:p>
    <w:tbl>
      <w:tblPr>
        <w:tblW w:w="6763" w:type="dxa"/>
        <w:jc w:val="left"/>
        <w:tblInd w:w="0" w:type="dxa"/>
        <w:tblLayout w:type="fixed"/>
        <w:tblCellMar>
          <w:top w:w="0" w:type="dxa"/>
          <w:left w:w="0" w:type="dxa"/>
          <w:bottom w:w="0" w:type="dxa"/>
          <w:right w:w="0" w:type="dxa"/>
        </w:tblCellMar>
      </w:tblPr>
      <w:tblGrid>
        <w:gridCol w:w="2405"/>
        <w:gridCol w:w="60"/>
        <w:gridCol w:w="204"/>
        <w:gridCol w:w="970"/>
        <w:gridCol w:w="65"/>
        <w:gridCol w:w="65"/>
        <w:gridCol w:w="240"/>
        <w:gridCol w:w="934"/>
        <w:gridCol w:w="60"/>
        <w:gridCol w:w="60"/>
        <w:gridCol w:w="125"/>
        <w:gridCol w:w="590"/>
        <w:gridCol w:w="60"/>
        <w:gridCol w:w="60"/>
        <w:gridCol w:w="101"/>
        <w:gridCol w:w="564"/>
        <w:gridCol w:w="200"/>
      </w:tblGrid>
      <w:tr>
        <w:trPr/>
        <w:tc>
          <w:tcPr>
            <w:tcW w:w="240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2478" w:type="dxa"/>
            <w:gridSpan w:val="6"/>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Fiscal Year Ended</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15" w:type="dxa"/>
            <w:gridSpan w:val="2"/>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65" w:type="dxa"/>
            <w:gridSpan w:val="2"/>
            <w:tcBorders/>
            <w:vAlign w:val="center"/>
          </w:tcPr>
          <w:p>
            <w:pPr>
              <w:pStyle w:val="TableContents"/>
              <w:bidi w:val="0"/>
              <w:spacing w:before="0" w:after="283"/>
              <w:jc w:val="center"/>
              <w:rPr>
                <w:caps w:val="false"/>
                <w:smallCaps w:val="false"/>
              </w:rPr>
            </w:pPr>
            <w:r>
              <w:rPr>
                <w:caps w:val="false"/>
                <w:smallCaps w:val="false"/>
              </w:rPr>
              <w:t> </w:t>
            </w:r>
          </w:p>
        </w:tc>
        <w:tc>
          <w:tcPr>
            <w:tcW w:w="20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240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174"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December 28,</w:t>
            </w:r>
          </w:p>
        </w:tc>
        <w:tc>
          <w:tcPr>
            <w:tcW w:w="65" w:type="dxa"/>
            <w:tcBorders/>
            <w:vAlign w:val="center"/>
          </w:tcPr>
          <w:p>
            <w:pPr>
              <w:pStyle w:val="TableContents"/>
              <w:bidi w:val="0"/>
              <w:spacing w:before="0" w:after="283"/>
              <w:jc w:val="left"/>
              <w:rPr>
                <w:caps w:val="false"/>
                <w:smallCaps w:val="false"/>
              </w:rPr>
            </w:pPr>
            <w:r>
              <w:rPr>
                <w:caps w:val="false"/>
                <w:smallCaps w:val="false"/>
              </w:rPr>
              <w:t> </w:t>
            </w:r>
          </w:p>
        </w:tc>
        <w:tc>
          <w:tcPr>
            <w:tcW w:w="65" w:type="dxa"/>
            <w:tcBorders/>
            <w:vAlign w:val="center"/>
          </w:tcPr>
          <w:p>
            <w:pPr>
              <w:pStyle w:val="TableContents"/>
              <w:bidi w:val="0"/>
              <w:spacing w:before="0" w:after="283"/>
              <w:jc w:val="left"/>
              <w:rPr>
                <w:caps w:val="false"/>
                <w:smallCaps w:val="false"/>
              </w:rPr>
            </w:pPr>
            <w:r>
              <w:rPr>
                <w:caps w:val="false"/>
                <w:smallCaps w:val="false"/>
              </w:rPr>
              <w:t> </w:t>
            </w:r>
          </w:p>
        </w:tc>
        <w:tc>
          <w:tcPr>
            <w:tcW w:w="1174"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December 29,</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15"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65"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20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240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174"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2025</w:t>
            </w:r>
          </w:p>
        </w:tc>
        <w:tc>
          <w:tcPr>
            <w:tcW w:w="65" w:type="dxa"/>
            <w:tcBorders/>
            <w:vAlign w:val="center"/>
          </w:tcPr>
          <w:p>
            <w:pPr>
              <w:pStyle w:val="TableContents"/>
              <w:bidi w:val="0"/>
              <w:spacing w:before="0" w:after="283"/>
              <w:jc w:val="left"/>
              <w:rPr>
                <w:caps w:val="false"/>
                <w:smallCaps w:val="false"/>
              </w:rPr>
            </w:pPr>
            <w:r>
              <w:rPr>
                <w:caps w:val="false"/>
                <w:smallCaps w:val="false"/>
              </w:rPr>
              <w:t> </w:t>
            </w:r>
          </w:p>
        </w:tc>
        <w:tc>
          <w:tcPr>
            <w:tcW w:w="65" w:type="dxa"/>
            <w:tcBorders/>
            <w:vAlign w:val="center"/>
          </w:tcPr>
          <w:p>
            <w:pPr>
              <w:pStyle w:val="TableContents"/>
              <w:bidi w:val="0"/>
              <w:spacing w:before="0" w:after="283"/>
              <w:jc w:val="left"/>
              <w:rPr>
                <w:caps w:val="false"/>
                <w:smallCaps w:val="false"/>
              </w:rPr>
            </w:pPr>
            <w:r>
              <w:rPr>
                <w:caps w:val="false"/>
                <w:smallCaps w:val="false"/>
              </w:rPr>
              <w:t> </w:t>
            </w:r>
          </w:p>
        </w:tc>
        <w:tc>
          <w:tcPr>
            <w:tcW w:w="1174"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2024</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15"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Change</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65"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Change</w:t>
            </w:r>
          </w:p>
        </w:tc>
        <w:tc>
          <w:tcPr>
            <w:tcW w:w="20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240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Residential Solar Installation</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04"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7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25,154</w:t>
            </w:r>
          </w:p>
        </w:tc>
        <w:tc>
          <w:tcPr>
            <w:tcW w:w="6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4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34"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6,827</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59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18,327</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64"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268</w:t>
            </w:r>
          </w:p>
        </w:tc>
        <w:tc>
          <w:tcPr>
            <w:tcW w:w="20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240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New Homes Business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0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7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3,253</w:t>
            </w:r>
          </w:p>
        </w:tc>
        <w:tc>
          <w:tcPr>
            <w:tcW w:w="6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4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34"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9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3,253</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64"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20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240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Dealer</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04" w:type="dxa"/>
            <w:tcBorders>
              <w:bottom w:val="single" w:sz="12"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70"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623</w:t>
            </w:r>
          </w:p>
        </w:tc>
        <w:tc>
          <w:tcPr>
            <w:tcW w:w="6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40" w:type="dxa"/>
            <w:tcBorders>
              <w:bottom w:val="single" w:sz="12"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34"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12"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590"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623</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64"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20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240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Total sales &amp; marketing</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04" w:type="dxa"/>
            <w:tcBorders>
              <w:bottom w:val="double" w:sz="10"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70" w:type="dxa"/>
            <w:tcBorders>
              <w:bottom w:val="double" w:sz="10"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29,030</w:t>
            </w:r>
          </w:p>
        </w:tc>
        <w:tc>
          <w:tcPr>
            <w:tcW w:w="6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40" w:type="dxa"/>
            <w:tcBorders>
              <w:bottom w:val="double" w:sz="10"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34" w:type="dxa"/>
            <w:tcBorders>
              <w:bottom w:val="double" w:sz="10"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6,827</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double" w:sz="10"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590" w:type="dxa"/>
            <w:tcBorders>
              <w:bottom w:val="double" w:sz="10"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22,203</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64"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325</w:t>
            </w:r>
          </w:p>
        </w:tc>
        <w:tc>
          <w:tcPr>
            <w:tcW w:w="20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firstLine="720"/>
        <w:jc w:val="both"/>
        <w:rPr>
          <w:caps w:val="false"/>
          <w:smallCaps w:val="false"/>
        </w:rPr>
      </w:pPr>
      <w:r>
        <w:rPr>
          <w:caps w:val="false"/>
          <w:smallCaps w:val="false"/>
        </w:rPr>
        <w:t> </w:t>
      </w:r>
    </w:p>
    <w:tbl>
      <w:tblPr>
        <w:tblW w:w="3010" w:type="dxa"/>
        <w:jc w:val="left"/>
        <w:tblInd w:w="0" w:type="dxa"/>
        <w:tblLayout w:type="fixed"/>
        <w:tblCellMar>
          <w:top w:w="0" w:type="dxa"/>
          <w:left w:w="0" w:type="dxa"/>
          <w:bottom w:w="0" w:type="dxa"/>
          <w:right w:w="0" w:type="dxa"/>
        </w:tblCellMar>
      </w:tblPr>
      <w:tblGrid>
        <w:gridCol w:w="125"/>
        <w:gridCol w:w="2885"/>
      </w:tblGrid>
      <w:tr>
        <w:trPr/>
        <w:tc>
          <w:tcPr>
            <w:tcW w:w="125" w:type="dxa"/>
            <w:tcBorders/>
            <w:vAlign w:val="center"/>
          </w:tcPr>
          <w:p>
            <w:pPr>
              <w:pStyle w:val="TableContents"/>
              <w:bidi w:val="0"/>
              <w:spacing w:before="0" w:after="283"/>
              <w:jc w:val="left"/>
              <w:rPr>
                <w:rFonts w:ascii="Times New Roman;Times;Serif" w:hAnsi="Times New Roman;Times;Serif"/>
                <w:b w:val="false"/>
                <w:i w:val="false"/>
                <w:caps w:val="false"/>
                <w:smallCaps w:val="false"/>
                <w:position w:val="7"/>
                <w:sz w:val="16"/>
                <w:sz w:val="20"/>
              </w:rPr>
            </w:pPr>
            <w:r>
              <w:rPr>
                <w:rFonts w:ascii="Times New Roman;Times;Serif" w:hAnsi="Times New Roman;Times;Serif"/>
                <w:b w:val="false"/>
                <w:i w:val="false"/>
                <w:caps w:val="false"/>
                <w:smallCaps w:val="false"/>
                <w:position w:val="7"/>
                <w:sz w:val="16"/>
                <w:sz w:val="20"/>
              </w:rPr>
              <w:t>*</w:t>
            </w:r>
          </w:p>
        </w:tc>
        <w:tc>
          <w:tcPr>
            <w:tcW w:w="288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Percentage change not meaningful.</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Residential Solar Installation expense increased in fiscal 2025 compared to fiscal 2024 due to increase in overall headcount due to combined business and increasing sales and marketing footprint. New Homes Business increased when compared to prior year primarily attributable to our decision to invest in sales and marketing efforts in fiscal 2025.</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 xml:space="preserve">General and Administrative </w:t>
      </w:r>
    </w:p>
    <w:p>
      <w:pPr>
        <w:pStyle w:val="TextBody"/>
        <w:bidi w:val="0"/>
        <w:spacing w:before="0" w:after="0"/>
        <w:jc w:val="both"/>
        <w:rPr>
          <w:caps w:val="false"/>
          <w:smallCaps w:val="false"/>
        </w:rPr>
      </w:pPr>
      <w:r>
        <w:rPr>
          <w:caps w:val="false"/>
          <w:smallCaps w:val="false"/>
        </w:rPr>
        <w:t> </w:t>
      </w:r>
    </w:p>
    <w:tbl>
      <w:tblPr>
        <w:tblW w:w="7025" w:type="dxa"/>
        <w:jc w:val="left"/>
        <w:tblInd w:w="0" w:type="dxa"/>
        <w:tblLayout w:type="fixed"/>
        <w:tblCellMar>
          <w:top w:w="0" w:type="dxa"/>
          <w:left w:w="0" w:type="dxa"/>
          <w:bottom w:w="0" w:type="dxa"/>
          <w:right w:w="0" w:type="dxa"/>
        </w:tblCellMar>
      </w:tblPr>
      <w:tblGrid>
        <w:gridCol w:w="2675"/>
        <w:gridCol w:w="60"/>
        <w:gridCol w:w="204"/>
        <w:gridCol w:w="970"/>
        <w:gridCol w:w="61"/>
        <w:gridCol w:w="61"/>
        <w:gridCol w:w="204"/>
        <w:gridCol w:w="970"/>
        <w:gridCol w:w="60"/>
        <w:gridCol w:w="60"/>
        <w:gridCol w:w="125"/>
        <w:gridCol w:w="590"/>
        <w:gridCol w:w="60"/>
        <w:gridCol w:w="60"/>
        <w:gridCol w:w="137"/>
        <w:gridCol w:w="528"/>
        <w:gridCol w:w="200"/>
      </w:tblGrid>
      <w:tr>
        <w:trPr/>
        <w:tc>
          <w:tcPr>
            <w:tcW w:w="2675"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2470" w:type="dxa"/>
            <w:gridSpan w:val="6"/>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Fiscal Year Ended</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15" w:type="dxa"/>
            <w:gridSpan w:val="2"/>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65" w:type="dxa"/>
            <w:gridSpan w:val="2"/>
            <w:tcBorders/>
            <w:vAlign w:val="center"/>
          </w:tcPr>
          <w:p>
            <w:pPr>
              <w:pStyle w:val="TableContents"/>
              <w:bidi w:val="0"/>
              <w:spacing w:before="0" w:after="283"/>
              <w:jc w:val="center"/>
              <w:rPr>
                <w:caps w:val="false"/>
                <w:smallCaps w:val="false"/>
              </w:rPr>
            </w:pPr>
            <w:r>
              <w:rPr>
                <w:caps w:val="false"/>
                <w:smallCaps w:val="false"/>
              </w:rPr>
              <w:t> </w:t>
            </w:r>
          </w:p>
        </w:tc>
        <w:tc>
          <w:tcPr>
            <w:tcW w:w="20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2675"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174"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December 28,</w:t>
            </w:r>
          </w:p>
        </w:tc>
        <w:tc>
          <w:tcPr>
            <w:tcW w:w="61" w:type="dxa"/>
            <w:tcBorders/>
            <w:vAlign w:val="center"/>
          </w:tcPr>
          <w:p>
            <w:pPr>
              <w:pStyle w:val="TableContents"/>
              <w:bidi w:val="0"/>
              <w:spacing w:before="0" w:after="283"/>
              <w:jc w:val="left"/>
              <w:rPr>
                <w:caps w:val="false"/>
                <w:smallCaps w:val="false"/>
              </w:rPr>
            </w:pPr>
            <w:r>
              <w:rPr>
                <w:caps w:val="false"/>
                <w:smallCaps w:val="false"/>
              </w:rPr>
              <w:t> </w:t>
            </w:r>
          </w:p>
        </w:tc>
        <w:tc>
          <w:tcPr>
            <w:tcW w:w="61" w:type="dxa"/>
            <w:tcBorders/>
            <w:vAlign w:val="center"/>
          </w:tcPr>
          <w:p>
            <w:pPr>
              <w:pStyle w:val="TableContents"/>
              <w:bidi w:val="0"/>
              <w:spacing w:before="0" w:after="283"/>
              <w:jc w:val="left"/>
              <w:rPr>
                <w:caps w:val="false"/>
                <w:smallCaps w:val="false"/>
              </w:rPr>
            </w:pPr>
            <w:r>
              <w:rPr>
                <w:caps w:val="false"/>
                <w:smallCaps w:val="false"/>
              </w:rPr>
              <w:t> </w:t>
            </w:r>
          </w:p>
        </w:tc>
        <w:tc>
          <w:tcPr>
            <w:tcW w:w="1174"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December 29,</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15"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65"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20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2675"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174"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2025</w:t>
            </w:r>
          </w:p>
        </w:tc>
        <w:tc>
          <w:tcPr>
            <w:tcW w:w="61" w:type="dxa"/>
            <w:tcBorders/>
            <w:vAlign w:val="center"/>
          </w:tcPr>
          <w:p>
            <w:pPr>
              <w:pStyle w:val="TableContents"/>
              <w:bidi w:val="0"/>
              <w:spacing w:before="0" w:after="283"/>
              <w:jc w:val="left"/>
              <w:rPr>
                <w:caps w:val="false"/>
                <w:smallCaps w:val="false"/>
              </w:rPr>
            </w:pPr>
            <w:r>
              <w:rPr>
                <w:caps w:val="false"/>
                <w:smallCaps w:val="false"/>
              </w:rPr>
              <w:t> </w:t>
            </w:r>
          </w:p>
        </w:tc>
        <w:tc>
          <w:tcPr>
            <w:tcW w:w="61" w:type="dxa"/>
            <w:tcBorders/>
            <w:vAlign w:val="center"/>
          </w:tcPr>
          <w:p>
            <w:pPr>
              <w:pStyle w:val="TableContents"/>
              <w:bidi w:val="0"/>
              <w:spacing w:before="0" w:after="283"/>
              <w:jc w:val="left"/>
              <w:rPr>
                <w:caps w:val="false"/>
                <w:smallCaps w:val="false"/>
              </w:rPr>
            </w:pPr>
            <w:r>
              <w:rPr>
                <w:caps w:val="false"/>
                <w:smallCaps w:val="false"/>
              </w:rPr>
              <w:t> </w:t>
            </w:r>
          </w:p>
        </w:tc>
        <w:tc>
          <w:tcPr>
            <w:tcW w:w="1174"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2024</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15"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Change</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65"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Change</w:t>
            </w:r>
          </w:p>
        </w:tc>
        <w:tc>
          <w:tcPr>
            <w:tcW w:w="20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267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Residential Solar Installation</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04"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7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58,597</w:t>
            </w:r>
          </w:p>
        </w:tc>
        <w:tc>
          <w:tcPr>
            <w:tcW w:w="6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04"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7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57,641</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59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956</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28"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w:t>
            </w:r>
          </w:p>
        </w:tc>
        <w:tc>
          <w:tcPr>
            <w:tcW w:w="20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267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New Homes Business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0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7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29,648</w:t>
            </w:r>
          </w:p>
        </w:tc>
        <w:tc>
          <w:tcPr>
            <w:tcW w:w="6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0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7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18,953</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9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10,695</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28"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56</w:t>
            </w:r>
          </w:p>
        </w:tc>
        <w:tc>
          <w:tcPr>
            <w:tcW w:w="20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267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Dealer</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04" w:type="dxa"/>
            <w:tcBorders>
              <w:bottom w:val="single" w:sz="12"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70"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1,859</w:t>
            </w:r>
          </w:p>
        </w:tc>
        <w:tc>
          <w:tcPr>
            <w:tcW w:w="6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04" w:type="dxa"/>
            <w:tcBorders>
              <w:bottom w:val="single" w:sz="12"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70"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12"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590"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1,859</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28"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20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267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Total general and administrative</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04" w:type="dxa"/>
            <w:tcBorders>
              <w:bottom w:val="double" w:sz="10"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70" w:type="dxa"/>
            <w:tcBorders>
              <w:bottom w:val="double" w:sz="10"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90,104</w:t>
            </w:r>
          </w:p>
        </w:tc>
        <w:tc>
          <w:tcPr>
            <w:tcW w:w="6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04" w:type="dxa"/>
            <w:tcBorders>
              <w:bottom w:val="double" w:sz="10"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70" w:type="dxa"/>
            <w:tcBorders>
              <w:bottom w:val="double" w:sz="10"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76,594</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double" w:sz="10"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590" w:type="dxa"/>
            <w:tcBorders>
              <w:bottom w:val="double" w:sz="10"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13,510</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28"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w:t>
            </w:r>
          </w:p>
        </w:tc>
        <w:tc>
          <w:tcPr>
            <w:tcW w:w="20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jc w:val="both"/>
        <w:rPr>
          <w:caps w:val="false"/>
          <w:smallCaps w:val="false"/>
        </w:rPr>
      </w:pPr>
      <w:r>
        <w:rPr>
          <w:caps w:val="false"/>
          <w:smallCaps w:val="false"/>
        </w:rPr>
        <w:t> </w:t>
      </w:r>
    </w:p>
    <w:tbl>
      <w:tblPr>
        <w:tblW w:w="3010" w:type="dxa"/>
        <w:jc w:val="left"/>
        <w:tblInd w:w="0" w:type="dxa"/>
        <w:tblLayout w:type="fixed"/>
        <w:tblCellMar>
          <w:top w:w="0" w:type="dxa"/>
          <w:left w:w="0" w:type="dxa"/>
          <w:bottom w:w="0" w:type="dxa"/>
          <w:right w:w="0" w:type="dxa"/>
        </w:tblCellMar>
      </w:tblPr>
      <w:tblGrid>
        <w:gridCol w:w="125"/>
        <w:gridCol w:w="2885"/>
      </w:tblGrid>
      <w:tr>
        <w:trPr/>
        <w:tc>
          <w:tcPr>
            <w:tcW w:w="125" w:type="dxa"/>
            <w:tcBorders/>
            <w:vAlign w:val="center"/>
          </w:tcPr>
          <w:p>
            <w:pPr>
              <w:pStyle w:val="TableContents"/>
              <w:bidi w:val="0"/>
              <w:spacing w:before="0" w:after="283"/>
              <w:jc w:val="left"/>
              <w:rPr>
                <w:rFonts w:ascii="Times New Roman;Times;Serif" w:hAnsi="Times New Roman;Times;Serif"/>
                <w:b w:val="false"/>
                <w:i w:val="false"/>
                <w:caps w:val="false"/>
                <w:smallCaps w:val="false"/>
                <w:position w:val="7"/>
                <w:sz w:val="16"/>
                <w:sz w:val="20"/>
              </w:rPr>
            </w:pPr>
            <w:r>
              <w:rPr>
                <w:rFonts w:ascii="Times New Roman;Times;Serif" w:hAnsi="Times New Roman;Times;Serif"/>
                <w:b w:val="false"/>
                <w:i w:val="false"/>
                <w:caps w:val="false"/>
                <w:smallCaps w:val="false"/>
                <w:position w:val="7"/>
                <w:sz w:val="16"/>
                <w:sz w:val="20"/>
              </w:rPr>
              <w:t>*</w:t>
            </w:r>
          </w:p>
        </w:tc>
        <w:tc>
          <w:tcPr>
            <w:tcW w:w="288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Percentage change not meaningful.</w:t>
            </w:r>
          </w:p>
        </w:tc>
      </w:tr>
    </w:tbl>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Residential Solar Installation expenses decreased as a result of declines in our legacy operations following a strategic resizing of this reportable segment including reduction of personnel costs. New Homes Business increased due a full year of operations in fiscal 2025. Dealer reportable segment expenses increased entirely attributable to our acquisition of Sunder.</w:t>
      </w:r>
    </w:p>
    <w:p>
      <w:pPr>
        <w:pStyle w:val="TextBody"/>
        <w:shd w:fill="FFFFFF" w:val="clear"/>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58</w:t>
      </w:r>
    </w:p>
    <w:p>
      <w:pPr>
        <w:pStyle w:val="TextBody"/>
        <w:bidi w:val="0"/>
        <w:spacing w:before="0" w:after="0"/>
        <w:ind w:left="0" w:right="0" w:hanging="0"/>
        <w:jc w:val="left"/>
        <w:rPr/>
      </w:pPr>
      <w:r>
        <w:rPr/>
        <w:t> </w:t>
      </w:r>
    </w:p>
    <w:p>
      <w:pPr>
        <w:pStyle w:val="TextBody"/>
        <w:shd w:fill="FFFFFF" w:val="clear"/>
        <w:bidi w:val="0"/>
        <w:spacing w:before="0" w:after="0"/>
        <w:jc w:val="left"/>
        <w:rPr>
          <w:caps w:val="false"/>
          <w:smallCaps w:val="false"/>
        </w:rPr>
      </w:pPr>
      <w:r>
        <w:rPr>
          <w:caps w:val="false"/>
          <w:smallCaps w:val="false"/>
        </w:rPr>
        <w:t> </w:t>
      </w:r>
    </w:p>
    <w:p>
      <w:pPr>
        <w:pStyle w:val="TextBody"/>
        <w:bidi w:val="0"/>
        <w:spacing w:before="0" w:after="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Interest Expense</w:t>
      </w:r>
    </w:p>
    <w:p>
      <w:pPr>
        <w:pStyle w:val="TextBody"/>
        <w:shd w:fill="FFFFFF" w:val="clear"/>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Interest expense inclusive of amortization of debt issuance costs was $25.1 million in fiscal 2025 and principally consisted of $20.4 million attributable to our 7.0% senior unsecured convertible notes and $3.4 million attributable to our 12.0% senior unsecured convertible notes with the remainder attributable to interest expense on our other obligations.</w:t>
      </w:r>
    </w:p>
    <w:p>
      <w:pPr>
        <w:pStyle w:val="TextBody"/>
        <w:shd w:fill="FFFFFF" w:val="clear"/>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Interest expense inclusive of amortization of debt issuance costs was $16.2 million in fiscal 2024 and principally consisted of (i) $5.5 million related to our 7.0% senior unsecured convertible notes, (ii) $3.5 million related to our 12.0% senior unsecured convertible notes, (iii) $5.8 million relating to obligations that were exchanged during fiscal 2024 for 12.0% senior unsecured convertible notes, and (iv) other of $1.4 million.</w:t>
      </w:r>
    </w:p>
    <w:p>
      <w:pPr>
        <w:pStyle w:val="TextBody"/>
        <w:shd w:fill="FFFFFF" w:val="clear"/>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 xml:space="preserve">Other Non-Operating Income, Net </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non-operating income, net, was $9.3 million in fiscal 2025. Other income principally consisted of $11.5 million of gains from changes in the fair value of derivative liabilities associated with our 12.0% and 7.0% senior unsecured convertible notes and other non-cash income and other of $1.3 million. These gains were partially offset by a $2.8 million increase in the fair value of our public, private placement and working capital warrants accounted for as liabilities, $0.5 million increase in the fair value of our forward purchase agreements liabilities, and $0.2 million increase in the fair value of a SAFE Agreement liability.</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non-operating income, net was $7.9 million in fiscal 2024. The amounts consisted primarily of a $34.0 million gain on remeasurement of derivative liabilities associated with our 12.0% and 7.0% senior unsecured convertible notes, a $2.9 million net gain due to changes in fair values of warrants accounted for as liabilities, a $0.6 million gain due to the change in the fair value of SAFE Agreements and net other of $0.2 million partially offset by a $24.7 million loss on issuance of a derivative liabilities, $3.8 million of other financing costs and $1.3 million loss on the conversion of SAFE Agreements.</w:t>
      </w:r>
    </w:p>
    <w:p>
      <w:pPr>
        <w:pStyle w:val="TextBody"/>
        <w:shd w:fill="FFFFFF" w:val="clear"/>
        <w:bidi w:val="0"/>
        <w:spacing w:before="0" w:after="0"/>
        <w:ind w:left="0" w:right="0" w:firstLine="72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Net Loss from Continuing Operations</w:t>
      </w:r>
    </w:p>
    <w:p>
      <w:pPr>
        <w:pStyle w:val="TextBody"/>
        <w:shd w:fill="FFFFFF" w:val="clear"/>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net loss from continuing operations in 2025, was $44.3 million, a decrease in net loss of $10.1 million, as compared to a net loss from continuing operations of $54.4 million in 2024.</w:t>
      </w:r>
    </w:p>
    <w:p>
      <w:pPr>
        <w:pStyle w:val="TextBody"/>
        <w:shd w:fill="FFFFFF" w:val="clear"/>
        <w:bidi w:val="0"/>
        <w:spacing w:before="0" w:after="0"/>
        <w:ind w:left="0" w:right="0" w:firstLine="72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Liquidity and Capital Resources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Overview</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operating loss was $19.2 million in the thirteen week period ended March 29, 2026. As of March 29, 2026, we had an accumulated deficit of $451.5 million, current debt of $38.0 million, and cash and cash equivalents (excluding restricted cash) of $9.5 million which was held for working capital expenditures. We believe our operating losses and negative operating cash flows will continue into the foreseeable future.</w:t>
      </w:r>
    </w:p>
    <w:p>
      <w:pPr>
        <w:pStyle w:val="TextBody"/>
        <w:shd w:fill="FFFFFF" w:val="clear"/>
        <w:bidi w:val="0"/>
        <w:spacing w:before="0" w:after="0"/>
        <w:ind w:left="0" w:right="0" w:firstLine="72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Material Changes to our Liquidity and Capital Resources since December 28, 2025</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Amendment to White Lion Purchase Agreement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January 11, 2026, we and White Lion Capital, LLC (“White Lion”) entered into Amendment No. 3 (the “Amendment No. 3”) to the Common Stock Purchase Agreement, dated July 16, 2024, between the Company and White Lion, as previously amended by Amendment No. 1, effective July 24, 2024, and Amendment No. 2, effective August 14, 2024 (as amended, the “Purchase Agreement”). Amendment No. 3 extends the commitment period under the Purchase Agreement (the “Commitment Period”) to the earlier of December 31, 2027 and the date on which White Lion has purchased an aggregate number of shares of our common stock equal to the Commitment Amount (as defined below). Further, Amendment No. 3 increases, subject to approval by the Company’s stockholders, the commitment amount under the Purchase Agreement to $55.0 million of shares of its common stock (the “Commitment Amount”), which the Company may elect to sell to White Lion pursuant to the Purchase Agreement, from time to time in our sole discretion, during the Commitment Period. Lastly, Amendment No. 3 adds an option for the Company to submit three hour rapid purchase notices to White Lion that, if accepted by White Lion and otherwise delivered in accordance with the Purchase Agreement, would enable us to sell shares of our common stock to White Lion based on the lowest traded price of our common stock during the three-hour valuation period following White Lion’s written acceptance of a three hour purchase notice.</w:t>
      </w:r>
    </w:p>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59</w:t>
      </w:r>
    </w:p>
    <w:p>
      <w:pPr>
        <w:pStyle w:val="TextBody"/>
        <w:bidi w:val="0"/>
        <w:spacing w:before="0" w:after="0"/>
        <w:ind w:left="0" w:right="0" w:hanging="0"/>
        <w:jc w:val="left"/>
        <w:rPr/>
      </w:pPr>
      <w:r>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Standby Equity Purchase Agreement and $1.9 Million Note</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January 27, 2026, we entered into a Standby Equity Purchase Agreement (the “SEPA”) with YA II PN, LTD. (“YA”). Under the SEPA, YA agreed to advance up to $20.0 million (the “Prepaid Advances”) to us in the form of convertible promissory notes. (each, a “Promissory Note”), subject to the terms and conditions of the SEPA. As discussed below, we received an initial Pre-Paid Advance of $1.9 million, and the Company’s rights to further Pre-Paid Advances terminated pursuant to the terms of the SEPA. The Pre-Paid Advance under the Promissory Notes accrue interest at 0% per annum, increasing to 18% per annum upon the occurrence of an event of default. The Pre-Paid Advance that we received was funded at a 10% original issue discount. In addition, the SEPA provides us with the right, but not the obligation, to require YA to purchase up to $25.0 million (“Commitment Amount”) of our common stock through January 27, 2029, subject to customary limitations and conditions, including trading volume and ownership limitations.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SEPA will automatically terminate on the earliest to occur of (i) January 27, 2029 or (ii) the date on which YA has purchased from us under the SEPA the Commitment Amount in full. We may terminate the SEPA at any time upon five trading days’ prior written notice to YA, provided that there are no outstanding advance notices under which we have yet to issue shares of our common stock, there are no amounts outstanding under any promissory notes, and provided that we have paid all amounts owed to YA pursuant to the SEPA. We and YA may also agree to terminate the SEPA by mutual written consent.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view the SEPA as a flexible source of potential liquidity; however, the issuance of equity under the SEPA could result in dilution to existing stockholders, and the availability of proceeds is subject to market conditions and compliance with the agreement’s terms.</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the execution of the SEPA, we paid YA a due diligence, structuring and commitment fee totaling $0.4 million which consisted of $0.05 million cash and 175,000 shares of common stock.</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January 27, 2026 the first Pre-Paid Advance was disbursed. The gross amount of the borrowing under the Pre-Paid Advance was $1.9 million, which was advanced under a Promissory Note (“$1.9 Million Note”), for net proceeds received totaling $1.7 million after the contractual discount. The $1.9 Million Note matures on January 27, 2027, subject to extension at YA’s option, and is convertible into shares of our common stock.</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 xml:space="preserve">March 2026 Bridge Note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March 6, 2026, we entered into a purchase agreement with YA pursuant to which we issued a convertible debenture in the principal amount of $10.0 million (the “March 2026 Bridge Note”) for net proceeds of approximately $9.0 million, after fees.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March 2026 Bridge Note bears interest at 0% per annum, increasing to 18% per annum upon the occurrence of an event of default, and matures on March 6, 2027, subject to extension at YA’s option. Beginning on May 6, 2026, we are required to make monthly installment payments through September 6, 2026, each consisting of $2.0 million of principal, a payment premium of $0.06 million, and any accrued interest. Each installment may be satisfied, at the Company’s option, in cash, through the issuance of shares pursuant to an advance notice under the SEPA, or through a combination of both. The terms of the March 2026 Bridge Note were subsequently amended as summarized below.</w:t>
      </w:r>
    </w:p>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60</w:t>
      </w:r>
    </w:p>
    <w:p>
      <w:pPr>
        <w:pStyle w:val="TextBody"/>
        <w:bidi w:val="0"/>
        <w:spacing w:before="0" w:after="0"/>
        <w:ind w:left="0" w:right="0" w:hanging="0"/>
        <w:jc w:val="left"/>
        <w:rPr/>
      </w:pPr>
      <w:r>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March 2026 Bridge Note is convertible into shares of our common stock at the option of YA. Outstanding balances may be converted at an adjusted fixed price of $1.64 per share, or, with respect to amounts due and unpaid on or after an installment date, at a variable price based on a percentage of our stock’s recent trading prices, subject to a floor price. The March 2026 Bridge Note also permits us, under certain conditions, to redeem amounts outstanding prior to maturity, which may require the payment of a premium depending on the timing of such redemption.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 any time after issuance, YA may convert all or a portion of the outstanding principal balance into shares of the Company’s common stock at an adjusted fixed conversion price of $1.64 per share (the “Fixed Price”). In addition, any Installment Amount that remains unpaid following an Installment Date may be converted at a price equal to 95% of the volume weighted average price (“VWAP”) of the Company’s common stock during the five trading days immediately preceding the conversion date, subject to a minimum conversion price equal to the then-applicable floor price.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may, at its option, redeem all or a portion of the outstanding balance of the March 2026 Bridge Note (an “Optional Redemption”) upon written notice to YA, provided that the VWAP of the Company’s common stock at the time of such notice is less than the Fixed Price. The redemption price equals (i) the principal amount redeemed, (ii) a premium of 3% of such principal amount, and (iii) any accrued and unpaid interest; provided that the premium does not apply to Optional Redemptions completed on or prior to April 30, 2026.</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Financing transactions subsequent to March 29, 2026</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Subsequent to the quarter ended March 29, 2026, we completed several significant financing and capital restructuring transactions. On April 21, 2026, we completed a private offering (“Private Offering”) of $41.0 million aggregate principal amount of 10.0% Convertible Senior Secured Notes due 2029 (the “10% Senior Secured Notes”). The Private Offering included (i) $25.0 million of notes issued to institutional investors, (ii) $6.0 million of notes issued to an affiliate of our CEO in exchange for amounts previously advanced under the Third SAFE and Fourth SAFE (refer to </w:t>
      </w:r>
      <w:r>
        <w:rPr>
          <w:rFonts w:ascii="Times New Roman;Times;Serif" w:hAnsi="Times New Roman;Times;Serif"/>
          <w:b/>
          <w:i w:val="false"/>
          <w:caps w:val="false"/>
          <w:smallCaps w:val="false"/>
          <w:sz w:val="20"/>
        </w:rPr>
        <w:t>Note 8 – SAFE Agreement</w:t>
      </w:r>
      <w:r>
        <w:rPr>
          <w:rFonts w:ascii="Times New Roman;Times;Serif" w:hAnsi="Times New Roman;Times;Serif"/>
          <w:b w:val="false"/>
          <w:i w:val="false"/>
          <w:caps w:val="false"/>
          <w:smallCaps w:val="false"/>
          <w:sz w:val="20"/>
        </w:rPr>
        <w:t xml:space="preserve"> and </w:t>
      </w:r>
      <w:r>
        <w:rPr>
          <w:rFonts w:ascii="Times New Roman;Times;Serif" w:hAnsi="Times New Roman;Times;Serif"/>
          <w:b/>
          <w:i w:val="false"/>
          <w:caps w:val="false"/>
          <w:smallCaps w:val="false"/>
          <w:sz w:val="20"/>
        </w:rPr>
        <w:t xml:space="preserve">Note 18 – Subsequent Events to Unaudited Condensed Consolidated Financial Statements </w:t>
      </w:r>
      <w:r>
        <w:rPr>
          <w:rFonts w:ascii="Times New Roman;Times;Serif" w:hAnsi="Times New Roman;Times;Serif"/>
          <w:b w:val="false"/>
          <w:i w:val="false"/>
          <w:caps w:val="false"/>
          <w:smallCaps w:val="false"/>
          <w:sz w:val="20"/>
        </w:rPr>
        <w:t>for details of the SAFE Agreements) and (iii) $10.0 million of notes issued in connection with the exchange of the Seller Note (as described below). Net proceeds from the Private Offering, after payment of transaction fees and expenses and the settlement of certain obligations, were approximately $9.8 million.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used a portion of the gross proceeds from the offering to (i) prepay $5.0 million of the March 2026 Bridge Note, (ii) satisfy payment obligations under an amended settlement agreement with Siemens totaling $4.75 million, (iii) make a $4.0 million cash payment to CPP Note Purchase Agreement (as defined below); and (iv) pay approximately $1.5 million of fees and expenses incurred in connection with the private offering. The remaining proceeds are expected to be used for working capital and general corporate purposes, including repayment of the remaining balance under the March 2026 Bridge Note.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April 21, 2026, in connection with the Private Offering, we and YA entered into a letter agreement (the “YA Letter”). Pursuant to the YA Letter, we agreed to voluntary prepay $5.0 million of the outstanding principal amount of March 2026 Bridge Note, resulting in a revised outstanding principal balance under the March 2026 Bridge Note of $5.0 million. We further agreed to repay the remaining principal balance and accrued interest under the March 2026 Bridge Note in four equal monthly installments of $1.287 million, with the first payment due on May 5, 2026. Pursuant to the YA Letter, YA further consented to the issuance of the 10% Senior Secured Notes and the grant of the liens to secure the obligations under the 10% Senior Secured Notes.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Also on April 21, 2026, we entered into a Note Purchase Agreement with CPP (the “CPP Note Purchase Agreement”) that provides for the following in exchange for the outstanding Seller Note (in addition to the issuance of $10.0 million principal amount of 10% Senior Secured Notes to CPP as summarized above): (i) we made a $4.0 million payment in cash to CPP at the closing under the CPP Note Purchase Agreement and (ii) amended and restated the outstanding Seller Note as further summarized below. In connection with the 10% Senior Secured Notes offering, we amended and restated the Seller Note (“A&amp;R Seller Note”). The A&amp;R Seller Note has a revised principal balance of $7.0 million and bears interest at 7.0% per annum, compounded quarterly, increasing to 10.0% per annum beginning May 15, 2026. The A&amp;R Seller Note is payable in four installments between October 2026 and January 2027, subject to extension if payment is restricted under the 10% Senior Secured Notes. The A&amp;R Seller Note is unsecured and contains customary events of default and change-of-control provisions.</w:t>
      </w:r>
    </w:p>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61</w:t>
      </w:r>
    </w:p>
    <w:p>
      <w:pPr>
        <w:pStyle w:val="TextBody"/>
        <w:bidi w:val="0"/>
        <w:spacing w:before="0" w:after="0"/>
        <w:ind w:left="0" w:right="0" w:hanging="0"/>
        <w:jc w:val="left"/>
        <w:rPr/>
      </w:pPr>
      <w:r>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Additionally, on April 21, 2026, we entered into privately negotiated exchange agreements with certain holders of our 7.0% Notes due 2029, pursuant to which $21.25 million of the principal amount of such notes was exchanged for shares of our common stock and cash for accrued interest, thereby reducing outstanding indebtedness and future cash interest obligations.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Liquidity Outlook</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continue to evaluate additional financing opportunities and capital management strategies to support our operating needs and strategic objectives.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primary sources of liquidity consist of existing cash balances, cash flows from operations, and access to capital under new and existing financing arrangements. We expect that installment payments under the current obligations will require the use of available cash, equity issuance, or a combination thereof. As a result, our liquidity and capital resources will continue to depend on operating performance, capital market conditions, and our ability to access equity financing arrangements.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Cash Flows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expect that our principal short-term (over the next 12 months) cash needs related to our operations will be to fund working capital, acquisitions, payments on our outstanding debt, and legal settlements. We plan to fund any cash requirements for the next 12 months from our existing cash and cash equivalents, cash generated from operations and debt and equity financings. For the long-term period (beyond 12 months), we aim to generate cash flows from operations to support our ongoing business operations and strategic investment plans. We regularly evaluate our liquidity position, debt obligations and expected cash requirements. As part of this ongoing assessment, we may pursue additional financing through the issuance of equity or the debt financing, as necessary, to meet our operational and investment needs. Our ability to obtain debt or any other additional financing that we may choose to, or need to, obtain will depend on, among other things, our development efforts, business plans, operating performance and the condition of the capital markets at the time we seek financing.</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not currently eligible to use a registration statement on Form S-3 that would allow us to continuously incorporate by reference our SEC reports into the registration statement, to use “shelf” registration statements to conduct offerings, or to use our at-the-market offering facility until approximately one year from the date we have regained and maintained status as a current filer. Our inability to use Form S-3 significantly impairs our ability to raise the necessary capital to fund our operations and execute our strategy. If we seek to access to the capital markets through a registered offering during the period of time that we are unable to use Form S-3, we may be required to publicly disclose the proposed offering and the material terms thereof before the offering commences, we may experience delays in the offering process due to SEC review of a Form S-1 registration statement and we may incur increased offering and transaction costs and other considerations. If we are unable to raise capital through a registered offering, we would be required to conduct our equity financing transactions on a private placement basis, which may be subject to pricing, size and other limitations imposed under the Nasdaq rules, or seek other sources of capital. The foregoing limitations on our financing approaches could prevent us from pursuing transactions or implementing business strategies that would be beneficial to our business.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Cash flows for the thirteen weeks ended March 29, 2026 and March 30, 2025</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following table summarizes our cash flows from operating, investing, and financing activities for the thirteen week periods ended March 29, 2026 and March 30, 2025 </w:t>
      </w:r>
      <w:r>
        <w:rPr>
          <w:rFonts w:ascii="Times New Roman;Times;Serif" w:hAnsi="Times New Roman;Times;Serif"/>
          <w:b w:val="false"/>
          <w:i/>
          <w:caps w:val="false"/>
          <w:smallCaps w:val="false"/>
          <w:sz w:val="20"/>
        </w:rPr>
        <w:t>(in thousands)</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tbl>
      <w:tblPr>
        <w:tblW w:w="6816" w:type="dxa"/>
        <w:jc w:val="left"/>
        <w:tblInd w:w="0" w:type="dxa"/>
        <w:tblLayout w:type="fixed"/>
        <w:tblCellMar>
          <w:top w:w="0" w:type="dxa"/>
          <w:left w:w="0" w:type="dxa"/>
          <w:bottom w:w="0" w:type="dxa"/>
          <w:right w:w="0" w:type="dxa"/>
        </w:tblCellMar>
      </w:tblPr>
      <w:tblGrid>
        <w:gridCol w:w="4655"/>
        <w:gridCol w:w="60"/>
        <w:gridCol w:w="152"/>
        <w:gridCol w:w="795"/>
        <w:gridCol w:w="97"/>
        <w:gridCol w:w="73"/>
        <w:gridCol w:w="165"/>
        <w:gridCol w:w="724"/>
        <w:gridCol w:w="95"/>
      </w:tblGrid>
      <w:tr>
        <w:trPr/>
        <w:tc>
          <w:tcPr>
            <w:tcW w:w="4655"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2006" w:type="dxa"/>
            <w:gridSpan w:val="6"/>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Thirteen Weeks Ended</w:t>
            </w:r>
          </w:p>
        </w:tc>
        <w:tc>
          <w:tcPr>
            <w:tcW w:w="9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4655"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47"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March 29, </w:t>
              <w:br/>
              <w:t>2026</w:t>
            </w:r>
          </w:p>
        </w:tc>
        <w:tc>
          <w:tcPr>
            <w:tcW w:w="97" w:type="dxa"/>
            <w:tcBorders/>
            <w:vAlign w:val="center"/>
          </w:tcPr>
          <w:p>
            <w:pPr>
              <w:pStyle w:val="TableContents"/>
              <w:bidi w:val="0"/>
              <w:spacing w:before="0" w:after="283"/>
              <w:jc w:val="left"/>
              <w:rPr>
                <w:caps w:val="false"/>
                <w:smallCaps w:val="false"/>
              </w:rPr>
            </w:pPr>
            <w:r>
              <w:rPr>
                <w:caps w:val="false"/>
                <w:smallCaps w:val="false"/>
              </w:rPr>
              <w:t> </w:t>
            </w:r>
          </w:p>
        </w:tc>
        <w:tc>
          <w:tcPr>
            <w:tcW w:w="73" w:type="dxa"/>
            <w:tcBorders/>
            <w:vAlign w:val="center"/>
          </w:tcPr>
          <w:p>
            <w:pPr>
              <w:pStyle w:val="TableContents"/>
              <w:bidi w:val="0"/>
              <w:spacing w:before="0" w:after="283"/>
              <w:jc w:val="left"/>
              <w:rPr>
                <w:caps w:val="false"/>
                <w:smallCaps w:val="false"/>
              </w:rPr>
            </w:pPr>
            <w:r>
              <w:rPr>
                <w:caps w:val="false"/>
                <w:smallCaps w:val="false"/>
              </w:rPr>
              <w:t> </w:t>
            </w:r>
          </w:p>
        </w:tc>
        <w:tc>
          <w:tcPr>
            <w:tcW w:w="889"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March 30 </w:t>
              <w:br/>
              <w:t>2025</w:t>
            </w:r>
          </w:p>
        </w:tc>
        <w:tc>
          <w:tcPr>
            <w:tcW w:w="9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4655" w:type="dxa"/>
            <w:tcBorders/>
            <w:shd w:fill="CCEE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cash used in operating activities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2"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79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(25,656</w:t>
            </w:r>
          </w:p>
        </w:tc>
        <w:tc>
          <w:tcPr>
            <w:tcW w:w="97"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7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6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724"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(2,627</w:t>
            </w:r>
          </w:p>
        </w:tc>
        <w:tc>
          <w:tcPr>
            <w:tcW w:w="9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4655"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cash used in investing activities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9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553</w:t>
            </w:r>
          </w:p>
        </w:tc>
        <w:tc>
          <w:tcPr>
            <w:tcW w:w="9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6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24"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4655" w:type="dxa"/>
            <w:tcBorders/>
            <w:shd w:fill="CCEE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cash provided by financing activities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9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22,267</w:t>
            </w:r>
          </w:p>
        </w:tc>
        <w:tc>
          <w:tcPr>
            <w:tcW w:w="9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6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24"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(198</w:t>
            </w:r>
          </w:p>
        </w:tc>
        <w:tc>
          <w:tcPr>
            <w:tcW w:w="9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4655"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decrease in cash, cash equivalents and restricted cash</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9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(2,836</w:t>
            </w:r>
          </w:p>
        </w:tc>
        <w:tc>
          <w:tcPr>
            <w:tcW w:w="97"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7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6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24"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(2,825</w:t>
            </w:r>
          </w:p>
        </w:tc>
        <w:tc>
          <w:tcPr>
            <w:tcW w:w="9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62</w:t>
      </w:r>
    </w:p>
    <w:p>
      <w:pPr>
        <w:pStyle w:val="TextBody"/>
        <w:bidi w:val="0"/>
        <w:spacing w:before="0" w:after="0"/>
        <w:ind w:left="0" w:right="0" w:hanging="0"/>
        <w:jc w:val="left"/>
        <w:rPr/>
      </w:pPr>
      <w:r>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Cash flows from operating activities</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cash used in operating activities was $25.6 million in the thirteen weeks ended March 29, 2026. Net income of $4.1 million was offset by unfavorable non-cash adjustments of $22.0 million and an $8.9 million net cash outflow of operating assets and liabilities. Unfavorable non-cash adjustments consisted principally of a $26.6 million change in the fair value of derivative liabilities, $5.2 million unfavorable change in the fair value of the deferred consideration, $0.6 million deferred tax benefit and $0.6 million change in the fair value of warrants, partially offset by a $3.7 million of amortization of debt issuance costs, $3.6 million of depreciation and amortization, $1.6 million of stock-based compensation expense, $1.1 million change in the fair value of forward purchase agreements, $0.5 million of non-cash lease expense and net other adjustments of $0.5 million, Net cash outflows from changes in operating assets and liabilities principally consisted of a $12.9 million decrease in contract liabilities, $10.9 million increase in prepaid expenses and other assets and a $1.8 million decrease in accounts payable, partially offset by a $9.7 million increase in accrued expenses and other current liabilities, $5.0 million decrease in accounts receivable and a $2.0 million decrease in inventories.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cash used in operating activities of $2.7 million in the thirteen weeks ended March 30, 2025, was due to net income of $4.8 million offset by $7.4 million of unfavorable noncash adjustments and $0.1 million of cash outflow from changes in operating assets and liabilities. Non-cash adjustments consisted principally of $15.1 million arising from remeasurement of derivative liabilities, partially offset by $3.7 million of amortization of debt issuance costs, $1.6 million of depreciation and amortization, $1.1 million provision for credit losses, $1.1 million due to the change in the fair value of warrants classified as liabilities, and $0.5 million of stock-based compensation. Cash outflows from changes in operating assets consisted principally of $11.3 million increase in contract assets, $4.4 million increase in prepaid expenses and other current assets, a $5.2 million decrease in accrued expenses and other liabilities, and a $0.4 million decrease in current operating lease liabilities almost entirely offset by an $11.4 million decrease in inventories, a $6.9 million increase in accounts payable and a $3.1 million decrease in contract liabilities. </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Cash flows from investing activities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cash inflow of $0.5 million from investing activities in the thirteen week period ended March 29, 2026 is attributable to the cash acquired in the acquisition of Cobalt. Cobalt was acquired in exchange for shares of our common stock.</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cash used in investing activities was zero in the thirteen-weeks ended March 30, 2025.</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Cash flows from financing activities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cash provided by financing activities from continuing operations was $22.2 million for the thirteen weeks ended March 29, 2026 and consisted principally of $10.7 million in proceeds from the issuance of short-term debt, $1.3 million in proceeds from a related party in exchange for the issuance of 12% senior unsecured convertible notes, $7.0 million of proceeds from the issuance of our common stock and a related party investor deposit of $5.0 million partially offset by $1.1 million in principal payments on our 12% senior unsecured convertible notes and $0.7 million of finance lease payments.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cash used in financing activities was $0.2 million for the thirteen weeks ended March 30, 2025, and consisted of $0.5 million of payments on our finance leases partially offset by $0.2 million in proceeds from the issuance of September 2024 Notes, and $0.1 million in proceeds from the exercise of stock options and warrants in exchange for the issuance of shares of our common stock.</w:t>
      </w:r>
    </w:p>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63</w:t>
      </w:r>
    </w:p>
    <w:p>
      <w:pPr>
        <w:pStyle w:val="TextBody"/>
        <w:bidi w:val="0"/>
        <w:spacing w:before="0" w:after="0"/>
        <w:ind w:left="0" w:right="0" w:hanging="0"/>
        <w:jc w:val="left"/>
        <w:rPr/>
      </w:pPr>
      <w:r>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Cash Flows for the Fiscal Years Ended December 28, 2025 and December 29, 2024</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following table summarizes our cash flows from operating, investing, and financing activities for the fiscal years ended </w:t>
      </w:r>
      <w:r>
        <w:rPr>
          <w:rFonts w:ascii="Times New Roman;Times;Serif" w:hAnsi="Times New Roman;Times;Serif"/>
          <w:b w:val="false"/>
          <w:i/>
          <w:caps w:val="false"/>
          <w:smallCaps w:val="false"/>
          <w:sz w:val="20"/>
        </w:rPr>
        <w:t>(in thousands)</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tbl>
      <w:tblPr>
        <w:tblW w:w="8288" w:type="dxa"/>
        <w:jc w:val="left"/>
        <w:tblInd w:w="0" w:type="dxa"/>
        <w:tblLayout w:type="fixed"/>
        <w:tblCellMar>
          <w:top w:w="0" w:type="dxa"/>
          <w:left w:w="0" w:type="dxa"/>
          <w:bottom w:w="0" w:type="dxa"/>
          <w:right w:w="0" w:type="dxa"/>
        </w:tblCellMar>
      </w:tblPr>
      <w:tblGrid>
        <w:gridCol w:w="5645"/>
        <w:gridCol w:w="60"/>
        <w:gridCol w:w="189"/>
        <w:gridCol w:w="985"/>
        <w:gridCol w:w="80"/>
        <w:gridCol w:w="60"/>
        <w:gridCol w:w="178"/>
        <w:gridCol w:w="996"/>
        <w:gridCol w:w="95"/>
      </w:tblGrid>
      <w:tr>
        <w:trPr/>
        <w:tc>
          <w:tcPr>
            <w:tcW w:w="5645"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2488" w:type="dxa"/>
            <w:gridSpan w:val="6"/>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Fiscal Year Ended</w:t>
            </w:r>
          </w:p>
        </w:tc>
        <w:tc>
          <w:tcPr>
            <w:tcW w:w="9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5645"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174"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December 28,</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174"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December 29,</w:t>
            </w:r>
          </w:p>
        </w:tc>
        <w:tc>
          <w:tcPr>
            <w:tcW w:w="9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5645"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174"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2025</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174"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2024</w:t>
            </w:r>
          </w:p>
        </w:tc>
        <w:tc>
          <w:tcPr>
            <w:tcW w:w="9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564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cash used in operating activities from continuing operations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89"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8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(15,327</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78"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9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(54,662</w:t>
            </w:r>
          </w:p>
        </w:tc>
        <w:tc>
          <w:tcPr>
            <w:tcW w:w="9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564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cash used in investing activities from continuing operations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8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8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(19,339</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7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96"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(54,657</w:t>
            </w:r>
          </w:p>
        </w:tc>
        <w:tc>
          <w:tcPr>
            <w:tcW w:w="9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564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cash provided by financing activities from continuing operations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8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8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30,905</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7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9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120,100</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564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(decrease) increase in cash, cash equivalents and restricted cash</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8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8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(3,761</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7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96"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10,803</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Cash Flows from Operating Activities</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cash used in operating activities from continuing operations of $15.3 million for the fiscal year ended December 28, 2025 was primarily due to the net loss from continuing operations, net of tax of $44.3 million and net cash outflows of $3.1 million from changes in our operating assets and liabilities which was partially offset by non-cash adjustments of $32.1 million. The main drivers of non-cash charges of $31.3 million consisted of $15.3 million of amortization of debt issuance costs, $10.5 million of stock-based compensation expense, $9.1 million of depreciation and amortization expense, $3.6 million provision for credit losses, $2.8 million loss due to the changes in the fair value warrant liabilities, $1.4 million of non-cash lease expense, and $1.3 million of deferred tax expense, partially offset by an $11.5 million change in the fair value of derivative liabilities, a $0.5 million change in the fair value of our forward purchase agreement liabilities, and a $0.6 million change in the fair value of deferred consideration in connection with our acquisition of Sunder. The main drivers of net cash outflows from changes in operating assets and liabilities consisted of a $38.8 million increase in trade accounts receivable, an $15.9 million decrease in accrued expenses and other current liabilities, a $1.5 million decrease in operating lease liabilities, a $5.6 million increase in prepaid expenses and other assets and a $3.1 million decrease in contract liabilities, partially offset by a $38.4 million decrease in inventories, a $15.3 million increase in accounts payable and an $8.5 million decrease in contract assets.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cash used in operating activities from continuing operations of $54.6 million for the fiscal year ended December 29, 2024 was primarily due to the net loss from continuing operations, net of tax of $54.4 million and net cash outflows of $6.6 million from changes in our operating assets and liabilities which was partially offset by non-cash adjustments of $6.4 million. Non-cash charges primarily consisted of $24.7 million for loss on issuance of derivative liability, $9.1 million provision for credit losses, $5.8 million of amortization of debt issuance costs, $9.2 million of non-cash expense in connection with warrants issued for vendor services, $3.1 million of stock-based compensation expense, $3.9 million accretion of debt in CS Solis, $3.8 million for asset impairment and disposals, $2.7 million for depreciation and amortization, $1.8 million for non-cash interest expense, $0.8 million for lease expense, and $1.3 million for loss on conversion of SAFE Agreements to shares of common stock, and $0.4 million of other financing costs, partially offset by a decrease of $34.0 million for the change in fair value of derivative liabilities, $22.3 million gain on troubled debt restructuring, $2.9 million change in fair value of warrant liabilities, and $1.0 million change due to fair value adjustments. The main drivers of net cash outflows derived from the changes in operating assets and liabilities were related to an increase in contract assets of $21.5 million, a $10.4 million decrease in accounts payable, a $0.8 million decrease in operating lease liabilities, and a $0.2 million increase in prepaid expenses and other current assets, partially offset by an $8.7 million decrease in inventories, a $3.3 million decrease in accounts receivable, a $14.1 million increase in accrued expenses and $0.2 million of other.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Cash Flows from Investing Activities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cash used in investing activities from continuing operations of $19.3 million in 2025 is principally attributable to the cash paid for the acquisition of Sunder.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cash used by investing activities from continuing operations of $54.7 million for the fiscal year ended December 29, 2024 was primarily due to the acquisition of SunPower of $53.5 million (net of $1.0 million of cash) and $1.2 million in capital expenditures.</w:t>
      </w:r>
    </w:p>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64</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Cash Flows from Financing Activities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cash provided by financing activities from continuing operations in 2025 was $30.9 million and consisted of $19.8 million received in exchange for 7.0% senior unsecured convertible notes, $7.0 million received from related party trusts of T.J. Rodgers, our Chairman and CEO, in exchange for 12% senior unsecured convertible notes, an investor deposit of $2.0 million received from a related party trust of T.J. Rodgers, $6.7 million in proceeds from the issuance of shares of our common stock, and $0.6 million in proceeds from the exercise of stock options and a warrant in exchange for shares of our common stock, partially offset by $2.3 million of finance lease payments, $2.2 million in payments on our debt obligations and $0.7 million for taxes paid related to net share settlement of equity awards.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cash provided by financing activities from continuing operations in 2024 was of $120.1 million and consisted of $107.7 million in proceeds from the issuance of convertible notes, $6.0 million in proceeds from the issuance of SAFE agreement, $6.7 million in proceeds from the issuance of common stock and $0.5 million in proceeds from the exercise of common stock options. The proceeds were partially offset by finance lease payments and the payment of a note aggregating $0.8 million.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Emerging Growth Company Status</w:t>
      </w:r>
    </w:p>
    <w:p>
      <w:pPr>
        <w:pStyle w:val="TextBody"/>
        <w:shd w:fill="FFFFFF" w:val="clear"/>
        <w:bidi w:val="0"/>
        <w:spacing w:before="0" w:after="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102(b)(1) of the Jumpstart Our Business Startups Act of 2012, or the JOBS Act, exempts emerging growth companies from being required to comply with new or revised financial accounting standards until private companies are required to comply with the new or revised financial accounting standards. The JOBS Act provides that a company can choose not to take advantage of the extended transition period and comply with the requirements that apply to non-emerging growth companies, and any such election to not take advantage of the extended transition period is irrevocable.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SunPower is an “emerging growth company” as defined in Section 2(a) of the Securities Act and has elected to take advantage of the benefits of the extended transition period for new or revised financial accounting standards. Following the closing of the Mergers, our post-combination company remains an emerging growth company until the earliest of (i) the last day of the fiscal year in which the market value of common stock that is held by non-affiliates exceeds $700 million as of the end of that year’s second fiscal quarter, (ii) the last day of the fiscal year in which we have total annual gross revenue of $1.235 billion or more during such fiscal year (as indexed for inflation), (iii) the date on which we have issued more than $1.0 billion in non-convertible debt in the prior three-year period, or (iv) the last day of the fiscal year ending after the fifth anniversary of our IPO. We expect to continue to take advantage of the benefits of the extended transition period, although we may decide to early adopt such new or revised accounting standards to the extent permitted by such standards. This may make it difficult or impossible to compare our financial results with the financial results of another public company that is either not an emerging growth company or is an emerging growth company that has chosen not to take advantage of the extended transition period exemptions because of the potential differences in accounting standards used.</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65</w:t>
      </w:r>
    </w:p>
    <w:p>
      <w:pPr>
        <w:pStyle w:val="TextBody"/>
        <w:bidi w:val="0"/>
        <w:spacing w:before="0" w:after="0"/>
        <w:ind w:left="0" w:right="0" w:hanging="0"/>
        <w:jc w:val="left"/>
        <w:rPr/>
      </w:pPr>
      <w:r>
        <w:rPr/>
        <w:t> </w:t>
      </w:r>
    </w:p>
    <w:p>
      <w:pPr>
        <w:pStyle w:val="TextBody"/>
        <w:bidi w:val="0"/>
        <w:spacing w:before="0" w:after="0"/>
        <w:jc w:val="center"/>
        <w:rPr>
          <w:caps/>
        </w:rPr>
      </w:pPr>
      <w:r>
        <w:rPr>
          <w:caps/>
        </w:rPr>
        <w:t> </w:t>
      </w:r>
    </w:p>
    <w:p>
      <w:pPr>
        <w:pStyle w:val="TextBody"/>
        <w:bidi w:val="0"/>
        <w:spacing w:before="0" w:after="0"/>
        <w:jc w:val="center"/>
        <w:rPr>
          <w:rFonts w:ascii="Times New Roman;Times;Serif" w:hAnsi="Times New Roman;Times;Serif"/>
          <w:b/>
          <w:i w:val="false"/>
          <w:caps/>
          <w:sz w:val="20"/>
        </w:rPr>
      </w:pPr>
      <w:bookmarkStart w:id="9" w:name="a_008"/>
      <w:bookmarkEnd w:id="9"/>
      <w:r>
        <w:rPr>
          <w:rFonts w:ascii="Times New Roman;Times;Serif" w:hAnsi="Times New Roman;Times;Serif"/>
          <w:b/>
          <w:i w:val="false"/>
          <w:caps/>
          <w:sz w:val="20"/>
        </w:rPr>
        <w:t>Business</w:t>
      </w:r>
    </w:p>
    <w:p>
      <w:pPr>
        <w:pStyle w:val="TextBody"/>
        <w:bidi w:val="0"/>
        <w:spacing w:before="0" w:after="0"/>
        <w:jc w:val="center"/>
        <w:rPr>
          <w:caps/>
        </w:rPr>
      </w:pPr>
      <w:r>
        <w:rPr>
          <w:caps/>
        </w:rPr>
        <w:t> </w:t>
      </w:r>
    </w:p>
    <w:p>
      <w:pPr>
        <w:pStyle w:val="TextBody"/>
        <w:bidi w:val="0"/>
        <w:spacing w:before="0" w:after="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Our Mission</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mission is to deliver energy-efficient solutions to homeowners and small to medium-sized businesses that allow them to lower their energy bills while reducing their carbon footprint. SunPower Inc. or SunPower, has created a unique, end-to-end offering that delivers a best-in-class customer experience with a robust technology platform, financing solutions, and high-performance solar equipment.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Business Overview</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SunPower Inc. (the “Company”) is the rebranded name of Complete Solaria, Inc. The rebranding was effective April 22, 2025 and became legally effective on October 17, 2025. We are headquartered in Orem, Utah.</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Complete Solaria, Inc. (“Complete Solaria”) was formed in November 2022 through the merger of Complete Solar Holding Corporation, a Delaware corporation (“Complete Solar”), and The Solaria Corporation, a Delaware corporation (such entity, “Solaria,” and such transaction, the “Business Combination”). Complete Solaria created a technology platform to offer clean energy products to homeowners by enabling a national network of sales partners and build partners. Our sales partners generate solar installation contracts with homeowners on our behalf. To facilitate this process, we provide the software tools, sales support and brand identity to our sales partners, making them competitive with national providers. We fulfill our customer contracts by engaging with local construction specialists and using our in-house installation experts. We manage the customer experience and complete all pre-construction activities prior to delivering build-ready projects including hardware, engineering plans, and building permits to our builder partners and in-house teams.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October 2023, we sold the solar panel assets of The Solaria Corporation, including intellectual property and customer contracts to Maxeon Solar Technologies, Ltd. (“Maxeon”) pursuant to the terms of an asset purchase agreement (the “Disposal Agreement”). Under the terms of the Disposal Agreement, Maxeon agreed to acquire certain assets and employees of Complete Solaria for an aggregate purchase price of approximately $11.0 million consisting of 1,100,000 shares of Maxeon ordinary shares.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expect to continue making acquisitions and entering into strategic partnerships as part of our long-term business strategy. For example, on September 24, 2025, we completed the purchase of all the membership interests of Sunder Energy, LLC (“Sunder”). Sunder provides a third-party solar energy sales force to initiate and execute contracts with customers throughout the United States. Sunder’s sales force works with solar installation companies in which Sunder acts as the agent for each transaction entered. Sunder earns revenue based on residential solar installation contracts for residential homeowners that are sold to installation companies in accordance with its contracts with those installation companies. Upon entering into a sales contract, the requisite performance obligation of Sunder is to assist the installation companies in the progress of the installation and obtain permission to operate. On November 21, 2025, we completed the purchase of all the membership interest of Ambia Energy, LLC (“Ambia”). Ambia is a residential solar energy system installer which operates in various markets throughout the United States. Ambia generates revenue from selling and installing solar energy systems or orchestrating the sale of a solar energy system which will be installed by a third party. On January 30, 2026, we completed the purchase of all of the equity interests of Cobalt Power Systems, Inc. (“Cobalt”). Cobalt is an installer of residential and commercial solar energy systems in the San Francisco Bay area. Cobalt generates revenue from the design and installation of solar power systems.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August 5, 2024, we entered into an Asset Purchase Agreement (the “APA”) among us and SunPower Corporation and its direct and indirect subsidiaries (collectively, the “SunPower Debtors”) providing for the sale and purchase of certain assets relating to the Blue Raven Solar business, New Homes Business and Non-Installing Dealer network previously operated by the SunPower Debtors (the “Acquired SunPower Assets”). The APA was entered into in connection with a voluntary petition filed by SunPower under Chapter 11 of the United States Code, 11 U.S.C.§§ 101-1532. The sale was approved on September 23, 2024, by the United States Bankruptcy Court for the District of Delaware. We completed the acquisition of the Acquired SunPower Assets effective September 30, 2024. The assets and businesses acquired by us under the APA are referred to as the “SunPower Businesses.” As part of the acquisition the Company acquired Albatross, an order-to-management proprietary software to manage our orders, fulfillment and customer service all in one central location.</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acquisitions of Sunder, Ambia, Cobalt and SunPower Businesses are collectively referred to herein as “Acquisitions”.</w:t>
      </w:r>
    </w:p>
    <w:p>
      <w:pPr>
        <w:pStyle w:val="TextBody"/>
        <w:bidi w:val="0"/>
        <w:spacing w:before="0" w:after="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66</w:t>
      </w:r>
    </w:p>
    <w:p>
      <w:pPr>
        <w:pStyle w:val="TextBody"/>
        <w:bidi w:val="0"/>
        <w:spacing w:before="0" w:after="0"/>
        <w:ind w:left="0" w:right="0" w:hanging="0"/>
        <w:jc w:val="left"/>
        <w:rPr/>
      </w:pPr>
      <w:r>
        <w:rPr/>
        <w:t> </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Revenue Model</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offer solar system sales and installation to residential homeowners and the new home builders’ communities. The Acquisitions will allow us to accelerate our revenue growth and expand our footprint to deliver solar system sales into regions where we might have not previously done business.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sell solar systems to homeowners, home builders and small to medium-sized commercial customers through third-party sales partners. As a result of our acquisition of Sunder, we operate a solar energy sales force to initiate and execute contracts with customers throughout the United States. We manage every aspect of project management for those contracts before ultimately contracting with builder partners or using in-house installation experts to complete the construction and installation of the solar systems. This residential solar platform provides homeowners with simple pricing for solar energy that provides significant savings compared to traditional utility energy. Homeowners can choose from a wide array of system features and financing options that best meet their needs. By delivering the best-matched products and a best-in-class customer experience, we establish valuable customer relationships that can extend beyond the initial solar energy system purchase and provide us with opportunities to offer additional products and services in the future.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Technology Innovation</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Since inception, we have continued to invest in a platform of services and tools to enable large-scale operations for sales and builder partners. The platform incorporates processes and software solutions that simplify and streamline design, proposals, and project management throughout the lifecycle of a residential solar project. The platform empowers new market entrants and smaller industry participants with its plug-and-play capabilities. The ecosystem we have built provides broad reach, and we believe it positions us for sustained and rapid growth through a capital-efficient business model. The network of our partners continues to expand today.</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use salesforce.com to manage and fulfill orders which replaced our use of Albatross, the rights to which we acquired in connection with our acquisition of the SunPower Businesses. Albatross is a sales order platform which will be sunset later in 2026. Our acquisition of Sunder included Merdeka, a software platform which gives access from bookings to energization. We currently have this platform on view only and believe it has future potential as a differentiating option compared to our competition.</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Differentiation and Operating Results</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Delivering a differentiated customer experience is core to our strategy. It emphasizes a customized solution, including a design specific to each customer’s home and pricing configurations that typically drive both customer savings and value. Developing a trusted brand and providing a customized solar service offering resonates with customers accustomed to a traditional residential power market that is often overpriced and lacking in customer choice.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overall mission is to deliver energy-efficient solutions to homeowners, home builders and small to medium-sized businesses that allow them to lower their energy bills while reducing their carbon footprint. We want to pass our operational costs savings back to our customers by keeping costs low in an environment where labor costs are rising and interest rates remain uncertain. These operational costs savings are attributed to the workforce that was acquired as part of the SunPower Acquisition. We expanded our operations center that supports operations, order process, customer care and support, credit and collections, procurement, vendor management and accounting related functions, and have rationalized our headcount.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Our Strategy </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strategy focuses on providing our sales partners with the software tools, sales support, and ability to compete effectively with national providers. This turnkey solution makes it easy for anyone to sell solar.</w:t>
      </w:r>
    </w:p>
    <w:p>
      <w:pPr>
        <w:pStyle w:val="TextBody"/>
        <w:bidi w:val="0"/>
        <w:spacing w:before="0" w:after="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67</w:t>
      </w:r>
    </w:p>
    <w:p>
      <w:pPr>
        <w:pStyle w:val="TextBody"/>
        <w:bidi w:val="0"/>
        <w:spacing w:before="0" w:after="0"/>
        <w:ind w:left="0" w:right="0" w:hanging="0"/>
        <w:jc w:val="left"/>
        <w:rPr/>
      </w:pPr>
      <w:r>
        <w:rPr/>
        <w:t> </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Solar System Sales</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Solar System Sales are full systems sold to homeowners, home builders and small to medium-sized commercial businesses through our sales partner channels. We and our builder partners fulfill and install the systems. We believe that we can increase revenue by executing the following approaches:</w:t>
      </w:r>
    </w:p>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i/>
                <w:sz w:val="20"/>
              </w:rPr>
              <w:t xml:space="preserve">Increase revenue by expanding installation capacity and developing new geographic markets through our partner programs- </w:t>
            </w:r>
            <w:r>
              <w:rPr>
                <w:rFonts w:ascii="Times New Roman;Times;Serif" w:hAnsi="Times New Roman;Times;Serif"/>
                <w:sz w:val="20"/>
              </w:rPr>
              <w:t>Certain of our partners become builder partners who install systems resulting from sales generated by our sales partners. By leveraging this network of skilled builders, in addition to our in-house installation experts, we aim to increase our installation capacity in traditional markets and expand our offering into new geographies throughout the U.S. We believe this will enable greater sales growth in existing markets and create new revenue in expansion markets.</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i/>
                <w:sz w:val="20"/>
              </w:rPr>
              <w:t>Increase revenue and margin by engaging national-scale sales partners</w:t>
            </w:r>
            <w:r>
              <w:rPr>
                <w:rFonts w:ascii="Times New Roman;Times;Serif" w:hAnsi="Times New Roman;Times;Serif"/>
                <w:sz w:val="20"/>
              </w:rPr>
              <w:t>-We expect to create a consistent offering with a single execution process for national-scale sales partners throughout their territories, including in territories where we do not currently operate. These national accounts have unique customer relationships that will facilitate meaningful sales opportunities and low acquisition cost to increase revenue and improve margin.</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i/>
                <w:sz w:val="20"/>
              </w:rPr>
              <w:t xml:space="preserve">Increase revenue and margin by executing on a battery storage opportunity </w:t>
            </w:r>
            <w:r>
              <w:rPr>
                <w:rFonts w:ascii="Times New Roman;Times;Serif" w:hAnsi="Times New Roman;Times;Serif"/>
                <w:sz w:val="20"/>
              </w:rPr>
              <w:t>- We have an opportunity to increase our revenue and margin in the battery space through our partnership with Enphase. By providing homeowners with an option to include battery storage as part of their solar system install, we believe there will be a greater need for battery storage as the demand and costs of energy will increase.</w:t>
            </w:r>
          </w:p>
        </w:tc>
      </w:tr>
    </w:tbl>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Our Strengths</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strengths position us to drive the mass adoption of residential solar in a manner that maximizes the value of our growing customer base over the long term:</w:t>
      </w:r>
    </w:p>
    <w:p>
      <w:pPr>
        <w:pStyle w:val="TextBody"/>
        <w:bidi w:val="0"/>
        <w:spacing w:before="0" w:after="0"/>
        <w:ind w:left="0" w:right="0" w:firstLine="36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i/>
                <w:sz w:val="20"/>
              </w:rPr>
              <w:t>Platform of Services and Tools</w:t>
            </w:r>
            <w:r>
              <w:rPr>
                <w:rFonts w:ascii="Times New Roman;Times;Serif" w:hAnsi="Times New Roman;Times;Serif"/>
                <w:sz w:val="20"/>
              </w:rPr>
              <w:t>: A diversified and multi-pronged customer acquisition approach. This infrastructure underpins the ability to enjoy broad customer reach with a low system-wide cost structure and positions us for expansion to every market where distributed solar energy generation can offer homeowners savings versus traditional utility retail power.</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i/>
                <w:sz w:val="20"/>
              </w:rPr>
              <w:t>Differentiated Customer Experience</w:t>
            </w:r>
            <w:r>
              <w:rPr>
                <w:rFonts w:ascii="Times New Roman;Times;Serif" w:hAnsi="Times New Roman;Times;Serif"/>
                <w:sz w:val="20"/>
              </w:rPr>
              <w:t>: We offer a unique customer experience through various methods: customer-friendly solar service features, tailored designs and customizable pricing for each homeowner, a highly consultative sales process, and a focus on customer savings.</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i/>
                <w:sz w:val="20"/>
              </w:rPr>
              <w:t>Access to customers through third-party sales channels:</w:t>
            </w:r>
            <w:r>
              <w:rPr>
                <w:rFonts w:ascii="Times New Roman;Times;Serif" w:hAnsi="Times New Roman;Times;Serif"/>
                <w:sz w:val="20"/>
              </w:rPr>
              <w:t xml:space="preserve"> The turn-key solar product offering, best-in-class customer service, and national footprint support third-party sales channels and strategic national partnerships. We provide solutions for sales channels seeking to expand their geographic reach and strengthen their relationships with their own customers.</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i/>
                <w:sz w:val="20"/>
              </w:rPr>
              <w:t xml:space="preserve">Skilled labor workforce: </w:t>
            </w:r>
            <w:r>
              <w:rPr>
                <w:rFonts w:ascii="Times New Roman;Times;Serif" w:hAnsi="Times New Roman;Times;Serif"/>
                <w:sz w:val="20"/>
              </w:rPr>
              <w:t>We invest in safety first and ensure that our labor workforce is not only proficient in construction and energy but has strong communication, problem-solving and customer service skills. This allows them not only to make decisions quickly onsite but allows them to be empowered to service our customers on the spot and timely.</w:t>
            </w:r>
          </w:p>
        </w:tc>
      </w:tr>
    </w:tbl>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Customer Service and Operations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Solar System Sales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made significant investments to create a platform of services and tools that addresses customer origination, system design and installation, and general customer support. Before a sales representative conducts a consultation, homeowners are pre-qualified based on a preliminary evaluation that considers a homeowner’s credit, home ownership, electricity usage and suitability of the roof based on age, condition, shading and pitch. Once a homeowner is pre-qualified, all necessary data is collected, and a proposal is generated for the homeowner. If a homeowner is interested in moving forward, a customer contract is generated for electronic execution. This contract then undergoes a final review before it is countersigned. Homeowners financing their purchase via a loan, lease or power purchase agreement submit applications to financial institutions and, upon credit approval, execute financing agreements between the homeowner and the financier.</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68</w:t>
      </w:r>
    </w:p>
    <w:p>
      <w:pPr>
        <w:pStyle w:val="TextBody"/>
        <w:bidi w:val="0"/>
        <w:spacing w:before="0" w:after="0"/>
        <w:ind w:left="0" w:right="0" w:hanging="0"/>
        <w:jc w:val="left"/>
        <w:rPr/>
      </w:pPr>
      <w:r>
        <w:rPr/>
        <w:t>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Once an agreement is fully executed, a site audit is performed at the home to inspect the condition of the roof, electrical equipment, and shading. Following this audit are a final system design plan and an application for any required building permits. The plans are reviewed to ensure they conform to the executed contract or to process a change order if required. A second production estimate is generated at that time and if the expected energy production exceeds or falls below the original estimate by certain thresholds, the homeowner agreement is modified accordingly. To reduce installation costs and operational risk, there are defined design and installation quality standards designed to ensure that homeowners receive a quality product, regardless of who installs the system.</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After the solar panels are installed, the customer care team follows up with the homeowner with a survey on their experience. If a system requires maintenance, we or a dedicated service-only contractor will visit the customer’s home and perform any necessary repairs or maintenance at no additional cost to the customer.</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Suppliers</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main components of a residential solar energy system are the solar modules, inverters, and racking systems. We also offer battery storage and car chargers where it can benefit our customers. We generally purchase components from select distributors, which are then shipped to build partners for installation. There is a running list of approved suppliers in the event any of the sources for modules, inverters or other components become unavailable. If we fail to develop, maintain, and expand relationships with these or other suppliers, the ability to meet anticipated demand for solar energy systems may be adversely affected, or at higher costs or delayed. If one or more of the suppliers ceases or reduces production due to its financial condition, acquisition by a competitor or otherwise, it may be difficult to identify alternate suppliers quickly or to qualify alternative products on commercially reasonable terms, and the ability to satisfy this demand may be adversely affected.</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screen all suppliers and components based on expected cost, reliability, warranty coverage, ease of installation, etc. We typically enter into master contract arrangements with major suppliers that define the general terms and conditions of purchases, including warranties, product specifications, indemnities, delivery and other customary terms. The declining cost of solar modules and the raw materials necessary to manufacture them have been a key driver in the prices charged for electricity and homeowner adoption of solar energy. If solar module and raw material prices do not continue to decline at the same rate as they have over the past several years, the resulting prices could slow growth and cause financial results to suffer. If we are required to pay higher prices for supplies, accept less favorable terms, or purchase solar modules or other system components from alternative, higher-priced sources, financial results may be adversely affected.</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and our build partners are responsible for and source the other products related to solar energy systems, such as fasteners, wiring and electrical fittings. From time-to-time, we procure these other products related to solar energy systems for our own installation business. We manage inventory through just-in-time delivery, at local warehouses, and as segregated inventory at build partners.</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main components of a residential solar module are the solar cells. Our solar modules are generally manufactured by third-party select manufacturers and are purchased from distributors.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Competition</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primary competitors are the traditional utilities that supply electricity to potential customers. We compete with these traditional utilities primarily based on price (cents per kilowatt hour), predictability of future prices (by providing pre-determined annual price escalations) and the ease by which homeowners can switch to electricity generated by solar energy systems. Based on these factors, we compete favorably with many traditional utilities.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69</w:t>
      </w:r>
    </w:p>
    <w:p>
      <w:pPr>
        <w:pStyle w:val="TextBody"/>
        <w:bidi w:val="0"/>
        <w:spacing w:before="0" w:after="0"/>
        <w:ind w:left="0" w:right="0" w:hanging="0"/>
        <w:jc w:val="left"/>
        <w:rPr/>
      </w:pPr>
      <w:r>
        <w:rPr/>
        <w:t>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compete for homeowner customers with other solar sales and installation companies and with solar companies with business models that are like ours. Our main competitors can be grouped broadly into (a) national, vertically integrated companies with established brands and proprietary consumer financing products; (b) small, local solar contractors who operate with relatively low fixed overhead expenses but who may lack systems, tools, and sophisticated product offerings; and (c) sales aggregators who engage with third-party sales companies to generate installation contracts. We compete favorably with these companies, with (a) better customer experience and better sales partner experience than the national vertically integrated companies; (b) better pricing and broader customer offerings than smaller local solar contractors; and (c) a better build partner experience than sales aggregators.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also face competition from purely finance-driven organizations that acquire homeowner customers and then subcontract out the installation of solar energy systems, installation businesses that seek financing from external parties, large construction companies and utilities and sophisticated electrical and roofing companies.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Intellectual Property</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seek to protect our intellectual property rights by relying on federal, state and common law rights in the U.S. and other countries, as well as contractual restrictions. We generally enter into confidentiality and invention assignment agreements with employees and contractors, and confidentiality agreements with other third parties, to limit access to, and disclosure and use of, confidential information and proprietary technology. In addition to these contractual arrangements, we also rely on a combination of trademarks, trade dress, domain names, copyrights, and trade secrets to help protect the brand and other intellectual property.</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Government Regulations and Incentives</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Governments have used different public policy mechanisms to accelerate the adoption and use of solar power. Examples of customer-focused financial mechanisms include capital cost rebates, performance-based incentives, feed-in tariffs, tax credits, renewable portfolio standards, net metering, and carbon regulations. Some of these government mandates and economic incentives are scheduled to be reduced or to expire or could be eliminated. Capital cost rebates provide funds to customers based on the cost and size of a customer’s solar power system. Performance-based incentives provide funding to a customer based on the energy produced by their solar power system. Feed-in tariffs pay customers for solar power system generation based on energy produced at a rate generally guaranteed for a period of time. Tax credits reduce a customer’s taxes at the time the taxes are due. Renewable portfolio standards mandate that a certain percentage of electricity delivered to customers comes from eligible renewable energy resources. Net metering allows customers to deliver to the electric grid any excess electricity produced by their on-site solar power systems and to be credited for that excess electricity at or near the full retail price of electricity. Carbon regulations, including cap-and-trade and carbon pricing programs, increase the cost of fossil fuels, which release climate-altering carbon dioxide and other greenhouse gas emissions during combustion.</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to the mechanisms described above, there are various incentives for homeowners and businesses to adopt solar power in The Inflation Reduction Act of 2022 (the “IRA”). On July 4, 2025, the One Big Beautiful Bill Act (the “OBBBA”) was enacted and significantly modified this framework by accelerating the phase-out or termination of certain federal tax incentives and introducing additional eligibility requirements and compliance obligations. In particular, the OBBBA accelerates the termination of the clean electricity investment tax credit and production tax credit for applicable solar facilities, generally limiting availability to projects that begin construction by July 4, 2026 or are placed in service by December 31, 2027, and terminates the residential clean energy credit for property installed after December 31, 2025. The OBBBA also introduces additional restrictions relating to certain foreign entities of concern (“FEOC”) and supply chain sourcing, which may affect project eligibility and increase compliance costs.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Moreover, in Europe, the European Commission has mandated that its member states adopt integrated national climate and energy plans to increase their renewable energy targets to be achieved by 2030, which could benefit the deployment of solar. However, the U.S. and European Union, among others, have imposed tariffs or other import duties on solar products, or are evaluating the imposition of such duties on solar panels, solar cells, polysilicon, and other components. These import duties may offset the incentives described above and increase the price of our solar products.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70</w:t>
      </w:r>
    </w:p>
    <w:p>
      <w:pPr>
        <w:pStyle w:val="TextBody"/>
        <w:bidi w:val="0"/>
        <w:spacing w:before="0" w:after="0"/>
        <w:ind w:left="0" w:right="0" w:hanging="0"/>
        <w:jc w:val="left"/>
        <w:rPr/>
      </w:pPr>
      <w:r>
        <w:rPr/>
        <w:t>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Employees and Human Capital Resources</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June 22, 2026, we had 580 employees on a full-time basis. We also engage independent contractors and consultants. No employees are covered by collective bargaining agreements. There have not been any work stoppages.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human capital resources objectives include identifying, recruiting, retaining, training, and integrating our existing and new employees. The principal purposes of our equity incentive plans are to attract, retain and motivate personnel through the granting of equity-based awards, increasing stockholder value and the success of our Company by motivating such individuals to perform to the best of their abilities and achieve SunPower’s objectives.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Facilities</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corporate headquarters and executive offices are located in Orem, Utah.</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lease all the facilities and own no real property. We believe that our current facilities are adequate to meet ongoing needs. If additional space is required, we believe that we will be able to obtain additional facilities on commercially reasonable terms.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U.S. Corporate Information</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were originally known as Freedom Acquisition I Corp (“FACT”). We are engaged in solar system sales and associated commerce. On July 18, 2023, Complete Solaria, FACT, and certain other entities consummated the transactions contemplated under that certain amended and restated Business Combination Agreement, dated as of May 26, 2023, following the approval at the special meeting of the stockholders of FACT held July 11, 2023. In connection with the closing of the Business Combination, we changed our name from Freedom Acquisition I Corp. to Complete Solaria, Inc.</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principal executive offices are located at 1403 N. Research Way, Orem UT 84097, and our telephone number is (877) 299-4943.</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Access to Company Information</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file or furnish periodic reports and amendments thereto, including our Annual Reports on Form 10-K, our Quarterly Reports on Form 10-Q and Current Reports on Form 8-K, proxy statements and other information with the SEC. In addition, the SEC maintains a website (www.sec.gov) that contains reports, proxy and information statements, and other information regarding issuers that file electronically. Our internet address is https://us.sunpower.com. Through our internet website, we make available, free of charge, our Annual Report on Form 10-K, quarterly reports on Form 10-Q, current reports on Form 8-K, and all amendments to those reports as soon as reasonably practicable after such reports have been filed with or furnished to the SEC. The link to our website is provided as an inactive textual reference only and the information on our website is not a part of this prospectus.</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71</w:t>
      </w:r>
    </w:p>
    <w:p>
      <w:pPr>
        <w:pStyle w:val="TextBody"/>
        <w:bidi w:val="0"/>
        <w:spacing w:before="0" w:after="0"/>
        <w:ind w:left="0" w:right="0" w:hanging="0"/>
        <w:jc w:val="left"/>
        <w:rPr/>
      </w:pPr>
      <w:r>
        <w:rPr/>
        <w:t> </w:t>
      </w:r>
    </w:p>
    <w:p>
      <w:pPr>
        <w:pStyle w:val="TextBody"/>
        <w:bidi w:val="0"/>
        <w:spacing w:before="0" w:after="0"/>
        <w:jc w:val="center"/>
        <w:rPr>
          <w:caps/>
        </w:rPr>
      </w:pPr>
      <w:r>
        <w:rPr>
          <w:caps/>
        </w:rPr>
        <w:t> </w:t>
      </w:r>
    </w:p>
    <w:p>
      <w:pPr>
        <w:pStyle w:val="TextBody"/>
        <w:bidi w:val="0"/>
        <w:spacing w:before="0" w:after="0"/>
        <w:jc w:val="center"/>
        <w:rPr>
          <w:rFonts w:ascii="Times New Roman;Times;Serif" w:hAnsi="Times New Roman;Times;Serif"/>
          <w:b/>
          <w:i w:val="false"/>
          <w:caps/>
          <w:sz w:val="20"/>
        </w:rPr>
      </w:pPr>
      <w:bookmarkStart w:id="10" w:name="a_009"/>
      <w:bookmarkEnd w:id="10"/>
      <w:r>
        <w:rPr>
          <w:rFonts w:ascii="Times New Roman;Times;Serif" w:hAnsi="Times New Roman;Times;Serif"/>
          <w:b/>
          <w:i w:val="false"/>
          <w:caps/>
          <w:sz w:val="20"/>
        </w:rPr>
        <w:t>Management</w:t>
      </w:r>
    </w:p>
    <w:p>
      <w:pPr>
        <w:pStyle w:val="TextBody"/>
        <w:bidi w:val="0"/>
        <w:spacing w:before="0" w:after="0"/>
        <w:jc w:val="center"/>
        <w:rPr>
          <w:caps/>
        </w:rPr>
      </w:pPr>
      <w:r>
        <w:rPr>
          <w:caps/>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Directors and their ages as of June 29, 2026 are set forth below.</w:t>
      </w:r>
    </w:p>
    <w:p>
      <w:pPr>
        <w:pStyle w:val="TextBody"/>
        <w:bidi w:val="0"/>
        <w:spacing w:before="0" w:after="0"/>
        <w:ind w:left="0" w:right="0" w:firstLine="360"/>
        <w:jc w:val="both"/>
        <w:rPr>
          <w:caps w:val="false"/>
          <w:smallCaps w:val="false"/>
        </w:rPr>
      </w:pPr>
      <w:r>
        <w:rPr>
          <w:caps w:val="false"/>
          <w:smallCaps w:val="false"/>
        </w:rPr>
        <w:t> </w:t>
      </w:r>
    </w:p>
    <w:tbl>
      <w:tblPr>
        <w:tblW w:w="5145" w:type="dxa"/>
        <w:jc w:val="left"/>
        <w:tblInd w:w="0" w:type="dxa"/>
        <w:tblLayout w:type="fixed"/>
        <w:tblCellMar>
          <w:top w:w="0" w:type="dxa"/>
          <w:left w:w="0" w:type="dxa"/>
          <w:bottom w:w="28" w:type="dxa"/>
          <w:right w:w="0" w:type="dxa"/>
        </w:tblCellMar>
      </w:tblPr>
      <w:tblGrid>
        <w:gridCol w:w="1745"/>
        <w:gridCol w:w="60"/>
        <w:gridCol w:w="2915"/>
        <w:gridCol w:w="60"/>
        <w:gridCol w:w="365"/>
      </w:tblGrid>
      <w:tr>
        <w:trPr/>
        <w:tc>
          <w:tcPr>
            <w:tcW w:w="1745" w:type="dxa"/>
            <w:tcBorders>
              <w:bottom w:val="single" w:sz="12" w:space="0" w:color="000000"/>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Name</w:t>
            </w:r>
          </w:p>
        </w:tc>
        <w:tc>
          <w:tcPr>
            <w:tcW w:w="60" w:type="dxa"/>
            <w:tcBorders/>
            <w:tcMar>
              <w:bottom w:w="0" w:type="dxa"/>
            </w:tcMar>
            <w:vAlign w:val="center"/>
          </w:tcPr>
          <w:p>
            <w:pPr>
              <w:pStyle w:val="TableContents"/>
              <w:bidi w:val="0"/>
              <w:spacing w:before="0" w:after="283"/>
              <w:jc w:val="left"/>
              <w:rPr/>
            </w:pPr>
            <w:r>
              <w:rPr/>
              <w:t> </w:t>
            </w:r>
          </w:p>
        </w:tc>
        <w:tc>
          <w:tcPr>
            <w:tcW w:w="2915" w:type="dxa"/>
            <w:tcBorders>
              <w:bottom w:val="single" w:sz="12"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Position</w:t>
            </w:r>
          </w:p>
        </w:tc>
        <w:tc>
          <w:tcPr>
            <w:tcW w:w="60" w:type="dxa"/>
            <w:tcBorders/>
            <w:tcMar>
              <w:bottom w:w="0" w:type="dxa"/>
            </w:tcMar>
            <w:vAlign w:val="center"/>
          </w:tcPr>
          <w:p>
            <w:pPr>
              <w:pStyle w:val="TableContents"/>
              <w:bidi w:val="0"/>
              <w:spacing w:before="0" w:after="283"/>
              <w:jc w:val="left"/>
              <w:rPr/>
            </w:pPr>
            <w:r>
              <w:rPr/>
              <w:t> </w:t>
            </w:r>
          </w:p>
        </w:tc>
        <w:tc>
          <w:tcPr>
            <w:tcW w:w="365" w:type="dxa"/>
            <w:tcBorders>
              <w:bottom w:val="single" w:sz="12"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Age</w:t>
            </w:r>
          </w:p>
        </w:tc>
      </w:tr>
      <w:tr>
        <w:trPr/>
        <w:tc>
          <w:tcPr>
            <w:tcW w:w="1745"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Thurman J. Rodgers</w:t>
            </w:r>
          </w:p>
        </w:tc>
        <w:tc>
          <w:tcPr>
            <w:tcW w:w="60" w:type="dxa"/>
            <w:tcBorders/>
            <w:shd w:fill="CCEEFF" w:val="clear"/>
            <w:tcMar>
              <w:bottom w:w="0" w:type="dxa"/>
            </w:tcMar>
            <w:vAlign w:val="center"/>
          </w:tcPr>
          <w:p>
            <w:pPr>
              <w:pStyle w:val="TableContents"/>
              <w:bidi w:val="0"/>
              <w:spacing w:before="0" w:after="283"/>
              <w:jc w:val="left"/>
              <w:rPr/>
            </w:pPr>
            <w:r>
              <w:rPr/>
              <w:t> </w:t>
            </w:r>
          </w:p>
        </w:tc>
        <w:tc>
          <w:tcPr>
            <w:tcW w:w="2915"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Executive Chairman, CEO, Director</w:t>
            </w:r>
          </w:p>
        </w:tc>
        <w:tc>
          <w:tcPr>
            <w:tcW w:w="60" w:type="dxa"/>
            <w:tcBorders/>
            <w:shd w:fill="CCEEFF" w:val="clear"/>
            <w:tcMar>
              <w:bottom w:w="0" w:type="dxa"/>
            </w:tcMar>
            <w:vAlign w:val="center"/>
          </w:tcPr>
          <w:p>
            <w:pPr>
              <w:pStyle w:val="TableContents"/>
              <w:bidi w:val="0"/>
              <w:spacing w:before="0" w:after="283"/>
              <w:jc w:val="left"/>
              <w:rPr/>
            </w:pPr>
            <w:r>
              <w:rPr/>
              <w:t> </w:t>
            </w:r>
          </w:p>
        </w:tc>
        <w:tc>
          <w:tcPr>
            <w:tcW w:w="365"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78</w:t>
            </w:r>
          </w:p>
        </w:tc>
      </w:tr>
      <w:tr>
        <w:trPr/>
        <w:tc>
          <w:tcPr>
            <w:tcW w:w="1745"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Antonio R. Alvarez</w:t>
            </w:r>
          </w:p>
        </w:tc>
        <w:tc>
          <w:tcPr>
            <w:tcW w:w="60" w:type="dxa"/>
            <w:tcBorders/>
            <w:shd w:fill="FFFFFF" w:val="clear"/>
            <w:tcMar>
              <w:bottom w:w="0" w:type="dxa"/>
            </w:tcMar>
            <w:vAlign w:val="center"/>
          </w:tcPr>
          <w:p>
            <w:pPr>
              <w:pStyle w:val="TableContents"/>
              <w:bidi w:val="0"/>
              <w:spacing w:before="0" w:after="283"/>
              <w:jc w:val="left"/>
              <w:rPr/>
            </w:pPr>
            <w:r>
              <w:rPr/>
              <w:t> </w:t>
            </w:r>
          </w:p>
        </w:tc>
        <w:tc>
          <w:tcPr>
            <w:tcW w:w="2915"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Director</w:t>
            </w:r>
          </w:p>
        </w:tc>
        <w:tc>
          <w:tcPr>
            <w:tcW w:w="60" w:type="dxa"/>
            <w:tcBorders/>
            <w:shd w:fill="FFFFFF" w:val="clear"/>
            <w:tcMar>
              <w:bottom w:w="0" w:type="dxa"/>
            </w:tcMar>
            <w:vAlign w:val="center"/>
          </w:tcPr>
          <w:p>
            <w:pPr>
              <w:pStyle w:val="TableContents"/>
              <w:bidi w:val="0"/>
              <w:spacing w:before="0" w:after="283"/>
              <w:jc w:val="left"/>
              <w:rPr/>
            </w:pPr>
            <w:r>
              <w:rPr/>
              <w:t> </w:t>
            </w:r>
          </w:p>
        </w:tc>
        <w:tc>
          <w:tcPr>
            <w:tcW w:w="365" w:type="dxa"/>
            <w:tcBorders/>
            <w:shd w:fill="FFFF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69</w:t>
            </w:r>
          </w:p>
        </w:tc>
      </w:tr>
      <w:tr>
        <w:trPr/>
        <w:tc>
          <w:tcPr>
            <w:tcW w:w="1745"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William J. Anderson</w:t>
            </w:r>
          </w:p>
        </w:tc>
        <w:tc>
          <w:tcPr>
            <w:tcW w:w="60" w:type="dxa"/>
            <w:tcBorders/>
            <w:shd w:fill="CCEEFF" w:val="clear"/>
            <w:tcMar>
              <w:bottom w:w="0" w:type="dxa"/>
            </w:tcMar>
            <w:vAlign w:val="center"/>
          </w:tcPr>
          <w:p>
            <w:pPr>
              <w:pStyle w:val="TableContents"/>
              <w:bidi w:val="0"/>
              <w:spacing w:before="0" w:after="283"/>
              <w:jc w:val="left"/>
              <w:rPr/>
            </w:pPr>
            <w:r>
              <w:rPr/>
              <w:t> </w:t>
            </w:r>
          </w:p>
        </w:tc>
        <w:tc>
          <w:tcPr>
            <w:tcW w:w="2915"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Director</w:t>
            </w:r>
          </w:p>
        </w:tc>
        <w:tc>
          <w:tcPr>
            <w:tcW w:w="60" w:type="dxa"/>
            <w:tcBorders/>
            <w:shd w:fill="CCEEFF" w:val="clear"/>
            <w:tcMar>
              <w:bottom w:w="0" w:type="dxa"/>
            </w:tcMar>
            <w:vAlign w:val="center"/>
          </w:tcPr>
          <w:p>
            <w:pPr>
              <w:pStyle w:val="TableContents"/>
              <w:bidi w:val="0"/>
              <w:spacing w:before="0" w:after="283"/>
              <w:jc w:val="left"/>
              <w:rPr/>
            </w:pPr>
            <w:r>
              <w:rPr/>
              <w:t> </w:t>
            </w:r>
          </w:p>
        </w:tc>
        <w:tc>
          <w:tcPr>
            <w:tcW w:w="365"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49</w:t>
            </w:r>
          </w:p>
        </w:tc>
      </w:tr>
      <w:tr>
        <w:trPr/>
        <w:tc>
          <w:tcPr>
            <w:tcW w:w="1745"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Adam Gishen </w:t>
            </w:r>
            <w:r>
              <w:rPr>
                <w:rFonts w:ascii="Times New Roman;Times;Serif" w:hAnsi="Times New Roman;Times;Serif"/>
                <w:position w:val="7"/>
                <w:sz w:val="16"/>
                <w:sz w:val="20"/>
              </w:rPr>
              <w:t>(1) (3)</w:t>
            </w:r>
          </w:p>
        </w:tc>
        <w:tc>
          <w:tcPr>
            <w:tcW w:w="60" w:type="dxa"/>
            <w:tcBorders/>
            <w:shd w:fill="FFFFFF" w:val="clear"/>
            <w:tcMar>
              <w:bottom w:w="0" w:type="dxa"/>
            </w:tcMar>
            <w:vAlign w:val="center"/>
          </w:tcPr>
          <w:p>
            <w:pPr>
              <w:pStyle w:val="TableContents"/>
              <w:bidi w:val="0"/>
              <w:spacing w:before="0" w:after="283"/>
              <w:jc w:val="left"/>
              <w:rPr/>
            </w:pPr>
            <w:r>
              <w:rPr/>
              <w:t> </w:t>
            </w:r>
          </w:p>
        </w:tc>
        <w:tc>
          <w:tcPr>
            <w:tcW w:w="2915"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Director</w:t>
            </w:r>
          </w:p>
        </w:tc>
        <w:tc>
          <w:tcPr>
            <w:tcW w:w="60" w:type="dxa"/>
            <w:tcBorders/>
            <w:shd w:fill="FFFFFF" w:val="clear"/>
            <w:tcMar>
              <w:bottom w:w="0" w:type="dxa"/>
            </w:tcMar>
            <w:vAlign w:val="center"/>
          </w:tcPr>
          <w:p>
            <w:pPr>
              <w:pStyle w:val="TableContents"/>
              <w:bidi w:val="0"/>
              <w:spacing w:before="0" w:after="283"/>
              <w:jc w:val="left"/>
              <w:rPr/>
            </w:pPr>
            <w:r>
              <w:rPr/>
              <w:t> </w:t>
            </w:r>
          </w:p>
        </w:tc>
        <w:tc>
          <w:tcPr>
            <w:tcW w:w="365" w:type="dxa"/>
            <w:tcBorders/>
            <w:shd w:fill="FFFF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51</w:t>
            </w:r>
          </w:p>
        </w:tc>
      </w:tr>
      <w:tr>
        <w:trPr/>
        <w:tc>
          <w:tcPr>
            <w:tcW w:w="1745"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Chris Lundell</w:t>
            </w:r>
          </w:p>
        </w:tc>
        <w:tc>
          <w:tcPr>
            <w:tcW w:w="60" w:type="dxa"/>
            <w:tcBorders/>
            <w:shd w:fill="CCEEFF" w:val="clear"/>
            <w:tcMar>
              <w:bottom w:w="0" w:type="dxa"/>
            </w:tcMar>
            <w:vAlign w:val="center"/>
          </w:tcPr>
          <w:p>
            <w:pPr>
              <w:pStyle w:val="TableContents"/>
              <w:bidi w:val="0"/>
              <w:spacing w:before="0" w:after="283"/>
              <w:jc w:val="left"/>
              <w:rPr/>
            </w:pPr>
            <w:r>
              <w:rPr/>
              <w:t> </w:t>
            </w:r>
          </w:p>
        </w:tc>
        <w:tc>
          <w:tcPr>
            <w:tcW w:w="2915"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Director</w:t>
            </w:r>
          </w:p>
        </w:tc>
        <w:tc>
          <w:tcPr>
            <w:tcW w:w="60" w:type="dxa"/>
            <w:tcBorders/>
            <w:shd w:fill="CCEEFF" w:val="clear"/>
            <w:tcMar>
              <w:bottom w:w="0" w:type="dxa"/>
            </w:tcMar>
            <w:vAlign w:val="center"/>
          </w:tcPr>
          <w:p>
            <w:pPr>
              <w:pStyle w:val="TableContents"/>
              <w:bidi w:val="0"/>
              <w:spacing w:before="0" w:after="283"/>
              <w:jc w:val="left"/>
              <w:rPr/>
            </w:pPr>
            <w:r>
              <w:rPr/>
              <w:t> </w:t>
            </w:r>
          </w:p>
        </w:tc>
        <w:tc>
          <w:tcPr>
            <w:tcW w:w="365"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65</w:t>
            </w:r>
          </w:p>
        </w:tc>
      </w:tr>
      <w:tr>
        <w:trPr/>
        <w:tc>
          <w:tcPr>
            <w:tcW w:w="1745"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Lothar Maier </w:t>
            </w:r>
            <w:r>
              <w:rPr>
                <w:rFonts w:ascii="Times New Roman;Times;Serif" w:hAnsi="Times New Roman;Times;Serif"/>
                <w:position w:val="7"/>
                <w:sz w:val="16"/>
                <w:sz w:val="20"/>
              </w:rPr>
              <w:t>(1) (2)</w:t>
            </w:r>
          </w:p>
        </w:tc>
        <w:tc>
          <w:tcPr>
            <w:tcW w:w="60" w:type="dxa"/>
            <w:tcBorders/>
            <w:shd w:fill="FFFFFF" w:val="clear"/>
            <w:tcMar>
              <w:bottom w:w="0" w:type="dxa"/>
            </w:tcMar>
            <w:vAlign w:val="center"/>
          </w:tcPr>
          <w:p>
            <w:pPr>
              <w:pStyle w:val="TableContents"/>
              <w:bidi w:val="0"/>
              <w:spacing w:before="0" w:after="283"/>
              <w:jc w:val="left"/>
              <w:rPr/>
            </w:pPr>
            <w:r>
              <w:rPr/>
              <w:t> </w:t>
            </w:r>
          </w:p>
        </w:tc>
        <w:tc>
          <w:tcPr>
            <w:tcW w:w="2915"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Director</w:t>
            </w:r>
          </w:p>
        </w:tc>
        <w:tc>
          <w:tcPr>
            <w:tcW w:w="60" w:type="dxa"/>
            <w:tcBorders/>
            <w:shd w:fill="FFFFFF" w:val="clear"/>
            <w:tcMar>
              <w:bottom w:w="0" w:type="dxa"/>
            </w:tcMar>
            <w:vAlign w:val="center"/>
          </w:tcPr>
          <w:p>
            <w:pPr>
              <w:pStyle w:val="TableContents"/>
              <w:bidi w:val="0"/>
              <w:spacing w:before="0" w:after="283"/>
              <w:jc w:val="left"/>
              <w:rPr/>
            </w:pPr>
            <w:r>
              <w:rPr/>
              <w:t> </w:t>
            </w:r>
          </w:p>
        </w:tc>
        <w:tc>
          <w:tcPr>
            <w:tcW w:w="365" w:type="dxa"/>
            <w:tcBorders/>
            <w:shd w:fill="FFFF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71</w:t>
            </w:r>
          </w:p>
        </w:tc>
      </w:tr>
      <w:tr>
        <w:trPr/>
        <w:tc>
          <w:tcPr>
            <w:tcW w:w="1745"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J. Daniel McCranie</w:t>
            </w:r>
          </w:p>
        </w:tc>
        <w:tc>
          <w:tcPr>
            <w:tcW w:w="60" w:type="dxa"/>
            <w:tcBorders/>
            <w:shd w:fill="CCEEFF" w:val="clear"/>
            <w:tcMar>
              <w:bottom w:w="0" w:type="dxa"/>
            </w:tcMar>
            <w:vAlign w:val="center"/>
          </w:tcPr>
          <w:p>
            <w:pPr>
              <w:pStyle w:val="TableContents"/>
              <w:bidi w:val="0"/>
              <w:spacing w:before="0" w:after="283"/>
              <w:jc w:val="left"/>
              <w:rPr/>
            </w:pPr>
            <w:r>
              <w:rPr/>
              <w:t> </w:t>
            </w:r>
          </w:p>
        </w:tc>
        <w:tc>
          <w:tcPr>
            <w:tcW w:w="2915"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Director</w:t>
            </w:r>
          </w:p>
        </w:tc>
        <w:tc>
          <w:tcPr>
            <w:tcW w:w="60" w:type="dxa"/>
            <w:tcBorders/>
            <w:shd w:fill="CCEEFF" w:val="clear"/>
            <w:tcMar>
              <w:bottom w:w="0" w:type="dxa"/>
            </w:tcMar>
            <w:vAlign w:val="center"/>
          </w:tcPr>
          <w:p>
            <w:pPr>
              <w:pStyle w:val="TableContents"/>
              <w:bidi w:val="0"/>
              <w:spacing w:before="0" w:after="283"/>
              <w:jc w:val="left"/>
              <w:rPr/>
            </w:pPr>
            <w:r>
              <w:rPr/>
              <w:t> </w:t>
            </w:r>
          </w:p>
        </w:tc>
        <w:tc>
          <w:tcPr>
            <w:tcW w:w="365"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82</w:t>
            </w:r>
          </w:p>
        </w:tc>
      </w:tr>
      <w:tr>
        <w:trPr/>
        <w:tc>
          <w:tcPr>
            <w:tcW w:w="1745"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Ronald Pasek </w:t>
            </w:r>
            <w:r>
              <w:rPr>
                <w:rFonts w:ascii="Times New Roman;Times;Serif" w:hAnsi="Times New Roman;Times;Serif"/>
                <w:position w:val="7"/>
                <w:sz w:val="16"/>
                <w:sz w:val="20"/>
              </w:rPr>
              <w:t>(1) (3)</w:t>
            </w:r>
          </w:p>
        </w:tc>
        <w:tc>
          <w:tcPr>
            <w:tcW w:w="60" w:type="dxa"/>
            <w:tcBorders/>
            <w:shd w:fill="FFFFFF" w:val="clear"/>
            <w:tcMar>
              <w:bottom w:w="0" w:type="dxa"/>
            </w:tcMar>
            <w:vAlign w:val="center"/>
          </w:tcPr>
          <w:p>
            <w:pPr>
              <w:pStyle w:val="TableContents"/>
              <w:bidi w:val="0"/>
              <w:spacing w:before="0" w:after="283"/>
              <w:jc w:val="left"/>
              <w:rPr/>
            </w:pPr>
            <w:r>
              <w:rPr/>
              <w:t> </w:t>
            </w:r>
          </w:p>
        </w:tc>
        <w:tc>
          <w:tcPr>
            <w:tcW w:w="2915"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Director, Lead Independent</w:t>
            </w:r>
          </w:p>
        </w:tc>
        <w:tc>
          <w:tcPr>
            <w:tcW w:w="60" w:type="dxa"/>
            <w:tcBorders/>
            <w:shd w:fill="FFFFFF" w:val="clear"/>
            <w:tcMar>
              <w:bottom w:w="0" w:type="dxa"/>
            </w:tcMar>
            <w:vAlign w:val="center"/>
          </w:tcPr>
          <w:p>
            <w:pPr>
              <w:pStyle w:val="TableContents"/>
              <w:bidi w:val="0"/>
              <w:spacing w:before="0" w:after="283"/>
              <w:jc w:val="left"/>
              <w:rPr/>
            </w:pPr>
            <w:r>
              <w:rPr/>
              <w:t> </w:t>
            </w:r>
          </w:p>
        </w:tc>
        <w:tc>
          <w:tcPr>
            <w:tcW w:w="365" w:type="dxa"/>
            <w:tcBorders/>
            <w:shd w:fill="FFFF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65</w:t>
            </w:r>
          </w:p>
        </w:tc>
      </w:tr>
      <w:tr>
        <w:trPr/>
        <w:tc>
          <w:tcPr>
            <w:tcW w:w="1745"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Tidjane Thiam </w:t>
            </w:r>
            <w:r>
              <w:rPr>
                <w:rFonts w:ascii="Times New Roman;Times;Serif" w:hAnsi="Times New Roman;Times;Serif"/>
                <w:position w:val="7"/>
                <w:sz w:val="16"/>
                <w:sz w:val="20"/>
              </w:rPr>
              <w:t>(2)</w:t>
            </w:r>
          </w:p>
        </w:tc>
        <w:tc>
          <w:tcPr>
            <w:tcW w:w="60" w:type="dxa"/>
            <w:tcBorders/>
            <w:shd w:fill="CCEEFF" w:val="clear"/>
            <w:tcMar>
              <w:bottom w:w="0" w:type="dxa"/>
            </w:tcMar>
            <w:vAlign w:val="center"/>
          </w:tcPr>
          <w:p>
            <w:pPr>
              <w:pStyle w:val="TableContents"/>
              <w:bidi w:val="0"/>
              <w:spacing w:before="0" w:after="283"/>
              <w:jc w:val="left"/>
              <w:rPr/>
            </w:pPr>
            <w:r>
              <w:rPr/>
              <w:t> </w:t>
            </w:r>
          </w:p>
        </w:tc>
        <w:tc>
          <w:tcPr>
            <w:tcW w:w="2915"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Director</w:t>
            </w:r>
          </w:p>
        </w:tc>
        <w:tc>
          <w:tcPr>
            <w:tcW w:w="60" w:type="dxa"/>
            <w:tcBorders/>
            <w:shd w:fill="CCEEFF" w:val="clear"/>
            <w:tcMar>
              <w:bottom w:w="0" w:type="dxa"/>
            </w:tcMar>
            <w:vAlign w:val="center"/>
          </w:tcPr>
          <w:p>
            <w:pPr>
              <w:pStyle w:val="TableContents"/>
              <w:bidi w:val="0"/>
              <w:spacing w:before="0" w:after="283"/>
              <w:jc w:val="left"/>
              <w:rPr/>
            </w:pPr>
            <w:r>
              <w:rPr/>
              <w:t> </w:t>
            </w:r>
          </w:p>
        </w:tc>
        <w:tc>
          <w:tcPr>
            <w:tcW w:w="365"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63</w:t>
            </w:r>
          </w:p>
        </w:tc>
      </w:tr>
      <w:tr>
        <w:trPr/>
        <w:tc>
          <w:tcPr>
            <w:tcW w:w="1745"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Devin Whatley </w:t>
            </w:r>
            <w:r>
              <w:rPr>
                <w:rFonts w:ascii="Times New Roman;Times;Serif" w:hAnsi="Times New Roman;Times;Serif"/>
                <w:position w:val="7"/>
                <w:sz w:val="16"/>
                <w:sz w:val="20"/>
              </w:rPr>
              <w:t>(2)</w:t>
            </w:r>
          </w:p>
        </w:tc>
        <w:tc>
          <w:tcPr>
            <w:tcW w:w="60" w:type="dxa"/>
            <w:tcBorders/>
            <w:shd w:fill="FFFFFF" w:val="clear"/>
            <w:tcMar>
              <w:bottom w:w="0" w:type="dxa"/>
            </w:tcMar>
            <w:vAlign w:val="center"/>
          </w:tcPr>
          <w:p>
            <w:pPr>
              <w:pStyle w:val="TableContents"/>
              <w:bidi w:val="0"/>
              <w:spacing w:before="0" w:after="283"/>
              <w:jc w:val="left"/>
              <w:rPr/>
            </w:pPr>
            <w:r>
              <w:rPr/>
              <w:t> </w:t>
            </w:r>
          </w:p>
        </w:tc>
        <w:tc>
          <w:tcPr>
            <w:tcW w:w="2915"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Director</w:t>
            </w:r>
          </w:p>
        </w:tc>
        <w:tc>
          <w:tcPr>
            <w:tcW w:w="60" w:type="dxa"/>
            <w:tcBorders/>
            <w:shd w:fill="FFFFFF" w:val="clear"/>
            <w:tcMar>
              <w:bottom w:w="0" w:type="dxa"/>
            </w:tcMar>
            <w:vAlign w:val="center"/>
          </w:tcPr>
          <w:p>
            <w:pPr>
              <w:pStyle w:val="TableContents"/>
              <w:bidi w:val="0"/>
              <w:spacing w:before="0" w:after="283"/>
              <w:jc w:val="left"/>
              <w:rPr/>
            </w:pPr>
            <w:r>
              <w:rPr/>
              <w:t> </w:t>
            </w:r>
          </w:p>
        </w:tc>
        <w:tc>
          <w:tcPr>
            <w:tcW w:w="365" w:type="dxa"/>
            <w:tcBorders/>
            <w:shd w:fill="FFFF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57</w:t>
            </w:r>
          </w:p>
        </w:tc>
      </w:tr>
      <w:tr>
        <w:trPr/>
        <w:tc>
          <w:tcPr>
            <w:tcW w:w="1745"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Jamie Haenggi </w:t>
            </w:r>
            <w:r>
              <w:rPr>
                <w:rFonts w:ascii="Times New Roman;Times;Serif" w:hAnsi="Times New Roman;Times;Serif"/>
                <w:position w:val="7"/>
                <w:sz w:val="16"/>
                <w:sz w:val="20"/>
              </w:rPr>
              <w:t>(2) (3)</w:t>
            </w:r>
          </w:p>
        </w:tc>
        <w:tc>
          <w:tcPr>
            <w:tcW w:w="60" w:type="dxa"/>
            <w:tcBorders/>
            <w:shd w:fill="CCEEFF" w:val="clear"/>
            <w:tcMar>
              <w:bottom w:w="0" w:type="dxa"/>
            </w:tcMar>
            <w:vAlign w:val="center"/>
          </w:tcPr>
          <w:p>
            <w:pPr>
              <w:pStyle w:val="TableContents"/>
              <w:bidi w:val="0"/>
              <w:spacing w:before="0" w:after="283"/>
              <w:jc w:val="left"/>
              <w:rPr/>
            </w:pPr>
            <w:r>
              <w:rPr/>
              <w:t> </w:t>
            </w:r>
          </w:p>
        </w:tc>
        <w:tc>
          <w:tcPr>
            <w:tcW w:w="2915"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Director</w:t>
            </w:r>
          </w:p>
        </w:tc>
        <w:tc>
          <w:tcPr>
            <w:tcW w:w="60" w:type="dxa"/>
            <w:tcBorders/>
            <w:shd w:fill="CCEEFF" w:val="clear"/>
            <w:tcMar>
              <w:bottom w:w="0" w:type="dxa"/>
            </w:tcMar>
            <w:vAlign w:val="center"/>
          </w:tcPr>
          <w:p>
            <w:pPr>
              <w:pStyle w:val="TableContents"/>
              <w:bidi w:val="0"/>
              <w:spacing w:before="0" w:after="283"/>
              <w:jc w:val="left"/>
              <w:rPr/>
            </w:pPr>
            <w:r>
              <w:rPr/>
              <w:t> </w:t>
            </w:r>
          </w:p>
        </w:tc>
        <w:tc>
          <w:tcPr>
            <w:tcW w:w="365"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56</w:t>
            </w:r>
          </w:p>
        </w:tc>
      </w:tr>
      <w:tr>
        <w:trPr/>
        <w:tc>
          <w:tcPr>
            <w:tcW w:w="1745"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Bernard Gutmann</w:t>
            </w:r>
            <w:r>
              <w:rPr>
                <w:rFonts w:ascii="Times New Roman;Times;Serif" w:hAnsi="Times New Roman;Times;Serif"/>
                <w:position w:val="7"/>
                <w:sz w:val="16"/>
                <w:sz w:val="20"/>
              </w:rPr>
              <w:t>(1)</w:t>
            </w:r>
          </w:p>
        </w:tc>
        <w:tc>
          <w:tcPr>
            <w:tcW w:w="60" w:type="dxa"/>
            <w:tcBorders/>
            <w:shd w:fill="FFFFFF" w:val="clear"/>
            <w:tcMar>
              <w:bottom w:w="0" w:type="dxa"/>
            </w:tcMar>
            <w:vAlign w:val="center"/>
          </w:tcPr>
          <w:p>
            <w:pPr>
              <w:pStyle w:val="TableContents"/>
              <w:bidi w:val="0"/>
              <w:spacing w:before="0" w:after="283"/>
              <w:jc w:val="left"/>
              <w:rPr/>
            </w:pPr>
            <w:r>
              <w:rPr/>
              <w:t> </w:t>
            </w:r>
          </w:p>
        </w:tc>
        <w:tc>
          <w:tcPr>
            <w:tcW w:w="2915"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Director</w:t>
            </w:r>
          </w:p>
        </w:tc>
        <w:tc>
          <w:tcPr>
            <w:tcW w:w="60" w:type="dxa"/>
            <w:tcBorders/>
            <w:shd w:fill="FFFFFF" w:val="clear"/>
            <w:tcMar>
              <w:bottom w:w="0" w:type="dxa"/>
            </w:tcMar>
            <w:vAlign w:val="center"/>
          </w:tcPr>
          <w:p>
            <w:pPr>
              <w:pStyle w:val="TableContents"/>
              <w:bidi w:val="0"/>
              <w:spacing w:before="0" w:after="283"/>
              <w:jc w:val="left"/>
              <w:rPr/>
            </w:pPr>
            <w:r>
              <w:rPr/>
              <w:t> </w:t>
            </w:r>
          </w:p>
        </w:tc>
        <w:tc>
          <w:tcPr>
            <w:tcW w:w="365" w:type="dxa"/>
            <w:tcBorders/>
            <w:shd w:fill="FFFF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66</w:t>
            </w:r>
          </w:p>
        </w:tc>
      </w:tr>
    </w:tbl>
    <w:p>
      <w:pPr>
        <w:pStyle w:val="TextBody"/>
        <w:bidi w:val="0"/>
        <w:spacing w:before="0" w:after="0"/>
        <w:ind w:left="0" w:right="0" w:firstLine="360"/>
        <w:jc w:val="both"/>
        <w:rPr>
          <w:caps w:val="false"/>
          <w:smallCaps w:val="false"/>
        </w:rPr>
      </w:pPr>
      <w:r>
        <w:rPr>
          <w:caps w:val="false"/>
          <w:smallCaps w:val="false"/>
        </w:rPr>
        <w:t> </w:t>
      </w:r>
    </w:p>
    <w:tbl>
      <w:tblPr>
        <w:tblW w:w="2980" w:type="dxa"/>
        <w:jc w:val="left"/>
        <w:tblInd w:w="0" w:type="dxa"/>
        <w:tblLayout w:type="fixed"/>
        <w:tblCellMar>
          <w:top w:w="0" w:type="dxa"/>
          <w:left w:w="0" w:type="dxa"/>
          <w:bottom w:w="0" w:type="dxa"/>
          <w:right w:w="0" w:type="dxa"/>
        </w:tblCellMar>
      </w:tblPr>
      <w:tblGrid>
        <w:gridCol w:w="260"/>
        <w:gridCol w:w="2720"/>
      </w:tblGrid>
      <w:tr>
        <w:trPr/>
        <w:tc>
          <w:tcPr>
            <w:tcW w:w="2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w:t>
            </w:r>
          </w:p>
        </w:tc>
        <w:tc>
          <w:tcPr>
            <w:tcW w:w="272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Member of the Audit Committee.</w:t>
            </w:r>
          </w:p>
        </w:tc>
      </w:tr>
    </w:tbl>
    <w:p>
      <w:pPr>
        <w:pStyle w:val="TextBody"/>
        <w:bidi w:val="0"/>
        <w:spacing w:before="0" w:after="0"/>
        <w:jc w:val="left"/>
        <w:rPr>
          <w:caps w:val="false"/>
          <w:smallCaps w:val="false"/>
        </w:rPr>
      </w:pPr>
      <w:r>
        <w:rPr>
          <w:caps w:val="false"/>
          <w:smallCaps w:val="false"/>
        </w:rPr>
        <w:t> </w:t>
      </w:r>
    </w:p>
    <w:tbl>
      <w:tblPr>
        <w:tblW w:w="3700" w:type="dxa"/>
        <w:jc w:val="left"/>
        <w:tblInd w:w="0" w:type="dxa"/>
        <w:tblLayout w:type="fixed"/>
        <w:tblCellMar>
          <w:top w:w="0" w:type="dxa"/>
          <w:left w:w="0" w:type="dxa"/>
          <w:bottom w:w="0" w:type="dxa"/>
          <w:right w:w="0" w:type="dxa"/>
        </w:tblCellMar>
      </w:tblPr>
      <w:tblGrid>
        <w:gridCol w:w="260"/>
        <w:gridCol w:w="3440"/>
      </w:tblGrid>
      <w:tr>
        <w:trPr/>
        <w:tc>
          <w:tcPr>
            <w:tcW w:w="2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w:t>
            </w:r>
          </w:p>
        </w:tc>
        <w:tc>
          <w:tcPr>
            <w:tcW w:w="344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Member of the Compensation Committee.</w:t>
            </w:r>
          </w:p>
        </w:tc>
      </w:tr>
    </w:tbl>
    <w:p>
      <w:pPr>
        <w:pStyle w:val="TextBody"/>
        <w:bidi w:val="0"/>
        <w:spacing w:before="0" w:after="0"/>
        <w:jc w:val="left"/>
        <w:rPr>
          <w:caps w:val="false"/>
          <w:smallCaps w:val="false"/>
        </w:rPr>
      </w:pPr>
      <w:r>
        <w:rPr>
          <w:caps w:val="false"/>
          <w:smallCaps w:val="false"/>
        </w:rPr>
        <w:t> </w:t>
      </w:r>
    </w:p>
    <w:tbl>
      <w:tblPr>
        <w:tblW w:w="5710" w:type="dxa"/>
        <w:jc w:val="left"/>
        <w:tblInd w:w="0" w:type="dxa"/>
        <w:tblLayout w:type="fixed"/>
        <w:tblCellMar>
          <w:top w:w="0" w:type="dxa"/>
          <w:left w:w="0" w:type="dxa"/>
          <w:bottom w:w="0" w:type="dxa"/>
          <w:right w:w="0" w:type="dxa"/>
        </w:tblCellMar>
      </w:tblPr>
      <w:tblGrid>
        <w:gridCol w:w="260"/>
        <w:gridCol w:w="5450"/>
      </w:tblGrid>
      <w:tr>
        <w:trPr/>
        <w:tc>
          <w:tcPr>
            <w:tcW w:w="2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(3)</w:t>
            </w:r>
          </w:p>
        </w:tc>
        <w:tc>
          <w:tcPr>
            <w:tcW w:w="545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Member of the Nominating and Corporate Governance Committee.</w:t>
            </w:r>
          </w:p>
        </w:tc>
      </w:tr>
    </w:tbl>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Thurman J. Rodgers</w:t>
      </w:r>
      <w:r>
        <w:rPr>
          <w:rFonts w:ascii="Times New Roman;Times;Serif" w:hAnsi="Times New Roman;Times;Serif"/>
          <w:b w:val="false"/>
          <w:i/>
          <w:caps w:val="false"/>
          <w:smallCaps w:val="false"/>
          <w:sz w:val="20"/>
        </w:rPr>
        <w:t>.</w:t>
      </w:r>
      <w:r>
        <w:rPr>
          <w:rFonts w:ascii="Times New Roman;Times;Serif" w:hAnsi="Times New Roman;Times;Serif"/>
          <w:b w:val="false"/>
          <w:i w:val="false"/>
          <w:caps w:val="false"/>
          <w:smallCaps w:val="false"/>
          <w:sz w:val="20"/>
        </w:rPr>
        <w:t xml:space="preserve"> Thurman J. (T.J.) Rodgers, 78, has served as the Chief Executive Officer of the Company since April 2024 and as a member of the Company’s Board of Directors since November 2022 and as Executive Chairman since June 2023. Mr. Rodgers founded Cypress Semiconductor in 1982 and served as Cypress’ Chief Executive Officer from 1982 to 2016. Mr. Rodgers currently serves on the boards of other energy-related companies: including Enovix and Enphase Energy Inc. (energy and storage technologies). From 2004 to 2012, he served as a member of Dartmouth’s board of trustees. Mr. Rodgers was a Sloan scholar at Dartmouth, where he graduated in 1970 as the Salutatorian with a double major in Physics and Chemistry. He won the Townsend Prize and the Haseltine Chemistry-Physics Prize as the top physics and chemistry student in his class. Mr. Rodgers holds a master’s degree and a Ph.D. in Electrical Engineering from Stanford University, where he attended on a Hertz fellowship.</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Antonio R. Alvarez</w:t>
      </w:r>
      <w:r>
        <w:rPr>
          <w:rFonts w:ascii="Times New Roman;Times;Serif" w:hAnsi="Times New Roman;Times;Serif"/>
          <w:b w:val="false"/>
          <w:i/>
          <w:caps w:val="false"/>
          <w:smallCaps w:val="false"/>
          <w:sz w:val="20"/>
        </w:rPr>
        <w:t>.</w:t>
      </w:r>
      <w:r>
        <w:rPr>
          <w:rFonts w:ascii="Times New Roman;Times;Serif" w:hAnsi="Times New Roman;Times;Serif"/>
          <w:b w:val="false"/>
          <w:i w:val="false"/>
          <w:caps w:val="false"/>
          <w:smallCaps w:val="false"/>
          <w:sz w:val="20"/>
        </w:rPr>
        <w:t xml:space="preserve"> Antonio R. Alvarez, 69, has served as a member of the Company’s Board of Directors since November 2022. Mr. Alvarez served as the President of the Company since the merger of Complete Solar and Solaria in November 2022 until March 2023. From 2020 to 2022, Mr. Alvarez served as Solaria’s Chief Executive Officer. Prior to 2020, Mr. Alvarez served in various executive roles at Altierre Corporation, Aptina Imaging, Advanced Analogic Technologies, Leadis Technology and Cypress Semiconductor. Currently, Mr. Alvarez serves on the Board of Directors of NexGen Power Systems and previously served as a board member of SunEdison, SunEdison Semiconductor, ChipMOS Technology, and Validity Sensors. Mr. Alvarez holds a B.S. and an M.S. in Electrical Engineering from the Georgia Institute of Technology.</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William J. Anderson</w:t>
      </w:r>
      <w:r>
        <w:rPr>
          <w:rFonts w:ascii="Times New Roman;Times;Serif" w:hAnsi="Times New Roman;Times;Serif"/>
          <w:b w:val="false"/>
          <w:i/>
          <w:caps w:val="false"/>
          <w:smallCaps w:val="false"/>
          <w:sz w:val="20"/>
        </w:rPr>
        <w:t>.</w:t>
      </w:r>
      <w:r>
        <w:rPr>
          <w:rFonts w:ascii="Times New Roman;Times;Serif" w:hAnsi="Times New Roman;Times;Serif"/>
          <w:b w:val="false"/>
          <w:i w:val="false"/>
          <w:caps w:val="false"/>
          <w:smallCaps w:val="false"/>
          <w:sz w:val="20"/>
        </w:rPr>
        <w:t xml:space="preserve"> William J. Anderson, 49, served as the Chief Executive Officer of the Company from November 2022 to December 2023. From 2010 to 2022, he served as the Chief Executive Officer of Complete Solar. From 2007 to 2009, Mr. Anderson served as CEO of Risk Allocation Systems, Inc., a lending platform connecting automobile dealerships and credit unions in order to offer point of sale automobile loans to car buyers. From 2009 to 2010, Mr. Anderson served as Partner at SVE Partners, a boutique consulting firm serving technology start-ups and venture capital investors. Mr. Anderson holds a B.S. in Managerial Sciences from the Massachusetts Institute of Technology and an M.B.A. from the Stanford University Graduate School of Business.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Adam Gishen</w:t>
      </w:r>
      <w:r>
        <w:rPr>
          <w:rFonts w:ascii="Times New Roman;Times;Serif" w:hAnsi="Times New Roman;Times;Serif"/>
          <w:b w:val="false"/>
          <w:i/>
          <w:caps w:val="false"/>
          <w:smallCaps w:val="false"/>
          <w:sz w:val="20"/>
        </w:rPr>
        <w:t>.</w:t>
      </w:r>
      <w:r>
        <w:rPr>
          <w:rFonts w:ascii="Times New Roman;Times;Serif" w:hAnsi="Times New Roman;Times;Serif"/>
          <w:b w:val="false"/>
          <w:i w:val="false"/>
          <w:caps w:val="false"/>
          <w:smallCaps w:val="false"/>
          <w:sz w:val="20"/>
        </w:rPr>
        <w:t xml:space="preserve"> Adam Gishen, 51, served as FACT’s Chief Executive Officer from February until the Business Combination in July 2023, and served as one of FACT’s initial board observers. From 2015 to 2020, Mr. Gishen served in several senior roles at Credit Suisse Group AG, including Global Head of Investor Relations, Corporate Communications and Marketing and Branding. Prior to 2015, Mr. Gishen was a partner at Ondra Partners, a financial advisory firm and previous to this worked as a Managing Director at Nomura and at Lehman Brothers in the area of equity capital markets. Mr. Gishen graduated from the University of Leeds.</w:t>
      </w:r>
    </w:p>
    <w:p>
      <w:pPr>
        <w:pStyle w:val="TextBody"/>
        <w:bidi w:val="0"/>
        <w:spacing w:before="0" w:after="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72</w:t>
      </w:r>
    </w:p>
    <w:p>
      <w:pPr>
        <w:pStyle w:val="TextBody"/>
        <w:bidi w:val="0"/>
        <w:spacing w:before="0" w:after="0"/>
        <w:ind w:left="0" w:right="0" w:hanging="0"/>
        <w:jc w:val="left"/>
        <w:rPr/>
      </w:pPr>
      <w:r>
        <w:rPr/>
        <w:t> </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Chris Lundell</w:t>
      </w:r>
      <w:r>
        <w:rPr>
          <w:rFonts w:ascii="Times New Roman;Times;Serif" w:hAnsi="Times New Roman;Times;Serif"/>
          <w:b w:val="false"/>
          <w:i/>
          <w:caps w:val="false"/>
          <w:smallCaps w:val="false"/>
          <w:sz w:val="20"/>
        </w:rPr>
        <w:t>.</w:t>
      </w:r>
      <w:r>
        <w:rPr>
          <w:rFonts w:ascii="Times New Roman;Times;Serif" w:hAnsi="Times New Roman;Times;Serif"/>
          <w:b w:val="false"/>
          <w:i w:val="false"/>
          <w:caps w:val="false"/>
          <w:smallCaps w:val="false"/>
          <w:sz w:val="20"/>
        </w:rPr>
        <w:t xml:space="preserve"> Christopher Lundell, 65, has served as a member of the Company’s Board of Directors since November 2023. Mr. Lundell served as the Chief Executive Officer of the Company from December 2023 to April 2024. Mr. Lundell is the Founder of CMO Grow, a marketing consultancy firm. Prior to that, he was the CMO at Vivint Solar, the President of the Americas at NEXThink, and CMO and COO at Domo. He holds an M.B.A. from Brigham Young University.</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Lothar Maier</w:t>
      </w:r>
      <w:r>
        <w:rPr>
          <w:rFonts w:ascii="Times New Roman;Times;Serif" w:hAnsi="Times New Roman;Times;Serif"/>
          <w:b w:val="false"/>
          <w:i w:val="false"/>
          <w:caps w:val="false"/>
          <w:smallCaps w:val="false"/>
          <w:sz w:val="20"/>
        </w:rPr>
        <w:t>. Lothar Maier, 71, has served as a member of the Company’s Board of Directors since November 2024. Mr. Maier served as Director of FormFactor Inc, from November 2006 to May 2024. Mr. Maier served as the Chief Executive Officer and a member of the Board of Directors of Linear Technology Corporation, a supplier of high performance analog integrated circuits, from January 2005 to March 2017. Prior to that, he served as Linear Technology’s Chief Operating Officer from April 1999 to December 2004. Before joining Linear Technology, Mr. Maier held various management positions at Cypress Semiconductor Corporation, a provider of high-performance, mixed-signal, programmable solutions, from July 1983 to March 1999, including as Senior Vice President and Executive Vice President of Worldwide Operations. Mr. Maier holds a B.S. in chemical engineering from the University of California at Berkeley.</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 xml:space="preserve">J. Daniel McCranie. </w:t>
      </w:r>
      <w:r>
        <w:rPr>
          <w:rFonts w:ascii="Times New Roman;Times;Serif" w:hAnsi="Times New Roman;Times;Serif"/>
          <w:b w:val="false"/>
          <w:i w:val="false"/>
          <w:caps w:val="false"/>
          <w:smallCaps w:val="false"/>
          <w:sz w:val="20"/>
        </w:rPr>
        <w:t>J. Daniel McCranie, 82, has served as a member of the Company’s Board of Directors since January 2025. After his early career in semiconductor sales, Mr. McCranie became the executive vice president of sales &amp; marketing for Harris Corporation, a technology company, and the chief executive officer of SEEQ Technology, a semiconductor company, and Virage Logic Corporation, a semiconductor company. From 1994 to 2001, he joined Cypress Semiconductor Corporation, a semiconductor company, as executive vice president of sales&amp; marketing. He has held 10 board positions in the semiconductor and technology, including having served on the board of Cypress Semiconductor Corporation, from June 2017 to May 2019, ON Semiconductor Corporation, a semiconductor company, from 2001 to 2018, and Enovix Corporation from December 2021 until January 2023. From 2012 to 2017, he served on the board of Mentor Graphics, an electric design automation company. He holds a B.S. in Electrical Engineering from Virginia Polytechnic Institute.</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Ronald Pasek</w:t>
      </w:r>
      <w:r>
        <w:rPr>
          <w:rFonts w:ascii="Times New Roman;Times;Serif" w:hAnsi="Times New Roman;Times;Serif"/>
          <w:b w:val="false"/>
          <w:i w:val="false"/>
          <w:caps w:val="false"/>
          <w:smallCaps w:val="false"/>
          <w:sz w:val="20"/>
        </w:rPr>
        <w:t>. Ronald Pasek, 65, has served as a member of the Company’s Board of Directors since February 2023. Since 2015, Mr. Pasek has served as the chairman of the Board of Directors of Spectra7 Microsystems Inc., a Canadian publicly-traded consumer connectivity company. Since January 2026, Mr. Pasek has also served as a director of Extreme Networks, Inc. From 2016 to 2020, Mr. Pasek was Chief Financial Officer of NetApp. From 2009 until its acquisition by Intel in December 2015, Mr. Pasek served as Senior Vice President, Finance and Chief Financial Officer of Altera Corporation, a worldwide provider of programmable logic devices. Mr. Pasek was previously employed by Sun Microsystems, in a variety of roles including Vice President, Corporate Treasurer and Vice President of worldwide field finance, worldwide manufacturing and U.S. field finance. Mr. Pasek holds a B.S. degree from San Jose State University and an M.B.A. degree from Santa Clara University.</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Tidjane Thiam</w:t>
      </w:r>
      <w:r>
        <w:rPr>
          <w:rFonts w:ascii="Times New Roman;Times;Serif" w:hAnsi="Times New Roman;Times;Serif"/>
          <w:b w:val="false"/>
          <w:i w:val="false"/>
          <w:caps w:val="false"/>
          <w:smallCaps w:val="false"/>
          <w:sz w:val="20"/>
        </w:rPr>
        <w:t>. Tidjane Thiam, 63, served as a member of the FACT Board and as Executive Chairman of FACT since inception until the Business Combination in July 2023. In 2021, Mr. Thiam was appointed Chairman of Rwanda Finance Limited. He also serves as a Director and Chair of the Audit Committee of Kering S.A., the French luxury group. Mr. Thiam is also a Special Envoy on Covid 19 for the African Union. From 2015 to 2020, Mr. Thiam was Chief Executive Officer of Credit Suisse Group AG. From 2014 to 2019, Mr. Thiam was a Director of 21</w:t>
      </w:r>
      <w:r>
        <w:rPr>
          <w:rFonts w:ascii="Times New Roman;Times;Serif" w:hAnsi="Times New Roman;Times;Serif"/>
          <w:b w:val="false"/>
          <w:i w:val="false"/>
          <w:caps w:val="false"/>
          <w:smallCaps w:val="false"/>
          <w:position w:val="7"/>
          <w:sz w:val="16"/>
          <w:sz w:val="20"/>
        </w:rPr>
        <w:t>st</w:t>
      </w:r>
      <w:r>
        <w:rPr>
          <w:rFonts w:ascii="Times New Roman;Times;Serif" w:hAnsi="Times New Roman;Times;Serif"/>
          <w:b w:val="false"/>
          <w:i w:val="false"/>
          <w:caps w:val="false"/>
          <w:smallCaps w:val="false"/>
          <w:sz w:val="20"/>
        </w:rPr>
        <w:t xml:space="preserve"> Century Fox and served on its Nominating and Corporate Governance Committee. Mr. Thiam previously served at Prudential plc, a global insurance company based on London, as the Group Chief Executive from 2009 to 2015, a Director from 2008 to 2015 and Group Chief Financial Officer from 2008 to 2009. Mr. Thiam holds an M.B.A. from INSEAD and graduated from École Nationale Supérieure des Mines de Paris in 1986 and from École Polytechnique in Paris in 1984.</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Devin Whatley</w:t>
      </w:r>
      <w:r>
        <w:rPr>
          <w:rFonts w:ascii="Times New Roman;Times;Serif" w:hAnsi="Times New Roman;Times;Serif"/>
          <w:b w:val="false"/>
          <w:i w:val="false"/>
          <w:caps w:val="false"/>
          <w:smallCaps w:val="false"/>
          <w:sz w:val="20"/>
        </w:rPr>
        <w:t>. Devin Whatley, 57, has served as a member of our Board of Directors since November 2022. Since 2010, Mr. Whatley has served as the Managing Partner at the Ecosystem Integrity Fund. Mr. Whatley serves as a member of the Board of Directors of several private companies focused on renewable energy. Mr. Whatley was a CFA Charterholder and holds a B.A. in East Asian Studies with a Business Emphasis from the University of California, Los Angeles and an M.B.A. from the Wharton School at the University of Pennsylvania.</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73</w:t>
      </w:r>
    </w:p>
    <w:p>
      <w:pPr>
        <w:pStyle w:val="TextBody"/>
        <w:bidi w:val="0"/>
        <w:spacing w:before="0" w:after="0"/>
        <w:ind w:left="0" w:right="0" w:hanging="0"/>
        <w:jc w:val="left"/>
        <w:rPr/>
      </w:pPr>
      <w:r>
        <w:rPr/>
        <w:t>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Jamie Haenggi</w:t>
      </w:r>
      <w:r>
        <w:rPr>
          <w:rFonts w:ascii="Times New Roman;Times;Serif" w:hAnsi="Times New Roman;Times;Serif"/>
          <w:b w:val="false"/>
          <w:i w:val="false"/>
          <w:caps w:val="false"/>
          <w:smallCaps w:val="false"/>
          <w:sz w:val="20"/>
        </w:rPr>
        <w:t>. Jamie Haenggi, 56 has served as a member of the Company’s Board of Directors since April 2025. Ms. Haenggi brings more than 30 years of executive leadership in sales, marketing, operations, and customer experience across the solar, security, and telecom industries. Most recently, she served as President of ADT Solar and Executive Vice President and Chief Customer Officer of ADT Security Services. Prior to that, she held Chief Marketing Officer and senior executive roles at ADT Security, Protection 1, National Guardian, Holmes Protection, and Vonage. Ms. Haenggi currently serves as Chief Executive Officer of GoodwinBeckham, a boutique executive consulting firm. She holds a Bachelor of Arts in International Relations with minors in East Asian studies and Japanese from the University of Minnesota and an Honorary Doctorate from Taylor University. Ms. Haenggi has been inducted into the Security Industry Hall of Fame and the Direct Marketing News Hall of Femme.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Bernard Gutmann</w:t>
      </w:r>
      <w:r>
        <w:rPr>
          <w:rFonts w:ascii="Times New Roman;Times;Serif" w:hAnsi="Times New Roman;Times;Serif"/>
          <w:b w:val="false"/>
          <w:i w:val="false"/>
          <w:caps w:val="false"/>
          <w:smallCaps w:val="false"/>
          <w:sz w:val="20"/>
        </w:rPr>
        <w:t>. Bernard Gutmann, 66, has served as a member of the Company’s Board of Directors since May 2026. Mr. Gutmann brings close to forty years of experience in the semiconductor space. Most recently he served as the Executive Vice President and Chief Financial Officer &amp; Treasurer of ON Semiconductor, a semiconductor manufacturing company, a position he held from September 2012 to February 2021. Prior to that, from 2006 to 2012, he served in the role of Vice President, Corporate Analysis &amp; Strategy of SCI LLC, a wholly owned subsidiary of ON Semiconductor. From 1999 to 2002, he held the position of Director, Financial Planning &amp; Analysis of SCI LLC.</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Executive Officers</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executive officers and their ages as of June 29, 2026 are set forth below.</w:t>
      </w:r>
    </w:p>
    <w:p>
      <w:pPr>
        <w:pStyle w:val="TextBody"/>
        <w:bidi w:val="0"/>
        <w:spacing w:before="0" w:after="0"/>
        <w:jc w:val="both"/>
        <w:rPr>
          <w:caps w:val="false"/>
          <w:smallCaps w:val="false"/>
        </w:rPr>
      </w:pPr>
      <w:r>
        <w:rPr>
          <w:caps w:val="false"/>
          <w:smallCaps w:val="false"/>
        </w:rPr>
        <w:t> </w:t>
      </w:r>
    </w:p>
    <w:tbl>
      <w:tblPr>
        <w:tblW w:w="5130" w:type="dxa"/>
        <w:jc w:val="left"/>
        <w:tblInd w:w="0" w:type="dxa"/>
        <w:tblLayout w:type="fixed"/>
        <w:tblCellMar>
          <w:top w:w="0" w:type="dxa"/>
          <w:left w:w="0" w:type="dxa"/>
          <w:bottom w:w="28" w:type="dxa"/>
          <w:right w:w="0" w:type="dxa"/>
        </w:tblCellMar>
      </w:tblPr>
      <w:tblGrid>
        <w:gridCol w:w="1655"/>
        <w:gridCol w:w="60"/>
        <w:gridCol w:w="350"/>
        <w:gridCol w:w="60"/>
        <w:gridCol w:w="3005"/>
      </w:tblGrid>
      <w:tr>
        <w:trPr/>
        <w:tc>
          <w:tcPr>
            <w:tcW w:w="1655" w:type="dxa"/>
            <w:tcBorders>
              <w:bottom w:val="single" w:sz="12" w:space="0" w:color="000000"/>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Name</w:t>
            </w:r>
          </w:p>
        </w:tc>
        <w:tc>
          <w:tcPr>
            <w:tcW w:w="60" w:type="dxa"/>
            <w:tcBorders/>
            <w:tcMar>
              <w:bottom w:w="0" w:type="dxa"/>
            </w:tcMar>
            <w:vAlign w:val="center"/>
          </w:tcPr>
          <w:p>
            <w:pPr>
              <w:pStyle w:val="TableContents"/>
              <w:bidi w:val="0"/>
              <w:spacing w:before="0" w:after="283"/>
              <w:jc w:val="left"/>
              <w:rPr/>
            </w:pPr>
            <w:r>
              <w:rPr/>
              <w:t> </w:t>
            </w:r>
          </w:p>
        </w:tc>
        <w:tc>
          <w:tcPr>
            <w:tcW w:w="350" w:type="dxa"/>
            <w:tcBorders>
              <w:bottom w:val="single" w:sz="12"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Age</w:t>
            </w:r>
          </w:p>
        </w:tc>
        <w:tc>
          <w:tcPr>
            <w:tcW w:w="60" w:type="dxa"/>
            <w:tcBorders/>
            <w:tcMar>
              <w:bottom w:w="0" w:type="dxa"/>
            </w:tcMar>
            <w:vAlign w:val="center"/>
          </w:tcPr>
          <w:p>
            <w:pPr>
              <w:pStyle w:val="TableContents"/>
              <w:bidi w:val="0"/>
              <w:spacing w:before="0" w:after="283"/>
              <w:jc w:val="left"/>
              <w:rPr/>
            </w:pPr>
            <w:r>
              <w:rPr/>
              <w:t> </w:t>
            </w:r>
          </w:p>
        </w:tc>
        <w:tc>
          <w:tcPr>
            <w:tcW w:w="3005" w:type="dxa"/>
            <w:tcBorders>
              <w:bottom w:val="single" w:sz="12"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Position</w:t>
            </w:r>
          </w:p>
        </w:tc>
      </w:tr>
      <w:tr>
        <w:trPr/>
        <w:tc>
          <w:tcPr>
            <w:tcW w:w="1655"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Thurman J. Rodgers</w:t>
            </w:r>
          </w:p>
        </w:tc>
        <w:tc>
          <w:tcPr>
            <w:tcW w:w="60" w:type="dxa"/>
            <w:tcBorders/>
            <w:shd w:fill="CCEEFF" w:val="clear"/>
            <w:tcMar>
              <w:bottom w:w="0" w:type="dxa"/>
            </w:tcMar>
            <w:vAlign w:val="center"/>
          </w:tcPr>
          <w:p>
            <w:pPr>
              <w:pStyle w:val="TableContents"/>
              <w:bidi w:val="0"/>
              <w:spacing w:before="0" w:after="283"/>
              <w:jc w:val="left"/>
              <w:rPr/>
            </w:pPr>
            <w:r>
              <w:rPr/>
              <w:t> </w:t>
            </w:r>
          </w:p>
        </w:tc>
        <w:tc>
          <w:tcPr>
            <w:tcW w:w="350"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78</w:t>
            </w:r>
          </w:p>
        </w:tc>
        <w:tc>
          <w:tcPr>
            <w:tcW w:w="60" w:type="dxa"/>
            <w:tcBorders/>
            <w:shd w:fill="CCEEFF" w:val="clear"/>
            <w:tcMar>
              <w:bottom w:w="0" w:type="dxa"/>
            </w:tcMar>
            <w:vAlign w:val="center"/>
          </w:tcPr>
          <w:p>
            <w:pPr>
              <w:pStyle w:val="TableContents"/>
              <w:bidi w:val="0"/>
              <w:spacing w:before="0" w:after="283"/>
              <w:jc w:val="left"/>
              <w:rPr/>
            </w:pPr>
            <w:r>
              <w:rPr/>
              <w:t> </w:t>
            </w:r>
          </w:p>
        </w:tc>
        <w:tc>
          <w:tcPr>
            <w:tcW w:w="3005"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Chief Executive Officer and Director</w:t>
            </w:r>
          </w:p>
        </w:tc>
      </w:tr>
      <w:tr>
        <w:trPr/>
        <w:tc>
          <w:tcPr>
            <w:tcW w:w="1655"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Jeanne Nguyen</w:t>
            </w:r>
          </w:p>
        </w:tc>
        <w:tc>
          <w:tcPr>
            <w:tcW w:w="60" w:type="dxa"/>
            <w:tcBorders/>
            <w:shd w:fill="FFFFFF" w:val="clear"/>
            <w:tcMar>
              <w:bottom w:w="0" w:type="dxa"/>
            </w:tcMar>
            <w:vAlign w:val="center"/>
          </w:tcPr>
          <w:p>
            <w:pPr>
              <w:pStyle w:val="TableContents"/>
              <w:bidi w:val="0"/>
              <w:spacing w:before="0" w:after="283"/>
              <w:jc w:val="left"/>
              <w:rPr/>
            </w:pPr>
            <w:r>
              <w:rPr/>
              <w:t> </w:t>
            </w:r>
          </w:p>
        </w:tc>
        <w:tc>
          <w:tcPr>
            <w:tcW w:w="350" w:type="dxa"/>
            <w:tcBorders/>
            <w:shd w:fill="FFFF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47</w:t>
            </w:r>
          </w:p>
        </w:tc>
        <w:tc>
          <w:tcPr>
            <w:tcW w:w="60" w:type="dxa"/>
            <w:tcBorders/>
            <w:shd w:fill="FFFFFF" w:val="clear"/>
            <w:tcMar>
              <w:bottom w:w="0" w:type="dxa"/>
            </w:tcMar>
            <w:vAlign w:val="center"/>
          </w:tcPr>
          <w:p>
            <w:pPr>
              <w:pStyle w:val="TableContents"/>
              <w:bidi w:val="0"/>
              <w:spacing w:before="0" w:after="283"/>
              <w:jc w:val="left"/>
              <w:rPr/>
            </w:pPr>
            <w:r>
              <w:rPr/>
              <w:t> </w:t>
            </w:r>
          </w:p>
        </w:tc>
        <w:tc>
          <w:tcPr>
            <w:tcW w:w="3005"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Chief Accounting Officer</w:t>
            </w:r>
          </w:p>
        </w:tc>
      </w:tr>
    </w:tbl>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Biographical information for Mr. Rodgers is included with the Director biographies above.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Jeanne Nguyen.</w:t>
      </w:r>
      <w:r>
        <w:rPr>
          <w:rFonts w:ascii="Times New Roman;Times;Serif" w:hAnsi="Times New Roman;Times;Serif"/>
          <w:b w:val="false"/>
          <w:i w:val="false"/>
          <w:caps w:val="false"/>
          <w:smallCaps w:val="false"/>
          <w:sz w:val="20"/>
        </w:rPr>
        <w:t xml:space="preserve"> Jeanne Nguyen has served as the Chief Accounting Officer since 2024. Jeanne Nguyen served as the Interim Chief Financial Officer of SunPower since July 22, 2025 prior to resigning from that position on February 2, 2026. Prior to that, Ms. Nguyen served as SunPower’s corporate controller following our acquisition of the SunPower Businesses in September 2024, and she served as the corporate controller of SunPower Corporation from December 2023 until our acquisition of the SunPower Businesses. Prior to that, Ms. Nguyen served as Corporate Controller of Convoy Inc. from September 2016 until October 2023. Prior to joining Convoy Inc., Ms. Nguyen was a senior manager in the Assurance services practice at PricewaterhouseCoopers from July 2011 to March 2016. Ms. Nguyen is a certified public accountant and holds a BA in Business Administration from the University of Washington.</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Director Independence</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required under Nasdaq listing standards, a majority of the members of a listed company’s Board of Directors must qualify as “independent,” as affirmatively determined by the Board of Directors. In addition, Nasdaq listing standards require that, subject to specified exceptions, each member of a listed company’s Audit Committee, Compensation Committee, and Nominating and Corporate Governance Committee be “independent.”</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Based on information provided by each Director concerning her or his background, employment and affiliations, the Board of Directors affirmatively determined that none of our Directors - other than Thurman J. Rodgers, Antonio Alvarez, William Anderson, J. Daniel McCranie, and Chris Lundell - has any relationships that would interfere with the exercise of independent judgment in carrying out the responsibilities of a Director and that each of Messrs. Gishen, Maier, Pasek, Thiam, Whatley and Ms. Haenggi, representing a majority of SunPower’s incumbent Directors, is “independent” as that term is defined under the Nasdaq listing standards.</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are no family relationships among any of our Directors or executive officers.</w:t>
      </w:r>
    </w:p>
    <w:p>
      <w:pPr>
        <w:pStyle w:val="TextBody"/>
        <w:bidi w:val="0"/>
        <w:spacing w:before="0" w:after="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74</w:t>
      </w:r>
    </w:p>
    <w:p>
      <w:pPr>
        <w:pStyle w:val="TextBody"/>
        <w:bidi w:val="0"/>
        <w:spacing w:before="0" w:after="0"/>
        <w:ind w:left="0" w:right="0" w:hanging="0"/>
        <w:jc w:val="left"/>
        <w:rPr/>
      </w:pPr>
      <w:r>
        <w:rPr/>
        <w:t> </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Role of the Board of Directors in Risk Oversight</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One of the key functions of the Board of Directors is the informed oversight of SunPower’s risk management process. The Board of Directors does not anticipate having a standing risk management committee, but rather anticipates administering this oversight function directly through the Board of Directors as a whole, as well as through various standing committees of the Board of Directors that address risks inherent in their respective areas of oversight. In particular, the Board of Directors is responsible for monitoring and assessing strategic risk exposure, and SunPower’s Audit Committee is responsible for considering and discussing SunPower’s major financial risk exposures and the steps its management will take to monitor and control such exposures, including guidelines and policies to govern the process by which risk assessment and management is undertaken. The Audit Committee monitors compliance with legal and regulatory requirements. The Compensation Committee assesses and monitors whether SunPower’s compensation plans, policies and programs comply with applicable legal and regulatory requirements.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Board Committees</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Board of Directors has formed an Audit Committee, Compensation Committee, and Nominating and Corporate Governance Committee. The Board of Directors may from time to time establish other committees.</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Chief Executive Officer, Chief Financial Officer and other executive officers regularly report to the non-executive Directors and each standing committee to ensure effective and efficient oversight of its activities and to assist in proper risk management and the ongoing evaluation of management controls.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Audit Committee</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Audit Committee consists of Ronald Pasek, who serves as the chairperson, Adam Gishen, Lothar Maier and Bernard Gutmann. Each member of the Audit Committee qualifies as an independent director under the Nasdaq corporate governance standards and the independence requirements of Rule 10A-3 under the Exchange Act. Our Board of Directors has determined that Ronald Pasek qualifies as an “audit committee financial expert” as such term is defined in Item 407(d)(5) of Regulation S-K and possesses the requisite financial expertise required under the applicable requirements of Nasdaq. As discussed above, our Board of Directors has also determined that Ronald Pasek is an independent director.</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responsibilities of the Audit Committee include, among other things:</w:t>
      </w:r>
    </w:p>
    <w:p>
      <w:pPr>
        <w:pStyle w:val="TextBody"/>
        <w:bidi w:val="0"/>
        <w:spacing w:before="0" w:after="0"/>
        <w:ind w:left="960" w:right="0" w:hanging="480"/>
        <w:jc w:val="both"/>
        <w:rPr>
          <w:caps w:val="false"/>
          <w:smallCaps w:val="false"/>
        </w:rPr>
      </w:pPr>
      <w:r>
        <w:rPr>
          <w:caps w:val="false"/>
          <w:smallCaps w:val="false"/>
        </w:rPr>
        <w:t> </w:t>
      </w:r>
    </w:p>
    <w:tbl>
      <w:tblPr>
        <w:tblW w:w="7945" w:type="dxa"/>
        <w:jc w:val="left"/>
        <w:tblInd w:w="0" w:type="dxa"/>
        <w:tblLayout w:type="fixed"/>
        <w:tblCellMar>
          <w:top w:w="0" w:type="dxa"/>
          <w:left w:w="0" w:type="dxa"/>
          <w:bottom w:w="0" w:type="dxa"/>
          <w:right w:w="0" w:type="dxa"/>
        </w:tblCellMar>
      </w:tblPr>
      <w:tblGrid>
        <w:gridCol w:w="75"/>
        <w:gridCol w:w="170"/>
        <w:gridCol w:w="770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770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helping the Board of Directors oversee corporate accounting and financial reporting processes;</w:t>
            </w:r>
          </w:p>
        </w:tc>
      </w:tr>
    </w:tbl>
    <w:p>
      <w:pPr>
        <w:pStyle w:val="TextBody"/>
        <w:bidi w:val="0"/>
        <w:spacing w:before="0" w:after="0"/>
        <w:ind w:left="960" w:right="0" w:hanging="48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managing the selection, engagement and qualifications of a qualified firm to serve as the independent registered public accounting firm to audit SunPower’s financial statements;</w:t>
            </w:r>
          </w:p>
        </w:tc>
      </w:tr>
    </w:tbl>
    <w:p>
      <w:pPr>
        <w:pStyle w:val="TextBody"/>
        <w:bidi w:val="0"/>
        <w:spacing w:before="0" w:after="0"/>
        <w:ind w:left="960" w:right="0" w:hanging="480"/>
        <w:jc w:val="both"/>
        <w:rPr>
          <w:caps w:val="false"/>
          <w:smallCaps w:val="false"/>
        </w:rPr>
      </w:pPr>
      <w:r>
        <w:rPr>
          <w:caps w:val="false"/>
          <w:smallCaps w:val="false"/>
        </w:rPr>
        <w:t> </w:t>
      </w:r>
    </w:p>
    <w:tbl>
      <w:tblPr>
        <w:tblW w:w="8950" w:type="dxa"/>
        <w:jc w:val="left"/>
        <w:tblInd w:w="0" w:type="dxa"/>
        <w:tblLayout w:type="fixed"/>
        <w:tblCellMar>
          <w:top w:w="0" w:type="dxa"/>
          <w:left w:w="0" w:type="dxa"/>
          <w:bottom w:w="0" w:type="dxa"/>
          <w:right w:w="0" w:type="dxa"/>
        </w:tblCellMar>
      </w:tblPr>
      <w:tblGrid>
        <w:gridCol w:w="75"/>
        <w:gridCol w:w="170"/>
        <w:gridCol w:w="870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870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helping to ensure the independence and performance of the independent registered public accounting firm;</w:t>
            </w:r>
          </w:p>
        </w:tc>
      </w:tr>
    </w:tbl>
    <w:p>
      <w:pPr>
        <w:pStyle w:val="TextBody"/>
        <w:bidi w:val="0"/>
        <w:spacing w:before="0" w:after="0"/>
        <w:ind w:left="960" w:right="0" w:hanging="48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discussing the scope and results of the audit with the independent registered public accounting firm, and reviewing, with management and the independent accountants, SunPower’s interim and year-end operating results;</w:t>
            </w:r>
          </w:p>
        </w:tc>
      </w:tr>
    </w:tbl>
    <w:p>
      <w:pPr>
        <w:pStyle w:val="TextBody"/>
        <w:bidi w:val="0"/>
        <w:spacing w:before="0" w:after="0"/>
        <w:ind w:left="960" w:right="0" w:hanging="480"/>
        <w:jc w:val="both"/>
        <w:rPr>
          <w:caps w:val="false"/>
          <w:smallCaps w:val="false"/>
        </w:rPr>
      </w:pPr>
      <w:r>
        <w:rPr>
          <w:caps w:val="false"/>
          <w:smallCaps w:val="false"/>
        </w:rPr>
        <w:t> </w:t>
      </w:r>
    </w:p>
    <w:tbl>
      <w:tblPr>
        <w:tblW w:w="9985" w:type="dxa"/>
        <w:jc w:val="left"/>
        <w:tblInd w:w="0" w:type="dxa"/>
        <w:tblLayout w:type="fixed"/>
        <w:tblCellMar>
          <w:top w:w="0" w:type="dxa"/>
          <w:left w:w="0" w:type="dxa"/>
          <w:bottom w:w="0" w:type="dxa"/>
          <w:right w:w="0" w:type="dxa"/>
        </w:tblCellMar>
      </w:tblPr>
      <w:tblGrid>
        <w:gridCol w:w="75"/>
        <w:gridCol w:w="170"/>
        <w:gridCol w:w="974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74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developing procedures for employees to submit concerns anonymously about questionable accounting or audit matters;</w:t>
            </w:r>
          </w:p>
        </w:tc>
      </w:tr>
    </w:tbl>
    <w:p>
      <w:pPr>
        <w:pStyle w:val="TextBody"/>
        <w:bidi w:val="0"/>
        <w:spacing w:before="0" w:after="0"/>
        <w:ind w:left="960" w:right="0" w:hanging="480"/>
        <w:jc w:val="both"/>
        <w:rPr>
          <w:caps w:val="false"/>
          <w:smallCaps w:val="false"/>
        </w:rPr>
      </w:pPr>
      <w:r>
        <w:rPr>
          <w:caps w:val="false"/>
          <w:smallCaps w:val="false"/>
        </w:rPr>
        <w:t> </w:t>
      </w:r>
    </w:p>
    <w:tbl>
      <w:tblPr>
        <w:tblW w:w="6670" w:type="dxa"/>
        <w:jc w:val="left"/>
        <w:tblInd w:w="0" w:type="dxa"/>
        <w:tblLayout w:type="fixed"/>
        <w:tblCellMar>
          <w:top w:w="0" w:type="dxa"/>
          <w:left w:w="0" w:type="dxa"/>
          <w:bottom w:w="0" w:type="dxa"/>
          <w:right w:w="0" w:type="dxa"/>
        </w:tblCellMar>
      </w:tblPr>
      <w:tblGrid>
        <w:gridCol w:w="75"/>
        <w:gridCol w:w="170"/>
        <w:gridCol w:w="642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642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reviewing policies on financial risk assessment and financial risk management;</w:t>
            </w:r>
          </w:p>
        </w:tc>
      </w:tr>
    </w:tbl>
    <w:p>
      <w:pPr>
        <w:pStyle w:val="TextBody"/>
        <w:bidi w:val="0"/>
        <w:spacing w:before="0" w:after="0"/>
        <w:ind w:left="960" w:right="0" w:hanging="480"/>
        <w:jc w:val="both"/>
        <w:rPr>
          <w:caps w:val="false"/>
          <w:smallCaps w:val="false"/>
        </w:rPr>
      </w:pPr>
      <w:r>
        <w:rPr>
          <w:caps w:val="false"/>
          <w:smallCaps w:val="false"/>
        </w:rPr>
        <w:t> </w:t>
      </w:r>
    </w:p>
    <w:tbl>
      <w:tblPr>
        <w:tblW w:w="3235" w:type="dxa"/>
        <w:jc w:val="left"/>
        <w:tblInd w:w="0" w:type="dxa"/>
        <w:tblLayout w:type="fixed"/>
        <w:tblCellMar>
          <w:top w:w="0" w:type="dxa"/>
          <w:left w:w="0" w:type="dxa"/>
          <w:bottom w:w="0" w:type="dxa"/>
          <w:right w:w="0" w:type="dxa"/>
        </w:tblCellMar>
      </w:tblPr>
      <w:tblGrid>
        <w:gridCol w:w="75"/>
        <w:gridCol w:w="170"/>
        <w:gridCol w:w="299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299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reviewing related party transactions;</w:t>
            </w:r>
          </w:p>
        </w:tc>
      </w:tr>
    </w:tbl>
    <w:p>
      <w:pPr>
        <w:pStyle w:val="TextBody"/>
        <w:bidi w:val="0"/>
        <w:spacing w:before="0" w:after="0"/>
        <w:ind w:left="960" w:right="0" w:hanging="48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obtaining and reviewing a report by the independent registered public accounting firm at least annually, that describes SunPower’s internal quality-control procedures, any material issues with such procedures, and any steps taken to deal with such issues when required by applicable law; and</w:t>
            </w:r>
          </w:p>
        </w:tc>
      </w:tr>
    </w:tbl>
    <w:p>
      <w:pPr>
        <w:pStyle w:val="TextBody"/>
        <w:bidi w:val="0"/>
        <w:spacing w:before="0" w:after="0"/>
        <w:ind w:left="960" w:right="0" w:hanging="48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approving (or, as permitted, pre-approving) all audit and all permissible non-audit services to be performed by the independent registered public accounting firm.</w:t>
            </w:r>
          </w:p>
        </w:tc>
      </w:tr>
    </w:tbl>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Board of Directors adopted a written charter of the Audit Committee which is available on SunPower’s website.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75</w:t>
      </w:r>
    </w:p>
    <w:p>
      <w:pPr>
        <w:pStyle w:val="TextBody"/>
        <w:bidi w:val="0"/>
        <w:spacing w:before="0" w:after="0"/>
        <w:ind w:left="0" w:right="0" w:hanging="0"/>
        <w:jc w:val="left"/>
        <w:rPr/>
      </w:pPr>
      <w:r>
        <w:rPr/>
        <w:t>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Compensation Committee</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Compensation Committee consists of Devin Whatley, who serves as the chairperson, Lothar Maier and Jamie Haenggi. The Board of Directors has determined that each current member of the Compensation Committee is independent. The Board of Directors has also determined that each current committee member and a former member of the Compensation Committee - Antonio R. Alvarez - is a “non-employee director” as defined in Rule 16b-3 promulgated under the Exchange Act. Mr. Alvarez resigned from the Compensation Committee during April 2025. While Mr. Alvarez is not an independent director, Section 5605(d)(2)(B) of the Nasdaq listing standards nonetheless permitted the appointment of a non-independent director to the compensation committee if the Board of Directors, under exceptional and limited circumstances, determines that the non-independent director’s membership is required by the best interests of the Company and its stockholders. Based on Mr. Alvarez’s extensive experience with SunPower and familiarity with the industry, the Board of Directors previously concluded that Mr. Alvarez’s appointment to, and membership on, the Compensation Committee prior to Mr. Alvarez’s resignation from the Compensation Committee was in the best interests of SunPower and its stockholders. Further, a majority of the members of the Compensation Committee are independent directors.</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responsibilities of the Compensation Committee are:</w:t>
      </w:r>
    </w:p>
    <w:p>
      <w:pPr>
        <w:pStyle w:val="TextBody"/>
        <w:bidi w:val="0"/>
        <w:spacing w:before="0" w:after="0"/>
        <w:ind w:left="960" w:right="0" w:hanging="48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reviewing and approving, or recommending that the Board of Directors approve, the compensation of SunPower’s executive officers and senior management;</w:t>
            </w:r>
          </w:p>
        </w:tc>
      </w:tr>
    </w:tbl>
    <w:p>
      <w:pPr>
        <w:pStyle w:val="TextBody"/>
        <w:bidi w:val="0"/>
        <w:spacing w:before="0" w:after="0"/>
        <w:ind w:left="960" w:right="0" w:hanging="480"/>
        <w:jc w:val="both"/>
        <w:rPr>
          <w:caps w:val="false"/>
          <w:smallCaps w:val="false"/>
        </w:rPr>
      </w:pPr>
      <w:r>
        <w:rPr>
          <w:caps w:val="false"/>
          <w:smallCaps w:val="false"/>
        </w:rPr>
        <w:t> </w:t>
      </w:r>
    </w:p>
    <w:tbl>
      <w:tblPr>
        <w:tblW w:w="8260" w:type="dxa"/>
        <w:jc w:val="left"/>
        <w:tblInd w:w="0" w:type="dxa"/>
        <w:tblLayout w:type="fixed"/>
        <w:tblCellMar>
          <w:top w:w="0" w:type="dxa"/>
          <w:left w:w="0" w:type="dxa"/>
          <w:bottom w:w="0" w:type="dxa"/>
          <w:right w:w="0" w:type="dxa"/>
        </w:tblCellMar>
      </w:tblPr>
      <w:tblGrid>
        <w:gridCol w:w="75"/>
        <w:gridCol w:w="170"/>
        <w:gridCol w:w="801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801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reviewing and recommending to the Board of Directors the compensation of SunPower’s Directors;</w:t>
            </w:r>
          </w:p>
        </w:tc>
      </w:tr>
    </w:tbl>
    <w:p>
      <w:pPr>
        <w:pStyle w:val="TextBody"/>
        <w:bidi w:val="0"/>
        <w:spacing w:before="0" w:after="0"/>
        <w:ind w:left="960" w:right="0" w:hanging="48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reviewing and approving, or recommending that the Board of Directors approve, the terms of compensatory arrangements with SunPower’s executives;</w:t>
            </w:r>
          </w:p>
        </w:tc>
      </w:tr>
    </w:tbl>
    <w:p>
      <w:pPr>
        <w:pStyle w:val="TextBody"/>
        <w:bidi w:val="0"/>
        <w:spacing w:before="0" w:after="0"/>
        <w:ind w:left="960" w:right="0" w:hanging="480"/>
        <w:jc w:val="both"/>
        <w:rPr>
          <w:caps w:val="false"/>
          <w:smallCaps w:val="false"/>
        </w:rPr>
      </w:pPr>
      <w:r>
        <w:rPr>
          <w:caps w:val="false"/>
          <w:smallCaps w:val="false"/>
        </w:rPr>
        <w:t> </w:t>
      </w:r>
    </w:p>
    <w:tbl>
      <w:tblPr>
        <w:tblW w:w="5140" w:type="dxa"/>
        <w:jc w:val="left"/>
        <w:tblInd w:w="0" w:type="dxa"/>
        <w:tblLayout w:type="fixed"/>
        <w:tblCellMar>
          <w:top w:w="0" w:type="dxa"/>
          <w:left w:w="0" w:type="dxa"/>
          <w:bottom w:w="0" w:type="dxa"/>
          <w:right w:w="0" w:type="dxa"/>
        </w:tblCellMar>
      </w:tblPr>
      <w:tblGrid>
        <w:gridCol w:w="75"/>
        <w:gridCol w:w="170"/>
        <w:gridCol w:w="489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489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administering SunPower’s stock and equity incentive plans;</w:t>
            </w:r>
          </w:p>
        </w:tc>
      </w:tr>
    </w:tbl>
    <w:p>
      <w:pPr>
        <w:pStyle w:val="TextBody"/>
        <w:bidi w:val="0"/>
        <w:spacing w:before="0" w:after="0"/>
        <w:ind w:left="960" w:right="0" w:hanging="48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selecting independent compensation consultants and assessing whether there are any conflicts of interest with any of the committee’s compensation advisors;</w:t>
            </w:r>
          </w:p>
        </w:tc>
      </w:tr>
    </w:tbl>
    <w:p>
      <w:pPr>
        <w:pStyle w:val="TextBody"/>
        <w:bidi w:val="0"/>
        <w:spacing w:before="0" w:after="0"/>
        <w:ind w:left="960" w:right="0" w:hanging="48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reviewing, approving, amending and terminating, or recommending that the Board of Directors approve, amend or terminate, incentive compensation and equity plans, severance agreements, change-of-control protections and any other compensatory arrangements for SunPower’s executive officers and other senior management, as appropriate;</w:t>
            </w:r>
          </w:p>
        </w:tc>
      </w:tr>
    </w:tbl>
    <w:p>
      <w:pPr>
        <w:pStyle w:val="TextBody"/>
        <w:bidi w:val="0"/>
        <w:spacing w:before="0" w:after="0"/>
        <w:ind w:left="960" w:right="0" w:hanging="480"/>
        <w:jc w:val="both"/>
        <w:rPr>
          <w:caps w:val="false"/>
          <w:smallCaps w:val="false"/>
        </w:rPr>
      </w:pPr>
      <w:r>
        <w:rPr>
          <w:caps w:val="false"/>
          <w:smallCaps w:val="false"/>
        </w:rPr>
        <w:t> </w:t>
      </w:r>
    </w:p>
    <w:tbl>
      <w:tblPr>
        <w:tblW w:w="9430" w:type="dxa"/>
        <w:jc w:val="left"/>
        <w:tblInd w:w="0" w:type="dxa"/>
        <w:tblLayout w:type="fixed"/>
        <w:tblCellMar>
          <w:top w:w="0" w:type="dxa"/>
          <w:left w:w="0" w:type="dxa"/>
          <w:bottom w:w="0" w:type="dxa"/>
          <w:right w:w="0" w:type="dxa"/>
        </w:tblCellMar>
      </w:tblPr>
      <w:tblGrid>
        <w:gridCol w:w="75"/>
        <w:gridCol w:w="170"/>
        <w:gridCol w:w="918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18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reviewing and establishing general policies relating to compensation and benefits of SunPower’s employees; and</w:t>
            </w:r>
          </w:p>
        </w:tc>
      </w:tr>
    </w:tbl>
    <w:p>
      <w:pPr>
        <w:pStyle w:val="TextBody"/>
        <w:bidi w:val="0"/>
        <w:spacing w:before="0" w:after="0"/>
        <w:ind w:left="960" w:right="0" w:hanging="480"/>
        <w:jc w:val="both"/>
        <w:rPr>
          <w:caps w:val="false"/>
          <w:smallCaps w:val="false"/>
        </w:rPr>
      </w:pPr>
      <w:r>
        <w:rPr>
          <w:caps w:val="false"/>
          <w:smallCaps w:val="false"/>
        </w:rPr>
        <w:t> </w:t>
      </w:r>
    </w:p>
    <w:tbl>
      <w:tblPr>
        <w:tblW w:w="3925" w:type="dxa"/>
        <w:jc w:val="left"/>
        <w:tblInd w:w="0" w:type="dxa"/>
        <w:tblLayout w:type="fixed"/>
        <w:tblCellMar>
          <w:top w:w="0" w:type="dxa"/>
          <w:left w:w="0" w:type="dxa"/>
          <w:bottom w:w="0" w:type="dxa"/>
          <w:right w:w="0" w:type="dxa"/>
        </w:tblCellMar>
      </w:tblPr>
      <w:tblGrid>
        <w:gridCol w:w="75"/>
        <w:gridCol w:w="170"/>
        <w:gridCol w:w="368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368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reviewing SunPower’s overall compensation.</w:t>
            </w:r>
          </w:p>
        </w:tc>
      </w:tr>
    </w:tbl>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Board of Directors adopted a written charter for the Compensation Committee which is available on SunPower’s website.</w:t>
      </w:r>
    </w:p>
    <w:p>
      <w:pPr>
        <w:pStyle w:val="TextBody"/>
        <w:bidi w:val="0"/>
        <w:spacing w:before="0" w:after="0"/>
        <w:ind w:left="720" w:right="0" w:hanging="360"/>
        <w:jc w:val="both"/>
        <w:rPr>
          <w:caps w:val="false"/>
          <w:smallCaps w:val="false"/>
        </w:rPr>
      </w:pPr>
      <w:r>
        <w:rPr>
          <w:caps w:val="false"/>
          <w:smallCaps w:val="false"/>
        </w:rPr>
        <w:t> </w:t>
      </w:r>
    </w:p>
    <w:p>
      <w:pPr>
        <w:pStyle w:val="TextBody"/>
        <w:bidi w:val="0"/>
        <w:spacing w:before="0" w:after="0"/>
        <w:ind w:left="960" w:right="0" w:hanging="48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76</w:t>
      </w:r>
    </w:p>
    <w:p>
      <w:pPr>
        <w:pStyle w:val="TextBody"/>
        <w:bidi w:val="0"/>
        <w:spacing w:before="0" w:after="0"/>
        <w:ind w:left="0" w:right="0" w:hanging="0"/>
        <w:jc w:val="left"/>
        <w:rPr/>
      </w:pPr>
      <w:r>
        <w:rPr/>
        <w:t> </w:t>
      </w:r>
    </w:p>
    <w:p>
      <w:pPr>
        <w:pStyle w:val="TextBody"/>
        <w:bidi w:val="0"/>
        <w:spacing w:before="0" w:after="0"/>
        <w:ind w:left="960" w:right="0" w:hanging="48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Nominating and Corporate Governance Committee</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Nominating and Corporate Governance Committee consists of Jamie Haenggi, who serves as the chairperson, Ron Pasek, Tidjane Thiam, and Adam Gishen. The responsibilities of the Nominating and Corporate Governance Committee are:</w:t>
      </w:r>
    </w:p>
    <w:p>
      <w:pPr>
        <w:pStyle w:val="TextBody"/>
        <w:bidi w:val="0"/>
        <w:spacing w:before="0" w:after="0"/>
        <w:ind w:left="960" w:right="0" w:hanging="48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identifying, evaluating and selecting, or recommending that the Board of Directors approve, nominees for election to the Board of Directors;</w:t>
            </w:r>
          </w:p>
        </w:tc>
      </w:tr>
    </w:tbl>
    <w:p>
      <w:pPr>
        <w:pStyle w:val="TextBody"/>
        <w:bidi w:val="0"/>
        <w:spacing w:before="0" w:after="0"/>
        <w:ind w:left="960" w:right="0" w:hanging="480"/>
        <w:jc w:val="both"/>
        <w:rPr>
          <w:caps w:val="false"/>
          <w:smallCaps w:val="false"/>
        </w:rPr>
      </w:pPr>
      <w:r>
        <w:rPr>
          <w:caps w:val="false"/>
          <w:smallCaps w:val="false"/>
        </w:rPr>
        <w:t> </w:t>
      </w:r>
    </w:p>
    <w:tbl>
      <w:tblPr>
        <w:tblW w:w="6835" w:type="dxa"/>
        <w:jc w:val="left"/>
        <w:tblInd w:w="0" w:type="dxa"/>
        <w:tblLayout w:type="fixed"/>
        <w:tblCellMar>
          <w:top w:w="0" w:type="dxa"/>
          <w:left w:w="0" w:type="dxa"/>
          <w:bottom w:w="0" w:type="dxa"/>
          <w:right w:w="0" w:type="dxa"/>
        </w:tblCellMar>
      </w:tblPr>
      <w:tblGrid>
        <w:gridCol w:w="75"/>
        <w:gridCol w:w="170"/>
        <w:gridCol w:w="659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659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evaluating the performance of the Board of Directors and of individual Directors;</w:t>
            </w:r>
          </w:p>
        </w:tc>
      </w:tr>
    </w:tbl>
    <w:p>
      <w:pPr>
        <w:pStyle w:val="TextBody"/>
        <w:bidi w:val="0"/>
        <w:spacing w:before="0" w:after="0"/>
        <w:ind w:left="960" w:right="0" w:hanging="480"/>
        <w:jc w:val="both"/>
        <w:rPr>
          <w:caps w:val="false"/>
          <w:smallCaps w:val="false"/>
        </w:rPr>
      </w:pPr>
      <w:r>
        <w:rPr>
          <w:caps w:val="false"/>
          <w:smallCaps w:val="false"/>
        </w:rPr>
        <w:t> </w:t>
      </w:r>
    </w:p>
    <w:tbl>
      <w:tblPr>
        <w:tblW w:w="7240" w:type="dxa"/>
        <w:jc w:val="left"/>
        <w:tblInd w:w="0" w:type="dxa"/>
        <w:tblLayout w:type="fixed"/>
        <w:tblCellMar>
          <w:top w:w="0" w:type="dxa"/>
          <w:left w:w="0" w:type="dxa"/>
          <w:bottom w:w="0" w:type="dxa"/>
          <w:right w:w="0" w:type="dxa"/>
        </w:tblCellMar>
      </w:tblPr>
      <w:tblGrid>
        <w:gridCol w:w="75"/>
        <w:gridCol w:w="170"/>
        <w:gridCol w:w="699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699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evaluating the adequacy of SunPower’s corporate governance practices and reporting;</w:t>
            </w:r>
          </w:p>
        </w:tc>
      </w:tr>
    </w:tbl>
    <w:p>
      <w:pPr>
        <w:pStyle w:val="TextBody"/>
        <w:bidi w:val="0"/>
        <w:spacing w:before="0" w:after="0"/>
        <w:ind w:left="960" w:right="0" w:hanging="480"/>
        <w:jc w:val="both"/>
        <w:rPr>
          <w:caps w:val="false"/>
          <w:smallCaps w:val="false"/>
        </w:rPr>
      </w:pPr>
      <w:r>
        <w:rPr>
          <w:caps w:val="false"/>
          <w:smallCaps w:val="false"/>
        </w:rPr>
        <w:t> </w:t>
      </w:r>
    </w:p>
    <w:tbl>
      <w:tblPr>
        <w:tblW w:w="3970" w:type="dxa"/>
        <w:jc w:val="left"/>
        <w:tblInd w:w="0" w:type="dxa"/>
        <w:tblLayout w:type="fixed"/>
        <w:tblCellMar>
          <w:top w:w="0" w:type="dxa"/>
          <w:left w:w="0" w:type="dxa"/>
          <w:bottom w:w="0" w:type="dxa"/>
          <w:right w:w="0" w:type="dxa"/>
        </w:tblCellMar>
      </w:tblPr>
      <w:tblGrid>
        <w:gridCol w:w="75"/>
        <w:gridCol w:w="170"/>
        <w:gridCol w:w="372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372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reviewing management succession plans; and</w:t>
            </w:r>
          </w:p>
        </w:tc>
      </w:tr>
    </w:tbl>
    <w:p>
      <w:pPr>
        <w:pStyle w:val="TextBody"/>
        <w:bidi w:val="0"/>
        <w:spacing w:before="0" w:after="0"/>
        <w:ind w:left="960" w:right="0" w:hanging="48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developing and making recommendations to the Board of Directors regarding corporate governance guidelines and matters.</w:t>
            </w:r>
          </w:p>
        </w:tc>
      </w:tr>
    </w:tbl>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Board of Directors adopted a written charter of the Nominating and Corporate Governance Committee which is available on SunPower’s website.</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Nominating and Corporate Governance Committee evaluates all candidates for Director thoroughly, whether they are recommended by the management team, stockholders or third parties, in accordance with the needs of the Board of Directors and the qualifications of the candidate.</w:t>
      </w:r>
    </w:p>
    <w:p>
      <w:pPr>
        <w:pStyle w:val="TextBody"/>
        <w:bidi w:val="0"/>
        <w:spacing w:before="0" w:after="0"/>
        <w:ind w:left="720" w:right="0" w:hanging="36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Code of Ethical Business Conduct</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SunPower has adopted a code of ethical business conduct that applies to all of its Directors, officers and employees, including its principal executive officer, principal financial officer and principal accounting officer, and is available on SunPower’s website at https://investors.sunpower.com/corporate-governance/governance-overview. SunPower’s code of business conduct is a “code of ethics,” as defined in Item 406(b) of Regulation S-K. If we grant any waiver from a provision of the code of ethical business conduct to any executive officer or Director, we will disclose it on our website.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Compensation Committee Interlocks and Insider Participation</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member of the Compensation Committee was at any time during 2025, or at any other time, one of SunPower’s officers or employees, except Mr. Alvarez who previously served on the Compensation Committee also served as the Company’s president until March 2023. None of SunPower’s executive officers has served as a director or member of a compensation committee (or other committee serving an equivalent function) of any entity, one of whose executive officers served as a Director of our Board of Directors or member of the Compensation Committee.</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77</w:t>
      </w:r>
    </w:p>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sz w:val="20"/>
        </w:rPr>
      </w:pPr>
      <w:bookmarkStart w:id="11" w:name="a_010"/>
      <w:bookmarkEnd w:id="11"/>
      <w:r>
        <w:rPr>
          <w:rFonts w:ascii="Times New Roman;Times;Serif" w:hAnsi="Times New Roman;Times;Serif"/>
          <w:b/>
          <w:i w:val="false"/>
          <w:caps/>
          <w:sz w:val="20"/>
        </w:rPr>
        <w:t>Executive Compensation</w:t>
      </w:r>
    </w:p>
    <w:p>
      <w:pPr>
        <w:pStyle w:val="TextBody"/>
        <w:bidi w:val="0"/>
        <w:spacing w:before="0" w:after="0"/>
        <w:jc w:val="center"/>
        <w:rPr>
          <w:caps/>
        </w:rPr>
      </w:pPr>
      <w:r>
        <w:rPr>
          <w:caps/>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SunPower has opted to comply with the executive compensation disclosure rules applicable to emerging growth companies. The scaled down disclosure rules are those applicable to “smaller reporting companies,” as such term is defined in the rules promulgated under the Securities Act of 1933, as amended (the “</w:t>
      </w:r>
      <w:r>
        <w:rPr>
          <w:rFonts w:ascii="Times New Roman;Times;Serif" w:hAnsi="Times New Roman;Times;Serif"/>
          <w:b/>
          <w:i/>
          <w:caps w:val="false"/>
          <w:smallCaps w:val="false"/>
          <w:sz w:val="20"/>
        </w:rPr>
        <w:t>Securities Act</w:t>
      </w:r>
      <w:r>
        <w:rPr>
          <w:rFonts w:ascii="Times New Roman;Times;Serif" w:hAnsi="Times New Roman;Times;Serif"/>
          <w:b w:val="false"/>
          <w:i w:val="false"/>
          <w:caps w:val="false"/>
          <w:smallCaps w:val="false"/>
          <w:sz w:val="20"/>
        </w:rPr>
        <w:t>”), which require compensation disclosure for all individuals serving as SunPower’s principal executive officer during 2025, the two most highly compensated executive officers of SunPower, other than the principal executive officer, whose total compensation for 2025 exceeded $100,000 and who were serving as executive officers as of December 28, 2025, and up to two additional individuals for whom disclosure under the applicable rules would have been provided but for the fact that such individuals were not serving as executive officers at the end of 2025. SunPower refers to these individuals as “named executive officers.” For fiscal 2025, the Company’s named executive officers were:</w:t>
      </w:r>
    </w:p>
    <w:p>
      <w:pPr>
        <w:pStyle w:val="TextBody"/>
        <w:bidi w:val="0"/>
        <w:spacing w:before="0" w:after="0"/>
        <w:ind w:left="960" w:right="0" w:hanging="480"/>
        <w:jc w:val="both"/>
        <w:rPr>
          <w:caps w:val="false"/>
          <w:smallCaps w:val="false"/>
        </w:rPr>
      </w:pPr>
      <w:r>
        <w:rPr>
          <w:caps w:val="false"/>
          <w:smallCaps w:val="false"/>
        </w:rPr>
        <w:t> </w:t>
      </w:r>
    </w:p>
    <w:tbl>
      <w:tblPr>
        <w:tblW w:w="6790" w:type="dxa"/>
        <w:jc w:val="left"/>
        <w:tblInd w:w="0" w:type="dxa"/>
        <w:tblLayout w:type="fixed"/>
        <w:tblCellMar>
          <w:top w:w="0" w:type="dxa"/>
          <w:left w:w="0" w:type="dxa"/>
          <w:bottom w:w="0" w:type="dxa"/>
          <w:right w:w="0" w:type="dxa"/>
        </w:tblCellMar>
      </w:tblPr>
      <w:tblGrid>
        <w:gridCol w:w="75"/>
        <w:gridCol w:w="170"/>
        <w:gridCol w:w="654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654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Thurman J. (T.J.) Rodgers, our Chief Executive Officer and Executive Chairman;</w:t>
            </w:r>
          </w:p>
        </w:tc>
      </w:tr>
    </w:tbl>
    <w:p>
      <w:pPr>
        <w:pStyle w:val="TextBody"/>
        <w:bidi w:val="0"/>
        <w:spacing w:before="0" w:after="0"/>
        <w:ind w:left="960" w:right="0" w:hanging="480"/>
        <w:jc w:val="both"/>
        <w:rPr>
          <w:caps w:val="false"/>
          <w:smallCaps w:val="false"/>
        </w:rPr>
      </w:pPr>
      <w:r>
        <w:rPr>
          <w:caps w:val="false"/>
          <w:smallCaps w:val="false"/>
        </w:rPr>
        <w:t> </w:t>
      </w:r>
    </w:p>
    <w:tbl>
      <w:tblPr>
        <w:tblW w:w="7840" w:type="dxa"/>
        <w:jc w:val="left"/>
        <w:tblInd w:w="0" w:type="dxa"/>
        <w:tblLayout w:type="fixed"/>
        <w:tblCellMar>
          <w:top w:w="0" w:type="dxa"/>
          <w:left w:w="0" w:type="dxa"/>
          <w:bottom w:w="0" w:type="dxa"/>
          <w:right w:w="0" w:type="dxa"/>
        </w:tblCellMar>
      </w:tblPr>
      <w:tblGrid>
        <w:gridCol w:w="75"/>
        <w:gridCol w:w="170"/>
        <w:gridCol w:w="759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759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Jeanne Nguyen, our Chief Accounting Officer and former Interim Chief Financial Officer; and</w:t>
            </w:r>
          </w:p>
        </w:tc>
      </w:tr>
    </w:tbl>
    <w:p>
      <w:pPr>
        <w:pStyle w:val="TextBody"/>
        <w:bidi w:val="0"/>
        <w:spacing w:before="0" w:after="0"/>
        <w:ind w:left="960" w:right="0" w:hanging="480"/>
        <w:jc w:val="both"/>
        <w:rPr>
          <w:caps w:val="false"/>
          <w:smallCaps w:val="false"/>
        </w:rPr>
      </w:pPr>
      <w:r>
        <w:rPr>
          <w:caps w:val="false"/>
          <w:smallCaps w:val="false"/>
        </w:rPr>
        <w:t> </w:t>
      </w:r>
    </w:p>
    <w:tbl>
      <w:tblPr>
        <w:tblW w:w="4210" w:type="dxa"/>
        <w:jc w:val="left"/>
        <w:tblInd w:w="0" w:type="dxa"/>
        <w:tblLayout w:type="fixed"/>
        <w:tblCellMar>
          <w:top w:w="0" w:type="dxa"/>
          <w:left w:w="0" w:type="dxa"/>
          <w:bottom w:w="0" w:type="dxa"/>
          <w:right w:w="0" w:type="dxa"/>
        </w:tblCellMar>
      </w:tblPr>
      <w:tblGrid>
        <w:gridCol w:w="75"/>
        <w:gridCol w:w="170"/>
        <w:gridCol w:w="396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396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Daniel Foley, our former Chief Financial Officer.</w:t>
            </w:r>
          </w:p>
        </w:tc>
      </w:tr>
    </w:tbl>
    <w:p>
      <w:pPr>
        <w:pStyle w:val="TextBody"/>
        <w:bidi w:val="0"/>
        <w:spacing w:before="0" w:after="0"/>
        <w:ind w:left="960" w:right="0" w:hanging="48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believe our compensation program should promote the success of our Company and align executive incentives with the long-term interests of its stockholders. Our current compensation programs reflect its startup origins in that they consist primarily of salary and equity-based awards. As SunPower’s needs evolve, we intend to continue to evaluate our philosophy and compensation programs as circumstances require.</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2025 and 2024, Mr. Rodgers did not receive any separate compensation in his role as our Chief Executive Officer.</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Summary Compensation Table</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shows information regarding the compensation of SunPower’s named executive officers for services performed in the fiscal year ended December 28, 2025 and in the fiscal year ended December 29, 2024.</w:t>
      </w:r>
    </w:p>
    <w:p>
      <w:pPr>
        <w:pStyle w:val="TextBody"/>
        <w:bidi w:val="0"/>
        <w:spacing w:before="0" w:after="0"/>
        <w:jc w:val="both"/>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2669"/>
        <w:gridCol w:w="60"/>
        <w:gridCol w:w="60"/>
        <w:gridCol w:w="500"/>
        <w:gridCol w:w="60"/>
        <w:gridCol w:w="60"/>
        <w:gridCol w:w="140"/>
        <w:gridCol w:w="800"/>
        <w:gridCol w:w="60"/>
        <w:gridCol w:w="60"/>
        <w:gridCol w:w="140"/>
        <w:gridCol w:w="560"/>
        <w:gridCol w:w="60"/>
        <w:gridCol w:w="60"/>
        <w:gridCol w:w="140"/>
        <w:gridCol w:w="800"/>
        <w:gridCol w:w="201"/>
        <w:gridCol w:w="60"/>
        <w:gridCol w:w="140"/>
        <w:gridCol w:w="800"/>
        <w:gridCol w:w="201"/>
        <w:gridCol w:w="60"/>
        <w:gridCol w:w="183"/>
        <w:gridCol w:w="1052"/>
        <w:gridCol w:w="201"/>
        <w:gridCol w:w="60"/>
        <w:gridCol w:w="140"/>
        <w:gridCol w:w="800"/>
        <w:gridCol w:w="78"/>
      </w:tblGrid>
      <w:tr>
        <w:trPr/>
        <w:tc>
          <w:tcPr>
            <w:tcW w:w="2669" w:type="dxa"/>
            <w:tcBorders>
              <w:bottom w:val="single" w:sz="12" w:space="0" w:color="000000"/>
            </w:tcBorders>
            <w:vAlign w:val="center"/>
          </w:tcPr>
          <w:p>
            <w:pPr>
              <w:pStyle w:val="TableContents"/>
              <w:bidi w:val="0"/>
              <w:spacing w:before="0" w:after="283"/>
              <w:jc w:val="left"/>
              <w:rPr>
                <w:b/>
              </w:rPr>
            </w:pPr>
            <w:r>
              <w:rPr>
                <w:b/>
              </w:rPr>
              <w:t>Name and Principal Position</w:t>
            </w:r>
          </w:p>
        </w:tc>
        <w:tc>
          <w:tcPr>
            <w:tcW w:w="60" w:type="dxa"/>
            <w:tcBorders/>
            <w:tcMar>
              <w:bottom w:w="0" w:type="dxa"/>
            </w:tcMar>
            <w:vAlign w:val="center"/>
          </w:tcPr>
          <w:p>
            <w:pPr>
              <w:pStyle w:val="TableContents"/>
              <w:bidi w:val="0"/>
              <w:spacing w:before="0" w:after="283"/>
              <w:jc w:val="left"/>
              <w:rPr/>
            </w:pPr>
            <w:r>
              <w:rPr/>
              <w:t> </w:t>
            </w:r>
          </w:p>
        </w:tc>
        <w:tc>
          <w:tcPr>
            <w:tcW w:w="560" w:type="dxa"/>
            <w:gridSpan w:val="2"/>
            <w:tcBorders>
              <w:bottom w:val="single" w:sz="12" w:space="0" w:color="000000"/>
            </w:tcBorders>
            <w:vAlign w:val="center"/>
          </w:tcPr>
          <w:p>
            <w:pPr>
              <w:pStyle w:val="TableContents"/>
              <w:bidi w:val="0"/>
              <w:spacing w:before="0" w:after="283"/>
              <w:jc w:val="center"/>
              <w:rPr>
                <w:b/>
              </w:rPr>
            </w:pPr>
            <w:r>
              <w:rPr>
                <w:b/>
              </w:rPr>
              <w:t>Year</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940" w:type="dxa"/>
            <w:gridSpan w:val="2"/>
            <w:tcBorders>
              <w:bottom w:val="single" w:sz="12" w:space="0" w:color="000000"/>
            </w:tcBorders>
            <w:vAlign w:val="center"/>
          </w:tcPr>
          <w:p>
            <w:pPr>
              <w:pStyle w:val="TableContents"/>
              <w:bidi w:val="0"/>
              <w:spacing w:before="0" w:after="283"/>
              <w:jc w:val="center"/>
              <w:rPr>
                <w:b/>
              </w:rPr>
            </w:pPr>
            <w:r>
              <w:rPr>
                <w:b/>
              </w:rPr>
              <w:t>Salary</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700" w:type="dxa"/>
            <w:gridSpan w:val="2"/>
            <w:tcBorders>
              <w:bottom w:val="single" w:sz="12" w:space="0" w:color="000000"/>
            </w:tcBorders>
            <w:vAlign w:val="center"/>
          </w:tcPr>
          <w:p>
            <w:pPr>
              <w:pStyle w:val="TableContents"/>
              <w:bidi w:val="0"/>
              <w:spacing w:before="0" w:after="283"/>
              <w:jc w:val="center"/>
              <w:rPr>
                <w:b/>
              </w:rPr>
            </w:pPr>
            <w:r>
              <w:rPr>
                <w:b/>
              </w:rPr>
              <w:t>Bonus</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940" w:type="dxa"/>
            <w:gridSpan w:val="2"/>
            <w:tcBorders>
              <w:bottom w:val="single" w:sz="12" w:space="0" w:color="000000"/>
            </w:tcBorders>
            <w:vAlign w:val="center"/>
          </w:tcPr>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Option</w:t>
            </w:r>
          </w:p>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Awards</w:t>
            </w:r>
            <w:r>
              <w:rPr>
                <w:rFonts w:ascii="Times New Roman;Times;Serif" w:hAnsi="Times New Roman;Times;Serif"/>
                <w:b/>
                <w:i w:val="false"/>
                <w:caps w:val="false"/>
                <w:smallCaps w:val="false"/>
                <w:position w:val="7"/>
                <w:sz w:val="16"/>
                <w:sz w:val="20"/>
              </w:rPr>
              <w:t>(1)</w:t>
            </w:r>
          </w:p>
        </w:tc>
        <w:tc>
          <w:tcPr>
            <w:tcW w:w="201"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940" w:type="dxa"/>
            <w:gridSpan w:val="2"/>
            <w:tcBorders>
              <w:bottom w:val="single" w:sz="12" w:space="0" w:color="000000"/>
            </w:tcBorders>
            <w:vAlign w:val="center"/>
          </w:tcPr>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Stock</w:t>
            </w:r>
          </w:p>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Awards</w:t>
            </w:r>
          </w:p>
        </w:tc>
        <w:tc>
          <w:tcPr>
            <w:tcW w:w="201"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235" w:type="dxa"/>
            <w:gridSpan w:val="2"/>
            <w:tcBorders>
              <w:bottom w:val="single" w:sz="12" w:space="0" w:color="000000"/>
            </w:tcBorders>
            <w:vAlign w:val="center"/>
          </w:tcPr>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All Other</w:t>
            </w:r>
          </w:p>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Compensation</w:t>
            </w:r>
          </w:p>
        </w:tc>
        <w:tc>
          <w:tcPr>
            <w:tcW w:w="201"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940" w:type="dxa"/>
            <w:gridSpan w:val="2"/>
            <w:tcBorders>
              <w:bottom w:val="single" w:sz="12" w:space="0" w:color="000000"/>
            </w:tcBorders>
            <w:vAlign w:val="center"/>
          </w:tcPr>
          <w:p>
            <w:pPr>
              <w:pStyle w:val="TableContents"/>
              <w:bidi w:val="0"/>
              <w:spacing w:before="0" w:after="283"/>
              <w:jc w:val="center"/>
              <w:rPr>
                <w:b/>
              </w:rPr>
            </w:pPr>
            <w:r>
              <w:rPr>
                <w:b/>
              </w:rPr>
              <w:t>Total</w:t>
            </w:r>
          </w:p>
        </w:tc>
        <w:tc>
          <w:tcPr>
            <w:tcW w:w="78" w:type="dxa"/>
            <w:tcBorders/>
            <w:tcMar>
              <w:bottom w:w="0" w:type="dxa"/>
            </w:tcMar>
            <w:vAlign w:val="center"/>
          </w:tcPr>
          <w:p>
            <w:pPr>
              <w:pStyle w:val="TableContents"/>
              <w:bidi w:val="0"/>
              <w:spacing w:before="0" w:after="283"/>
              <w:ind w:left="0" w:right="0" w:hanging="180"/>
              <w:jc w:val="left"/>
              <w:rPr/>
            </w:pPr>
            <w:r>
              <w:rPr/>
              <w:t> </w:t>
            </w:r>
          </w:p>
        </w:tc>
      </w:tr>
      <w:tr>
        <w:trPr/>
        <w:tc>
          <w:tcPr>
            <w:tcW w:w="2669" w:type="dxa"/>
            <w:tcBorders/>
            <w:shd w:fill="CCEEFF" w:val="clear"/>
            <w:tcMar>
              <w:bottom w:w="0" w:type="dxa"/>
            </w:tcMar>
            <w:vAlign w:val="center"/>
          </w:tcPr>
          <w:p>
            <w:pPr>
              <w:pStyle w:val="TableContents"/>
              <w:bidi w:val="0"/>
              <w:spacing w:before="0" w:after="283"/>
              <w:jc w:val="left"/>
              <w:rPr>
                <w:i/>
              </w:rPr>
            </w:pPr>
            <w:r>
              <w:rPr>
                <w:i/>
              </w:rPr>
              <w:t>Thurman J. (T.J.) Rodgers</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center"/>
              <w:rPr/>
            </w:pPr>
            <w:r>
              <w:rPr/>
              <w:t> </w:t>
            </w:r>
          </w:p>
        </w:tc>
        <w:tc>
          <w:tcPr>
            <w:tcW w:w="500" w:type="dxa"/>
            <w:tcBorders/>
            <w:shd w:fill="CCEEFF" w:val="clear"/>
            <w:tcMar>
              <w:bottom w:w="0" w:type="dxa"/>
            </w:tcMar>
            <w:vAlign w:val="center"/>
          </w:tcPr>
          <w:p>
            <w:pPr>
              <w:pStyle w:val="TableContents"/>
              <w:bidi w:val="0"/>
              <w:spacing w:before="0" w:after="283"/>
              <w:jc w:val="center"/>
              <w:rPr/>
            </w:pPr>
            <w:r>
              <w:rPr/>
              <w:t>2025</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800"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560"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800" w:type="dxa"/>
            <w:tcBorders/>
            <w:shd w:fill="CCEEFF" w:val="clear"/>
            <w:tcMar>
              <w:bottom w:w="0" w:type="dxa"/>
            </w:tcMar>
            <w:vAlign w:val="center"/>
          </w:tcPr>
          <w:p>
            <w:pPr>
              <w:pStyle w:val="TableContents"/>
              <w:bidi w:val="0"/>
              <w:spacing w:before="0" w:after="283"/>
              <w:jc w:val="right"/>
              <w:rPr/>
            </w:pPr>
            <w:r>
              <w:rPr/>
              <w:t>-</w:t>
            </w:r>
          </w:p>
        </w:tc>
        <w:tc>
          <w:tcPr>
            <w:tcW w:w="201"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800" w:type="dxa"/>
            <w:tcBorders/>
            <w:shd w:fill="CCEEFF" w:val="clear"/>
            <w:tcMar>
              <w:bottom w:w="0" w:type="dxa"/>
            </w:tcMar>
            <w:vAlign w:val="center"/>
          </w:tcPr>
          <w:p>
            <w:pPr>
              <w:pStyle w:val="TableContents"/>
              <w:bidi w:val="0"/>
              <w:spacing w:before="0" w:after="283"/>
              <w:jc w:val="right"/>
              <w:rPr/>
            </w:pPr>
            <w:r>
              <w:rPr/>
              <w:t>-</w:t>
            </w:r>
          </w:p>
        </w:tc>
        <w:tc>
          <w:tcPr>
            <w:tcW w:w="201"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83" w:type="dxa"/>
            <w:tcBorders/>
            <w:shd w:fill="CCEEFF" w:val="clear"/>
            <w:tcMar>
              <w:bottom w:w="0" w:type="dxa"/>
            </w:tcMar>
            <w:vAlign w:val="center"/>
          </w:tcPr>
          <w:p>
            <w:pPr>
              <w:pStyle w:val="TableContents"/>
              <w:bidi w:val="0"/>
              <w:spacing w:before="0" w:after="283"/>
              <w:jc w:val="left"/>
              <w:rPr/>
            </w:pPr>
            <w:r>
              <w:rPr/>
              <w:t> </w:t>
            </w:r>
          </w:p>
        </w:tc>
        <w:tc>
          <w:tcPr>
            <w:tcW w:w="1052" w:type="dxa"/>
            <w:tcBorders/>
            <w:shd w:fill="CCEEFF" w:val="clear"/>
            <w:tcMar>
              <w:bottom w:w="0" w:type="dxa"/>
            </w:tcMar>
            <w:vAlign w:val="center"/>
          </w:tcPr>
          <w:p>
            <w:pPr>
              <w:pStyle w:val="TableContents"/>
              <w:bidi w:val="0"/>
              <w:spacing w:before="0" w:after="283"/>
              <w:jc w:val="right"/>
              <w:rPr/>
            </w:pPr>
            <w:r>
              <w:rPr/>
              <w:t>-</w:t>
            </w:r>
          </w:p>
        </w:tc>
        <w:tc>
          <w:tcPr>
            <w:tcW w:w="201"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800" w:type="dxa"/>
            <w:tcBorders/>
            <w:shd w:fill="CCEEFF" w:val="clear"/>
            <w:tcMar>
              <w:bottom w:w="0" w:type="dxa"/>
            </w:tcMar>
            <w:vAlign w:val="center"/>
          </w:tcPr>
          <w:p>
            <w:pPr>
              <w:pStyle w:val="TableContents"/>
              <w:bidi w:val="0"/>
              <w:spacing w:before="0" w:after="283"/>
              <w:jc w:val="right"/>
              <w:rPr/>
            </w:pPr>
            <w:r>
              <w:rPr/>
              <w:t>-</w:t>
            </w:r>
          </w:p>
        </w:tc>
        <w:tc>
          <w:tcPr>
            <w:tcW w:w="78" w:type="dxa"/>
            <w:tcBorders/>
            <w:shd w:fill="CCEEFF" w:val="clear"/>
            <w:tcMar>
              <w:bottom w:w="0" w:type="dxa"/>
            </w:tcMar>
            <w:vAlign w:val="center"/>
          </w:tcPr>
          <w:p>
            <w:pPr>
              <w:pStyle w:val="TableContents"/>
              <w:bidi w:val="0"/>
              <w:spacing w:before="0" w:after="283"/>
              <w:ind w:left="0" w:right="0" w:hanging="180"/>
              <w:jc w:val="left"/>
              <w:rPr/>
            </w:pPr>
            <w:r>
              <w:rPr/>
              <w:t> </w:t>
            </w:r>
          </w:p>
        </w:tc>
      </w:tr>
      <w:tr>
        <w:trPr/>
        <w:tc>
          <w:tcPr>
            <w:tcW w:w="2669" w:type="dxa"/>
            <w:tcBorders/>
            <w:shd w:fill="CCEEFF" w:val="clear"/>
            <w:tcMar>
              <w:bottom w:w="0" w:type="dxa"/>
            </w:tcMar>
            <w:vAlign w:val="center"/>
          </w:tcPr>
          <w:p>
            <w:pPr>
              <w:pStyle w:val="TableContents"/>
              <w:bidi w:val="0"/>
              <w:spacing w:before="0" w:after="283"/>
              <w:jc w:val="left"/>
              <w:rPr>
                <w:i/>
              </w:rPr>
            </w:pPr>
            <w:r>
              <w:rPr>
                <w:i/>
              </w:rPr>
              <w:t>Chief Executive Officer</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center"/>
              <w:rPr/>
            </w:pPr>
            <w:r>
              <w:rPr/>
              <w:t> </w:t>
            </w:r>
          </w:p>
        </w:tc>
        <w:tc>
          <w:tcPr>
            <w:tcW w:w="500" w:type="dxa"/>
            <w:tcBorders/>
            <w:shd w:fill="CCEEFF" w:val="clear"/>
            <w:tcMar>
              <w:bottom w:w="0" w:type="dxa"/>
            </w:tcMar>
            <w:vAlign w:val="center"/>
          </w:tcPr>
          <w:p>
            <w:pPr>
              <w:pStyle w:val="TableContents"/>
              <w:bidi w:val="0"/>
              <w:spacing w:before="0" w:after="283"/>
              <w:jc w:val="center"/>
              <w:rPr/>
            </w:pPr>
            <w:r>
              <w:rPr/>
              <w:t>2024</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800"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560"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800" w:type="dxa"/>
            <w:tcBorders/>
            <w:shd w:fill="CCEEFF" w:val="clear"/>
            <w:tcMar>
              <w:bottom w:w="0" w:type="dxa"/>
            </w:tcMar>
            <w:vAlign w:val="center"/>
          </w:tcPr>
          <w:p>
            <w:pPr>
              <w:pStyle w:val="TableContents"/>
              <w:bidi w:val="0"/>
              <w:spacing w:before="0" w:after="283"/>
              <w:jc w:val="right"/>
              <w:rPr/>
            </w:pPr>
            <w:r>
              <w:rPr/>
              <w:t>-</w:t>
            </w:r>
          </w:p>
        </w:tc>
        <w:tc>
          <w:tcPr>
            <w:tcW w:w="201"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800" w:type="dxa"/>
            <w:tcBorders/>
            <w:shd w:fill="CCEEFF" w:val="clear"/>
            <w:tcMar>
              <w:bottom w:w="0" w:type="dxa"/>
            </w:tcMar>
            <w:vAlign w:val="center"/>
          </w:tcPr>
          <w:p>
            <w:pPr>
              <w:pStyle w:val="TableContents"/>
              <w:bidi w:val="0"/>
              <w:spacing w:before="0" w:after="283"/>
              <w:jc w:val="right"/>
              <w:rPr/>
            </w:pPr>
            <w:r>
              <w:rPr/>
              <w:t>-</w:t>
            </w:r>
          </w:p>
        </w:tc>
        <w:tc>
          <w:tcPr>
            <w:tcW w:w="201"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83" w:type="dxa"/>
            <w:tcBorders/>
            <w:shd w:fill="CCEEFF" w:val="clear"/>
            <w:tcMar>
              <w:bottom w:w="0" w:type="dxa"/>
            </w:tcMar>
            <w:vAlign w:val="center"/>
          </w:tcPr>
          <w:p>
            <w:pPr>
              <w:pStyle w:val="TableContents"/>
              <w:bidi w:val="0"/>
              <w:spacing w:before="0" w:after="283"/>
              <w:jc w:val="left"/>
              <w:rPr/>
            </w:pPr>
            <w:r>
              <w:rPr/>
              <w:t> </w:t>
            </w:r>
          </w:p>
        </w:tc>
        <w:tc>
          <w:tcPr>
            <w:tcW w:w="1052" w:type="dxa"/>
            <w:tcBorders/>
            <w:shd w:fill="CCEEFF" w:val="clear"/>
            <w:tcMar>
              <w:bottom w:w="0" w:type="dxa"/>
            </w:tcMar>
            <w:vAlign w:val="center"/>
          </w:tcPr>
          <w:p>
            <w:pPr>
              <w:pStyle w:val="TableContents"/>
              <w:bidi w:val="0"/>
              <w:spacing w:before="0" w:after="283"/>
              <w:jc w:val="right"/>
              <w:rPr/>
            </w:pPr>
            <w:r>
              <w:rPr/>
              <w:t>-</w:t>
            </w:r>
          </w:p>
        </w:tc>
        <w:tc>
          <w:tcPr>
            <w:tcW w:w="201"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800" w:type="dxa"/>
            <w:tcBorders/>
            <w:shd w:fill="CCEEFF" w:val="clear"/>
            <w:tcMar>
              <w:bottom w:w="0" w:type="dxa"/>
            </w:tcMar>
            <w:vAlign w:val="center"/>
          </w:tcPr>
          <w:p>
            <w:pPr>
              <w:pStyle w:val="TableContents"/>
              <w:bidi w:val="0"/>
              <w:spacing w:before="0" w:after="283"/>
              <w:jc w:val="right"/>
              <w:rPr/>
            </w:pPr>
            <w:r>
              <w:rPr/>
              <w:t>-</w:t>
            </w:r>
          </w:p>
        </w:tc>
        <w:tc>
          <w:tcPr>
            <w:tcW w:w="78" w:type="dxa"/>
            <w:tcBorders/>
            <w:shd w:fill="CCEEFF" w:val="clear"/>
            <w:tcMar>
              <w:bottom w:w="0" w:type="dxa"/>
            </w:tcMar>
            <w:vAlign w:val="center"/>
          </w:tcPr>
          <w:p>
            <w:pPr>
              <w:pStyle w:val="TableContents"/>
              <w:bidi w:val="0"/>
              <w:spacing w:before="0" w:after="283"/>
              <w:ind w:left="0" w:right="0" w:hanging="180"/>
              <w:jc w:val="left"/>
              <w:rPr/>
            </w:pPr>
            <w:r>
              <w:rPr/>
              <w:t> </w:t>
            </w:r>
          </w:p>
        </w:tc>
      </w:tr>
      <w:tr>
        <w:trPr/>
        <w:tc>
          <w:tcPr>
            <w:tcW w:w="2669" w:type="dxa"/>
            <w:tcBorders/>
            <w:shd w:fill="FFFFFF" w:val="clear"/>
            <w:tcMar>
              <w:bottom w:w="0" w:type="dxa"/>
            </w:tcMar>
            <w:vAlign w:val="center"/>
          </w:tcPr>
          <w:p>
            <w:pPr>
              <w:pStyle w:val="TableContents"/>
              <w:bidi w:val="0"/>
              <w:spacing w:before="0" w:after="283"/>
              <w:jc w:val="left"/>
              <w:rPr>
                <w:rFonts w:ascii="Times New Roman;Times;Serif" w:hAnsi="Times New Roman;Times;Serif"/>
                <w:i/>
                <w:sz w:val="20"/>
              </w:rPr>
            </w:pPr>
            <w:r>
              <w:rPr>
                <w:rFonts w:ascii="Times New Roman;Times;Serif" w:hAnsi="Times New Roman;Times;Serif"/>
                <w:i/>
                <w:sz w:val="20"/>
              </w:rPr>
              <w:t xml:space="preserve">Jeanne Nguyen </w:t>
            </w:r>
            <w:r>
              <w:rPr>
                <w:rFonts w:ascii="Times New Roman;Times;Serif" w:hAnsi="Times New Roman;Times;Serif"/>
                <w:i/>
                <w:position w:val="7"/>
                <w:sz w:val="16"/>
                <w:sz w:val="20"/>
              </w:rPr>
              <w:t>(2)</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center"/>
              <w:rPr/>
            </w:pPr>
            <w:r>
              <w:rPr/>
              <w:t> </w:t>
            </w:r>
          </w:p>
        </w:tc>
        <w:tc>
          <w:tcPr>
            <w:tcW w:w="500" w:type="dxa"/>
            <w:tcBorders/>
            <w:shd w:fill="FFFFFF" w:val="clear"/>
            <w:tcMar>
              <w:bottom w:w="0" w:type="dxa"/>
            </w:tcMar>
            <w:vAlign w:val="center"/>
          </w:tcPr>
          <w:p>
            <w:pPr>
              <w:pStyle w:val="TableContents"/>
              <w:bidi w:val="0"/>
              <w:spacing w:before="0" w:after="283"/>
              <w:jc w:val="center"/>
              <w:rPr/>
            </w:pPr>
            <w:r>
              <w:rPr/>
              <w:t>2025</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w:t>
            </w:r>
          </w:p>
        </w:tc>
        <w:tc>
          <w:tcPr>
            <w:tcW w:w="800" w:type="dxa"/>
            <w:tcBorders/>
            <w:shd w:fill="FFFFFF" w:val="clear"/>
            <w:tcMar>
              <w:bottom w:w="0" w:type="dxa"/>
            </w:tcMar>
            <w:vAlign w:val="center"/>
          </w:tcPr>
          <w:p>
            <w:pPr>
              <w:pStyle w:val="TableContents"/>
              <w:bidi w:val="0"/>
              <w:spacing w:before="0" w:after="283"/>
              <w:jc w:val="right"/>
              <w:rPr/>
            </w:pPr>
            <w:r>
              <w:rPr/>
              <w:t>350,000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w:t>
            </w:r>
          </w:p>
        </w:tc>
        <w:tc>
          <w:tcPr>
            <w:tcW w:w="560" w:type="dxa"/>
            <w:tcBorders/>
            <w:shd w:fill="FFFFFF" w:val="clear"/>
            <w:tcMar>
              <w:bottom w:w="0" w:type="dxa"/>
            </w:tcMar>
            <w:vAlign w:val="center"/>
          </w:tcPr>
          <w:p>
            <w:pPr>
              <w:pStyle w:val="TableContents"/>
              <w:bidi w:val="0"/>
              <w:spacing w:before="0" w:after="283"/>
              <w:jc w:val="right"/>
              <w:rPr/>
            </w:pPr>
            <w:r>
              <w:rPr/>
              <w:t>1,500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w:t>
            </w:r>
          </w:p>
        </w:tc>
        <w:tc>
          <w:tcPr>
            <w:tcW w:w="800" w:type="dxa"/>
            <w:tcBorders/>
            <w:shd w:fill="FFFFFF" w:val="clear"/>
            <w:tcMar>
              <w:bottom w:w="0" w:type="dxa"/>
            </w:tcMar>
            <w:vAlign w:val="center"/>
          </w:tcPr>
          <w:p>
            <w:pPr>
              <w:pStyle w:val="TableContents"/>
              <w:bidi w:val="0"/>
              <w:spacing w:before="0" w:after="283"/>
              <w:jc w:val="right"/>
              <w:rPr/>
            </w:pPr>
            <w:r>
              <w:rPr/>
              <w:t>-</w:t>
            </w:r>
          </w:p>
        </w:tc>
        <w:tc>
          <w:tcPr>
            <w:tcW w:w="201"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w:t>
            </w:r>
          </w:p>
        </w:tc>
        <w:tc>
          <w:tcPr>
            <w:tcW w:w="800" w:type="dxa"/>
            <w:tcBorders/>
            <w:shd w:fill="FFFFFF" w:val="clear"/>
            <w:tcMar>
              <w:bottom w:w="0" w:type="dxa"/>
            </w:tcMar>
            <w:vAlign w:val="center"/>
          </w:tcPr>
          <w:p>
            <w:pPr>
              <w:pStyle w:val="TableContents"/>
              <w:bidi w:val="0"/>
              <w:spacing w:before="0" w:after="283"/>
              <w:jc w:val="right"/>
              <w:rPr/>
            </w:pPr>
            <w:r>
              <w:rPr/>
              <w:t>1,534</w:t>
            </w:r>
          </w:p>
        </w:tc>
        <w:tc>
          <w:tcPr>
            <w:tcW w:w="201"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83" w:type="dxa"/>
            <w:tcBorders/>
            <w:shd w:fill="FFFFFF" w:val="clear"/>
            <w:tcMar>
              <w:bottom w:w="0" w:type="dxa"/>
            </w:tcMar>
            <w:vAlign w:val="center"/>
          </w:tcPr>
          <w:p>
            <w:pPr>
              <w:pStyle w:val="TableContents"/>
              <w:bidi w:val="0"/>
              <w:spacing w:before="0" w:after="283"/>
              <w:jc w:val="left"/>
              <w:rPr/>
            </w:pPr>
            <w:r>
              <w:rPr/>
              <w:t>$</w:t>
            </w:r>
          </w:p>
        </w:tc>
        <w:tc>
          <w:tcPr>
            <w:tcW w:w="1052" w:type="dxa"/>
            <w:tcBorders/>
            <w:shd w:fill="FFFFFF" w:val="clear"/>
            <w:tcMar>
              <w:bottom w:w="0" w:type="dxa"/>
            </w:tcMar>
            <w:vAlign w:val="center"/>
          </w:tcPr>
          <w:p>
            <w:pPr>
              <w:pStyle w:val="TableContents"/>
              <w:bidi w:val="0"/>
              <w:spacing w:before="0" w:after="283"/>
              <w:jc w:val="right"/>
              <w:rPr/>
            </w:pPr>
            <w:r>
              <w:rPr/>
              <w:t>-</w:t>
            </w:r>
          </w:p>
        </w:tc>
        <w:tc>
          <w:tcPr>
            <w:tcW w:w="201"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w:t>
            </w:r>
          </w:p>
        </w:tc>
        <w:tc>
          <w:tcPr>
            <w:tcW w:w="800" w:type="dxa"/>
            <w:tcBorders/>
            <w:shd w:fill="FFFFFF" w:val="clear"/>
            <w:tcMar>
              <w:bottom w:w="0" w:type="dxa"/>
            </w:tcMar>
            <w:vAlign w:val="center"/>
          </w:tcPr>
          <w:p>
            <w:pPr>
              <w:pStyle w:val="TableContents"/>
              <w:bidi w:val="0"/>
              <w:spacing w:before="0" w:after="283"/>
              <w:jc w:val="right"/>
              <w:rPr/>
            </w:pPr>
            <w:r>
              <w:rPr/>
              <w:t>353,034</w:t>
            </w:r>
          </w:p>
        </w:tc>
        <w:tc>
          <w:tcPr>
            <w:tcW w:w="78" w:type="dxa"/>
            <w:tcBorders/>
            <w:shd w:fill="FFFFFF" w:val="clear"/>
            <w:tcMar>
              <w:bottom w:w="0" w:type="dxa"/>
            </w:tcMar>
            <w:vAlign w:val="center"/>
          </w:tcPr>
          <w:p>
            <w:pPr>
              <w:pStyle w:val="TableContents"/>
              <w:bidi w:val="0"/>
              <w:spacing w:before="0" w:after="283"/>
              <w:ind w:left="0" w:right="0" w:hanging="180"/>
              <w:jc w:val="left"/>
              <w:rPr/>
            </w:pPr>
            <w:r>
              <w:rPr/>
              <w:t> </w:t>
            </w:r>
          </w:p>
        </w:tc>
      </w:tr>
      <w:tr>
        <w:trPr/>
        <w:tc>
          <w:tcPr>
            <w:tcW w:w="2669" w:type="dxa"/>
            <w:tcBorders/>
            <w:tcMar>
              <w:bottom w:w="0" w:type="dxa"/>
            </w:tcMar>
            <w:vAlign w:val="center"/>
          </w:tcPr>
          <w:p>
            <w:pPr>
              <w:pStyle w:val="TableContents"/>
              <w:bidi w:val="0"/>
              <w:spacing w:before="0" w:after="283"/>
              <w:jc w:val="left"/>
              <w:rPr>
                <w:i/>
              </w:rPr>
            </w:pPr>
            <w:r>
              <w:rPr>
                <w:i/>
              </w:rPr>
              <w:t>Chief Accounting Officer and Former Interim Chief Financial Officer</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center"/>
              <w:rPr/>
            </w:pPr>
            <w:r>
              <w:rPr/>
              <w:t> </w:t>
            </w:r>
          </w:p>
        </w:tc>
        <w:tc>
          <w:tcPr>
            <w:tcW w:w="500" w:type="dxa"/>
            <w:tcBorders/>
            <w:tcMar>
              <w:bottom w:w="0" w:type="dxa"/>
            </w:tcMar>
            <w:vAlign w:val="center"/>
          </w:tcPr>
          <w:p>
            <w:pPr>
              <w:pStyle w:val="TableContents"/>
              <w:bidi w:val="0"/>
              <w:spacing w:before="0" w:after="283"/>
              <w:jc w:val="center"/>
              <w:rPr/>
            </w:pPr>
            <w:r>
              <w:rPr/>
              <w:t>2024</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40" w:type="dxa"/>
            <w:tcBorders/>
            <w:tcMar>
              <w:bottom w:w="0" w:type="dxa"/>
            </w:tcMar>
            <w:vAlign w:val="center"/>
          </w:tcPr>
          <w:p>
            <w:pPr>
              <w:pStyle w:val="TableContents"/>
              <w:bidi w:val="0"/>
              <w:spacing w:before="0" w:after="283"/>
              <w:jc w:val="left"/>
              <w:rPr/>
            </w:pPr>
            <w:r>
              <w:rPr/>
              <w:t> </w:t>
            </w:r>
          </w:p>
        </w:tc>
        <w:tc>
          <w:tcPr>
            <w:tcW w:w="800" w:type="dxa"/>
            <w:tcBorders/>
            <w:tcMar>
              <w:bottom w:w="0" w:type="dxa"/>
            </w:tcMar>
            <w:vAlign w:val="center"/>
          </w:tcPr>
          <w:p>
            <w:pPr>
              <w:pStyle w:val="TableContents"/>
              <w:bidi w:val="0"/>
              <w:spacing w:before="0" w:after="283"/>
              <w:jc w:val="right"/>
              <w:rPr/>
            </w:pPr>
            <w:r>
              <w:rPr/>
              <w:t>58,300</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40" w:type="dxa"/>
            <w:tcBorders/>
            <w:tcMar>
              <w:bottom w:w="0" w:type="dxa"/>
            </w:tcMar>
            <w:vAlign w:val="center"/>
          </w:tcPr>
          <w:p>
            <w:pPr>
              <w:pStyle w:val="TableContents"/>
              <w:bidi w:val="0"/>
              <w:spacing w:before="0" w:after="283"/>
              <w:jc w:val="left"/>
              <w:rPr/>
            </w:pPr>
            <w:r>
              <w:rPr/>
              <w:t> </w:t>
            </w:r>
          </w:p>
        </w:tc>
        <w:tc>
          <w:tcPr>
            <w:tcW w:w="560" w:type="dxa"/>
            <w:tcBorders/>
            <w:tcMar>
              <w:bottom w:w="0" w:type="dxa"/>
            </w:tcMar>
            <w:vAlign w:val="center"/>
          </w:tcPr>
          <w:p>
            <w:pPr>
              <w:pStyle w:val="TableContents"/>
              <w:bidi w:val="0"/>
              <w:spacing w:before="0" w:after="283"/>
              <w:jc w:val="right"/>
              <w:rPr/>
            </w:pPr>
            <w:r>
              <w:rPr/>
              <w:t>-</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40" w:type="dxa"/>
            <w:tcBorders/>
            <w:tcMar>
              <w:bottom w:w="0" w:type="dxa"/>
            </w:tcMar>
            <w:vAlign w:val="center"/>
          </w:tcPr>
          <w:p>
            <w:pPr>
              <w:pStyle w:val="TableContents"/>
              <w:bidi w:val="0"/>
              <w:spacing w:before="0" w:after="283"/>
              <w:jc w:val="left"/>
              <w:rPr/>
            </w:pPr>
            <w:r>
              <w:rPr/>
              <w:t> </w:t>
            </w:r>
          </w:p>
        </w:tc>
        <w:tc>
          <w:tcPr>
            <w:tcW w:w="800" w:type="dxa"/>
            <w:tcBorders/>
            <w:tcMar>
              <w:bottom w:w="0" w:type="dxa"/>
            </w:tcMar>
            <w:vAlign w:val="center"/>
          </w:tcPr>
          <w:p>
            <w:pPr>
              <w:pStyle w:val="TableContents"/>
              <w:bidi w:val="0"/>
              <w:spacing w:before="0" w:after="283"/>
              <w:jc w:val="right"/>
              <w:rPr/>
            </w:pPr>
            <w:r>
              <w:rPr/>
              <w:t>-</w:t>
            </w:r>
          </w:p>
        </w:tc>
        <w:tc>
          <w:tcPr>
            <w:tcW w:w="201"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40" w:type="dxa"/>
            <w:tcBorders/>
            <w:tcMar>
              <w:bottom w:w="0" w:type="dxa"/>
            </w:tcMar>
            <w:vAlign w:val="center"/>
          </w:tcPr>
          <w:p>
            <w:pPr>
              <w:pStyle w:val="TableContents"/>
              <w:bidi w:val="0"/>
              <w:spacing w:before="0" w:after="283"/>
              <w:jc w:val="left"/>
              <w:rPr/>
            </w:pPr>
            <w:r>
              <w:rPr/>
              <w:t> </w:t>
            </w:r>
          </w:p>
        </w:tc>
        <w:tc>
          <w:tcPr>
            <w:tcW w:w="800" w:type="dxa"/>
            <w:tcBorders/>
            <w:tcMar>
              <w:bottom w:w="0" w:type="dxa"/>
            </w:tcMar>
            <w:vAlign w:val="center"/>
          </w:tcPr>
          <w:p>
            <w:pPr>
              <w:pStyle w:val="TableContents"/>
              <w:bidi w:val="0"/>
              <w:spacing w:before="0" w:after="283"/>
              <w:jc w:val="right"/>
              <w:rPr/>
            </w:pPr>
            <w:r>
              <w:rPr/>
              <w:t>237,046</w:t>
            </w:r>
          </w:p>
        </w:tc>
        <w:tc>
          <w:tcPr>
            <w:tcW w:w="201"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83" w:type="dxa"/>
            <w:tcBorders/>
            <w:tcMar>
              <w:bottom w:w="0" w:type="dxa"/>
            </w:tcMar>
            <w:vAlign w:val="center"/>
          </w:tcPr>
          <w:p>
            <w:pPr>
              <w:pStyle w:val="TableContents"/>
              <w:bidi w:val="0"/>
              <w:spacing w:before="0" w:after="283"/>
              <w:jc w:val="left"/>
              <w:rPr/>
            </w:pPr>
            <w:r>
              <w:rPr/>
              <w:t> </w:t>
            </w:r>
          </w:p>
        </w:tc>
        <w:tc>
          <w:tcPr>
            <w:tcW w:w="1052" w:type="dxa"/>
            <w:tcBorders/>
            <w:tcMar>
              <w:bottom w:w="0" w:type="dxa"/>
            </w:tcMar>
            <w:vAlign w:val="center"/>
          </w:tcPr>
          <w:p>
            <w:pPr>
              <w:pStyle w:val="TableContents"/>
              <w:bidi w:val="0"/>
              <w:spacing w:before="0" w:after="283"/>
              <w:jc w:val="right"/>
              <w:rPr/>
            </w:pPr>
            <w:r>
              <w:rPr/>
              <w:t>-</w:t>
            </w:r>
          </w:p>
        </w:tc>
        <w:tc>
          <w:tcPr>
            <w:tcW w:w="201"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40" w:type="dxa"/>
            <w:tcBorders/>
            <w:tcMar>
              <w:bottom w:w="0" w:type="dxa"/>
            </w:tcMar>
            <w:vAlign w:val="center"/>
          </w:tcPr>
          <w:p>
            <w:pPr>
              <w:pStyle w:val="TableContents"/>
              <w:bidi w:val="0"/>
              <w:spacing w:before="0" w:after="283"/>
              <w:jc w:val="left"/>
              <w:rPr/>
            </w:pPr>
            <w:r>
              <w:rPr/>
              <w:t> </w:t>
            </w:r>
          </w:p>
        </w:tc>
        <w:tc>
          <w:tcPr>
            <w:tcW w:w="800" w:type="dxa"/>
            <w:tcBorders/>
            <w:tcMar>
              <w:bottom w:w="0" w:type="dxa"/>
            </w:tcMar>
            <w:vAlign w:val="center"/>
          </w:tcPr>
          <w:p>
            <w:pPr>
              <w:pStyle w:val="TableContents"/>
              <w:bidi w:val="0"/>
              <w:spacing w:before="0" w:after="283"/>
              <w:jc w:val="right"/>
              <w:rPr/>
            </w:pPr>
            <w:r>
              <w:rPr/>
              <w:t>295,346</w:t>
            </w:r>
          </w:p>
        </w:tc>
        <w:tc>
          <w:tcPr>
            <w:tcW w:w="78" w:type="dxa"/>
            <w:tcBorders/>
            <w:tcMar>
              <w:bottom w:w="0" w:type="dxa"/>
            </w:tcMar>
            <w:vAlign w:val="center"/>
          </w:tcPr>
          <w:p>
            <w:pPr>
              <w:pStyle w:val="TableContents"/>
              <w:bidi w:val="0"/>
              <w:spacing w:before="0" w:after="283"/>
              <w:ind w:left="0" w:right="0" w:hanging="180"/>
              <w:jc w:val="left"/>
              <w:rPr/>
            </w:pPr>
            <w:r>
              <w:rPr/>
              <w:t> </w:t>
            </w:r>
          </w:p>
        </w:tc>
      </w:tr>
      <w:tr>
        <w:trPr/>
        <w:tc>
          <w:tcPr>
            <w:tcW w:w="2669" w:type="dxa"/>
            <w:tcBorders/>
            <w:shd w:fill="CCEEFF" w:val="clear"/>
            <w:tcMar>
              <w:bottom w:w="0" w:type="dxa"/>
            </w:tcMar>
            <w:vAlign w:val="center"/>
          </w:tcPr>
          <w:p>
            <w:pPr>
              <w:pStyle w:val="TableContents"/>
              <w:bidi w:val="0"/>
              <w:spacing w:before="0" w:after="283"/>
              <w:jc w:val="left"/>
              <w:rPr>
                <w:rFonts w:ascii="Times New Roman;Times;Serif" w:hAnsi="Times New Roman;Times;Serif"/>
                <w:i/>
                <w:sz w:val="20"/>
              </w:rPr>
            </w:pPr>
            <w:r>
              <w:rPr>
                <w:rFonts w:ascii="Times New Roman;Times;Serif" w:hAnsi="Times New Roman;Times;Serif"/>
                <w:i/>
                <w:sz w:val="20"/>
              </w:rPr>
              <w:t>Daniel Foley</w:t>
            </w:r>
            <w:r>
              <w:rPr>
                <w:rFonts w:ascii="Times New Roman;Times;Serif" w:hAnsi="Times New Roman;Times;Serif"/>
                <w:i/>
                <w:position w:val="7"/>
                <w:sz w:val="16"/>
                <w:sz w:val="20"/>
              </w:rPr>
              <w:t>(3)</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center"/>
              <w:rPr/>
            </w:pPr>
            <w:r>
              <w:rPr/>
              <w:t> </w:t>
            </w:r>
          </w:p>
        </w:tc>
        <w:tc>
          <w:tcPr>
            <w:tcW w:w="500" w:type="dxa"/>
            <w:tcBorders/>
            <w:shd w:fill="CCEEFF" w:val="clear"/>
            <w:tcMar>
              <w:bottom w:w="0" w:type="dxa"/>
            </w:tcMar>
            <w:vAlign w:val="center"/>
          </w:tcPr>
          <w:p>
            <w:pPr>
              <w:pStyle w:val="TableContents"/>
              <w:bidi w:val="0"/>
              <w:spacing w:before="0" w:after="283"/>
              <w:jc w:val="center"/>
              <w:rPr/>
            </w:pPr>
            <w:r>
              <w:rPr/>
              <w:t>2025</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800" w:type="dxa"/>
            <w:tcBorders/>
            <w:shd w:fill="CCEEFF" w:val="clear"/>
            <w:tcMar>
              <w:bottom w:w="0" w:type="dxa"/>
            </w:tcMar>
            <w:vAlign w:val="center"/>
          </w:tcPr>
          <w:p>
            <w:pPr>
              <w:pStyle w:val="TableContents"/>
              <w:bidi w:val="0"/>
              <w:spacing w:before="0" w:after="283"/>
              <w:jc w:val="right"/>
              <w:rPr/>
            </w:pPr>
            <w:r>
              <w:rPr/>
              <w:t>233,333</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560" w:type="dxa"/>
            <w:tcBorders/>
            <w:shd w:fill="CCEEFF" w:val="clear"/>
            <w:tcMar>
              <w:bottom w:w="0" w:type="dxa"/>
            </w:tcMar>
            <w:vAlign w:val="center"/>
          </w:tcPr>
          <w:p>
            <w:pPr>
              <w:pStyle w:val="TableContents"/>
              <w:bidi w:val="0"/>
              <w:spacing w:before="0" w:after="283"/>
              <w:jc w:val="right"/>
              <w:rPr/>
            </w:pPr>
            <w:r>
              <w:rPr/>
              <w:t>1,500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800" w:type="dxa"/>
            <w:tcBorders/>
            <w:shd w:fill="CCEEFF" w:val="clear"/>
            <w:tcMar>
              <w:bottom w:w="0" w:type="dxa"/>
            </w:tcMar>
            <w:vAlign w:val="center"/>
          </w:tcPr>
          <w:p>
            <w:pPr>
              <w:pStyle w:val="TableContents"/>
              <w:bidi w:val="0"/>
              <w:spacing w:before="0" w:after="283"/>
              <w:jc w:val="right"/>
              <w:rPr/>
            </w:pPr>
            <w:r>
              <w:rPr/>
              <w:t>-</w:t>
            </w:r>
          </w:p>
        </w:tc>
        <w:tc>
          <w:tcPr>
            <w:tcW w:w="201"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800" w:type="dxa"/>
            <w:tcBorders/>
            <w:shd w:fill="CCEEFF" w:val="clear"/>
            <w:tcMar>
              <w:bottom w:w="0" w:type="dxa"/>
            </w:tcMar>
            <w:vAlign w:val="center"/>
          </w:tcPr>
          <w:p>
            <w:pPr>
              <w:pStyle w:val="TableContents"/>
              <w:bidi w:val="0"/>
              <w:spacing w:before="0" w:after="283"/>
              <w:jc w:val="right"/>
              <w:rPr/>
            </w:pPr>
            <w:r>
              <w:rPr/>
              <w:t>455,000</w:t>
            </w:r>
          </w:p>
        </w:tc>
        <w:tc>
          <w:tcPr>
            <w:tcW w:w="201" w:type="dxa"/>
            <w:tcBorders/>
            <w:shd w:fill="CCEEFF" w:val="clear"/>
            <w:tcMar>
              <w:bottom w:w="0" w:type="dxa"/>
            </w:tcMar>
            <w:vAlign w:val="center"/>
          </w:tcPr>
          <w:p>
            <w:pPr>
              <w:pStyle w:val="TableContents"/>
              <w:bidi w:val="0"/>
              <w:spacing w:before="0" w:after="283"/>
              <w:jc w:val="left"/>
              <w:rPr>
                <w:position w:val="8"/>
                <w:sz w:val="19"/>
              </w:rPr>
            </w:pPr>
            <w:r>
              <w:rPr>
                <w:position w:val="8"/>
                <w:sz w:val="19"/>
              </w:rPr>
              <w:t>(4)</w:t>
            </w:r>
          </w:p>
        </w:tc>
        <w:tc>
          <w:tcPr>
            <w:tcW w:w="60" w:type="dxa"/>
            <w:tcBorders/>
            <w:shd w:fill="CCEEFF" w:val="clear"/>
            <w:tcMar>
              <w:bottom w:w="0" w:type="dxa"/>
            </w:tcMar>
            <w:vAlign w:val="center"/>
          </w:tcPr>
          <w:p>
            <w:pPr>
              <w:pStyle w:val="TableContents"/>
              <w:bidi w:val="0"/>
              <w:spacing w:before="0" w:after="283"/>
              <w:jc w:val="left"/>
              <w:rPr/>
            </w:pPr>
            <w:r>
              <w:rPr/>
              <w:t> </w:t>
            </w:r>
          </w:p>
        </w:tc>
        <w:tc>
          <w:tcPr>
            <w:tcW w:w="183" w:type="dxa"/>
            <w:tcBorders/>
            <w:shd w:fill="CCEEFF" w:val="clear"/>
            <w:tcMar>
              <w:bottom w:w="0" w:type="dxa"/>
            </w:tcMar>
            <w:vAlign w:val="center"/>
          </w:tcPr>
          <w:p>
            <w:pPr>
              <w:pStyle w:val="TableContents"/>
              <w:bidi w:val="0"/>
              <w:spacing w:before="0" w:after="283"/>
              <w:jc w:val="left"/>
              <w:rPr/>
            </w:pPr>
            <w:r>
              <w:rPr/>
              <w:t> </w:t>
            </w:r>
          </w:p>
        </w:tc>
        <w:tc>
          <w:tcPr>
            <w:tcW w:w="1052" w:type="dxa"/>
            <w:tcBorders/>
            <w:shd w:fill="CCEEFF" w:val="clear"/>
            <w:tcMar>
              <w:bottom w:w="0" w:type="dxa"/>
            </w:tcMar>
            <w:vAlign w:val="center"/>
          </w:tcPr>
          <w:p>
            <w:pPr>
              <w:pStyle w:val="TableContents"/>
              <w:bidi w:val="0"/>
              <w:spacing w:before="0" w:after="283"/>
              <w:jc w:val="right"/>
              <w:rPr/>
            </w:pPr>
            <w:r>
              <w:rPr/>
              <w:t>100,000</w:t>
            </w:r>
          </w:p>
        </w:tc>
        <w:tc>
          <w:tcPr>
            <w:tcW w:w="201" w:type="dxa"/>
            <w:tcBorders/>
            <w:shd w:fill="CCEEFF" w:val="clear"/>
            <w:tcMar>
              <w:bottom w:w="0" w:type="dxa"/>
            </w:tcMar>
            <w:vAlign w:val="center"/>
          </w:tcPr>
          <w:p>
            <w:pPr>
              <w:pStyle w:val="TableContents"/>
              <w:bidi w:val="0"/>
              <w:spacing w:before="0" w:after="283"/>
              <w:jc w:val="left"/>
              <w:rPr>
                <w:position w:val="8"/>
                <w:sz w:val="19"/>
              </w:rPr>
            </w:pPr>
            <w:r>
              <w:rPr>
                <w:position w:val="8"/>
                <w:sz w:val="19"/>
              </w:rPr>
              <w:t>(3)</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800" w:type="dxa"/>
            <w:tcBorders/>
            <w:shd w:fill="CCEEFF" w:val="clear"/>
            <w:tcMar>
              <w:bottom w:w="0" w:type="dxa"/>
            </w:tcMar>
            <w:vAlign w:val="center"/>
          </w:tcPr>
          <w:p>
            <w:pPr>
              <w:pStyle w:val="TableContents"/>
              <w:bidi w:val="0"/>
              <w:spacing w:before="0" w:after="283"/>
              <w:jc w:val="right"/>
              <w:rPr/>
            </w:pPr>
            <w:r>
              <w:rPr/>
              <w:t>789,833</w:t>
            </w:r>
          </w:p>
        </w:tc>
        <w:tc>
          <w:tcPr>
            <w:tcW w:w="78" w:type="dxa"/>
            <w:tcBorders/>
            <w:shd w:fill="CCEEFF" w:val="clear"/>
            <w:tcMar>
              <w:bottom w:w="0" w:type="dxa"/>
            </w:tcMar>
            <w:vAlign w:val="center"/>
          </w:tcPr>
          <w:p>
            <w:pPr>
              <w:pStyle w:val="TableContents"/>
              <w:bidi w:val="0"/>
              <w:spacing w:before="0" w:after="283"/>
              <w:ind w:left="0" w:right="0" w:hanging="180"/>
              <w:jc w:val="left"/>
              <w:rPr/>
            </w:pPr>
            <w:r>
              <w:rPr/>
              <w:t> </w:t>
            </w:r>
          </w:p>
        </w:tc>
      </w:tr>
      <w:tr>
        <w:trPr/>
        <w:tc>
          <w:tcPr>
            <w:tcW w:w="2669" w:type="dxa"/>
            <w:tcBorders/>
            <w:shd w:fill="CCEEFF" w:val="clear"/>
            <w:tcMar>
              <w:bottom w:w="0" w:type="dxa"/>
            </w:tcMar>
            <w:vAlign w:val="center"/>
          </w:tcPr>
          <w:p>
            <w:pPr>
              <w:pStyle w:val="TableContents"/>
              <w:bidi w:val="0"/>
              <w:spacing w:before="0" w:after="283"/>
              <w:jc w:val="left"/>
              <w:rPr>
                <w:i/>
              </w:rPr>
            </w:pPr>
            <w:r>
              <w:rPr>
                <w:i/>
              </w:rPr>
              <w:t>Former Chief Financial Officer</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center"/>
              <w:rPr/>
            </w:pPr>
            <w:r>
              <w:rPr/>
              <w:t> </w:t>
            </w:r>
          </w:p>
        </w:tc>
        <w:tc>
          <w:tcPr>
            <w:tcW w:w="500" w:type="dxa"/>
            <w:tcBorders/>
            <w:shd w:fill="CCEEFF" w:val="clear"/>
            <w:tcMar>
              <w:bottom w:w="0" w:type="dxa"/>
            </w:tcMar>
            <w:vAlign w:val="center"/>
          </w:tcPr>
          <w:p>
            <w:pPr>
              <w:pStyle w:val="TableContents"/>
              <w:bidi w:val="0"/>
              <w:spacing w:before="0" w:after="283"/>
              <w:jc w:val="center"/>
              <w:rPr/>
            </w:pPr>
            <w:r>
              <w:rPr/>
              <w:t>2024</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800" w:type="dxa"/>
            <w:tcBorders/>
            <w:shd w:fill="CCEEFF" w:val="clear"/>
            <w:tcMar>
              <w:bottom w:w="0" w:type="dxa"/>
            </w:tcMar>
            <w:vAlign w:val="center"/>
          </w:tcPr>
          <w:p>
            <w:pPr>
              <w:pStyle w:val="TableContents"/>
              <w:bidi w:val="0"/>
              <w:spacing w:before="0" w:after="283"/>
              <w:jc w:val="right"/>
              <w:rPr/>
            </w:pPr>
            <w:r>
              <w:rPr/>
              <w:t>161,947</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560"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800" w:type="dxa"/>
            <w:tcBorders/>
            <w:shd w:fill="CCEEFF" w:val="clear"/>
            <w:tcMar>
              <w:bottom w:w="0" w:type="dxa"/>
            </w:tcMar>
            <w:vAlign w:val="center"/>
          </w:tcPr>
          <w:p>
            <w:pPr>
              <w:pStyle w:val="TableContents"/>
              <w:bidi w:val="0"/>
              <w:spacing w:before="0" w:after="283"/>
              <w:jc w:val="right"/>
              <w:rPr/>
            </w:pPr>
            <w:r>
              <w:rPr/>
              <w:t>780,000</w:t>
            </w:r>
          </w:p>
        </w:tc>
        <w:tc>
          <w:tcPr>
            <w:tcW w:w="201" w:type="dxa"/>
            <w:tcBorders/>
            <w:shd w:fill="CCEEFF" w:val="clear"/>
            <w:tcMar>
              <w:bottom w:w="0" w:type="dxa"/>
            </w:tcMar>
            <w:vAlign w:val="center"/>
          </w:tcPr>
          <w:p>
            <w:pPr>
              <w:pStyle w:val="TableContents"/>
              <w:bidi w:val="0"/>
              <w:spacing w:before="0" w:after="283"/>
              <w:jc w:val="left"/>
              <w:rPr>
                <w:position w:val="8"/>
                <w:sz w:val="19"/>
              </w:rPr>
            </w:pPr>
            <w:r>
              <w:rPr>
                <w:position w:val="8"/>
                <w:sz w:val="19"/>
              </w:rPr>
              <w:t>(5)</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800" w:type="dxa"/>
            <w:tcBorders/>
            <w:shd w:fill="CCEEFF" w:val="clear"/>
            <w:tcMar>
              <w:bottom w:w="0" w:type="dxa"/>
            </w:tcMar>
            <w:vAlign w:val="center"/>
          </w:tcPr>
          <w:p>
            <w:pPr>
              <w:pStyle w:val="TableContents"/>
              <w:bidi w:val="0"/>
              <w:spacing w:before="0" w:after="283"/>
              <w:jc w:val="right"/>
              <w:rPr/>
            </w:pPr>
            <w:r>
              <w:rPr/>
              <w:t>-</w:t>
            </w:r>
          </w:p>
        </w:tc>
        <w:tc>
          <w:tcPr>
            <w:tcW w:w="201"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83" w:type="dxa"/>
            <w:tcBorders/>
            <w:shd w:fill="CCEEFF" w:val="clear"/>
            <w:tcMar>
              <w:bottom w:w="0" w:type="dxa"/>
            </w:tcMar>
            <w:vAlign w:val="center"/>
          </w:tcPr>
          <w:p>
            <w:pPr>
              <w:pStyle w:val="TableContents"/>
              <w:bidi w:val="0"/>
              <w:spacing w:before="0" w:after="283"/>
              <w:jc w:val="left"/>
              <w:rPr/>
            </w:pPr>
            <w:r>
              <w:rPr/>
              <w:t> </w:t>
            </w:r>
          </w:p>
        </w:tc>
        <w:tc>
          <w:tcPr>
            <w:tcW w:w="1052" w:type="dxa"/>
            <w:tcBorders/>
            <w:shd w:fill="CCEEFF" w:val="clear"/>
            <w:tcMar>
              <w:bottom w:w="0" w:type="dxa"/>
            </w:tcMar>
            <w:vAlign w:val="center"/>
          </w:tcPr>
          <w:p>
            <w:pPr>
              <w:pStyle w:val="TableContents"/>
              <w:bidi w:val="0"/>
              <w:spacing w:before="0" w:after="283"/>
              <w:jc w:val="right"/>
              <w:rPr/>
            </w:pPr>
            <w:r>
              <w:rPr/>
              <w:t>-</w:t>
            </w:r>
          </w:p>
        </w:tc>
        <w:tc>
          <w:tcPr>
            <w:tcW w:w="201"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800" w:type="dxa"/>
            <w:tcBorders/>
            <w:shd w:fill="CCEEFF" w:val="clear"/>
            <w:tcMar>
              <w:bottom w:w="0" w:type="dxa"/>
            </w:tcMar>
            <w:vAlign w:val="center"/>
          </w:tcPr>
          <w:p>
            <w:pPr>
              <w:pStyle w:val="TableContents"/>
              <w:bidi w:val="0"/>
              <w:spacing w:before="0" w:after="283"/>
              <w:jc w:val="right"/>
              <w:rPr/>
            </w:pPr>
            <w:r>
              <w:rPr/>
              <w:t>941,947</w:t>
            </w:r>
          </w:p>
        </w:tc>
        <w:tc>
          <w:tcPr>
            <w:tcW w:w="78" w:type="dxa"/>
            <w:tcBorders/>
            <w:shd w:fill="CCEEFF" w:val="clear"/>
            <w:tcMar>
              <w:bottom w:w="0" w:type="dxa"/>
            </w:tcMar>
            <w:vAlign w:val="center"/>
          </w:tcPr>
          <w:p>
            <w:pPr>
              <w:pStyle w:val="TableContents"/>
              <w:bidi w:val="0"/>
              <w:spacing w:before="0" w:after="283"/>
              <w:jc w:val="left"/>
              <w:rPr/>
            </w:pPr>
            <w:r>
              <w:rPr/>
              <w:t> </w:t>
            </w:r>
          </w:p>
        </w:tc>
      </w:tr>
    </w:tbl>
    <w:p>
      <w:pPr>
        <w:pStyle w:val="TextBody"/>
        <w:bidi w:val="0"/>
        <w:spacing w:before="0" w:after="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08"/>
        <w:gridCol w:w="9997"/>
      </w:tblGrid>
      <w:tr>
        <w:trPr/>
        <w:tc>
          <w:tcPr>
            <w:tcW w:w="208"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w:t>
            </w:r>
          </w:p>
        </w:tc>
        <w:tc>
          <w:tcPr>
            <w:tcW w:w="999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 xml:space="preserve">Amounts reported in this column do not reflect the amounts actually received by SunPower’s named executive officers. Instead, these amounts reflect the aggregate grant-date fair value of awards granted to each named executive officer, computed in accordance with the FASB ASC Topic 718, </w:t>
            </w:r>
            <w:r>
              <w:rPr>
                <w:rFonts w:ascii="Times New Roman;Times;Serif" w:hAnsi="Times New Roman;Times;Serif"/>
                <w:i/>
                <w:sz w:val="20"/>
              </w:rPr>
              <w:t>Stock-based Compensation</w:t>
            </w:r>
            <w:r>
              <w:rPr>
                <w:rFonts w:ascii="Times New Roman;Times;Serif" w:hAnsi="Times New Roman;Times;Serif"/>
                <w:sz w:val="20"/>
              </w:rPr>
              <w:t xml:space="preserve">. See “Item 8. Financial Statements and Supplementary Data - Notes to Consolidated Financial Statements - </w:t>
            </w:r>
            <w:r>
              <w:rPr>
                <w:rFonts w:ascii="Times New Roman;Times;Serif" w:hAnsi="Times New Roman;Times;Serif"/>
                <w:b/>
                <w:sz w:val="20"/>
              </w:rPr>
              <w:t>Note 15 - Stock-Based Compensation</w:t>
            </w:r>
            <w:r>
              <w:rPr>
                <w:rFonts w:ascii="Times New Roman;Times;Serif" w:hAnsi="Times New Roman;Times;Serif"/>
                <w:sz w:val="20"/>
              </w:rPr>
              <w:t>”. As required by SEC rules, the amounts shown exclude the impact of estimated forfeitures related to service-based vesting conditions. Unless otherwise noted in the footnotes below, the shares underlying these options vest in 48 equal monthly installments, subject to the named executive officer’s continued service at each vesting date.</w:t>
            </w:r>
          </w:p>
        </w:tc>
      </w:tr>
    </w:tbl>
    <w:p>
      <w:pPr>
        <w:pStyle w:val="TextBody"/>
        <w:bidi w:val="0"/>
        <w:spacing w:before="0" w:after="0"/>
        <w:ind w:left="480" w:right="0" w:hanging="48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22"/>
        <w:gridCol w:w="9983"/>
      </w:tblGrid>
      <w:tr>
        <w:trPr/>
        <w:tc>
          <w:tcPr>
            <w:tcW w:w="222"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(2)</w:t>
            </w:r>
          </w:p>
        </w:tc>
        <w:tc>
          <w:tcPr>
            <w:tcW w:w="9983"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Ms. Nguyen joined the Company in September 2024 and was appointed as our Interim Chief Financial Officer in July 2025. Ms. Nguyen’s base salary amount is pro-rated for 2024. On February 2, 2026, Ms. Nguyen resigned as the Interim Chief Financial Officer, and she now serves as our Chief Accounting Officer.</w:t>
            </w:r>
          </w:p>
        </w:tc>
      </w:tr>
    </w:tbl>
    <w:p>
      <w:pPr>
        <w:pStyle w:val="TextBody"/>
        <w:bidi w:val="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78</w:t>
      </w:r>
    </w:p>
    <w:p>
      <w:pPr>
        <w:pStyle w:val="TextBody"/>
        <w:bidi w:val="0"/>
        <w:spacing w:before="0" w:after="0"/>
        <w:ind w:left="0" w:right="0" w:hanging="0"/>
        <w:jc w:val="left"/>
        <w:rPr/>
      </w:pPr>
      <w:r>
        <w:rPr/>
        <w:t> </w:t>
      </w:r>
    </w:p>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13"/>
        <w:gridCol w:w="9992"/>
      </w:tblGrid>
      <w:tr>
        <w:trPr/>
        <w:tc>
          <w:tcPr>
            <w:tcW w:w="213"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(3)</w:t>
            </w:r>
          </w:p>
        </w:tc>
        <w:tc>
          <w:tcPr>
            <w:tcW w:w="9992"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Mr. Foley resigned as our Chief Financial Officer in July 2025. Mr. Foley’s base salary amount is pro rated for 2025, and the amount reflected as All Other Compensation comprises cash payments made in connection with his separation from the Company. In connection with Mr. Foley’s separation from the Company on July 25, 2025, the Company accelerated the vesting of 57,741 restricted stock units (equal to $100,000), in accordance with the terms of his separation agreement.</w:t>
            </w:r>
          </w:p>
        </w:tc>
      </w:tr>
      <w:tr>
        <w:trPr/>
        <w:tc>
          <w:tcPr>
            <w:tcW w:w="213" w:type="dxa"/>
            <w:tcBorders/>
            <w:vAlign w:val="center"/>
          </w:tcPr>
          <w:p>
            <w:pPr>
              <w:pStyle w:val="TableContents"/>
              <w:bidi w:val="0"/>
              <w:spacing w:before="0" w:after="283"/>
              <w:jc w:val="both"/>
              <w:rPr/>
            </w:pPr>
            <w:r>
              <w:rPr/>
              <w:t> </w:t>
            </w:r>
          </w:p>
        </w:tc>
        <w:tc>
          <w:tcPr>
            <w:tcW w:w="9992" w:type="dxa"/>
            <w:tcBorders/>
            <w:vAlign w:val="center"/>
          </w:tcPr>
          <w:p>
            <w:pPr>
              <w:pStyle w:val="TableContents"/>
              <w:bidi w:val="0"/>
              <w:spacing w:before="0" w:after="283"/>
              <w:jc w:val="both"/>
              <w:rPr/>
            </w:pPr>
            <w:r>
              <w:rPr/>
              <w:t> </w:t>
            </w:r>
          </w:p>
        </w:tc>
      </w:tr>
      <w:tr>
        <w:trPr/>
        <w:tc>
          <w:tcPr>
            <w:tcW w:w="213"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(4)</w:t>
            </w:r>
          </w:p>
        </w:tc>
        <w:tc>
          <w:tcPr>
            <w:tcW w:w="9992"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Includes 250,000 restricted stock units issued in April 2025, of which 19,970 of the RSUs were vested at the time of Mr. Foley’s separation from the Company. Upon Mr. Foley’s separation, the remaining unvested restricted stock units were canceled.</w:t>
            </w:r>
          </w:p>
        </w:tc>
      </w:tr>
      <w:tr>
        <w:trPr/>
        <w:tc>
          <w:tcPr>
            <w:tcW w:w="213" w:type="dxa"/>
            <w:tcBorders/>
            <w:vAlign w:val="center"/>
          </w:tcPr>
          <w:p>
            <w:pPr>
              <w:pStyle w:val="TableContents"/>
              <w:bidi w:val="0"/>
              <w:spacing w:before="0" w:after="283"/>
              <w:jc w:val="both"/>
              <w:rPr/>
            </w:pPr>
            <w:r>
              <w:rPr/>
              <w:t> </w:t>
            </w:r>
          </w:p>
        </w:tc>
        <w:tc>
          <w:tcPr>
            <w:tcW w:w="9992" w:type="dxa"/>
            <w:tcBorders/>
            <w:vAlign w:val="center"/>
          </w:tcPr>
          <w:p>
            <w:pPr>
              <w:pStyle w:val="TableContents"/>
              <w:bidi w:val="0"/>
              <w:spacing w:before="0" w:after="283"/>
              <w:jc w:val="both"/>
              <w:rPr/>
            </w:pPr>
            <w:r>
              <w:rPr/>
              <w:t> </w:t>
            </w:r>
          </w:p>
        </w:tc>
      </w:tr>
      <w:tr>
        <w:trPr/>
        <w:tc>
          <w:tcPr>
            <w:tcW w:w="213"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(5)</w:t>
            </w:r>
          </w:p>
        </w:tc>
        <w:tc>
          <w:tcPr>
            <w:tcW w:w="9992"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20% of the total shares underlying this option award vested on July 1, 2025. Upon Mr. Foley’s separation from the Company, the remaining unvested shares underlying this option were forfeited.</w:t>
            </w:r>
          </w:p>
        </w:tc>
      </w:tr>
    </w:tbl>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Outstanding Equity Awards at December 28, 2025</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presents information regarding the outstanding option awards and RSUs held by each of the named executive officers as of December 28, 2025:</w:t>
      </w:r>
    </w:p>
    <w:p>
      <w:pPr>
        <w:pStyle w:val="TextBody"/>
        <w:bidi w:val="0"/>
        <w:spacing w:before="0" w:after="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187"/>
        <w:gridCol w:w="60"/>
        <w:gridCol w:w="628"/>
        <w:gridCol w:w="60"/>
        <w:gridCol w:w="1385"/>
        <w:gridCol w:w="60"/>
        <w:gridCol w:w="85"/>
        <w:gridCol w:w="970"/>
        <w:gridCol w:w="195"/>
        <w:gridCol w:w="60"/>
        <w:gridCol w:w="123"/>
        <w:gridCol w:w="1187"/>
        <w:gridCol w:w="195"/>
        <w:gridCol w:w="60"/>
        <w:gridCol w:w="182"/>
        <w:gridCol w:w="573"/>
        <w:gridCol w:w="60"/>
        <w:gridCol w:w="60"/>
        <w:gridCol w:w="114"/>
        <w:gridCol w:w="843"/>
        <w:gridCol w:w="60"/>
        <w:gridCol w:w="60"/>
        <w:gridCol w:w="60"/>
        <w:gridCol w:w="800"/>
        <w:gridCol w:w="60"/>
        <w:gridCol w:w="60"/>
        <w:gridCol w:w="140"/>
        <w:gridCol w:w="800"/>
        <w:gridCol w:w="78"/>
      </w:tblGrid>
      <w:tr>
        <w:trPr/>
        <w:tc>
          <w:tcPr>
            <w:tcW w:w="1187" w:type="dxa"/>
            <w:tcBorders/>
            <w:vAlign w:val="center"/>
          </w:tcPr>
          <w:p>
            <w:pPr>
              <w:pStyle w:val="TableContents"/>
              <w:bidi w:val="0"/>
              <w:spacing w:before="0" w:after="283"/>
              <w:ind w:left="0" w:right="0" w:hanging="180"/>
              <w:jc w:val="left"/>
              <w:rPr/>
            </w:pPr>
            <w:r>
              <w:rPr/>
              <w:t> </w:t>
            </w:r>
          </w:p>
        </w:tc>
        <w:tc>
          <w:tcPr>
            <w:tcW w:w="60" w:type="dxa"/>
            <w:tcBorders/>
            <w:vAlign w:val="center"/>
          </w:tcPr>
          <w:p>
            <w:pPr>
              <w:pStyle w:val="TableContents"/>
              <w:bidi w:val="0"/>
              <w:spacing w:before="0" w:after="283"/>
              <w:jc w:val="left"/>
              <w:rPr/>
            </w:pPr>
            <w:r>
              <w:rPr/>
              <w:t> </w:t>
            </w:r>
          </w:p>
        </w:tc>
        <w:tc>
          <w:tcPr>
            <w:tcW w:w="6900" w:type="dxa"/>
            <w:gridSpan w:val="19"/>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 xml:space="preserve">Option Awards </w:t>
            </w:r>
            <w:r>
              <w:rPr>
                <w:rFonts w:ascii="Times New Roman;Times;Serif" w:hAnsi="Times New Roman;Times;Serif"/>
                <w:b/>
                <w:position w:val="7"/>
                <w:sz w:val="16"/>
                <w:sz w:val="20"/>
              </w:rPr>
              <w:t>(1)</w:t>
            </w:r>
          </w:p>
        </w:tc>
        <w:tc>
          <w:tcPr>
            <w:tcW w:w="60" w:type="dxa"/>
            <w:tcBorders/>
            <w:vAlign w:val="center"/>
          </w:tcPr>
          <w:p>
            <w:pPr>
              <w:pStyle w:val="TableContents"/>
              <w:bidi w:val="0"/>
              <w:spacing w:before="0" w:after="283"/>
              <w:jc w:val="left"/>
              <w:rPr/>
            </w:pPr>
            <w:r>
              <w:rPr/>
              <w:t> </w:t>
            </w:r>
          </w:p>
        </w:tc>
        <w:tc>
          <w:tcPr>
            <w:tcW w:w="1920" w:type="dxa"/>
            <w:gridSpan w:val="6"/>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 xml:space="preserve">Stock Awards </w:t>
            </w:r>
            <w:r>
              <w:rPr>
                <w:rFonts w:ascii="Times New Roman;Times;Serif" w:hAnsi="Times New Roman;Times;Serif"/>
                <w:b/>
                <w:position w:val="7"/>
                <w:sz w:val="16"/>
                <w:sz w:val="20"/>
              </w:rPr>
              <w:t>(1)</w:t>
            </w:r>
          </w:p>
        </w:tc>
        <w:tc>
          <w:tcPr>
            <w:tcW w:w="78" w:type="dxa"/>
            <w:tcBorders/>
            <w:vAlign w:val="center"/>
          </w:tcPr>
          <w:p>
            <w:pPr>
              <w:pStyle w:val="TableContents"/>
              <w:bidi w:val="0"/>
              <w:spacing w:before="0" w:after="283"/>
              <w:ind w:left="0" w:right="0" w:hanging="180"/>
              <w:jc w:val="left"/>
              <w:rPr/>
            </w:pPr>
            <w:r>
              <w:rPr/>
              <w:t> </w:t>
            </w:r>
          </w:p>
        </w:tc>
      </w:tr>
      <w:tr>
        <w:trPr/>
        <w:tc>
          <w:tcPr>
            <w:tcW w:w="1187" w:type="dxa"/>
            <w:tcBorders>
              <w:bottom w:val="single" w:sz="12" w:space="0" w:color="000000"/>
            </w:tcBorders>
            <w:tcMar>
              <w:bottom w:w="28" w:type="dxa"/>
            </w:tcMar>
            <w:vAlign w:val="center"/>
          </w:tcPr>
          <w:p>
            <w:pPr>
              <w:pStyle w:val="TableContents"/>
              <w:bidi w:val="0"/>
              <w:spacing w:before="0" w:after="283"/>
              <w:jc w:val="left"/>
              <w:rPr>
                <w:b/>
              </w:rPr>
            </w:pPr>
            <w:r>
              <w:rPr>
                <w:b/>
              </w:rPr>
              <w:t>Name</w:t>
            </w:r>
          </w:p>
        </w:tc>
        <w:tc>
          <w:tcPr>
            <w:tcW w:w="60" w:type="dxa"/>
            <w:tcBorders/>
            <w:vAlign w:val="center"/>
          </w:tcPr>
          <w:p>
            <w:pPr>
              <w:pStyle w:val="TableContents"/>
              <w:bidi w:val="0"/>
              <w:spacing w:before="0" w:after="283"/>
              <w:jc w:val="left"/>
              <w:rPr/>
            </w:pPr>
            <w:r>
              <w:rPr/>
              <w:t> </w:t>
            </w:r>
          </w:p>
        </w:tc>
        <w:tc>
          <w:tcPr>
            <w:tcW w:w="628" w:type="dxa"/>
            <w:tcBorders>
              <w:bottom w:val="single" w:sz="12" w:space="0" w:color="000000"/>
            </w:tcBorders>
            <w:tcMar>
              <w:bottom w:w="28" w:type="dxa"/>
            </w:tcMar>
            <w:vAlign w:val="center"/>
          </w:tcPr>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Grant</w:t>
            </w:r>
          </w:p>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Date</w:t>
            </w:r>
            <w:r>
              <w:rPr>
                <w:rFonts w:ascii="Times New Roman;Times;Serif" w:hAnsi="Times New Roman;Times;Serif"/>
                <w:b/>
                <w:i w:val="false"/>
                <w:caps w:val="false"/>
                <w:smallCaps w:val="false"/>
                <w:position w:val="7"/>
                <w:sz w:val="16"/>
                <w:sz w:val="20"/>
              </w:rPr>
              <w:t>(1)</w:t>
            </w:r>
          </w:p>
        </w:tc>
        <w:tc>
          <w:tcPr>
            <w:tcW w:w="60" w:type="dxa"/>
            <w:tcBorders/>
            <w:vAlign w:val="center"/>
          </w:tcPr>
          <w:p>
            <w:pPr>
              <w:pStyle w:val="TableContents"/>
              <w:bidi w:val="0"/>
              <w:spacing w:before="0" w:after="283"/>
              <w:jc w:val="left"/>
              <w:rPr/>
            </w:pPr>
            <w:r>
              <w:rPr/>
              <w:t> </w:t>
            </w:r>
          </w:p>
        </w:tc>
        <w:tc>
          <w:tcPr>
            <w:tcW w:w="1385" w:type="dxa"/>
            <w:tcBorders>
              <w:bottom w:val="single" w:sz="12" w:space="0" w:color="000000"/>
            </w:tcBorders>
            <w:tcMar>
              <w:bottom w:w="28" w:type="dxa"/>
            </w:tcMar>
            <w:vAlign w:val="center"/>
          </w:tcPr>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Vesting</w:t>
            </w:r>
          </w:p>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Commencement</w:t>
            </w:r>
          </w:p>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Date</w:t>
            </w:r>
          </w:p>
        </w:tc>
        <w:tc>
          <w:tcPr>
            <w:tcW w:w="60" w:type="dxa"/>
            <w:tcBorders/>
            <w:vAlign w:val="center"/>
          </w:tcPr>
          <w:p>
            <w:pPr>
              <w:pStyle w:val="TableContents"/>
              <w:bidi w:val="0"/>
              <w:spacing w:before="0" w:after="283"/>
              <w:jc w:val="left"/>
              <w:rPr/>
            </w:pPr>
            <w:r>
              <w:rPr/>
              <w:t> </w:t>
            </w:r>
          </w:p>
        </w:tc>
        <w:tc>
          <w:tcPr>
            <w:tcW w:w="1055" w:type="dxa"/>
            <w:gridSpan w:val="2"/>
            <w:tcBorders>
              <w:bottom w:val="single" w:sz="12" w:space="0" w:color="000000"/>
            </w:tcBorders>
            <w:tcMar>
              <w:bottom w:w="28" w:type="dxa"/>
            </w:tcMar>
            <w:vAlign w:val="center"/>
          </w:tcPr>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Number of</w:t>
            </w:r>
          </w:p>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Securities</w:t>
            </w:r>
          </w:p>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Underlying</w:t>
            </w:r>
          </w:p>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Unexercised</w:t>
            </w:r>
          </w:p>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Options (#)</w:t>
            </w:r>
          </w:p>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Exercisable</w:t>
            </w:r>
          </w:p>
        </w:tc>
        <w:tc>
          <w:tcPr>
            <w:tcW w:w="1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10" w:type="dxa"/>
            <w:gridSpan w:val="2"/>
            <w:tcBorders>
              <w:bottom w:val="single" w:sz="12" w:space="0" w:color="000000"/>
            </w:tcBorders>
            <w:tcMar>
              <w:bottom w:w="28" w:type="dxa"/>
            </w:tcMar>
            <w:vAlign w:val="center"/>
          </w:tcPr>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Number of</w:t>
            </w:r>
          </w:p>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Securities</w:t>
            </w:r>
          </w:p>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Underlying</w:t>
            </w:r>
          </w:p>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Unexercised</w:t>
            </w:r>
          </w:p>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Options (#)</w:t>
            </w:r>
          </w:p>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Unexerciseable</w:t>
            </w:r>
          </w:p>
        </w:tc>
        <w:tc>
          <w:tcPr>
            <w:tcW w:w="1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55" w:type="dxa"/>
            <w:gridSpan w:val="2"/>
            <w:tcBorders>
              <w:bottom w:val="single" w:sz="12" w:space="0" w:color="000000"/>
            </w:tcBorders>
            <w:tcMar>
              <w:bottom w:w="28" w:type="dxa"/>
            </w:tcMar>
            <w:vAlign w:val="center"/>
          </w:tcPr>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Option</w:t>
            </w:r>
          </w:p>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Exercise</w:t>
            </w:r>
          </w:p>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Price</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57" w:type="dxa"/>
            <w:gridSpan w:val="2"/>
            <w:tcBorders>
              <w:bottom w:val="single" w:sz="12" w:space="0" w:color="000000"/>
            </w:tcBorders>
            <w:tcMar>
              <w:bottom w:w="28" w:type="dxa"/>
            </w:tcMar>
            <w:vAlign w:val="center"/>
          </w:tcPr>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Option</w:t>
            </w:r>
          </w:p>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Expiration </w:t>
            </w:r>
          </w:p>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Date</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60" w:type="dxa"/>
            <w:gridSpan w:val="2"/>
            <w:tcBorders>
              <w:bottom w:val="single" w:sz="12" w:space="0" w:color="000000"/>
            </w:tcBorders>
            <w:tcMar>
              <w:bottom w:w="28" w:type="dxa"/>
            </w:tcMar>
            <w:vAlign w:val="center"/>
          </w:tcPr>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Number</w:t>
            </w:r>
          </w:p>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of shares</w:t>
            </w:r>
          </w:p>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or units</w:t>
            </w:r>
          </w:p>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of stock</w:t>
            </w:r>
          </w:p>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that have</w:t>
            </w:r>
          </w:p>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w:t>
            </w:r>
          </w:p>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vested </w:t>
              <w:b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40" w:type="dxa"/>
            <w:gridSpan w:val="2"/>
            <w:tcBorders>
              <w:bottom w:val="single" w:sz="12" w:space="0" w:color="000000"/>
            </w:tcBorders>
            <w:tcMar>
              <w:bottom w:w="28" w:type="dxa"/>
            </w:tcMar>
            <w:vAlign w:val="center"/>
          </w:tcPr>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Market</w:t>
            </w:r>
          </w:p>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value of</w:t>
            </w:r>
          </w:p>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shares</w:t>
            </w:r>
          </w:p>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or units</w:t>
            </w:r>
          </w:p>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of stock</w:t>
            </w:r>
          </w:p>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that have</w:t>
            </w:r>
          </w:p>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w:t>
            </w:r>
          </w:p>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vested </w:t>
              <w:br/>
              <w:t>(#)</w:t>
            </w:r>
          </w:p>
        </w:tc>
        <w:tc>
          <w:tcPr>
            <w:tcW w:w="78" w:type="dxa"/>
            <w:tcBorders/>
            <w:vAlign w:val="center"/>
          </w:tcPr>
          <w:p>
            <w:pPr>
              <w:pStyle w:val="TableContents"/>
              <w:bidi w:val="0"/>
              <w:spacing w:before="0" w:after="283"/>
              <w:ind w:left="0" w:right="0" w:hanging="180"/>
              <w:jc w:val="left"/>
              <w:rPr/>
            </w:pPr>
            <w:r>
              <w:rPr/>
              <w:t> </w:t>
            </w:r>
          </w:p>
        </w:tc>
      </w:tr>
      <w:tr>
        <w:trPr/>
        <w:tc>
          <w:tcPr>
            <w:tcW w:w="1187" w:type="dxa"/>
            <w:tcBorders/>
            <w:shd w:fill="CCEEFF" w:val="clear"/>
            <w:vAlign w:val="center"/>
          </w:tcPr>
          <w:p>
            <w:pPr>
              <w:pStyle w:val="TableContents"/>
              <w:bidi w:val="0"/>
              <w:spacing w:before="0" w:after="283"/>
              <w:jc w:val="left"/>
              <w:rPr/>
            </w:pPr>
            <w:r>
              <w:rPr/>
              <w:t>Thurman J. (T.J.) Rodgers</w:t>
            </w:r>
          </w:p>
        </w:tc>
        <w:tc>
          <w:tcPr>
            <w:tcW w:w="60" w:type="dxa"/>
            <w:tcBorders/>
            <w:shd w:fill="CCEEFF" w:val="clear"/>
            <w:vAlign w:val="center"/>
          </w:tcPr>
          <w:p>
            <w:pPr>
              <w:pStyle w:val="TableContents"/>
              <w:bidi w:val="0"/>
              <w:spacing w:before="0" w:after="283"/>
              <w:jc w:val="left"/>
              <w:rPr/>
            </w:pPr>
            <w:r>
              <w:rPr/>
              <w:t> </w:t>
            </w:r>
          </w:p>
        </w:tc>
        <w:tc>
          <w:tcPr>
            <w:tcW w:w="628" w:type="dxa"/>
            <w:tcBorders/>
            <w:shd w:fill="CCEEFF" w:val="clear"/>
            <w:vAlign w:val="center"/>
          </w:tcPr>
          <w:p>
            <w:pPr>
              <w:pStyle w:val="TableContents"/>
              <w:bidi w:val="0"/>
              <w:spacing w:before="0" w:after="283"/>
              <w:jc w:val="center"/>
              <w:rPr/>
            </w:pPr>
            <w:r>
              <w:rPr/>
              <w:t>12/3/2023</w:t>
            </w:r>
          </w:p>
        </w:tc>
        <w:tc>
          <w:tcPr>
            <w:tcW w:w="60" w:type="dxa"/>
            <w:tcBorders/>
            <w:shd w:fill="CCEEFF" w:val="clear"/>
            <w:vAlign w:val="center"/>
          </w:tcPr>
          <w:p>
            <w:pPr>
              <w:pStyle w:val="TableContents"/>
              <w:bidi w:val="0"/>
              <w:spacing w:before="0" w:after="283"/>
              <w:jc w:val="left"/>
              <w:rPr/>
            </w:pPr>
            <w:r>
              <w:rPr/>
              <w:t> </w:t>
            </w:r>
          </w:p>
        </w:tc>
        <w:tc>
          <w:tcPr>
            <w:tcW w:w="1385" w:type="dxa"/>
            <w:tcBorders/>
            <w:shd w:fill="CCEEFF" w:val="clear"/>
            <w:vAlign w:val="center"/>
          </w:tcPr>
          <w:p>
            <w:pPr>
              <w:pStyle w:val="TableContents"/>
              <w:bidi w:val="0"/>
              <w:spacing w:before="0" w:after="283"/>
              <w:jc w:val="center"/>
              <w:rPr/>
            </w:pPr>
            <w:r>
              <w:rPr/>
              <w:t>12/3/2024</w:t>
            </w:r>
          </w:p>
        </w:tc>
        <w:tc>
          <w:tcPr>
            <w:tcW w:w="60" w:type="dxa"/>
            <w:tcBorders/>
            <w:shd w:fill="CCEEFF" w:val="clear"/>
            <w:vAlign w:val="center"/>
          </w:tcPr>
          <w:p>
            <w:pPr>
              <w:pStyle w:val="TableContents"/>
              <w:bidi w:val="0"/>
              <w:spacing w:before="0" w:after="283"/>
              <w:jc w:val="left"/>
              <w:rPr/>
            </w:pPr>
            <w:r>
              <w:rPr/>
              <w:t> </w:t>
            </w:r>
          </w:p>
        </w:tc>
        <w:tc>
          <w:tcPr>
            <w:tcW w:w="85" w:type="dxa"/>
            <w:tcBorders/>
            <w:shd w:fill="CCEEFF" w:val="clear"/>
            <w:vAlign w:val="center"/>
          </w:tcPr>
          <w:p>
            <w:pPr>
              <w:pStyle w:val="TableContents"/>
              <w:bidi w:val="0"/>
              <w:spacing w:before="0" w:after="283"/>
              <w:jc w:val="left"/>
              <w:rPr/>
            </w:pPr>
            <w:r>
              <w:rPr/>
              <w:t> </w:t>
            </w:r>
          </w:p>
        </w:tc>
        <w:tc>
          <w:tcPr>
            <w:tcW w:w="970" w:type="dxa"/>
            <w:tcBorders/>
            <w:shd w:fill="CCEEFF" w:val="clear"/>
            <w:vAlign w:val="center"/>
          </w:tcPr>
          <w:p>
            <w:pPr>
              <w:pStyle w:val="TableContents"/>
              <w:bidi w:val="0"/>
              <w:spacing w:before="0" w:after="283"/>
              <w:jc w:val="right"/>
              <w:rPr/>
            </w:pPr>
            <w:r>
              <w:rPr/>
              <w:t>37,500</w:t>
            </w:r>
          </w:p>
        </w:tc>
        <w:tc>
          <w:tcPr>
            <w:tcW w:w="195" w:type="dxa"/>
            <w:tcBorders/>
            <w:shd w:fill="CCEEFF" w:val="clear"/>
            <w:vAlign w:val="center"/>
          </w:tcPr>
          <w:p>
            <w:pPr>
              <w:pStyle w:val="TableContents"/>
              <w:bidi w:val="0"/>
              <w:spacing w:before="0" w:after="283"/>
              <w:jc w:val="left"/>
              <w:rPr>
                <w:position w:val="8"/>
                <w:sz w:val="19"/>
              </w:rPr>
            </w:pPr>
            <w:r>
              <w:rPr>
                <w:position w:val="8"/>
                <w:sz w:val="19"/>
              </w:rPr>
              <w:t>(2)</w:t>
            </w:r>
          </w:p>
        </w:tc>
        <w:tc>
          <w:tcPr>
            <w:tcW w:w="60" w:type="dxa"/>
            <w:tcBorders/>
            <w:shd w:fill="CCEEFF" w:val="clear"/>
            <w:vAlign w:val="center"/>
          </w:tcPr>
          <w:p>
            <w:pPr>
              <w:pStyle w:val="TableContents"/>
              <w:bidi w:val="0"/>
              <w:spacing w:before="0" w:after="283"/>
              <w:jc w:val="left"/>
              <w:rPr/>
            </w:pPr>
            <w:r>
              <w:rPr/>
              <w:t> </w:t>
            </w:r>
          </w:p>
        </w:tc>
        <w:tc>
          <w:tcPr>
            <w:tcW w:w="123" w:type="dxa"/>
            <w:tcBorders/>
            <w:shd w:fill="CCEEFF" w:val="clear"/>
            <w:vAlign w:val="center"/>
          </w:tcPr>
          <w:p>
            <w:pPr>
              <w:pStyle w:val="TableContents"/>
              <w:bidi w:val="0"/>
              <w:spacing w:before="0" w:after="283"/>
              <w:jc w:val="left"/>
              <w:rPr/>
            </w:pPr>
            <w:r>
              <w:rPr/>
              <w:t> </w:t>
            </w:r>
          </w:p>
        </w:tc>
        <w:tc>
          <w:tcPr>
            <w:tcW w:w="1187" w:type="dxa"/>
            <w:tcBorders/>
            <w:shd w:fill="CCEEFF" w:val="clear"/>
            <w:vAlign w:val="center"/>
          </w:tcPr>
          <w:p>
            <w:pPr>
              <w:pStyle w:val="TableContents"/>
              <w:bidi w:val="0"/>
              <w:spacing w:before="0" w:after="283"/>
              <w:jc w:val="right"/>
              <w:rPr/>
            </w:pPr>
            <w:r>
              <w:rPr/>
              <w:t>        </w:t>
            </w:r>
            <w:r>
              <w:rPr/>
              <w:t>-</w:t>
            </w:r>
          </w:p>
        </w:tc>
        <w:tc>
          <w:tcPr>
            <w:tcW w:w="1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2" w:type="dxa"/>
            <w:tcBorders/>
            <w:shd w:fill="CCEEFF" w:val="clear"/>
            <w:vAlign w:val="center"/>
          </w:tcPr>
          <w:p>
            <w:pPr>
              <w:pStyle w:val="TableContents"/>
              <w:bidi w:val="0"/>
              <w:spacing w:before="0" w:after="283"/>
              <w:jc w:val="left"/>
              <w:rPr/>
            </w:pPr>
            <w:r>
              <w:rPr/>
              <w:t>$</w:t>
            </w:r>
          </w:p>
        </w:tc>
        <w:tc>
          <w:tcPr>
            <w:tcW w:w="573" w:type="dxa"/>
            <w:tcBorders/>
            <w:shd w:fill="CCEEFF" w:val="clear"/>
            <w:vAlign w:val="center"/>
          </w:tcPr>
          <w:p>
            <w:pPr>
              <w:pStyle w:val="TableContents"/>
              <w:bidi w:val="0"/>
              <w:spacing w:before="0" w:after="283"/>
              <w:jc w:val="right"/>
              <w:rPr/>
            </w:pPr>
            <w:r>
              <w:rPr/>
              <w:t>1.14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4" w:type="dxa"/>
            <w:tcBorders/>
            <w:shd w:fill="CCEEFF" w:val="clear"/>
            <w:vAlign w:val="center"/>
          </w:tcPr>
          <w:p>
            <w:pPr>
              <w:pStyle w:val="TableContents"/>
              <w:bidi w:val="0"/>
              <w:spacing w:before="0" w:after="283"/>
              <w:jc w:val="left"/>
              <w:rPr/>
            </w:pPr>
            <w:r>
              <w:rPr/>
              <w:t> </w:t>
            </w:r>
          </w:p>
        </w:tc>
        <w:tc>
          <w:tcPr>
            <w:tcW w:w="843"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12/2/2033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800" w:type="dxa"/>
            <w:tcBorders/>
            <w:shd w:fill="CCEEFF" w:val="clear"/>
            <w:vAlign w:val="center"/>
          </w:tcPr>
          <w:p>
            <w:pPr>
              <w:pStyle w:val="TableContents"/>
              <w:bidi w:val="0"/>
              <w:spacing w:before="0" w:after="283"/>
              <w:jc w:val="right"/>
              <w:rPr/>
            </w:pPr>
            <w:r>
              <w:rPr/>
              <w:t>-</w:t>
            </w:r>
          </w:p>
        </w:tc>
        <w:tc>
          <w:tcPr>
            <w:tcW w:w="78" w:type="dxa"/>
            <w:tcBorders/>
            <w:shd w:fill="CCEEFF" w:val="clear"/>
            <w:vAlign w:val="center"/>
          </w:tcPr>
          <w:p>
            <w:pPr>
              <w:pStyle w:val="TableContents"/>
              <w:bidi w:val="0"/>
              <w:spacing w:before="0" w:after="283"/>
              <w:ind w:left="0" w:right="0" w:hanging="180"/>
              <w:jc w:val="left"/>
              <w:rPr/>
            </w:pPr>
            <w:r>
              <w:rPr/>
              <w:t> </w:t>
            </w:r>
          </w:p>
        </w:tc>
      </w:tr>
      <w:tr>
        <w:trPr/>
        <w:tc>
          <w:tcPr>
            <w:tcW w:w="1187"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28" w:type="dxa"/>
            <w:tcBorders/>
            <w:shd w:fill="CCEEFF" w:val="clear"/>
            <w:vAlign w:val="center"/>
          </w:tcPr>
          <w:p>
            <w:pPr>
              <w:pStyle w:val="TableContents"/>
              <w:bidi w:val="0"/>
              <w:spacing w:before="0" w:after="283"/>
              <w:jc w:val="center"/>
              <w:rPr/>
            </w:pPr>
            <w:r>
              <w:rPr/>
              <w:t>12/3/2023</w:t>
            </w:r>
          </w:p>
        </w:tc>
        <w:tc>
          <w:tcPr>
            <w:tcW w:w="60" w:type="dxa"/>
            <w:tcBorders/>
            <w:shd w:fill="CCEEFF" w:val="clear"/>
            <w:vAlign w:val="center"/>
          </w:tcPr>
          <w:p>
            <w:pPr>
              <w:pStyle w:val="TableContents"/>
              <w:bidi w:val="0"/>
              <w:spacing w:before="0" w:after="283"/>
              <w:jc w:val="left"/>
              <w:rPr/>
            </w:pPr>
            <w:r>
              <w:rPr/>
              <w:t> </w:t>
            </w:r>
          </w:p>
        </w:tc>
        <w:tc>
          <w:tcPr>
            <w:tcW w:w="1385" w:type="dxa"/>
            <w:tcBorders/>
            <w:shd w:fill="CCEEFF" w:val="clear"/>
            <w:vAlign w:val="center"/>
          </w:tcPr>
          <w:p>
            <w:pPr>
              <w:pStyle w:val="TableContents"/>
              <w:bidi w:val="0"/>
              <w:spacing w:before="0" w:after="283"/>
              <w:jc w:val="center"/>
              <w:rPr/>
            </w:pPr>
            <w:r>
              <w:rPr/>
              <w:t>12/3/2024</w:t>
            </w:r>
          </w:p>
        </w:tc>
        <w:tc>
          <w:tcPr>
            <w:tcW w:w="60" w:type="dxa"/>
            <w:tcBorders/>
            <w:shd w:fill="CCEEFF" w:val="clear"/>
            <w:vAlign w:val="center"/>
          </w:tcPr>
          <w:p>
            <w:pPr>
              <w:pStyle w:val="TableContents"/>
              <w:bidi w:val="0"/>
              <w:spacing w:before="0" w:after="283"/>
              <w:jc w:val="left"/>
              <w:rPr/>
            </w:pPr>
            <w:r>
              <w:rPr/>
              <w:t> </w:t>
            </w:r>
          </w:p>
        </w:tc>
        <w:tc>
          <w:tcPr>
            <w:tcW w:w="85" w:type="dxa"/>
            <w:tcBorders/>
            <w:shd w:fill="CCEEFF" w:val="clear"/>
            <w:vAlign w:val="center"/>
          </w:tcPr>
          <w:p>
            <w:pPr>
              <w:pStyle w:val="TableContents"/>
              <w:bidi w:val="0"/>
              <w:spacing w:before="0" w:after="283"/>
              <w:jc w:val="left"/>
              <w:rPr/>
            </w:pPr>
            <w:r>
              <w:rPr/>
              <w:t> </w:t>
            </w:r>
          </w:p>
        </w:tc>
        <w:tc>
          <w:tcPr>
            <w:tcW w:w="970" w:type="dxa"/>
            <w:tcBorders/>
            <w:shd w:fill="CCEEFF" w:val="clear"/>
            <w:vAlign w:val="center"/>
          </w:tcPr>
          <w:p>
            <w:pPr>
              <w:pStyle w:val="TableContents"/>
              <w:bidi w:val="0"/>
              <w:spacing w:before="0" w:after="283"/>
              <w:jc w:val="right"/>
              <w:rPr/>
            </w:pPr>
            <w:r>
              <w:rPr/>
              <w:t>79,101</w:t>
            </w:r>
          </w:p>
        </w:tc>
        <w:tc>
          <w:tcPr>
            <w:tcW w:w="195" w:type="dxa"/>
            <w:tcBorders/>
            <w:shd w:fill="CCEEFF" w:val="clear"/>
            <w:vAlign w:val="center"/>
          </w:tcPr>
          <w:p>
            <w:pPr>
              <w:pStyle w:val="TableContents"/>
              <w:bidi w:val="0"/>
              <w:spacing w:before="0" w:after="283"/>
              <w:jc w:val="left"/>
              <w:rPr>
                <w:position w:val="8"/>
                <w:sz w:val="19"/>
              </w:rPr>
            </w:pPr>
            <w:r>
              <w:rPr>
                <w:position w:val="8"/>
                <w:sz w:val="19"/>
              </w:rPr>
              <w:t>(2)</w:t>
            </w:r>
          </w:p>
        </w:tc>
        <w:tc>
          <w:tcPr>
            <w:tcW w:w="60" w:type="dxa"/>
            <w:tcBorders/>
            <w:shd w:fill="CCEEFF" w:val="clear"/>
            <w:vAlign w:val="center"/>
          </w:tcPr>
          <w:p>
            <w:pPr>
              <w:pStyle w:val="TableContents"/>
              <w:bidi w:val="0"/>
              <w:spacing w:before="0" w:after="283"/>
              <w:jc w:val="left"/>
              <w:rPr/>
            </w:pPr>
            <w:r>
              <w:rPr/>
              <w:t> </w:t>
            </w:r>
          </w:p>
        </w:tc>
        <w:tc>
          <w:tcPr>
            <w:tcW w:w="123" w:type="dxa"/>
            <w:tcBorders/>
            <w:shd w:fill="CCEEFF" w:val="clear"/>
            <w:vAlign w:val="center"/>
          </w:tcPr>
          <w:p>
            <w:pPr>
              <w:pStyle w:val="TableContents"/>
              <w:bidi w:val="0"/>
              <w:spacing w:before="0" w:after="283"/>
              <w:jc w:val="left"/>
              <w:rPr/>
            </w:pPr>
            <w:r>
              <w:rPr/>
              <w:t> </w:t>
            </w:r>
          </w:p>
        </w:tc>
        <w:tc>
          <w:tcPr>
            <w:tcW w:w="1187" w:type="dxa"/>
            <w:tcBorders/>
            <w:shd w:fill="CCEEFF" w:val="clear"/>
            <w:vAlign w:val="center"/>
          </w:tcPr>
          <w:p>
            <w:pPr>
              <w:pStyle w:val="TableContents"/>
              <w:bidi w:val="0"/>
              <w:spacing w:before="0" w:after="283"/>
              <w:jc w:val="right"/>
              <w:rPr/>
            </w:pPr>
            <w:r>
              <w:rPr/>
              <w:t>-</w:t>
            </w:r>
          </w:p>
        </w:tc>
        <w:tc>
          <w:tcPr>
            <w:tcW w:w="1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2" w:type="dxa"/>
            <w:tcBorders/>
            <w:shd w:fill="CCEEFF" w:val="clear"/>
            <w:vAlign w:val="center"/>
          </w:tcPr>
          <w:p>
            <w:pPr>
              <w:pStyle w:val="TableContents"/>
              <w:bidi w:val="0"/>
              <w:spacing w:before="0" w:after="283"/>
              <w:jc w:val="left"/>
              <w:rPr/>
            </w:pPr>
            <w:r>
              <w:rPr/>
              <w:t>$</w:t>
            </w:r>
          </w:p>
        </w:tc>
        <w:tc>
          <w:tcPr>
            <w:tcW w:w="573" w:type="dxa"/>
            <w:tcBorders/>
            <w:shd w:fill="CCEEFF" w:val="clear"/>
            <w:vAlign w:val="center"/>
          </w:tcPr>
          <w:p>
            <w:pPr>
              <w:pStyle w:val="TableContents"/>
              <w:bidi w:val="0"/>
              <w:spacing w:before="0" w:after="283"/>
              <w:jc w:val="right"/>
              <w:rPr/>
            </w:pPr>
            <w:r>
              <w:rPr/>
              <w:t>1.14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4" w:type="dxa"/>
            <w:tcBorders/>
            <w:shd w:fill="CCEEFF" w:val="clear"/>
            <w:vAlign w:val="center"/>
          </w:tcPr>
          <w:p>
            <w:pPr>
              <w:pStyle w:val="TableContents"/>
              <w:bidi w:val="0"/>
              <w:spacing w:before="0" w:after="283"/>
              <w:jc w:val="left"/>
              <w:rPr/>
            </w:pPr>
            <w:r>
              <w:rPr/>
              <w:t> </w:t>
            </w:r>
          </w:p>
        </w:tc>
        <w:tc>
          <w:tcPr>
            <w:tcW w:w="843"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12/2/2033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w:t>
            </w:r>
          </w:p>
        </w:tc>
        <w:tc>
          <w:tcPr>
            <w:tcW w:w="78" w:type="dxa"/>
            <w:tcBorders/>
            <w:shd w:fill="CCEEFF" w:val="clear"/>
            <w:vAlign w:val="center"/>
          </w:tcPr>
          <w:p>
            <w:pPr>
              <w:pStyle w:val="TableContents"/>
              <w:bidi w:val="0"/>
              <w:spacing w:before="0" w:after="283"/>
              <w:ind w:left="0" w:right="0" w:hanging="180"/>
              <w:jc w:val="left"/>
              <w:rPr/>
            </w:pPr>
            <w:r>
              <w:rPr/>
              <w:t> </w:t>
            </w:r>
          </w:p>
        </w:tc>
      </w:tr>
      <w:tr>
        <w:trPr/>
        <w:tc>
          <w:tcPr>
            <w:tcW w:w="1187" w:type="dxa"/>
            <w:tcBorders/>
            <w:shd w:fill="FFFFFF" w:val="clear"/>
            <w:vAlign w:val="center"/>
          </w:tcPr>
          <w:p>
            <w:pPr>
              <w:pStyle w:val="TableContents"/>
              <w:bidi w:val="0"/>
              <w:spacing w:before="0" w:after="283"/>
              <w:jc w:val="left"/>
              <w:rPr/>
            </w:pPr>
            <w:r>
              <w:rPr/>
              <w:t>Jeanne Nguyen</w:t>
            </w:r>
          </w:p>
        </w:tc>
        <w:tc>
          <w:tcPr>
            <w:tcW w:w="60" w:type="dxa"/>
            <w:tcBorders/>
            <w:shd w:fill="FFFFFF" w:val="clear"/>
            <w:vAlign w:val="center"/>
          </w:tcPr>
          <w:p>
            <w:pPr>
              <w:pStyle w:val="TableContents"/>
              <w:bidi w:val="0"/>
              <w:spacing w:before="0" w:after="283"/>
              <w:jc w:val="left"/>
              <w:rPr/>
            </w:pPr>
            <w:r>
              <w:rPr/>
              <w:t> </w:t>
            </w:r>
          </w:p>
        </w:tc>
        <w:tc>
          <w:tcPr>
            <w:tcW w:w="628" w:type="dxa"/>
            <w:tcBorders/>
            <w:shd w:fill="FFFFFF" w:val="clear"/>
            <w:vAlign w:val="center"/>
          </w:tcPr>
          <w:p>
            <w:pPr>
              <w:pStyle w:val="TableContents"/>
              <w:bidi w:val="0"/>
              <w:spacing w:before="0" w:after="283"/>
              <w:jc w:val="center"/>
              <w:rPr/>
            </w:pPr>
            <w:r>
              <w:rPr/>
              <w:t>10/14/2024</w:t>
            </w:r>
          </w:p>
        </w:tc>
        <w:tc>
          <w:tcPr>
            <w:tcW w:w="60" w:type="dxa"/>
            <w:tcBorders/>
            <w:shd w:fill="FFFFFF" w:val="clear"/>
            <w:vAlign w:val="center"/>
          </w:tcPr>
          <w:p>
            <w:pPr>
              <w:pStyle w:val="TableContents"/>
              <w:bidi w:val="0"/>
              <w:spacing w:before="0" w:after="283"/>
              <w:jc w:val="left"/>
              <w:rPr/>
            </w:pPr>
            <w:r>
              <w:rPr/>
              <w:t> </w:t>
            </w:r>
          </w:p>
        </w:tc>
        <w:tc>
          <w:tcPr>
            <w:tcW w:w="1385" w:type="dxa"/>
            <w:tcBorders/>
            <w:shd w:fill="FFFFFF" w:val="clear"/>
            <w:vAlign w:val="center"/>
          </w:tcPr>
          <w:p>
            <w:pPr>
              <w:pStyle w:val="TableContents"/>
              <w:bidi w:val="0"/>
              <w:spacing w:before="0" w:after="283"/>
              <w:jc w:val="center"/>
              <w:rPr/>
            </w:pPr>
            <w:r>
              <w:rPr/>
              <w:t>10/14/2024</w:t>
            </w:r>
          </w:p>
        </w:tc>
        <w:tc>
          <w:tcPr>
            <w:tcW w:w="60" w:type="dxa"/>
            <w:tcBorders/>
            <w:shd w:fill="FFFFFF" w:val="clear"/>
            <w:vAlign w:val="center"/>
          </w:tcPr>
          <w:p>
            <w:pPr>
              <w:pStyle w:val="TableContents"/>
              <w:bidi w:val="0"/>
              <w:spacing w:before="0" w:after="283"/>
              <w:jc w:val="left"/>
              <w:rPr/>
            </w:pPr>
            <w:r>
              <w:rPr/>
              <w:t> </w:t>
            </w:r>
          </w:p>
        </w:tc>
        <w:tc>
          <w:tcPr>
            <w:tcW w:w="85" w:type="dxa"/>
            <w:tcBorders/>
            <w:shd w:fill="FFFFFF" w:val="clear"/>
            <w:vAlign w:val="center"/>
          </w:tcPr>
          <w:p>
            <w:pPr>
              <w:pStyle w:val="TableContents"/>
              <w:bidi w:val="0"/>
              <w:spacing w:before="0" w:after="283"/>
              <w:jc w:val="left"/>
              <w:rPr/>
            </w:pPr>
            <w:r>
              <w:rPr/>
              <w:t> </w:t>
            </w:r>
          </w:p>
        </w:tc>
        <w:tc>
          <w:tcPr>
            <w:tcW w:w="970" w:type="dxa"/>
            <w:tcBorders/>
            <w:shd w:fill="FFFFFF" w:val="clear"/>
            <w:vAlign w:val="center"/>
          </w:tcPr>
          <w:p>
            <w:pPr>
              <w:pStyle w:val="TableContents"/>
              <w:bidi w:val="0"/>
              <w:spacing w:before="0" w:after="283"/>
              <w:jc w:val="right"/>
              <w:rPr/>
            </w:pPr>
            <w:r>
              <w:rPr/>
              <w:t>-</w:t>
            </w:r>
          </w:p>
        </w:tc>
        <w:tc>
          <w:tcPr>
            <w:tcW w:w="1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3" w:type="dxa"/>
            <w:tcBorders/>
            <w:shd w:fill="FFFFFF" w:val="clear"/>
            <w:vAlign w:val="center"/>
          </w:tcPr>
          <w:p>
            <w:pPr>
              <w:pStyle w:val="TableContents"/>
              <w:bidi w:val="0"/>
              <w:spacing w:before="0" w:after="283"/>
              <w:jc w:val="left"/>
              <w:rPr/>
            </w:pPr>
            <w:r>
              <w:rPr/>
              <w:t> </w:t>
            </w:r>
          </w:p>
        </w:tc>
        <w:tc>
          <w:tcPr>
            <w:tcW w:w="1187" w:type="dxa"/>
            <w:tcBorders/>
            <w:shd w:fill="FFFFFF" w:val="clear"/>
            <w:vAlign w:val="center"/>
          </w:tcPr>
          <w:p>
            <w:pPr>
              <w:pStyle w:val="TableContents"/>
              <w:bidi w:val="0"/>
              <w:spacing w:before="0" w:after="283"/>
              <w:jc w:val="right"/>
              <w:rPr/>
            </w:pPr>
            <w:r>
              <w:rPr/>
              <w:t>-</w:t>
            </w:r>
          </w:p>
        </w:tc>
        <w:tc>
          <w:tcPr>
            <w:tcW w:w="1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2" w:type="dxa"/>
            <w:tcBorders/>
            <w:shd w:fill="FFFFFF" w:val="clear"/>
            <w:vAlign w:val="center"/>
          </w:tcPr>
          <w:p>
            <w:pPr>
              <w:pStyle w:val="TableContents"/>
              <w:bidi w:val="0"/>
              <w:spacing w:before="0" w:after="283"/>
              <w:jc w:val="left"/>
              <w:rPr/>
            </w:pPr>
            <w:r>
              <w:rPr/>
              <w:t> </w:t>
            </w:r>
          </w:p>
        </w:tc>
        <w:tc>
          <w:tcPr>
            <w:tcW w:w="573"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4" w:type="dxa"/>
            <w:tcBorders/>
            <w:shd w:fill="FFFFFF" w:val="clear"/>
            <w:vAlign w:val="center"/>
          </w:tcPr>
          <w:p>
            <w:pPr>
              <w:pStyle w:val="TableContents"/>
              <w:bidi w:val="0"/>
              <w:spacing w:before="0" w:after="283"/>
              <w:jc w:val="left"/>
              <w:rPr/>
            </w:pPr>
            <w:r>
              <w:rPr/>
              <w:t> </w:t>
            </w:r>
          </w:p>
        </w:tc>
        <w:tc>
          <w:tcPr>
            <w:tcW w:w="843"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121,968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197,588</w:t>
            </w:r>
          </w:p>
        </w:tc>
        <w:tc>
          <w:tcPr>
            <w:tcW w:w="78" w:type="dxa"/>
            <w:tcBorders/>
            <w:shd w:fill="FFFFFF" w:val="clear"/>
            <w:vAlign w:val="center"/>
          </w:tcPr>
          <w:p>
            <w:pPr>
              <w:pStyle w:val="TableContents"/>
              <w:bidi w:val="0"/>
              <w:spacing w:before="0" w:after="283"/>
              <w:ind w:left="0" w:right="0" w:hanging="180"/>
              <w:jc w:val="left"/>
              <w:rPr/>
            </w:pPr>
            <w:r>
              <w:rPr/>
              <w:t> </w:t>
            </w:r>
          </w:p>
        </w:tc>
      </w:tr>
      <w:tr>
        <w:trPr/>
        <w:tc>
          <w:tcPr>
            <w:tcW w:w="1187" w:type="dxa"/>
            <w:tcBorders/>
            <w:shd w:fill="FFFFFF" w:val="clear"/>
            <w:vAlign w:val="center"/>
          </w:tcPr>
          <w:p>
            <w:pPr>
              <w:pStyle w:val="TableContents"/>
              <w:bidi w:val="0"/>
              <w:spacing w:before="0" w:after="283"/>
              <w:jc w:val="left"/>
              <w:rPr/>
            </w:pPr>
            <w:r>
              <w:rPr/>
              <w:t>Daniel Foley</w:t>
            </w:r>
          </w:p>
        </w:tc>
        <w:tc>
          <w:tcPr>
            <w:tcW w:w="60" w:type="dxa"/>
            <w:tcBorders/>
            <w:shd w:fill="FFFFFF" w:val="clear"/>
            <w:vAlign w:val="center"/>
          </w:tcPr>
          <w:p>
            <w:pPr>
              <w:pStyle w:val="TableContents"/>
              <w:bidi w:val="0"/>
              <w:spacing w:before="0" w:after="283"/>
              <w:jc w:val="left"/>
              <w:rPr/>
            </w:pPr>
            <w:r>
              <w:rPr/>
              <w:t> </w:t>
            </w:r>
          </w:p>
        </w:tc>
        <w:tc>
          <w:tcPr>
            <w:tcW w:w="628" w:type="dxa"/>
            <w:tcBorders/>
            <w:shd w:fill="FFFFFF" w:val="clear"/>
            <w:vAlign w:val="center"/>
          </w:tcPr>
          <w:p>
            <w:pPr>
              <w:pStyle w:val="TableContents"/>
              <w:bidi w:val="0"/>
              <w:spacing w:before="0" w:after="283"/>
              <w:jc w:val="center"/>
              <w:rPr/>
            </w:pPr>
            <w:r>
              <w:rPr/>
              <w:t>6/11/2024</w:t>
            </w:r>
          </w:p>
        </w:tc>
        <w:tc>
          <w:tcPr>
            <w:tcW w:w="60" w:type="dxa"/>
            <w:tcBorders/>
            <w:shd w:fill="FFFFFF" w:val="clear"/>
            <w:vAlign w:val="center"/>
          </w:tcPr>
          <w:p>
            <w:pPr>
              <w:pStyle w:val="TableContents"/>
              <w:bidi w:val="0"/>
              <w:spacing w:before="0" w:after="283"/>
              <w:jc w:val="left"/>
              <w:rPr/>
            </w:pPr>
            <w:r>
              <w:rPr/>
              <w:t> </w:t>
            </w:r>
          </w:p>
        </w:tc>
        <w:tc>
          <w:tcPr>
            <w:tcW w:w="1385" w:type="dxa"/>
            <w:tcBorders/>
            <w:shd w:fill="FFFFFF" w:val="clear"/>
            <w:vAlign w:val="center"/>
          </w:tcPr>
          <w:p>
            <w:pPr>
              <w:pStyle w:val="TableContents"/>
              <w:bidi w:val="0"/>
              <w:spacing w:before="0" w:after="283"/>
              <w:jc w:val="center"/>
              <w:rPr/>
            </w:pPr>
            <w:r>
              <w:rPr/>
              <w:t>7/1/2025</w:t>
            </w:r>
          </w:p>
        </w:tc>
        <w:tc>
          <w:tcPr>
            <w:tcW w:w="60" w:type="dxa"/>
            <w:tcBorders/>
            <w:shd w:fill="FFFFFF" w:val="clear"/>
            <w:vAlign w:val="center"/>
          </w:tcPr>
          <w:p>
            <w:pPr>
              <w:pStyle w:val="TableContents"/>
              <w:bidi w:val="0"/>
              <w:spacing w:before="0" w:after="283"/>
              <w:jc w:val="left"/>
              <w:rPr/>
            </w:pPr>
            <w:r>
              <w:rPr/>
              <w:t> </w:t>
            </w:r>
          </w:p>
        </w:tc>
        <w:tc>
          <w:tcPr>
            <w:tcW w:w="85" w:type="dxa"/>
            <w:tcBorders/>
            <w:shd w:fill="FFFFFF" w:val="clear"/>
            <w:vAlign w:val="center"/>
          </w:tcPr>
          <w:p>
            <w:pPr>
              <w:pStyle w:val="TableContents"/>
              <w:bidi w:val="0"/>
              <w:spacing w:before="0" w:after="283"/>
              <w:jc w:val="left"/>
              <w:rPr/>
            </w:pPr>
            <w:r>
              <w:rPr/>
              <w:t> </w:t>
            </w:r>
          </w:p>
        </w:tc>
        <w:tc>
          <w:tcPr>
            <w:tcW w:w="970" w:type="dxa"/>
            <w:tcBorders/>
            <w:shd w:fill="FFFFFF" w:val="clear"/>
            <w:vAlign w:val="center"/>
          </w:tcPr>
          <w:p>
            <w:pPr>
              <w:pStyle w:val="TableContents"/>
              <w:bidi w:val="0"/>
              <w:spacing w:before="0" w:after="283"/>
              <w:jc w:val="right"/>
              <w:rPr/>
            </w:pPr>
            <w:r>
              <w:rPr/>
              <w:t>-</w:t>
            </w:r>
          </w:p>
        </w:tc>
        <w:tc>
          <w:tcPr>
            <w:tcW w:w="1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3" w:type="dxa"/>
            <w:tcBorders/>
            <w:shd w:fill="FFFFFF" w:val="clear"/>
            <w:vAlign w:val="center"/>
          </w:tcPr>
          <w:p>
            <w:pPr>
              <w:pStyle w:val="TableContents"/>
              <w:bidi w:val="0"/>
              <w:spacing w:before="0" w:after="283"/>
              <w:jc w:val="left"/>
              <w:rPr/>
            </w:pPr>
            <w:r>
              <w:rPr/>
              <w:t> </w:t>
            </w:r>
          </w:p>
        </w:tc>
        <w:tc>
          <w:tcPr>
            <w:tcW w:w="1187" w:type="dxa"/>
            <w:tcBorders/>
            <w:shd w:fill="FFFFFF" w:val="clear"/>
            <w:vAlign w:val="center"/>
          </w:tcPr>
          <w:p>
            <w:pPr>
              <w:pStyle w:val="TableContents"/>
              <w:bidi w:val="0"/>
              <w:spacing w:before="0" w:after="283"/>
              <w:jc w:val="right"/>
              <w:rPr/>
            </w:pPr>
            <w:r>
              <w:rPr/>
              <w:t>-</w:t>
            </w:r>
          </w:p>
        </w:tc>
        <w:tc>
          <w:tcPr>
            <w:tcW w:w="195" w:type="dxa"/>
            <w:tcBorders/>
            <w:shd w:fill="FFFFFF" w:val="clear"/>
            <w:vAlign w:val="center"/>
          </w:tcPr>
          <w:p>
            <w:pPr>
              <w:pStyle w:val="TableContents"/>
              <w:bidi w:val="0"/>
              <w:spacing w:before="0" w:after="283"/>
              <w:jc w:val="left"/>
              <w:rPr>
                <w:position w:val="8"/>
                <w:sz w:val="19"/>
              </w:rPr>
            </w:pPr>
            <w:r>
              <w:rPr>
                <w:position w:val="8"/>
                <w:sz w:val="19"/>
              </w:rPr>
              <w:t>(3)</w:t>
            </w:r>
          </w:p>
        </w:tc>
        <w:tc>
          <w:tcPr>
            <w:tcW w:w="60" w:type="dxa"/>
            <w:tcBorders/>
            <w:shd w:fill="FFFFFF" w:val="clear"/>
            <w:vAlign w:val="center"/>
          </w:tcPr>
          <w:p>
            <w:pPr>
              <w:pStyle w:val="TableContents"/>
              <w:bidi w:val="0"/>
              <w:spacing w:before="0" w:after="283"/>
              <w:jc w:val="left"/>
              <w:rPr/>
            </w:pPr>
            <w:r>
              <w:rPr/>
              <w:t> </w:t>
            </w:r>
          </w:p>
        </w:tc>
        <w:tc>
          <w:tcPr>
            <w:tcW w:w="182" w:type="dxa"/>
            <w:tcBorders/>
            <w:shd w:fill="FFFFFF" w:val="clear"/>
            <w:vAlign w:val="center"/>
          </w:tcPr>
          <w:p>
            <w:pPr>
              <w:pStyle w:val="TableContents"/>
              <w:bidi w:val="0"/>
              <w:spacing w:before="0" w:after="283"/>
              <w:jc w:val="left"/>
              <w:rPr/>
            </w:pPr>
            <w:r>
              <w:rPr/>
              <w:t>$</w:t>
            </w:r>
          </w:p>
        </w:tc>
        <w:tc>
          <w:tcPr>
            <w:tcW w:w="573" w:type="dxa"/>
            <w:tcBorders/>
            <w:shd w:fill="FFFFFF" w:val="clear"/>
            <w:vAlign w:val="center"/>
          </w:tcPr>
          <w:p>
            <w:pPr>
              <w:pStyle w:val="TableContents"/>
              <w:bidi w:val="0"/>
              <w:spacing w:before="0" w:after="283"/>
              <w:jc w:val="right"/>
              <w:rPr/>
            </w:pPr>
            <w:r>
              <w:rPr/>
              <w:t>1.56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4" w:type="dxa"/>
            <w:tcBorders/>
            <w:shd w:fill="FFFFFF" w:val="clear"/>
            <w:vAlign w:val="center"/>
          </w:tcPr>
          <w:p>
            <w:pPr>
              <w:pStyle w:val="TableContents"/>
              <w:bidi w:val="0"/>
              <w:spacing w:before="0" w:after="283"/>
              <w:jc w:val="left"/>
              <w:rPr/>
            </w:pPr>
            <w:r>
              <w:rPr/>
              <w:t> </w:t>
            </w:r>
          </w:p>
        </w:tc>
        <w:tc>
          <w:tcPr>
            <w:tcW w:w="843"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w:t>
            </w:r>
          </w:p>
        </w:tc>
        <w:tc>
          <w:tcPr>
            <w:tcW w:w="78"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480" w:right="0" w:hanging="48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47"/>
        <w:gridCol w:w="9958"/>
      </w:tblGrid>
      <w:tr>
        <w:trPr/>
        <w:tc>
          <w:tcPr>
            <w:tcW w:w="247"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w:t>
            </w:r>
          </w:p>
        </w:tc>
        <w:tc>
          <w:tcPr>
            <w:tcW w:w="9958"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All option awards were granted pursuant to the 2023 Plan. Market value is based on a share price of $1.62 at the close of business on December 26, 2025.</w:t>
            </w:r>
          </w:p>
        </w:tc>
      </w:tr>
    </w:tbl>
    <w:p>
      <w:pPr>
        <w:pStyle w:val="TextBody"/>
        <w:bidi w:val="0"/>
        <w:spacing w:before="0" w:after="0"/>
        <w:jc w:val="left"/>
        <w:rPr>
          <w:caps w:val="false"/>
          <w:smallCaps w:val="false"/>
        </w:rPr>
      </w:pPr>
      <w:r>
        <w:rPr>
          <w:caps w:val="false"/>
          <w:smallCaps w:val="false"/>
        </w:rPr>
        <w:t> </w:t>
      </w:r>
    </w:p>
    <w:tbl>
      <w:tblPr>
        <w:tblW w:w="8875" w:type="dxa"/>
        <w:jc w:val="left"/>
        <w:tblInd w:w="0" w:type="dxa"/>
        <w:tblLayout w:type="fixed"/>
        <w:tblCellMar>
          <w:top w:w="0" w:type="dxa"/>
          <w:left w:w="0" w:type="dxa"/>
          <w:bottom w:w="0" w:type="dxa"/>
          <w:right w:w="0" w:type="dxa"/>
        </w:tblCellMar>
      </w:tblPr>
      <w:tblGrid>
        <w:gridCol w:w="260"/>
        <w:gridCol w:w="8615"/>
      </w:tblGrid>
      <w:tr>
        <w:trPr/>
        <w:tc>
          <w:tcPr>
            <w:tcW w:w="2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w:t>
            </w:r>
          </w:p>
        </w:tc>
        <w:tc>
          <w:tcPr>
            <w:tcW w:w="861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100% of the total shares underlying the option award vested on the one-year anniversary of the grant date.</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30"/>
        <w:gridCol w:w="9975"/>
      </w:tblGrid>
      <w:tr>
        <w:trPr/>
        <w:tc>
          <w:tcPr>
            <w:tcW w:w="23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(3)</w:t>
            </w:r>
          </w:p>
        </w:tc>
        <w:tc>
          <w:tcPr>
            <w:tcW w:w="997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20% of the total shares underlying the option award vested on July 1, 2025. As a result of Mr. Foley’s separation from the Company, no further portion of the options are exercisable and the unvested portions of the options expired.</w:t>
            </w:r>
          </w:p>
        </w:tc>
      </w:tr>
    </w:tbl>
    <w:p>
      <w:pPr>
        <w:pStyle w:val="TextBody"/>
        <w:bidi w:val="0"/>
        <w:spacing w:before="0" w:after="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79</w:t>
      </w:r>
    </w:p>
    <w:p>
      <w:pPr>
        <w:pStyle w:val="TextBody"/>
        <w:bidi w:val="0"/>
        <w:spacing w:before="0" w:after="0"/>
        <w:ind w:left="0" w:right="0" w:hanging="0"/>
        <w:jc w:val="left"/>
        <w:rPr/>
      </w:pPr>
      <w:r>
        <w:rPr/>
        <w:t> </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Employment Arrangements with Named Executive Officers</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of SunPower’s named executive officers is or was an at-will employee.</w:t>
      </w:r>
    </w:p>
    <w:p>
      <w:pPr>
        <w:pStyle w:val="TextBody"/>
        <w:bidi w:val="0"/>
        <w:spacing w:before="0" w:after="0"/>
        <w:ind w:left="48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Thurman J. Rodgers</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Mr. Rodgers is not currently a party to any employment agreement or other understanding with respect to compensation as our Chief Executive Officer. Mr. Rodgers did not receive separate compensation in his role as Chief Executive Officer during 2024 or 2025.</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Jeanne Nguyen</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October 3, 2024, we entered into an employment agreement with Jeanne Nguyen in connection with her appointment as Chief Accounting Officer. Pursuant to the agreement, Ms. Nguyen is entitled to an annual base salary of $350,000 and is eligible to receive an annual bonus with a target of 50% of her base salary, subject to the achievement of performance objectives and the financial condition of the Company. Her employment is at-will and does not provide for any severance benefits.</w:t>
      </w:r>
    </w:p>
    <w:p>
      <w:pPr>
        <w:pStyle w:val="TextBody"/>
        <w:bidi w:val="0"/>
        <w:spacing w:before="0" w:after="0"/>
        <w:ind w:left="48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Daniel Foley</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Jun 7, 2024, we entered into an executive employment agreement with Mr. Foley, which became effective on July 1, 2024 (the “</w:t>
      </w:r>
      <w:r>
        <w:rPr>
          <w:rFonts w:ascii="Times New Roman;Times;Serif" w:hAnsi="Times New Roman;Times;Serif"/>
          <w:b/>
          <w:i/>
          <w:caps w:val="false"/>
          <w:smallCaps w:val="false"/>
          <w:sz w:val="20"/>
        </w:rPr>
        <w:t>Foley Agreement</w:t>
      </w:r>
      <w:r>
        <w:rPr>
          <w:rFonts w:ascii="Times New Roman;Times;Serif" w:hAnsi="Times New Roman;Times;Serif"/>
          <w:b w:val="false"/>
          <w:i w:val="false"/>
          <w:caps w:val="false"/>
          <w:smallCaps w:val="false"/>
          <w:sz w:val="20"/>
        </w:rPr>
        <w:t>”). Pursuant to the Foley Agreement. Mr. Foley was entitled to a base salary of $275,000 per year, and he was eligible for an annual bonus of 50% of his gross salary. Mr. Foley also received an option to purchase 500,000 shares of our common stock, subject to a five-year vesting schedule. The Foley Agreement also provided that if Mr. Foley’s employment was terminated for any reason other than cause (as defined in the Foley Agreement), death or disability, or if he resigned for good reason (as defined in the Foley Agreement), and provided that in either case such termination constituted a separation from service (as defined in the Foley Agreement), then subject to Mr. Foley executing a release agreement in the Company’s favor, and continuing to comply with all of his obligations to the Company and its affiliates, he was entitled to receive the following benefits: (a) payment of Mr. Foley’s earned but unpaid base salary; (b) payment of any unpaid bonus, with respect to the fiscal year immediately preceding the fiscal year in which such termination or such resignation occurs; (c) payment of any vested benefits to which he was entitled to under any applicable plans and programs of the Company; (d) a severance payment equal to six months of Mr. Foley’s then base salary plus a pro rata portion of Mr. Foley bonus with respect to the fiscal year in which such termination or such resignation occurs.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Mr. Foley’s resignation from the Company, the Company and Mr. Foley entered into a settlement and release agreement in August 2025 pursuant to which Mr. Foley received (a) cash severance payments in the total amount of $100,000 and (b) 57,741 fully-vested restricted stock units.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Base Salary</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Base salaries are intended to provide a level of compensation sufficient to attract and retain an effective management team, when considered in combination with the other components of the executive compensation program. In general, SunPower seeks to provide a base salary level designed to reflect each executive officer’s scope of responsibility and accountability.</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Bonuses</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Beginning January 1, 2024, each of our named executive officers (other than Mr. Rodgers) was eligible for an annual bonus of 50% of such officer’s annual gross salary, based on criteria determined by our Board of Directors, including, but not limited to, the satisfaction of minimum performance standards, and the achievement of budgetary and other objectives, set by our Board of Directors in its sole and absolute discretion. None of our named executive officers received a cash bonus during 2024. During 2025, each of Ms. Nguyen and Mr. Foley received a $1,500 cash bonus.</w:t>
      </w:r>
    </w:p>
    <w:p>
      <w:pPr>
        <w:pStyle w:val="TextBody"/>
        <w:bidi w:val="0"/>
        <w:spacing w:before="0" w:after="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80</w:t>
      </w:r>
    </w:p>
    <w:p>
      <w:pPr>
        <w:pStyle w:val="TextBody"/>
        <w:bidi w:val="0"/>
        <w:spacing w:before="0" w:after="0"/>
        <w:ind w:left="0" w:right="0" w:hanging="0"/>
        <w:jc w:val="left"/>
        <w:rPr/>
      </w:pPr>
      <w:r>
        <w:rPr/>
        <w:t> </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Director Compensation</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did not pay any compensation to our Directors or issue any equity awards to our Directors during 2024. During 2025, we did not have a formal policy relating to the compensation of our non-employee directors. In fiscal 2025, we granted our directors restricted stock units for their contributions to the operations of the business. Additional restricted stock units were issued to Messrs. Anderson and McCranie in consideration of the additional consulting services and support provided to the Company during 2025. The following table provides the compensation for each member of the Board of Directors for 2025:</w:t>
      </w:r>
    </w:p>
    <w:p>
      <w:pPr>
        <w:pStyle w:val="TextBody"/>
        <w:bidi w:val="0"/>
        <w:spacing w:before="0" w:after="0"/>
        <w:jc w:val="left"/>
        <w:rPr>
          <w:caps w:val="false"/>
          <w:smallCaps w:val="false"/>
        </w:rPr>
      </w:pPr>
      <w:r>
        <w:rPr>
          <w:caps w:val="false"/>
          <w:smallCaps w:val="false"/>
        </w:rPr>
        <w:t> </w:t>
      </w:r>
    </w:p>
    <w:tbl>
      <w:tblPr>
        <w:tblW w:w="7209" w:type="dxa"/>
        <w:jc w:val="left"/>
        <w:tblInd w:w="0" w:type="dxa"/>
        <w:tblLayout w:type="fixed"/>
        <w:tblCellMar>
          <w:top w:w="0" w:type="dxa"/>
          <w:left w:w="0" w:type="dxa"/>
          <w:bottom w:w="0" w:type="dxa"/>
          <w:right w:w="0" w:type="dxa"/>
        </w:tblCellMar>
      </w:tblPr>
      <w:tblGrid>
        <w:gridCol w:w="1985"/>
        <w:gridCol w:w="60"/>
        <w:gridCol w:w="637"/>
        <w:gridCol w:w="432"/>
        <w:gridCol w:w="60"/>
        <w:gridCol w:w="60"/>
        <w:gridCol w:w="140"/>
        <w:gridCol w:w="980"/>
        <w:gridCol w:w="245"/>
        <w:gridCol w:w="60"/>
        <w:gridCol w:w="263"/>
        <w:gridCol w:w="972"/>
        <w:gridCol w:w="60"/>
        <w:gridCol w:w="60"/>
        <w:gridCol w:w="140"/>
        <w:gridCol w:w="980"/>
        <w:gridCol w:w="75"/>
      </w:tblGrid>
      <w:tr>
        <w:trPr/>
        <w:tc>
          <w:tcPr>
            <w:tcW w:w="198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069" w:type="dxa"/>
            <w:gridSpan w:val="2"/>
            <w:tcBorders>
              <w:bottom w:val="single" w:sz="12" w:space="0" w:color="000000"/>
            </w:tcBorders>
            <w:tcMar>
              <w:bottom w:w="28" w:type="dxa"/>
            </w:tcMar>
            <w:vAlign w:val="center"/>
          </w:tcPr>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Fees Earned</w:t>
            </w:r>
          </w:p>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or Paid in</w:t>
            </w:r>
          </w:p>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Cash</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20" w:type="dxa"/>
            <w:gridSpan w:val="2"/>
            <w:tcBorders>
              <w:bottom w:val="single" w:sz="12" w:space="0" w:color="000000"/>
            </w:tcBorders>
            <w:tcMar>
              <w:bottom w:w="28" w:type="dxa"/>
            </w:tcMar>
            <w:vAlign w:val="center"/>
          </w:tcPr>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Stock</w:t>
            </w:r>
          </w:p>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Awards</w:t>
            </w:r>
          </w:p>
        </w:tc>
        <w:tc>
          <w:tcPr>
            <w:tcW w:w="24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35" w:type="dxa"/>
            <w:gridSpan w:val="2"/>
            <w:tcBorders>
              <w:bottom w:val="single" w:sz="12" w:space="0" w:color="000000"/>
            </w:tcBorders>
            <w:tcMar>
              <w:bottom w:w="28" w:type="dxa"/>
            </w:tcMar>
            <w:vAlign w:val="center"/>
          </w:tcPr>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All Other</w:t>
            </w:r>
          </w:p>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Compensation</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2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Total</w:t>
            </w:r>
          </w:p>
        </w:tc>
        <w:tc>
          <w:tcPr>
            <w:tcW w:w="75" w:type="dxa"/>
            <w:tcBorders/>
            <w:vAlign w:val="center"/>
          </w:tcPr>
          <w:p>
            <w:pPr>
              <w:pStyle w:val="TableContents"/>
              <w:bidi w:val="0"/>
              <w:spacing w:before="0" w:after="283"/>
              <w:jc w:val="left"/>
              <w:rPr/>
            </w:pPr>
            <w:r>
              <w:rPr/>
              <w:t> </w:t>
            </w:r>
          </w:p>
        </w:tc>
      </w:tr>
      <w:tr>
        <w:trPr/>
        <w:tc>
          <w:tcPr>
            <w:tcW w:w="1985" w:type="dxa"/>
            <w:tcBorders/>
            <w:shd w:fill="CCEEFF" w:val="clear"/>
            <w:vAlign w:val="center"/>
          </w:tcPr>
          <w:p>
            <w:pPr>
              <w:pStyle w:val="TableContents"/>
              <w:bidi w:val="0"/>
              <w:spacing w:before="0" w:after="283"/>
              <w:jc w:val="left"/>
              <w:rPr/>
            </w:pPr>
            <w:r>
              <w:rPr/>
              <w:t>Thurman J. Rodgers</w:t>
            </w:r>
          </w:p>
        </w:tc>
        <w:tc>
          <w:tcPr>
            <w:tcW w:w="60" w:type="dxa"/>
            <w:tcBorders/>
            <w:shd w:fill="CCEEFF" w:val="clear"/>
            <w:vAlign w:val="center"/>
          </w:tcPr>
          <w:p>
            <w:pPr>
              <w:pStyle w:val="TableContents"/>
              <w:bidi w:val="0"/>
              <w:spacing w:before="0" w:after="283"/>
              <w:jc w:val="left"/>
              <w:rPr/>
            </w:pPr>
            <w:r>
              <w:rPr/>
              <w:t> </w:t>
            </w:r>
          </w:p>
        </w:tc>
        <w:tc>
          <w:tcPr>
            <w:tcW w:w="637" w:type="dxa"/>
            <w:tcBorders/>
            <w:shd w:fill="CCEEFF" w:val="clear"/>
            <w:vAlign w:val="center"/>
          </w:tcPr>
          <w:p>
            <w:pPr>
              <w:pStyle w:val="TableContents"/>
              <w:bidi w:val="0"/>
              <w:spacing w:before="0" w:after="283"/>
              <w:jc w:val="left"/>
              <w:rPr/>
            </w:pPr>
            <w:r>
              <w:rPr/>
              <w:t>$</w:t>
            </w:r>
          </w:p>
        </w:tc>
        <w:tc>
          <w:tcPr>
            <w:tcW w:w="432"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980" w:type="dxa"/>
            <w:tcBorders/>
            <w:shd w:fill="CCEEFF" w:val="clear"/>
            <w:vAlign w:val="center"/>
          </w:tcPr>
          <w:p>
            <w:pPr>
              <w:pStyle w:val="TableContents"/>
              <w:bidi w:val="0"/>
              <w:spacing w:before="0" w:after="283"/>
              <w:jc w:val="right"/>
              <w:rPr/>
            </w:pPr>
            <w:r>
              <w:rPr/>
              <w:t>-</w:t>
            </w:r>
          </w:p>
        </w:tc>
        <w:tc>
          <w:tcPr>
            <w:tcW w:w="24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63" w:type="dxa"/>
            <w:tcBorders/>
            <w:shd w:fill="CCEEFF" w:val="clear"/>
            <w:vAlign w:val="center"/>
          </w:tcPr>
          <w:p>
            <w:pPr>
              <w:pStyle w:val="TableContents"/>
              <w:bidi w:val="0"/>
              <w:spacing w:before="0" w:after="283"/>
              <w:jc w:val="left"/>
              <w:rPr/>
            </w:pPr>
            <w:r>
              <w:rPr/>
              <w:t>$</w:t>
            </w:r>
          </w:p>
        </w:tc>
        <w:tc>
          <w:tcPr>
            <w:tcW w:w="972" w:type="dxa"/>
            <w:tcBorders/>
            <w:shd w:fill="CCEEFF" w:val="clear"/>
            <w:vAlign w:val="center"/>
          </w:tcPr>
          <w:p>
            <w:pPr>
              <w:pStyle w:val="TableContents"/>
              <w:bidi w:val="0"/>
              <w:spacing w:before="0" w:after="283"/>
              <w:jc w:val="right"/>
              <w:rPr/>
            </w:pPr>
            <w:r>
              <w:rPr/>
              <w:t>       </w:t>
            </w: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980" w:type="dxa"/>
            <w:tcBorders/>
            <w:shd w:fill="CCEEFF" w:val="clear"/>
            <w:vAlign w:val="center"/>
          </w:tcPr>
          <w:p>
            <w:pPr>
              <w:pStyle w:val="TableContents"/>
              <w:bidi w:val="0"/>
              <w:spacing w:before="0" w:after="283"/>
              <w:jc w:val="right"/>
              <w:rPr/>
            </w:pPr>
            <w:r>
              <w:rPr/>
              <w:t>-</w:t>
            </w:r>
          </w:p>
        </w:tc>
        <w:tc>
          <w:tcPr>
            <w:tcW w:w="75" w:type="dxa"/>
            <w:tcBorders/>
            <w:shd w:fill="CCEEFF" w:val="clear"/>
            <w:vAlign w:val="center"/>
          </w:tcPr>
          <w:p>
            <w:pPr>
              <w:pStyle w:val="TableContents"/>
              <w:bidi w:val="0"/>
              <w:spacing w:before="0" w:after="283"/>
              <w:jc w:val="left"/>
              <w:rPr/>
            </w:pPr>
            <w:r>
              <w:rPr/>
              <w:t> </w:t>
            </w:r>
          </w:p>
        </w:tc>
      </w:tr>
      <w:tr>
        <w:trPr/>
        <w:tc>
          <w:tcPr>
            <w:tcW w:w="1985" w:type="dxa"/>
            <w:tcBorders/>
            <w:shd w:fill="FFFFFF" w:val="clear"/>
            <w:vAlign w:val="center"/>
          </w:tcPr>
          <w:p>
            <w:pPr>
              <w:pStyle w:val="TableContents"/>
              <w:bidi w:val="0"/>
              <w:spacing w:before="0" w:after="283"/>
              <w:jc w:val="left"/>
              <w:rPr/>
            </w:pPr>
            <w:r>
              <w:rPr/>
              <w:t>Adam Gishen</w:t>
            </w:r>
          </w:p>
        </w:tc>
        <w:tc>
          <w:tcPr>
            <w:tcW w:w="60" w:type="dxa"/>
            <w:tcBorders/>
            <w:shd w:fill="FFFFFF" w:val="clear"/>
            <w:vAlign w:val="center"/>
          </w:tcPr>
          <w:p>
            <w:pPr>
              <w:pStyle w:val="TableContents"/>
              <w:bidi w:val="0"/>
              <w:spacing w:before="0" w:after="283"/>
              <w:jc w:val="left"/>
              <w:rPr/>
            </w:pPr>
            <w:r>
              <w:rPr/>
              <w:t> </w:t>
            </w:r>
          </w:p>
        </w:tc>
        <w:tc>
          <w:tcPr>
            <w:tcW w:w="637" w:type="dxa"/>
            <w:tcBorders/>
            <w:shd w:fill="FFFFFF" w:val="clear"/>
            <w:vAlign w:val="center"/>
          </w:tcPr>
          <w:p>
            <w:pPr>
              <w:pStyle w:val="TableContents"/>
              <w:bidi w:val="0"/>
              <w:spacing w:before="0" w:after="283"/>
              <w:jc w:val="left"/>
              <w:rPr/>
            </w:pPr>
            <w:r>
              <w:rPr/>
              <w:t> </w:t>
            </w:r>
          </w:p>
        </w:tc>
        <w:tc>
          <w:tcPr>
            <w:tcW w:w="432"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167,091</w:t>
            </w:r>
          </w:p>
        </w:tc>
        <w:tc>
          <w:tcPr>
            <w:tcW w:w="245" w:type="dxa"/>
            <w:tcBorders/>
            <w:shd w:fill="FFFFFF" w:val="clear"/>
            <w:vAlign w:val="center"/>
          </w:tcPr>
          <w:p>
            <w:pPr>
              <w:pStyle w:val="TableContents"/>
              <w:bidi w:val="0"/>
              <w:spacing w:before="0" w:after="283"/>
              <w:jc w:val="left"/>
              <w:rPr>
                <w:position w:val="8"/>
                <w:sz w:val="19"/>
              </w:rPr>
            </w:pPr>
            <w:r>
              <w:rPr>
                <w:position w:val="8"/>
                <w:sz w:val="19"/>
              </w:rPr>
              <w:t>(1)</w:t>
            </w:r>
          </w:p>
        </w:tc>
        <w:tc>
          <w:tcPr>
            <w:tcW w:w="60" w:type="dxa"/>
            <w:tcBorders/>
            <w:shd w:fill="FFFFFF" w:val="clear"/>
            <w:vAlign w:val="center"/>
          </w:tcPr>
          <w:p>
            <w:pPr>
              <w:pStyle w:val="TableContents"/>
              <w:bidi w:val="0"/>
              <w:spacing w:before="0" w:after="283"/>
              <w:jc w:val="left"/>
              <w:rPr/>
            </w:pPr>
            <w:r>
              <w:rPr/>
              <w:t> </w:t>
            </w:r>
          </w:p>
        </w:tc>
        <w:tc>
          <w:tcPr>
            <w:tcW w:w="263" w:type="dxa"/>
            <w:tcBorders/>
            <w:shd w:fill="FFFFFF" w:val="clear"/>
            <w:vAlign w:val="center"/>
          </w:tcPr>
          <w:p>
            <w:pPr>
              <w:pStyle w:val="TableContents"/>
              <w:bidi w:val="0"/>
              <w:spacing w:before="0" w:after="283"/>
              <w:jc w:val="left"/>
              <w:rPr/>
            </w:pPr>
            <w:r>
              <w:rPr/>
              <w:t> </w:t>
            </w:r>
          </w:p>
        </w:tc>
        <w:tc>
          <w:tcPr>
            <w:tcW w:w="972"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167,091</w:t>
            </w:r>
          </w:p>
        </w:tc>
        <w:tc>
          <w:tcPr>
            <w:tcW w:w="75" w:type="dxa"/>
            <w:tcBorders/>
            <w:shd w:fill="FFFFFF" w:val="clear"/>
            <w:vAlign w:val="center"/>
          </w:tcPr>
          <w:p>
            <w:pPr>
              <w:pStyle w:val="TableContents"/>
              <w:bidi w:val="0"/>
              <w:spacing w:before="0" w:after="283"/>
              <w:jc w:val="left"/>
              <w:rPr/>
            </w:pPr>
            <w:r>
              <w:rPr/>
              <w:t> </w:t>
            </w:r>
          </w:p>
        </w:tc>
      </w:tr>
      <w:tr>
        <w:trPr/>
        <w:tc>
          <w:tcPr>
            <w:tcW w:w="1985" w:type="dxa"/>
            <w:tcBorders/>
            <w:shd w:fill="CCEEFF" w:val="clear"/>
            <w:vAlign w:val="center"/>
          </w:tcPr>
          <w:p>
            <w:pPr>
              <w:pStyle w:val="TableContents"/>
              <w:bidi w:val="0"/>
              <w:spacing w:before="0" w:after="283"/>
              <w:jc w:val="left"/>
              <w:rPr/>
            </w:pPr>
            <w:r>
              <w:rPr/>
              <w:t>Antonio R. Alvarez</w:t>
            </w:r>
          </w:p>
        </w:tc>
        <w:tc>
          <w:tcPr>
            <w:tcW w:w="60" w:type="dxa"/>
            <w:tcBorders/>
            <w:shd w:fill="CCEEFF" w:val="clear"/>
            <w:vAlign w:val="center"/>
          </w:tcPr>
          <w:p>
            <w:pPr>
              <w:pStyle w:val="TableContents"/>
              <w:bidi w:val="0"/>
              <w:spacing w:before="0" w:after="283"/>
              <w:jc w:val="left"/>
              <w:rPr/>
            </w:pPr>
            <w:r>
              <w:rPr/>
              <w:t> </w:t>
            </w:r>
          </w:p>
        </w:tc>
        <w:tc>
          <w:tcPr>
            <w:tcW w:w="637" w:type="dxa"/>
            <w:tcBorders/>
            <w:shd w:fill="CCEEFF" w:val="clear"/>
            <w:vAlign w:val="center"/>
          </w:tcPr>
          <w:p>
            <w:pPr>
              <w:pStyle w:val="TableContents"/>
              <w:bidi w:val="0"/>
              <w:spacing w:before="0" w:after="283"/>
              <w:jc w:val="left"/>
              <w:rPr/>
            </w:pPr>
            <w:r>
              <w:rPr/>
              <w:t> </w:t>
            </w:r>
          </w:p>
        </w:tc>
        <w:tc>
          <w:tcPr>
            <w:tcW w:w="432"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160,901</w:t>
            </w:r>
          </w:p>
        </w:tc>
        <w:tc>
          <w:tcPr>
            <w:tcW w:w="245" w:type="dxa"/>
            <w:tcBorders/>
            <w:shd w:fill="CCEEFF" w:val="clear"/>
            <w:vAlign w:val="center"/>
          </w:tcPr>
          <w:p>
            <w:pPr>
              <w:pStyle w:val="TableContents"/>
              <w:bidi w:val="0"/>
              <w:spacing w:before="0" w:after="283"/>
              <w:jc w:val="left"/>
              <w:rPr>
                <w:position w:val="8"/>
                <w:sz w:val="19"/>
              </w:rPr>
            </w:pPr>
            <w:r>
              <w:rPr>
                <w:position w:val="8"/>
                <w:sz w:val="19"/>
              </w:rPr>
              <w:t>(1)</w:t>
            </w:r>
          </w:p>
        </w:tc>
        <w:tc>
          <w:tcPr>
            <w:tcW w:w="60" w:type="dxa"/>
            <w:tcBorders/>
            <w:shd w:fill="CCEEFF" w:val="clear"/>
            <w:vAlign w:val="center"/>
          </w:tcPr>
          <w:p>
            <w:pPr>
              <w:pStyle w:val="TableContents"/>
              <w:bidi w:val="0"/>
              <w:spacing w:before="0" w:after="283"/>
              <w:jc w:val="left"/>
              <w:rPr/>
            </w:pPr>
            <w:r>
              <w:rPr/>
              <w:t> </w:t>
            </w:r>
          </w:p>
        </w:tc>
        <w:tc>
          <w:tcPr>
            <w:tcW w:w="263" w:type="dxa"/>
            <w:tcBorders/>
            <w:shd w:fill="CCEEFF" w:val="clear"/>
            <w:vAlign w:val="center"/>
          </w:tcPr>
          <w:p>
            <w:pPr>
              <w:pStyle w:val="TableContents"/>
              <w:bidi w:val="0"/>
              <w:spacing w:before="0" w:after="283"/>
              <w:jc w:val="left"/>
              <w:rPr/>
            </w:pPr>
            <w:r>
              <w:rPr/>
              <w:t> </w:t>
            </w:r>
          </w:p>
        </w:tc>
        <w:tc>
          <w:tcPr>
            <w:tcW w:w="972"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160,901</w:t>
            </w:r>
          </w:p>
        </w:tc>
        <w:tc>
          <w:tcPr>
            <w:tcW w:w="75" w:type="dxa"/>
            <w:tcBorders/>
            <w:shd w:fill="CCEEFF" w:val="clear"/>
            <w:vAlign w:val="center"/>
          </w:tcPr>
          <w:p>
            <w:pPr>
              <w:pStyle w:val="TableContents"/>
              <w:bidi w:val="0"/>
              <w:spacing w:before="0" w:after="283"/>
              <w:jc w:val="left"/>
              <w:rPr/>
            </w:pPr>
            <w:r>
              <w:rPr/>
              <w:t> </w:t>
            </w:r>
          </w:p>
        </w:tc>
      </w:tr>
      <w:tr>
        <w:trPr/>
        <w:tc>
          <w:tcPr>
            <w:tcW w:w="1985" w:type="dxa"/>
            <w:tcBorders/>
            <w:shd w:fill="FFFFFF" w:val="clear"/>
            <w:vAlign w:val="center"/>
          </w:tcPr>
          <w:p>
            <w:pPr>
              <w:pStyle w:val="TableContents"/>
              <w:bidi w:val="0"/>
              <w:spacing w:before="0" w:after="283"/>
              <w:jc w:val="left"/>
              <w:rPr/>
            </w:pPr>
            <w:r>
              <w:rPr/>
              <w:t>Chris Lundell</w:t>
            </w:r>
          </w:p>
        </w:tc>
        <w:tc>
          <w:tcPr>
            <w:tcW w:w="60" w:type="dxa"/>
            <w:tcBorders/>
            <w:shd w:fill="FFFFFF" w:val="clear"/>
            <w:vAlign w:val="center"/>
          </w:tcPr>
          <w:p>
            <w:pPr>
              <w:pStyle w:val="TableContents"/>
              <w:bidi w:val="0"/>
              <w:spacing w:before="0" w:after="283"/>
              <w:jc w:val="left"/>
              <w:rPr/>
            </w:pPr>
            <w:r>
              <w:rPr/>
              <w:t> </w:t>
            </w:r>
          </w:p>
        </w:tc>
        <w:tc>
          <w:tcPr>
            <w:tcW w:w="637" w:type="dxa"/>
            <w:tcBorders/>
            <w:shd w:fill="FFFFFF" w:val="clear"/>
            <w:vAlign w:val="center"/>
          </w:tcPr>
          <w:p>
            <w:pPr>
              <w:pStyle w:val="TableContents"/>
              <w:bidi w:val="0"/>
              <w:spacing w:before="0" w:after="283"/>
              <w:jc w:val="left"/>
              <w:rPr/>
            </w:pPr>
            <w:r>
              <w:rPr/>
              <w:t> </w:t>
            </w:r>
          </w:p>
        </w:tc>
        <w:tc>
          <w:tcPr>
            <w:tcW w:w="432"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156,776</w:t>
            </w:r>
          </w:p>
        </w:tc>
        <w:tc>
          <w:tcPr>
            <w:tcW w:w="245" w:type="dxa"/>
            <w:tcBorders/>
            <w:shd w:fill="FFFFFF" w:val="clear"/>
            <w:vAlign w:val="center"/>
          </w:tcPr>
          <w:p>
            <w:pPr>
              <w:pStyle w:val="TableContents"/>
              <w:bidi w:val="0"/>
              <w:spacing w:before="0" w:after="283"/>
              <w:jc w:val="left"/>
              <w:rPr>
                <w:position w:val="8"/>
                <w:sz w:val="19"/>
              </w:rPr>
            </w:pPr>
            <w:r>
              <w:rPr>
                <w:position w:val="8"/>
                <w:sz w:val="19"/>
              </w:rPr>
              <w:t>(1)</w:t>
            </w:r>
          </w:p>
        </w:tc>
        <w:tc>
          <w:tcPr>
            <w:tcW w:w="60" w:type="dxa"/>
            <w:tcBorders/>
            <w:shd w:fill="FFFFFF" w:val="clear"/>
            <w:vAlign w:val="center"/>
          </w:tcPr>
          <w:p>
            <w:pPr>
              <w:pStyle w:val="TableContents"/>
              <w:bidi w:val="0"/>
              <w:spacing w:before="0" w:after="283"/>
              <w:jc w:val="left"/>
              <w:rPr/>
            </w:pPr>
            <w:r>
              <w:rPr/>
              <w:t> </w:t>
            </w:r>
          </w:p>
        </w:tc>
        <w:tc>
          <w:tcPr>
            <w:tcW w:w="263" w:type="dxa"/>
            <w:tcBorders/>
            <w:shd w:fill="FFFFFF" w:val="clear"/>
            <w:vAlign w:val="center"/>
          </w:tcPr>
          <w:p>
            <w:pPr>
              <w:pStyle w:val="TableContents"/>
              <w:bidi w:val="0"/>
              <w:spacing w:before="0" w:after="283"/>
              <w:jc w:val="left"/>
              <w:rPr/>
            </w:pPr>
            <w:r>
              <w:rPr/>
              <w:t> </w:t>
            </w:r>
          </w:p>
        </w:tc>
        <w:tc>
          <w:tcPr>
            <w:tcW w:w="972"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156,776</w:t>
            </w:r>
          </w:p>
        </w:tc>
        <w:tc>
          <w:tcPr>
            <w:tcW w:w="75" w:type="dxa"/>
            <w:tcBorders/>
            <w:shd w:fill="FFFFFF" w:val="clear"/>
            <w:vAlign w:val="center"/>
          </w:tcPr>
          <w:p>
            <w:pPr>
              <w:pStyle w:val="TableContents"/>
              <w:bidi w:val="0"/>
              <w:spacing w:before="0" w:after="283"/>
              <w:jc w:val="left"/>
              <w:rPr/>
            </w:pPr>
            <w:r>
              <w:rPr/>
              <w:t> </w:t>
            </w:r>
          </w:p>
        </w:tc>
      </w:tr>
      <w:tr>
        <w:trPr/>
        <w:tc>
          <w:tcPr>
            <w:tcW w:w="1985" w:type="dxa"/>
            <w:tcBorders/>
            <w:shd w:fill="CCEEFF" w:val="clear"/>
            <w:vAlign w:val="center"/>
          </w:tcPr>
          <w:p>
            <w:pPr>
              <w:pStyle w:val="TableContents"/>
              <w:bidi w:val="0"/>
              <w:spacing w:before="0" w:after="283"/>
              <w:jc w:val="left"/>
              <w:rPr/>
            </w:pPr>
            <w:r>
              <w:rPr/>
              <w:t>Devin Whatley</w:t>
            </w:r>
          </w:p>
        </w:tc>
        <w:tc>
          <w:tcPr>
            <w:tcW w:w="60" w:type="dxa"/>
            <w:tcBorders/>
            <w:shd w:fill="CCEEFF" w:val="clear"/>
            <w:vAlign w:val="center"/>
          </w:tcPr>
          <w:p>
            <w:pPr>
              <w:pStyle w:val="TableContents"/>
              <w:bidi w:val="0"/>
              <w:spacing w:before="0" w:after="283"/>
              <w:jc w:val="left"/>
              <w:rPr/>
            </w:pPr>
            <w:r>
              <w:rPr/>
              <w:t> </w:t>
            </w:r>
          </w:p>
        </w:tc>
        <w:tc>
          <w:tcPr>
            <w:tcW w:w="637" w:type="dxa"/>
            <w:tcBorders/>
            <w:shd w:fill="CCEEFF" w:val="clear"/>
            <w:vAlign w:val="center"/>
          </w:tcPr>
          <w:p>
            <w:pPr>
              <w:pStyle w:val="TableContents"/>
              <w:bidi w:val="0"/>
              <w:spacing w:before="0" w:after="283"/>
              <w:jc w:val="left"/>
              <w:rPr/>
            </w:pPr>
            <w:r>
              <w:rPr/>
              <w:t> </w:t>
            </w:r>
          </w:p>
        </w:tc>
        <w:tc>
          <w:tcPr>
            <w:tcW w:w="432"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156,776</w:t>
            </w:r>
          </w:p>
        </w:tc>
        <w:tc>
          <w:tcPr>
            <w:tcW w:w="245" w:type="dxa"/>
            <w:tcBorders/>
            <w:shd w:fill="CCEEFF" w:val="clear"/>
            <w:vAlign w:val="center"/>
          </w:tcPr>
          <w:p>
            <w:pPr>
              <w:pStyle w:val="TableContents"/>
              <w:bidi w:val="0"/>
              <w:spacing w:before="0" w:after="283"/>
              <w:jc w:val="left"/>
              <w:rPr>
                <w:position w:val="8"/>
                <w:sz w:val="19"/>
              </w:rPr>
            </w:pPr>
            <w:r>
              <w:rPr>
                <w:position w:val="8"/>
                <w:sz w:val="19"/>
              </w:rPr>
              <w:t>(1)</w:t>
            </w:r>
          </w:p>
        </w:tc>
        <w:tc>
          <w:tcPr>
            <w:tcW w:w="60" w:type="dxa"/>
            <w:tcBorders/>
            <w:shd w:fill="CCEEFF" w:val="clear"/>
            <w:vAlign w:val="center"/>
          </w:tcPr>
          <w:p>
            <w:pPr>
              <w:pStyle w:val="TableContents"/>
              <w:bidi w:val="0"/>
              <w:spacing w:before="0" w:after="283"/>
              <w:jc w:val="left"/>
              <w:rPr/>
            </w:pPr>
            <w:r>
              <w:rPr/>
              <w:t> </w:t>
            </w:r>
          </w:p>
        </w:tc>
        <w:tc>
          <w:tcPr>
            <w:tcW w:w="263" w:type="dxa"/>
            <w:tcBorders/>
            <w:shd w:fill="CCEEFF" w:val="clear"/>
            <w:vAlign w:val="center"/>
          </w:tcPr>
          <w:p>
            <w:pPr>
              <w:pStyle w:val="TableContents"/>
              <w:bidi w:val="0"/>
              <w:spacing w:before="0" w:after="283"/>
              <w:jc w:val="left"/>
              <w:rPr/>
            </w:pPr>
            <w:r>
              <w:rPr/>
              <w:t> </w:t>
            </w:r>
          </w:p>
        </w:tc>
        <w:tc>
          <w:tcPr>
            <w:tcW w:w="972"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156,776</w:t>
            </w:r>
          </w:p>
        </w:tc>
        <w:tc>
          <w:tcPr>
            <w:tcW w:w="75" w:type="dxa"/>
            <w:tcBorders/>
            <w:shd w:fill="CCEEFF" w:val="clear"/>
            <w:vAlign w:val="center"/>
          </w:tcPr>
          <w:p>
            <w:pPr>
              <w:pStyle w:val="TableContents"/>
              <w:bidi w:val="0"/>
              <w:spacing w:before="0" w:after="283"/>
              <w:jc w:val="left"/>
              <w:rPr/>
            </w:pPr>
            <w:r>
              <w:rPr/>
              <w:t> </w:t>
            </w:r>
          </w:p>
        </w:tc>
      </w:tr>
      <w:tr>
        <w:trPr/>
        <w:tc>
          <w:tcPr>
            <w:tcW w:w="1985" w:type="dxa"/>
            <w:tcBorders/>
            <w:shd w:fill="FFFFFF" w:val="clear"/>
            <w:vAlign w:val="center"/>
          </w:tcPr>
          <w:p>
            <w:pPr>
              <w:pStyle w:val="TableContents"/>
              <w:bidi w:val="0"/>
              <w:spacing w:before="0" w:after="283"/>
              <w:jc w:val="left"/>
              <w:rPr/>
            </w:pPr>
            <w:r>
              <w:rPr/>
              <w:t>Ronald Pasek</w:t>
            </w:r>
          </w:p>
        </w:tc>
        <w:tc>
          <w:tcPr>
            <w:tcW w:w="60" w:type="dxa"/>
            <w:tcBorders/>
            <w:shd w:fill="FFFFFF" w:val="clear"/>
            <w:vAlign w:val="center"/>
          </w:tcPr>
          <w:p>
            <w:pPr>
              <w:pStyle w:val="TableContents"/>
              <w:bidi w:val="0"/>
              <w:spacing w:before="0" w:after="283"/>
              <w:jc w:val="left"/>
              <w:rPr/>
            </w:pPr>
            <w:r>
              <w:rPr/>
              <w:t> </w:t>
            </w:r>
          </w:p>
        </w:tc>
        <w:tc>
          <w:tcPr>
            <w:tcW w:w="637" w:type="dxa"/>
            <w:tcBorders/>
            <w:shd w:fill="FFFFFF" w:val="clear"/>
            <w:vAlign w:val="center"/>
          </w:tcPr>
          <w:p>
            <w:pPr>
              <w:pStyle w:val="TableContents"/>
              <w:bidi w:val="0"/>
              <w:spacing w:before="0" w:after="283"/>
              <w:jc w:val="left"/>
              <w:rPr/>
            </w:pPr>
            <w:r>
              <w:rPr/>
              <w:t> </w:t>
            </w:r>
          </w:p>
        </w:tc>
        <w:tc>
          <w:tcPr>
            <w:tcW w:w="432"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169,153</w:t>
            </w:r>
          </w:p>
        </w:tc>
        <w:tc>
          <w:tcPr>
            <w:tcW w:w="245" w:type="dxa"/>
            <w:tcBorders/>
            <w:shd w:fill="FFFFFF" w:val="clear"/>
            <w:vAlign w:val="center"/>
          </w:tcPr>
          <w:p>
            <w:pPr>
              <w:pStyle w:val="TableContents"/>
              <w:bidi w:val="0"/>
              <w:spacing w:before="0" w:after="283"/>
              <w:jc w:val="left"/>
              <w:rPr>
                <w:position w:val="8"/>
                <w:sz w:val="19"/>
              </w:rPr>
            </w:pPr>
            <w:r>
              <w:rPr>
                <w:position w:val="8"/>
                <w:sz w:val="19"/>
              </w:rPr>
              <w:t>(1)</w:t>
            </w:r>
          </w:p>
        </w:tc>
        <w:tc>
          <w:tcPr>
            <w:tcW w:w="60" w:type="dxa"/>
            <w:tcBorders/>
            <w:shd w:fill="FFFFFF" w:val="clear"/>
            <w:vAlign w:val="center"/>
          </w:tcPr>
          <w:p>
            <w:pPr>
              <w:pStyle w:val="TableContents"/>
              <w:bidi w:val="0"/>
              <w:spacing w:before="0" w:after="283"/>
              <w:jc w:val="left"/>
              <w:rPr/>
            </w:pPr>
            <w:r>
              <w:rPr/>
              <w:t> </w:t>
            </w:r>
          </w:p>
        </w:tc>
        <w:tc>
          <w:tcPr>
            <w:tcW w:w="263" w:type="dxa"/>
            <w:tcBorders/>
            <w:shd w:fill="FFFFFF" w:val="clear"/>
            <w:vAlign w:val="center"/>
          </w:tcPr>
          <w:p>
            <w:pPr>
              <w:pStyle w:val="TableContents"/>
              <w:bidi w:val="0"/>
              <w:spacing w:before="0" w:after="283"/>
              <w:jc w:val="left"/>
              <w:rPr/>
            </w:pPr>
            <w:r>
              <w:rPr/>
              <w:t> </w:t>
            </w:r>
          </w:p>
        </w:tc>
        <w:tc>
          <w:tcPr>
            <w:tcW w:w="972"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169,153</w:t>
            </w:r>
          </w:p>
        </w:tc>
        <w:tc>
          <w:tcPr>
            <w:tcW w:w="75" w:type="dxa"/>
            <w:tcBorders/>
            <w:shd w:fill="FFFFFF" w:val="clear"/>
            <w:vAlign w:val="center"/>
          </w:tcPr>
          <w:p>
            <w:pPr>
              <w:pStyle w:val="TableContents"/>
              <w:bidi w:val="0"/>
              <w:spacing w:before="0" w:after="283"/>
              <w:jc w:val="left"/>
              <w:rPr/>
            </w:pPr>
            <w:r>
              <w:rPr/>
              <w:t> </w:t>
            </w:r>
          </w:p>
        </w:tc>
      </w:tr>
      <w:tr>
        <w:trPr/>
        <w:tc>
          <w:tcPr>
            <w:tcW w:w="1985" w:type="dxa"/>
            <w:tcBorders/>
            <w:shd w:fill="CCEEFF" w:val="clear"/>
            <w:vAlign w:val="center"/>
          </w:tcPr>
          <w:p>
            <w:pPr>
              <w:pStyle w:val="TableContents"/>
              <w:bidi w:val="0"/>
              <w:spacing w:before="0" w:after="283"/>
              <w:jc w:val="left"/>
              <w:rPr/>
            </w:pPr>
            <w:r>
              <w:rPr/>
              <w:t>Tidjane Thiam</w:t>
            </w:r>
          </w:p>
        </w:tc>
        <w:tc>
          <w:tcPr>
            <w:tcW w:w="60" w:type="dxa"/>
            <w:tcBorders/>
            <w:shd w:fill="CCEEFF" w:val="clear"/>
            <w:vAlign w:val="center"/>
          </w:tcPr>
          <w:p>
            <w:pPr>
              <w:pStyle w:val="TableContents"/>
              <w:bidi w:val="0"/>
              <w:spacing w:before="0" w:after="283"/>
              <w:jc w:val="left"/>
              <w:rPr/>
            </w:pPr>
            <w:r>
              <w:rPr/>
              <w:t> </w:t>
            </w:r>
          </w:p>
        </w:tc>
        <w:tc>
          <w:tcPr>
            <w:tcW w:w="637" w:type="dxa"/>
            <w:tcBorders/>
            <w:shd w:fill="CCEEFF" w:val="clear"/>
            <w:vAlign w:val="center"/>
          </w:tcPr>
          <w:p>
            <w:pPr>
              <w:pStyle w:val="TableContents"/>
              <w:bidi w:val="0"/>
              <w:spacing w:before="0" w:after="283"/>
              <w:jc w:val="left"/>
              <w:rPr/>
            </w:pPr>
            <w:r>
              <w:rPr/>
              <w:t> </w:t>
            </w:r>
          </w:p>
        </w:tc>
        <w:tc>
          <w:tcPr>
            <w:tcW w:w="432"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160,077</w:t>
            </w:r>
          </w:p>
        </w:tc>
        <w:tc>
          <w:tcPr>
            <w:tcW w:w="245" w:type="dxa"/>
            <w:tcBorders/>
            <w:shd w:fill="CCEEFF" w:val="clear"/>
            <w:vAlign w:val="center"/>
          </w:tcPr>
          <w:p>
            <w:pPr>
              <w:pStyle w:val="TableContents"/>
              <w:bidi w:val="0"/>
              <w:spacing w:before="0" w:after="283"/>
              <w:jc w:val="left"/>
              <w:rPr>
                <w:position w:val="8"/>
                <w:sz w:val="19"/>
              </w:rPr>
            </w:pPr>
            <w:r>
              <w:rPr>
                <w:position w:val="8"/>
                <w:sz w:val="19"/>
              </w:rPr>
              <w:t>(1)</w:t>
            </w:r>
          </w:p>
        </w:tc>
        <w:tc>
          <w:tcPr>
            <w:tcW w:w="60" w:type="dxa"/>
            <w:tcBorders/>
            <w:shd w:fill="CCEEFF" w:val="clear"/>
            <w:vAlign w:val="center"/>
          </w:tcPr>
          <w:p>
            <w:pPr>
              <w:pStyle w:val="TableContents"/>
              <w:bidi w:val="0"/>
              <w:spacing w:before="0" w:after="283"/>
              <w:jc w:val="left"/>
              <w:rPr/>
            </w:pPr>
            <w:r>
              <w:rPr/>
              <w:t> </w:t>
            </w:r>
          </w:p>
        </w:tc>
        <w:tc>
          <w:tcPr>
            <w:tcW w:w="263" w:type="dxa"/>
            <w:tcBorders/>
            <w:shd w:fill="CCEEFF" w:val="clear"/>
            <w:vAlign w:val="center"/>
          </w:tcPr>
          <w:p>
            <w:pPr>
              <w:pStyle w:val="TableContents"/>
              <w:bidi w:val="0"/>
              <w:spacing w:before="0" w:after="283"/>
              <w:jc w:val="left"/>
              <w:rPr/>
            </w:pPr>
            <w:r>
              <w:rPr/>
              <w:t> </w:t>
            </w:r>
          </w:p>
        </w:tc>
        <w:tc>
          <w:tcPr>
            <w:tcW w:w="972"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160,077</w:t>
            </w:r>
          </w:p>
        </w:tc>
        <w:tc>
          <w:tcPr>
            <w:tcW w:w="75" w:type="dxa"/>
            <w:tcBorders/>
            <w:shd w:fill="CCEEFF" w:val="clear"/>
            <w:vAlign w:val="center"/>
          </w:tcPr>
          <w:p>
            <w:pPr>
              <w:pStyle w:val="TableContents"/>
              <w:bidi w:val="0"/>
              <w:spacing w:before="0" w:after="283"/>
              <w:jc w:val="left"/>
              <w:rPr/>
            </w:pPr>
            <w:r>
              <w:rPr/>
              <w:t> </w:t>
            </w:r>
          </w:p>
        </w:tc>
      </w:tr>
      <w:tr>
        <w:trPr/>
        <w:tc>
          <w:tcPr>
            <w:tcW w:w="1985" w:type="dxa"/>
            <w:tcBorders/>
            <w:shd w:fill="FFFFFF" w:val="clear"/>
            <w:vAlign w:val="center"/>
          </w:tcPr>
          <w:p>
            <w:pPr>
              <w:pStyle w:val="TableContents"/>
              <w:bidi w:val="0"/>
              <w:spacing w:before="0" w:after="283"/>
              <w:jc w:val="left"/>
              <w:rPr/>
            </w:pPr>
            <w:r>
              <w:rPr/>
              <w:t>William J. Anderson</w:t>
            </w:r>
          </w:p>
        </w:tc>
        <w:tc>
          <w:tcPr>
            <w:tcW w:w="60" w:type="dxa"/>
            <w:tcBorders/>
            <w:shd w:fill="FFFFFF" w:val="clear"/>
            <w:vAlign w:val="center"/>
          </w:tcPr>
          <w:p>
            <w:pPr>
              <w:pStyle w:val="TableContents"/>
              <w:bidi w:val="0"/>
              <w:spacing w:before="0" w:after="283"/>
              <w:jc w:val="left"/>
              <w:rPr/>
            </w:pPr>
            <w:r>
              <w:rPr/>
              <w:t> </w:t>
            </w:r>
          </w:p>
        </w:tc>
        <w:tc>
          <w:tcPr>
            <w:tcW w:w="637" w:type="dxa"/>
            <w:tcBorders/>
            <w:shd w:fill="FFFFFF" w:val="clear"/>
            <w:vAlign w:val="center"/>
          </w:tcPr>
          <w:p>
            <w:pPr>
              <w:pStyle w:val="TableContents"/>
              <w:bidi w:val="0"/>
              <w:spacing w:before="0" w:after="283"/>
              <w:jc w:val="left"/>
              <w:rPr/>
            </w:pPr>
            <w:r>
              <w:rPr/>
              <w:t> </w:t>
            </w:r>
          </w:p>
        </w:tc>
        <w:tc>
          <w:tcPr>
            <w:tcW w:w="432"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214,536</w:t>
            </w:r>
          </w:p>
        </w:tc>
        <w:tc>
          <w:tcPr>
            <w:tcW w:w="245" w:type="dxa"/>
            <w:tcBorders/>
            <w:shd w:fill="FFFFFF" w:val="clear"/>
            <w:vAlign w:val="center"/>
          </w:tcPr>
          <w:p>
            <w:pPr>
              <w:pStyle w:val="TableContents"/>
              <w:bidi w:val="0"/>
              <w:spacing w:before="0" w:after="283"/>
              <w:jc w:val="left"/>
              <w:rPr>
                <w:position w:val="8"/>
                <w:sz w:val="19"/>
              </w:rPr>
            </w:pPr>
            <w:r>
              <w:rPr>
                <w:position w:val="8"/>
                <w:sz w:val="19"/>
              </w:rPr>
              <w:t>(1)</w:t>
            </w:r>
          </w:p>
        </w:tc>
        <w:tc>
          <w:tcPr>
            <w:tcW w:w="60" w:type="dxa"/>
            <w:tcBorders/>
            <w:shd w:fill="FFFFFF" w:val="clear"/>
            <w:vAlign w:val="center"/>
          </w:tcPr>
          <w:p>
            <w:pPr>
              <w:pStyle w:val="TableContents"/>
              <w:bidi w:val="0"/>
              <w:spacing w:before="0" w:after="283"/>
              <w:jc w:val="left"/>
              <w:rPr/>
            </w:pPr>
            <w:r>
              <w:rPr/>
              <w:t> </w:t>
            </w:r>
          </w:p>
        </w:tc>
        <w:tc>
          <w:tcPr>
            <w:tcW w:w="263" w:type="dxa"/>
            <w:tcBorders/>
            <w:shd w:fill="FFFFFF" w:val="clear"/>
            <w:vAlign w:val="center"/>
          </w:tcPr>
          <w:p>
            <w:pPr>
              <w:pStyle w:val="TableContents"/>
              <w:bidi w:val="0"/>
              <w:spacing w:before="0" w:after="283"/>
              <w:jc w:val="left"/>
              <w:rPr/>
            </w:pPr>
            <w:r>
              <w:rPr/>
              <w:t> </w:t>
            </w:r>
          </w:p>
        </w:tc>
        <w:tc>
          <w:tcPr>
            <w:tcW w:w="972"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214,536</w:t>
            </w:r>
          </w:p>
        </w:tc>
        <w:tc>
          <w:tcPr>
            <w:tcW w:w="75" w:type="dxa"/>
            <w:tcBorders/>
            <w:shd w:fill="FFFFFF" w:val="clear"/>
            <w:vAlign w:val="center"/>
          </w:tcPr>
          <w:p>
            <w:pPr>
              <w:pStyle w:val="TableContents"/>
              <w:bidi w:val="0"/>
              <w:spacing w:before="0" w:after="283"/>
              <w:jc w:val="left"/>
              <w:rPr/>
            </w:pPr>
            <w:r>
              <w:rPr/>
              <w:t> </w:t>
            </w:r>
          </w:p>
        </w:tc>
      </w:tr>
      <w:tr>
        <w:trPr/>
        <w:tc>
          <w:tcPr>
            <w:tcW w:w="1985" w:type="dxa"/>
            <w:tcBorders/>
            <w:shd w:fill="CCEEFF" w:val="clear"/>
            <w:vAlign w:val="center"/>
          </w:tcPr>
          <w:p>
            <w:pPr>
              <w:pStyle w:val="TableContents"/>
              <w:bidi w:val="0"/>
              <w:spacing w:before="0" w:after="283"/>
              <w:jc w:val="left"/>
              <w:rPr/>
            </w:pPr>
            <w:r>
              <w:rPr/>
              <w:t>Lothar Maier</w:t>
            </w:r>
          </w:p>
        </w:tc>
        <w:tc>
          <w:tcPr>
            <w:tcW w:w="60" w:type="dxa"/>
            <w:tcBorders/>
            <w:shd w:fill="CCEEFF" w:val="clear"/>
            <w:vAlign w:val="center"/>
          </w:tcPr>
          <w:p>
            <w:pPr>
              <w:pStyle w:val="TableContents"/>
              <w:bidi w:val="0"/>
              <w:spacing w:before="0" w:after="283"/>
              <w:jc w:val="left"/>
              <w:rPr/>
            </w:pPr>
            <w:r>
              <w:rPr/>
              <w:t> </w:t>
            </w:r>
          </w:p>
        </w:tc>
        <w:tc>
          <w:tcPr>
            <w:tcW w:w="637" w:type="dxa"/>
            <w:tcBorders/>
            <w:shd w:fill="CCEEFF" w:val="clear"/>
            <w:vAlign w:val="center"/>
          </w:tcPr>
          <w:p>
            <w:pPr>
              <w:pStyle w:val="TableContents"/>
              <w:bidi w:val="0"/>
              <w:spacing w:before="0" w:after="283"/>
              <w:jc w:val="left"/>
              <w:rPr/>
            </w:pPr>
            <w:r>
              <w:rPr/>
              <w:t> </w:t>
            </w:r>
          </w:p>
        </w:tc>
        <w:tc>
          <w:tcPr>
            <w:tcW w:w="432"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367,185</w:t>
            </w:r>
          </w:p>
        </w:tc>
        <w:tc>
          <w:tcPr>
            <w:tcW w:w="245" w:type="dxa"/>
            <w:tcBorders/>
            <w:shd w:fill="CCEEFF" w:val="clear"/>
            <w:vAlign w:val="center"/>
          </w:tcPr>
          <w:p>
            <w:pPr>
              <w:pStyle w:val="TableContents"/>
              <w:bidi w:val="0"/>
              <w:spacing w:before="0" w:after="283"/>
              <w:jc w:val="left"/>
              <w:rPr>
                <w:position w:val="8"/>
                <w:sz w:val="19"/>
              </w:rPr>
            </w:pPr>
            <w:r>
              <w:rPr>
                <w:position w:val="8"/>
                <w:sz w:val="19"/>
              </w:rPr>
              <w:t>(1)</w:t>
            </w:r>
          </w:p>
        </w:tc>
        <w:tc>
          <w:tcPr>
            <w:tcW w:w="60" w:type="dxa"/>
            <w:tcBorders/>
            <w:shd w:fill="CCEEFF" w:val="clear"/>
            <w:vAlign w:val="center"/>
          </w:tcPr>
          <w:p>
            <w:pPr>
              <w:pStyle w:val="TableContents"/>
              <w:bidi w:val="0"/>
              <w:spacing w:before="0" w:after="283"/>
              <w:jc w:val="left"/>
              <w:rPr/>
            </w:pPr>
            <w:r>
              <w:rPr/>
              <w:t> </w:t>
            </w:r>
          </w:p>
        </w:tc>
        <w:tc>
          <w:tcPr>
            <w:tcW w:w="263" w:type="dxa"/>
            <w:tcBorders/>
            <w:shd w:fill="CCEEFF" w:val="clear"/>
            <w:vAlign w:val="center"/>
          </w:tcPr>
          <w:p>
            <w:pPr>
              <w:pStyle w:val="TableContents"/>
              <w:bidi w:val="0"/>
              <w:spacing w:before="0" w:after="283"/>
              <w:jc w:val="left"/>
              <w:rPr/>
            </w:pPr>
            <w:r>
              <w:rPr/>
              <w:t> </w:t>
            </w:r>
          </w:p>
        </w:tc>
        <w:tc>
          <w:tcPr>
            <w:tcW w:w="972"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367,185</w:t>
            </w:r>
          </w:p>
        </w:tc>
        <w:tc>
          <w:tcPr>
            <w:tcW w:w="75" w:type="dxa"/>
            <w:tcBorders/>
            <w:shd w:fill="CCEEFF" w:val="clear"/>
            <w:vAlign w:val="center"/>
          </w:tcPr>
          <w:p>
            <w:pPr>
              <w:pStyle w:val="TableContents"/>
              <w:bidi w:val="0"/>
              <w:spacing w:before="0" w:after="283"/>
              <w:jc w:val="left"/>
              <w:rPr/>
            </w:pPr>
            <w:r>
              <w:rPr/>
              <w:t> </w:t>
            </w:r>
          </w:p>
        </w:tc>
      </w:tr>
      <w:tr>
        <w:trPr/>
        <w:tc>
          <w:tcPr>
            <w:tcW w:w="1985" w:type="dxa"/>
            <w:tcBorders/>
            <w:shd w:fill="FFFFFF" w:val="clear"/>
            <w:vAlign w:val="center"/>
          </w:tcPr>
          <w:p>
            <w:pPr>
              <w:pStyle w:val="TableContents"/>
              <w:bidi w:val="0"/>
              <w:spacing w:before="0" w:after="283"/>
              <w:jc w:val="left"/>
              <w:rPr/>
            </w:pPr>
            <w:r>
              <w:rPr/>
              <w:t>J. Daniel McCranie</w:t>
            </w:r>
          </w:p>
        </w:tc>
        <w:tc>
          <w:tcPr>
            <w:tcW w:w="60" w:type="dxa"/>
            <w:tcBorders/>
            <w:shd w:fill="FFFFFF" w:val="clear"/>
            <w:vAlign w:val="center"/>
          </w:tcPr>
          <w:p>
            <w:pPr>
              <w:pStyle w:val="TableContents"/>
              <w:bidi w:val="0"/>
              <w:spacing w:before="0" w:after="283"/>
              <w:jc w:val="left"/>
              <w:rPr/>
            </w:pPr>
            <w:r>
              <w:rPr/>
              <w:t> </w:t>
            </w:r>
          </w:p>
        </w:tc>
        <w:tc>
          <w:tcPr>
            <w:tcW w:w="637" w:type="dxa"/>
            <w:tcBorders/>
            <w:shd w:fill="FFFFFF" w:val="clear"/>
            <w:vAlign w:val="center"/>
          </w:tcPr>
          <w:p>
            <w:pPr>
              <w:pStyle w:val="TableContents"/>
              <w:bidi w:val="0"/>
              <w:spacing w:before="0" w:after="283"/>
              <w:jc w:val="left"/>
              <w:rPr/>
            </w:pPr>
            <w:r>
              <w:rPr/>
              <w:t> </w:t>
            </w:r>
          </w:p>
        </w:tc>
        <w:tc>
          <w:tcPr>
            <w:tcW w:w="432"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2,217,185</w:t>
            </w:r>
          </w:p>
        </w:tc>
        <w:tc>
          <w:tcPr>
            <w:tcW w:w="245" w:type="dxa"/>
            <w:tcBorders/>
            <w:shd w:fill="FFFFFF" w:val="clear"/>
            <w:vAlign w:val="center"/>
          </w:tcPr>
          <w:p>
            <w:pPr>
              <w:pStyle w:val="TableContents"/>
              <w:bidi w:val="0"/>
              <w:spacing w:before="0" w:after="283"/>
              <w:jc w:val="left"/>
              <w:rPr>
                <w:position w:val="8"/>
                <w:sz w:val="19"/>
              </w:rPr>
            </w:pPr>
            <w:r>
              <w:rPr>
                <w:position w:val="8"/>
                <w:sz w:val="19"/>
              </w:rPr>
              <w:t>(2)</w:t>
            </w:r>
          </w:p>
        </w:tc>
        <w:tc>
          <w:tcPr>
            <w:tcW w:w="60" w:type="dxa"/>
            <w:tcBorders/>
            <w:shd w:fill="FFFFFF" w:val="clear"/>
            <w:vAlign w:val="center"/>
          </w:tcPr>
          <w:p>
            <w:pPr>
              <w:pStyle w:val="TableContents"/>
              <w:bidi w:val="0"/>
              <w:spacing w:before="0" w:after="283"/>
              <w:jc w:val="left"/>
              <w:rPr/>
            </w:pPr>
            <w:r>
              <w:rPr/>
              <w:t> </w:t>
            </w:r>
          </w:p>
        </w:tc>
        <w:tc>
          <w:tcPr>
            <w:tcW w:w="263" w:type="dxa"/>
            <w:tcBorders/>
            <w:shd w:fill="FFFFFF" w:val="clear"/>
            <w:vAlign w:val="center"/>
          </w:tcPr>
          <w:p>
            <w:pPr>
              <w:pStyle w:val="TableContents"/>
              <w:bidi w:val="0"/>
              <w:spacing w:before="0" w:after="283"/>
              <w:jc w:val="left"/>
              <w:rPr/>
            </w:pPr>
            <w:r>
              <w:rPr/>
              <w:t> </w:t>
            </w:r>
          </w:p>
        </w:tc>
        <w:tc>
          <w:tcPr>
            <w:tcW w:w="972"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2,217,185</w:t>
            </w:r>
          </w:p>
        </w:tc>
        <w:tc>
          <w:tcPr>
            <w:tcW w:w="75" w:type="dxa"/>
            <w:tcBorders/>
            <w:shd w:fill="FFFFFF" w:val="clear"/>
            <w:vAlign w:val="center"/>
          </w:tcPr>
          <w:p>
            <w:pPr>
              <w:pStyle w:val="TableContents"/>
              <w:bidi w:val="0"/>
              <w:spacing w:before="0" w:after="283"/>
              <w:jc w:val="left"/>
              <w:rPr/>
            </w:pPr>
            <w:r>
              <w:rPr/>
              <w:t> </w:t>
            </w:r>
          </w:p>
        </w:tc>
      </w:tr>
      <w:tr>
        <w:trPr/>
        <w:tc>
          <w:tcPr>
            <w:tcW w:w="1985" w:type="dxa"/>
            <w:tcBorders/>
            <w:shd w:fill="CCEEFF" w:val="clear"/>
            <w:vAlign w:val="center"/>
          </w:tcPr>
          <w:p>
            <w:pPr>
              <w:pStyle w:val="TableContents"/>
              <w:bidi w:val="0"/>
              <w:spacing w:before="0" w:after="283"/>
              <w:jc w:val="left"/>
              <w:rPr/>
            </w:pPr>
            <w:r>
              <w:rPr/>
              <w:t>Jamie Haenggi</w:t>
            </w:r>
          </w:p>
        </w:tc>
        <w:tc>
          <w:tcPr>
            <w:tcW w:w="60" w:type="dxa"/>
            <w:tcBorders/>
            <w:shd w:fill="CCEEFF" w:val="clear"/>
            <w:vAlign w:val="center"/>
          </w:tcPr>
          <w:p>
            <w:pPr>
              <w:pStyle w:val="TableContents"/>
              <w:bidi w:val="0"/>
              <w:spacing w:before="0" w:after="283"/>
              <w:jc w:val="left"/>
              <w:rPr/>
            </w:pPr>
            <w:r>
              <w:rPr/>
              <w:t> </w:t>
            </w:r>
          </w:p>
        </w:tc>
        <w:tc>
          <w:tcPr>
            <w:tcW w:w="637" w:type="dxa"/>
            <w:tcBorders/>
            <w:shd w:fill="CCEEFF" w:val="clear"/>
            <w:vAlign w:val="center"/>
          </w:tcPr>
          <w:p>
            <w:pPr>
              <w:pStyle w:val="TableContents"/>
              <w:bidi w:val="0"/>
              <w:spacing w:before="0" w:after="283"/>
              <w:jc w:val="left"/>
              <w:rPr/>
            </w:pPr>
            <w:r>
              <w:rPr/>
              <w:t> </w:t>
            </w:r>
          </w:p>
        </w:tc>
        <w:tc>
          <w:tcPr>
            <w:tcW w:w="432"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w:t>
            </w:r>
          </w:p>
        </w:tc>
        <w:tc>
          <w:tcPr>
            <w:tcW w:w="24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63" w:type="dxa"/>
            <w:tcBorders/>
            <w:shd w:fill="CCEEFF" w:val="clear"/>
            <w:vAlign w:val="center"/>
          </w:tcPr>
          <w:p>
            <w:pPr>
              <w:pStyle w:val="TableContents"/>
              <w:bidi w:val="0"/>
              <w:spacing w:before="0" w:after="283"/>
              <w:jc w:val="left"/>
              <w:rPr/>
            </w:pPr>
            <w:r>
              <w:rPr/>
              <w:t> </w:t>
            </w:r>
          </w:p>
        </w:tc>
        <w:tc>
          <w:tcPr>
            <w:tcW w:w="972"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w:t>
            </w:r>
          </w:p>
        </w:tc>
        <w:tc>
          <w:tcPr>
            <w:tcW w:w="75" w:type="dxa"/>
            <w:tcBorders/>
            <w:shd w:fill="CCEEFF" w:val="clear"/>
            <w:vAlign w:val="center"/>
          </w:tcPr>
          <w:p>
            <w:pPr>
              <w:pStyle w:val="TableContents"/>
              <w:bidi w:val="0"/>
              <w:spacing w:before="0" w:after="283"/>
              <w:jc w:val="left"/>
              <w:rPr/>
            </w:pPr>
            <w:r>
              <w:rPr/>
              <w:t> </w:t>
            </w:r>
          </w:p>
        </w:tc>
      </w:tr>
      <w:tr>
        <w:trPr/>
        <w:tc>
          <w:tcPr>
            <w:tcW w:w="1985" w:type="dxa"/>
            <w:tcBorders/>
            <w:shd w:fill="FFFFFF" w:val="clear"/>
            <w:vAlign w:val="center"/>
          </w:tcPr>
          <w:p>
            <w:pPr>
              <w:pStyle w:val="TableContents"/>
              <w:bidi w:val="0"/>
              <w:spacing w:before="0" w:after="283"/>
              <w:jc w:val="left"/>
              <w:rPr/>
            </w:pPr>
            <w:r>
              <w:rPr/>
              <w:t>Bernard Gutmann</w:t>
            </w:r>
          </w:p>
        </w:tc>
        <w:tc>
          <w:tcPr>
            <w:tcW w:w="60" w:type="dxa"/>
            <w:tcBorders/>
            <w:shd w:fill="FFFFFF" w:val="clear"/>
            <w:vAlign w:val="center"/>
          </w:tcPr>
          <w:p>
            <w:pPr>
              <w:pStyle w:val="TableContents"/>
              <w:bidi w:val="0"/>
              <w:spacing w:before="0" w:after="283"/>
              <w:jc w:val="left"/>
              <w:rPr/>
            </w:pPr>
            <w:r>
              <w:rPr/>
              <w:t> </w:t>
            </w:r>
          </w:p>
        </w:tc>
        <w:tc>
          <w:tcPr>
            <w:tcW w:w="637" w:type="dxa"/>
            <w:tcBorders/>
            <w:shd w:fill="FFFFFF" w:val="clear"/>
            <w:vAlign w:val="center"/>
          </w:tcPr>
          <w:p>
            <w:pPr>
              <w:pStyle w:val="TableContents"/>
              <w:bidi w:val="0"/>
              <w:spacing w:before="0" w:after="283"/>
              <w:jc w:val="left"/>
              <w:rPr/>
            </w:pPr>
            <w:r>
              <w:rPr/>
              <w:t> </w:t>
            </w:r>
          </w:p>
        </w:tc>
        <w:tc>
          <w:tcPr>
            <w:tcW w:w="432"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w:t>
            </w:r>
          </w:p>
        </w:tc>
        <w:tc>
          <w:tcPr>
            <w:tcW w:w="24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63" w:type="dxa"/>
            <w:tcBorders/>
            <w:shd w:fill="FFFFFF" w:val="clear"/>
            <w:vAlign w:val="center"/>
          </w:tcPr>
          <w:p>
            <w:pPr>
              <w:pStyle w:val="TableContents"/>
              <w:bidi w:val="0"/>
              <w:spacing w:before="0" w:after="283"/>
              <w:jc w:val="left"/>
              <w:rPr/>
            </w:pPr>
            <w:r>
              <w:rPr/>
              <w:t> </w:t>
            </w:r>
          </w:p>
        </w:tc>
        <w:tc>
          <w:tcPr>
            <w:tcW w:w="972"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w:t>
            </w:r>
          </w:p>
        </w:tc>
        <w:tc>
          <w:tcPr>
            <w:tcW w:w="75" w:type="dxa"/>
            <w:tcBorders/>
            <w:shd w:fill="FFFFFF" w:val="clear"/>
            <w:vAlign w:val="center"/>
          </w:tcPr>
          <w:p>
            <w:pPr>
              <w:pStyle w:val="TableContents"/>
              <w:bidi w:val="0"/>
              <w:spacing w:before="0" w:after="283"/>
              <w:jc w:val="left"/>
              <w:rPr/>
            </w:pPr>
            <w:r>
              <w:rPr/>
              <w:t> </w:t>
            </w:r>
          </w:p>
        </w:tc>
      </w:tr>
    </w:tbl>
    <w:p>
      <w:pPr>
        <w:pStyle w:val="TextBody"/>
        <w:bidi w:val="0"/>
        <w:spacing w:before="0" w:after="0"/>
        <w:jc w:val="both"/>
        <w:rPr>
          <w:caps w:val="false"/>
          <w:smallCaps w:val="false"/>
        </w:rPr>
      </w:pPr>
      <w:r>
        <w:rPr>
          <w:caps w:val="false"/>
          <w:smallCaps w:val="false"/>
        </w:rPr>
        <w:t> </w:t>
      </w:r>
    </w:p>
    <w:tbl>
      <w:tblPr>
        <w:tblW w:w="6490" w:type="dxa"/>
        <w:jc w:val="left"/>
        <w:tblInd w:w="0" w:type="dxa"/>
        <w:tblLayout w:type="fixed"/>
        <w:tblCellMar>
          <w:top w:w="0" w:type="dxa"/>
          <w:left w:w="0" w:type="dxa"/>
          <w:bottom w:w="0" w:type="dxa"/>
          <w:right w:w="0" w:type="dxa"/>
        </w:tblCellMar>
      </w:tblPr>
      <w:tblGrid>
        <w:gridCol w:w="260"/>
        <w:gridCol w:w="6230"/>
      </w:tblGrid>
      <w:tr>
        <w:trPr/>
        <w:tc>
          <w:tcPr>
            <w:tcW w:w="2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w:t>
            </w:r>
          </w:p>
        </w:tc>
        <w:tc>
          <w:tcPr>
            <w:tcW w:w="623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total shares underling the RSU award were fully vested on the grant date</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33"/>
        <w:gridCol w:w="9972"/>
      </w:tblGrid>
      <w:tr>
        <w:trPr/>
        <w:tc>
          <w:tcPr>
            <w:tcW w:w="233"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w:t>
            </w:r>
          </w:p>
        </w:tc>
        <w:tc>
          <w:tcPr>
            <w:tcW w:w="9972"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243,169 shares under Mr. McCranie’s RSU awards were fully vested on the grant date. Mr. McCranie received a onetime grant of 1,000,000 RSUs in 2025 that vest in equal monthly installments over five years.</w:t>
            </w:r>
          </w:p>
        </w:tc>
      </w:tr>
    </w:tbl>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Executive Compensation</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SunPower’s Compensation Committee oversees the compensation policies, plans and programs and reviews and determines compensation to be paid to executive officers, directors and other senior management, as appropriate. The compensation policies followed by SunPower are intended to provide for compensation that is sufficient to attract, motivate and retain executives of SunPower and potential other individuals and to establish an appropriate relationship between executive compensation and the creation of stockholder value.</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Nonqualified Deferred Compensation</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SunPower’s named executive officers did not participate in, or earn any benefits under, any nonqualified deferred compensation plan sponsored by SunPower during fiscal 2024 or 2025. The Board of Directors may elect to provide officers and other employees with nonqualified deferred compensation benefits in the future if it determines that doing so is in the Company’s best interests.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Pension Benefits</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SunPower’s named executive officers did not participate in, or otherwise receive any benefits under, any pension or retirement plan sponsored by SunPower during fiscal 2024 or 2025.</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Employee Benefit Plans</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Equity-based compensation has been and will continue to be an important foundation in executive compensation packages as SunPower believes it is important to maintain a strong link between executive incentives and the creation of stockholder value. SunPower believes that performance and equity-based compensation can be an important component of the total executive compensation package for maximizing stockholder value while, at the same time, attracting, motivating and retaining high-quality executives. In July 2023, our Board of Directors adopted the 2023 Equity Incentive Plan, as subsequently amended (the “</w:t>
      </w:r>
      <w:r>
        <w:rPr>
          <w:rFonts w:ascii="Times New Roman;Times;Serif" w:hAnsi="Times New Roman;Times;Serif"/>
          <w:b/>
          <w:i/>
          <w:caps w:val="false"/>
          <w:smallCaps w:val="false"/>
          <w:sz w:val="20"/>
        </w:rPr>
        <w:t>2023 Plan</w:t>
      </w:r>
      <w:r>
        <w:rPr>
          <w:rFonts w:ascii="Times New Roman;Times;Serif" w:hAnsi="Times New Roman;Times;Serif"/>
          <w:b w:val="false"/>
          <w:i w:val="false"/>
          <w:caps w:val="false"/>
          <w:smallCaps w:val="false"/>
          <w:sz w:val="20"/>
        </w:rPr>
        <w:t>”) and the Employee Stock Purchase Plan (the “</w:t>
      </w:r>
      <w:r>
        <w:rPr>
          <w:rFonts w:ascii="Times New Roman;Times;Serif" w:hAnsi="Times New Roman;Times;Serif"/>
          <w:b/>
          <w:i/>
          <w:caps w:val="false"/>
          <w:smallCaps w:val="false"/>
          <w:sz w:val="20"/>
        </w:rPr>
        <w:t>ESPP</w:t>
      </w:r>
      <w:r>
        <w:rPr>
          <w:rFonts w:ascii="Times New Roman;Times;Serif" w:hAnsi="Times New Roman;Times;Serif"/>
          <w:b/>
          <w:i w:val="false"/>
          <w:caps w:val="false"/>
          <w:smallCaps w:val="false"/>
          <w:sz w:val="20"/>
        </w:rPr>
        <w:t>”</w:t>
      </w:r>
      <w:r>
        <w:rPr>
          <w:rFonts w:ascii="Times New Roman;Times;Serif" w:hAnsi="Times New Roman;Times;Serif"/>
          <w:b w:val="false"/>
          <w:i w:val="false"/>
          <w:caps w:val="false"/>
          <w:smallCaps w:val="false"/>
          <w:sz w:val="20"/>
        </w:rPr>
        <w:t>). The 2023 Plan and the ESPP became effective immediately upon the Closing of the Business Combination.</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81</w:t>
      </w:r>
    </w:p>
    <w:p>
      <w:pPr>
        <w:pStyle w:val="TextBody"/>
        <w:bidi w:val="0"/>
        <w:spacing w:before="0" w:after="0"/>
        <w:ind w:left="0" w:right="0" w:hanging="0"/>
        <w:jc w:val="left"/>
        <w:rPr/>
      </w:pPr>
      <w:r>
        <w:rPr/>
        <w:t>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Below is a description of the 2023 Plan, the ESPP, Complete Solaria’s 2022 Stock Plan (the “</w:t>
      </w:r>
      <w:r>
        <w:rPr>
          <w:rFonts w:ascii="Times New Roman;Times;Serif" w:hAnsi="Times New Roman;Times;Serif"/>
          <w:b/>
          <w:i/>
          <w:caps w:val="false"/>
          <w:smallCaps w:val="false"/>
          <w:sz w:val="20"/>
        </w:rPr>
        <w:t>2022 Plan</w:t>
      </w:r>
      <w:r>
        <w:rPr>
          <w:rFonts w:ascii="Times New Roman;Times;Serif" w:hAnsi="Times New Roman;Times;Serif"/>
          <w:b w:val="false"/>
          <w:i w:val="false"/>
          <w:caps w:val="false"/>
          <w:smallCaps w:val="false"/>
          <w:sz w:val="20"/>
        </w:rPr>
        <w:t>”), Complete Solaria’s 2011 Stock Plan (the “</w:t>
      </w:r>
      <w:r>
        <w:rPr>
          <w:rFonts w:ascii="Times New Roman;Times;Serif" w:hAnsi="Times New Roman;Times;Serif"/>
          <w:b/>
          <w:i/>
          <w:caps w:val="false"/>
          <w:smallCaps w:val="false"/>
          <w:sz w:val="20"/>
        </w:rPr>
        <w:t>2011 Plan</w:t>
      </w:r>
      <w:r>
        <w:rPr>
          <w:rFonts w:ascii="Times New Roman;Times;Serif" w:hAnsi="Times New Roman;Times;Serif"/>
          <w:b w:val="false"/>
          <w:i w:val="false"/>
          <w:caps w:val="false"/>
          <w:smallCaps w:val="false"/>
          <w:sz w:val="20"/>
        </w:rPr>
        <w:t>”), Complete Solaria’s 2016 Stock Plan (the “</w:t>
      </w:r>
      <w:r>
        <w:rPr>
          <w:rFonts w:ascii="Times New Roman;Times;Serif" w:hAnsi="Times New Roman;Times;Serif"/>
          <w:b/>
          <w:i/>
          <w:caps w:val="false"/>
          <w:smallCaps w:val="false"/>
          <w:sz w:val="20"/>
        </w:rPr>
        <w:t>2016 Plan</w:t>
      </w:r>
      <w:r>
        <w:rPr>
          <w:rFonts w:ascii="Times New Roman;Times;Serif" w:hAnsi="Times New Roman;Times;Serif"/>
          <w:b w:val="false"/>
          <w:i w:val="false"/>
          <w:caps w:val="false"/>
          <w:smallCaps w:val="false"/>
          <w:sz w:val="20"/>
        </w:rPr>
        <w:t>”) and Complete Solaria’s 2006 Stock Plan (the “</w:t>
      </w:r>
      <w:r>
        <w:rPr>
          <w:rFonts w:ascii="Times New Roman;Times;Serif" w:hAnsi="Times New Roman;Times;Serif"/>
          <w:b/>
          <w:i/>
          <w:caps w:val="false"/>
          <w:smallCaps w:val="false"/>
          <w:sz w:val="20"/>
        </w:rPr>
        <w:t>2006 Plan</w:t>
      </w:r>
      <w:r>
        <w:rPr>
          <w:rFonts w:ascii="Times New Roman;Times;Serif" w:hAnsi="Times New Roman;Times;Serif"/>
          <w:b w:val="false"/>
          <w:i w:val="false"/>
          <w:caps w:val="false"/>
          <w:smallCaps w:val="false"/>
          <w:sz w:val="20"/>
        </w:rPr>
        <w:t>”). The 2022 Plan is the successor of the 2021 Stock Plan of Legacy Complete Solaria, which was amended and assumed by Complete Solaria in connection with a merger transaction completed prior to the Business Combination by Complete Solaria (the “</w:t>
      </w:r>
      <w:r>
        <w:rPr>
          <w:rFonts w:ascii="Times New Roman;Times;Serif" w:hAnsi="Times New Roman;Times;Serif"/>
          <w:b/>
          <w:i/>
          <w:caps w:val="false"/>
          <w:smallCaps w:val="false"/>
          <w:sz w:val="20"/>
        </w:rPr>
        <w:t>Prior Transaction</w:t>
      </w:r>
      <w:r>
        <w:rPr>
          <w:rFonts w:ascii="Times New Roman;Times;Serif" w:hAnsi="Times New Roman;Times;Serif"/>
          <w:b w:val="false"/>
          <w:i w:val="false"/>
          <w:caps w:val="false"/>
          <w:smallCaps w:val="false"/>
          <w:sz w:val="20"/>
        </w:rPr>
        <w:t>”). The 2011 Plan is the 2011 Stock Plan of Legacy Complete Solaria that was assumed by Complete Solaria in the Prior Transaction. The 2022 Plan, 2016 Plan, 2011 Plan and 2006 Plan are collectively referred to as the “</w:t>
      </w:r>
      <w:r>
        <w:rPr>
          <w:rFonts w:ascii="Times New Roman;Times;Serif" w:hAnsi="Times New Roman;Times;Serif"/>
          <w:b/>
          <w:i/>
          <w:caps w:val="false"/>
          <w:smallCaps w:val="false"/>
          <w:sz w:val="20"/>
        </w:rPr>
        <w:t>Legacy Plans</w:t>
      </w:r>
      <w:r>
        <w:rPr>
          <w:rFonts w:ascii="Times New Roman;Times;Serif" w:hAnsi="Times New Roman;Times;Serif"/>
          <w:b w:val="false"/>
          <w:i w:val="false"/>
          <w:caps w:val="false"/>
          <w:smallCaps w:val="false"/>
          <w:sz w:val="20"/>
        </w:rPr>
        <w:t>”.</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2016 Plan and the 2006 Plan are the stock plans of Solaria that were assumed by Complete Solaria (n/k/a SunPower) in the Prior Transaction.</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2023 Plan</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July 2023, our Board of Directors adopted and our stockholders approved the 2023 Plan. The 2023 Plan became effective immediately upon the closing. At our 2025 annual meeting of stockholders, our stockholders approved the first amendment to the 2023 Plan and at our special meeting of stockholders in March 2026, our stockholders approved the second amendment to the 2023 Plan. As amended, a total of 44,573,109 shares of common stock are reserved for issuance under the 2023 Plan.</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Eligibility.</w:t>
      </w:r>
      <w:r>
        <w:rPr>
          <w:rFonts w:ascii="Times New Roman;Times;Serif" w:hAnsi="Times New Roman;Times;Serif"/>
          <w:b w:val="false"/>
          <w:i w:val="false"/>
          <w:caps w:val="false"/>
          <w:smallCaps w:val="false"/>
          <w:sz w:val="20"/>
        </w:rPr>
        <w:t xml:space="preserve"> Any individual who is an employee of the Company or any of its affiliates, or any person who provides services to the Company or its affiliates, including consultants and members of the Company’s Board, is eligible to receive awards under the 2023 Plan at the discretion of the plan administrator.</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Awards</w:t>
      </w:r>
      <w:r>
        <w:rPr>
          <w:rFonts w:ascii="Times New Roman;Times;Serif" w:hAnsi="Times New Roman;Times;Serif"/>
          <w:b w:val="false"/>
          <w:i w:val="false"/>
          <w:caps w:val="false"/>
          <w:smallCaps w:val="false"/>
          <w:sz w:val="20"/>
        </w:rPr>
        <w:t>. The 2023 Plan provides for the grant of incentive stock options (“</w:t>
      </w:r>
      <w:r>
        <w:rPr>
          <w:rFonts w:ascii="Times New Roman;Times;Serif" w:hAnsi="Times New Roman;Times;Serif"/>
          <w:b/>
          <w:i/>
          <w:caps w:val="false"/>
          <w:smallCaps w:val="false"/>
          <w:sz w:val="20"/>
        </w:rPr>
        <w:t>ISOs</w:t>
      </w:r>
      <w:r>
        <w:rPr>
          <w:rFonts w:ascii="Times New Roman;Times;Serif" w:hAnsi="Times New Roman;Times;Serif"/>
          <w:b w:val="false"/>
          <w:i w:val="false"/>
          <w:caps w:val="false"/>
          <w:smallCaps w:val="false"/>
          <w:sz w:val="20"/>
        </w:rPr>
        <w:t>”), within the meaning of Section 422 of the Code to employees, including employees of any parent or subsidiary, and for the grant of nonstatutory stock options (“</w:t>
      </w:r>
      <w:r>
        <w:rPr>
          <w:rFonts w:ascii="Times New Roman;Times;Serif" w:hAnsi="Times New Roman;Times;Serif"/>
          <w:b/>
          <w:i/>
          <w:caps w:val="false"/>
          <w:smallCaps w:val="false"/>
          <w:sz w:val="20"/>
        </w:rPr>
        <w:t>NSOs</w:t>
      </w:r>
      <w:r>
        <w:rPr>
          <w:rFonts w:ascii="Times New Roman;Times;Serif" w:hAnsi="Times New Roman;Times;Serif"/>
          <w:b w:val="false"/>
          <w:i w:val="false"/>
          <w:caps w:val="false"/>
          <w:smallCaps w:val="false"/>
          <w:sz w:val="20"/>
        </w:rPr>
        <w:t>”), stock appreciation rights, restricted stock awards, restricted stock unit awards, performance awards and other forms of awards to employees, directors and consultants, including employees and consultants of the Company’s affiliates.</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Authorized Shares</w:t>
      </w:r>
      <w:r>
        <w:rPr>
          <w:rFonts w:ascii="Times New Roman;Times;Serif" w:hAnsi="Times New Roman;Times;Serif"/>
          <w:b w:val="false"/>
          <w:i w:val="false"/>
          <w:caps w:val="false"/>
          <w:smallCaps w:val="false"/>
          <w:sz w:val="20"/>
        </w:rPr>
        <w:t>. A maximum number of 44,573,109 shares of the Company’s common stock may be issued under the 2023 Plan (which number of shares of common stock includes additional shares of common stock available for issuance as a result of the automatic increase thereto as of January 1, 2026 as contemplated by the next sentence). In addition, the number of shares of the common stock reserved for issuance under the 2023 Plan will automatically increase on January 1 of each year, starting on January 1, 2024 and ending on January 1, 2033, in an amount equal to the lesser of (1) 4% of the total number of shares of the Company’s common stock outstanding on December 31 of the preceding year, or (2) a lesser number of shares of common stock determined by SunPower’s Board prior to the date of the increase.</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unused shares subject to stock awards granted under the 2023 Plan that expire, lapse or are terminated, exchanged for or settled in cash, surrendered, repurchased, cancelled without having been fully exercised or forfeited, in any case, in a manner that results in the Company acquiring shares covered by the stock award at a price not greater than the price (as adjusted pursuant to the 2023 Plan) paid by the participant for such shares or not issuing any shares covered by the stock award, will, as applicable, become or again be available for stock award grants under the 2023 Plan.</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Non-Employee Director Compensation Limit</w:t>
      </w:r>
      <w:r>
        <w:rPr>
          <w:rFonts w:ascii="Times New Roman;Times;Serif" w:hAnsi="Times New Roman;Times;Serif"/>
          <w:b w:val="false"/>
          <w:i w:val="false"/>
          <w:caps w:val="false"/>
          <w:smallCaps w:val="false"/>
          <w:sz w:val="20"/>
        </w:rPr>
        <w:t>. The aggregate value of all compensation granted or paid to any non-employee director with respect to any calendar year, including awards granted and cash fees paid to such non-employee director, will not exceed (1) $1,000,000 in total value or (2) if such non-employee director is first appointed or elected to the Company’s Board during such calendar year, $1,500,000 in total value, in each case, calculating the value of any equity awards based on the grant date fair value of such equity awards for financial reporting purposes.</w:t>
      </w:r>
    </w:p>
    <w:p>
      <w:pPr>
        <w:pStyle w:val="TextBody"/>
        <w:bidi w:val="0"/>
        <w:spacing w:before="0" w:after="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82</w:t>
      </w:r>
    </w:p>
    <w:p>
      <w:pPr>
        <w:pStyle w:val="TextBody"/>
        <w:bidi w:val="0"/>
        <w:spacing w:before="0" w:after="0"/>
        <w:ind w:left="0" w:right="0" w:hanging="0"/>
        <w:jc w:val="left"/>
        <w:rPr/>
      </w:pPr>
      <w:r>
        <w:rPr/>
        <w:t> </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Plan Administration</w:t>
      </w:r>
      <w:r>
        <w:rPr>
          <w:rFonts w:ascii="Times New Roman;Times;Serif" w:hAnsi="Times New Roman;Times;Serif"/>
          <w:b w:val="false"/>
          <w:i w:val="false"/>
          <w:caps w:val="false"/>
          <w:smallCaps w:val="false"/>
          <w:sz w:val="20"/>
        </w:rPr>
        <w:t>. SunPower’s Board, or a duly authorized committee thereof, will administer the 2023 Plan and is referred to as the “plan administrator” herein. The Company’s Board may also delegate to one or more of the Company’s officers the authority to (1) designate employees (other than officers) to receive specified stock awards and (2) determine the number of shares subject to such stock awards. Under the 2023 Plan, the Company’s Board has the authority to determine award recipients, grant dates, the numbers and types of stock awards to be granted, the applicable fair market value, and the provisions of each stock award, including the period of exercisability and the vesting schedule applicable to a stock award.</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Stock Options</w:t>
      </w:r>
      <w:r>
        <w:rPr>
          <w:rFonts w:ascii="Times New Roman;Times;Serif" w:hAnsi="Times New Roman;Times;Serif"/>
          <w:b w:val="false"/>
          <w:i w:val="false"/>
          <w:caps w:val="false"/>
          <w:smallCaps w:val="false"/>
          <w:sz w:val="20"/>
        </w:rPr>
        <w:t>. ISOs and NSOs are granted under stock option agreements adopted by the plan administrator. The plan administrator determines the exercise price for stock options, within the terms and conditions of the 2023 Plan, provided that the exercise price of a stock option generally cannot be less than 100% of the fair market value of a share of the Company’s common stock on the date of grant. Options granted under the 2023 Plan vest at the rate specified in the stock option agreement as determined by the plan administrator.</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plan administrator determines the term of stock options granted under the 2023 Plan, up to a maximum of 10 years. Unless the terms of an optionholder’s stock option agreement provide otherwise or as otherwise provided by the plan administrator, if an optionholder’s service relationship with the Company or any of the Company’s affiliates ceases for any reason other than disability, death, or cause, the optionholder may generally exercise any vested options for a period of three months following the cessation of service. This period may be extended in the event that exercise of the option is prohibited by applicable securities laws. Unless the terms of an optionholder’s stock option agreement provide otherwise or as otherwise provided by the plan administrator, if an optionholder’s service relationship with the Company or any of the Company’s affiliates ceases due to death or disability, or an optionholder dies within a certain period following cessation of service, the optionholder or a beneficiary may generally exercise any vested options for a period of 18 months following the date of death, or 12 months following the date of disability. In the event of a termination for cause, options generally terminate upon the termination date. In no event may an option be exercised beyond the expiration of its term.</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Acceptable consideration for the purchase of the Company’s common stock issued upon the exercise of a stock option will be determined by the plan administrator and may include (1) cash, check, bank draft or money order, (2) a broker-assisted cashless exercise, (3) the tender of shares of the Company’s common stock previously owned by the optionholder, (4) a net exercise of the option if it is an NSO or (5) other legal consideration approved by the plan administrator.</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Unless the plan administrator provides otherwise, options and stock appreciation rights generally are not transferable except by will or the laws of descent and distribution. Subject to approval of the plan administrator or a duly authorized officer, an option may be transferred pursuant to a domestic relations order.</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Tax Limitations on ISOs</w:t>
      </w:r>
      <w:r>
        <w:rPr>
          <w:rFonts w:ascii="Times New Roman;Times;Serif" w:hAnsi="Times New Roman;Times;Serif"/>
          <w:b w:val="false"/>
          <w:i w:val="false"/>
          <w:caps w:val="false"/>
          <w:smallCaps w:val="false"/>
          <w:sz w:val="20"/>
        </w:rPr>
        <w:t>. The aggregate fair market value, determined at the time of grant, of the Company’s common stock with respect to ISOs that are exercisable for the first time by an award holder during any calendar year under all of the Company’s stock plans may not exceed $100,000. Options or portions thereof that exceed such limit will generally be treated as NSOs. No ISO may be granted to any person who, at the time of the grant, owns or is deemed to own stock possessing more than 10% of the Company’s total combined voting power or that of any of the Company’s parent or subsidiary corporations unless (1) the option exercise price is at least 110% of the fair market value of the stock subject to the option on the date of grant and (2) the term of the ISO does not exceed five years from the date of grant.</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Restricted Stock Unit Awards</w:t>
      </w:r>
      <w:r>
        <w:rPr>
          <w:rFonts w:ascii="Times New Roman;Times;Serif" w:hAnsi="Times New Roman;Times;Serif"/>
          <w:b w:val="false"/>
          <w:i w:val="false"/>
          <w:caps w:val="false"/>
          <w:smallCaps w:val="false"/>
          <w:sz w:val="20"/>
        </w:rPr>
        <w:t>. Restricted stock unit awards are granted under restricted stock unit award agreements adopted by the plan administrator. Restricted stock unit awards will generally be granted in consideration for a participant’s services, but may be granted in consideration for any form of legal consideration that may be acceptable to the plan administrator and permissible under applicable law. A restricted stock unit award may be settled by cash, delivery of shares of the Company’s common stock, a combination of cash and shares of the Company’s Common Stock as determined by the plan administrator, or in any other form of consideration set forth in the restricted stock unit award agreement. Additionally, dividend equivalents may be credited in respect of shares covered by a restricted stock unit award. Except as otherwise provided in the applicable award agreement or by the plan administrator, restricted stock unit awards that have not vested will be forfeited once the participant’s continuous service ends for any reason.</w:t>
      </w:r>
    </w:p>
    <w:p>
      <w:pPr>
        <w:pStyle w:val="TextBody"/>
        <w:bidi w:val="0"/>
        <w:spacing w:before="0" w:after="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83</w:t>
      </w:r>
    </w:p>
    <w:p>
      <w:pPr>
        <w:pStyle w:val="TextBody"/>
        <w:bidi w:val="0"/>
        <w:spacing w:before="0" w:after="0"/>
        <w:ind w:left="0" w:right="0" w:hanging="0"/>
        <w:jc w:val="left"/>
        <w:rPr/>
      </w:pPr>
      <w:r>
        <w:rPr/>
        <w:t> </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Restricted Stock Awards</w:t>
      </w:r>
      <w:r>
        <w:rPr>
          <w:rFonts w:ascii="Times New Roman;Times;Serif" w:hAnsi="Times New Roman;Times;Serif"/>
          <w:b w:val="false"/>
          <w:i w:val="false"/>
          <w:caps w:val="false"/>
          <w:smallCaps w:val="false"/>
          <w:sz w:val="20"/>
        </w:rPr>
        <w:t>. Restricted stock awards are granted under restricted stock award agreements adopted by the plan administrator. A restricted stock award may be awarded in consideration for cash, check, bank draft or money order, services to us, or any other form of legal consideration that may be acceptable to the plan administrator and permissible under applicable law. The plan administrator determines the terms and conditions of restricted stock awards, including vesting and forfeiture terms. If a participant’s service relationship with the Company ends for any reason, the Company may receive any or all of the shares of the Company’s Common Stock held by the participant that have not vested as of the date the participant terminates service with the Company through a forfeiture condition or a repurchase right.</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Stock Appreciation Rights</w:t>
      </w:r>
      <w:r>
        <w:rPr>
          <w:rFonts w:ascii="Times New Roman;Times;Serif" w:hAnsi="Times New Roman;Times;Serif"/>
          <w:b w:val="false"/>
          <w:i w:val="false"/>
          <w:caps w:val="false"/>
          <w:smallCaps w:val="false"/>
          <w:sz w:val="20"/>
        </w:rPr>
        <w:t>. Stock appreciation rights are granted under stock appreciation rights agreements adopted by the plan administrator. The plan administrator determines the strike price for a stock appreciation right, which generally cannot be less than 100% of the fair market value of the Company’s Common Stock on the date of grant. A stock appreciation right granted under the 2023 Plan vests at the rate specified in the stock appreciation rights agreement as determined by the plan administrator. Stock appreciation rights may be settled in cash or shares of the Company’s Common Stock or in any other form of payment, as determined by the plan administrator and specified in the stock appreciation rights agreement.</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plan administrator determines the term of stock appreciation rights granted under the 2023 Plan, up to a maximum of 10 years. Unless the terms of a participant’s stock appreciation rights agreement provide otherwise or as otherwise provided by the plan administrator, if a participant’s service relationship with the Company or any of its affiliates ceases for any reason other than cause, disability, or death, the participant may generally exercise any vested stock appreciation right for a period of three months following the cessation of service. This period may be further extended in the event that exercise of the stock appreciation right following such a termination of service is prohibited by applicable securities laws. Unless the terms of a participant’s stock appreciation rights agreement provide otherwise or as otherwise provided by the plan administrator, if a participant’s service relationship with the Company or any of its affiliates, ceases due to disability or death, or a participant dies within a certain period following cessation of service, the participant or a beneficiary may generally exercise any vested stock appreciation right for a period of 12 months in the event of disability and 18 months in the event of death. In the event of a termination for cause, stock appreciation rights generally terminate immediately upon the occurrence of the event giving rise to the termination of the individual for cause. In no event may a stock appreciation right be exercised beyond the expiration of its term.</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Performance Awards</w:t>
      </w:r>
      <w:r>
        <w:rPr>
          <w:rFonts w:ascii="Times New Roman;Times;Serif" w:hAnsi="Times New Roman;Times;Serif"/>
          <w:b w:val="false"/>
          <w:i w:val="false"/>
          <w:caps w:val="false"/>
          <w:smallCaps w:val="false"/>
          <w:sz w:val="20"/>
        </w:rPr>
        <w:t>. The 2023 Plan permits the grant of performance awards that may be settled in stock, cash or other property. Performance awards may be structured so that the stock or cash will be issued or paid only following the achievement of certain pre-established performance goals during a designated performance period. Performance awards that are settled in cash or other property are not required to be valued in whole or in part by reference to, or otherwise based on, the Company’s common stock.</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Other Stock Awards</w:t>
      </w:r>
      <w:r>
        <w:rPr>
          <w:rFonts w:ascii="Times New Roman;Times;Serif" w:hAnsi="Times New Roman;Times;Serif"/>
          <w:b w:val="false"/>
          <w:i w:val="false"/>
          <w:caps w:val="false"/>
          <w:smallCaps w:val="false"/>
          <w:sz w:val="20"/>
        </w:rPr>
        <w:t>. The plan administrator may grant other awards based in whole or in part by reference to the Company’s common stock. The plan administrator will set the number of shares under the stock award (or cash equivalent) and all other terms and conditions of such awards.</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Changes to Capital Structure</w:t>
      </w:r>
      <w:r>
        <w:rPr>
          <w:rFonts w:ascii="Times New Roman;Times;Serif" w:hAnsi="Times New Roman;Times;Serif"/>
          <w:b w:val="false"/>
          <w:i w:val="false"/>
          <w:caps w:val="false"/>
          <w:smallCaps w:val="false"/>
          <w:sz w:val="20"/>
        </w:rPr>
        <w:t>. In the event there is a specified type of change in the capital structure of the Company, such as a stock split, reverse stock split, or recapitalization, appropriate adjustments will be made to (1) the class and maximum number of shares subject to the 2023 Plan, (2) the class(es) and maximum number of shares that may be issued pursuant to the exercise of incentive stock options, and (3) the class and number of shares and exercise price, strike price, or purchase price, if applicable, of all outstanding stock awards.</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Corporate Transactions</w:t>
      </w:r>
      <w:r>
        <w:rPr>
          <w:rFonts w:ascii="Times New Roman;Times;Serif" w:hAnsi="Times New Roman;Times;Serif"/>
          <w:b w:val="false"/>
          <w:i w:val="false"/>
          <w:caps w:val="false"/>
          <w:smallCaps w:val="false"/>
          <w:sz w:val="20"/>
        </w:rPr>
        <w:t>. The following applies to stock awards under the 2023 Plan in the event of a corporate transaction (as defined in the 2023 Plan), unless otherwise provided in a participant’s stock award agreement or other written agreement with the Company or one of its affiliates or unless otherwise expressly provided by the plan administrator at the time of grant.</w:t>
      </w:r>
    </w:p>
    <w:p>
      <w:pPr>
        <w:pStyle w:val="TextBody"/>
        <w:bidi w:val="0"/>
        <w:spacing w:before="0" w:after="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84</w:t>
      </w:r>
    </w:p>
    <w:p>
      <w:pPr>
        <w:pStyle w:val="TextBody"/>
        <w:bidi w:val="0"/>
        <w:spacing w:before="0" w:after="0"/>
        <w:ind w:left="0" w:right="0" w:hanging="0"/>
        <w:jc w:val="left"/>
        <w:rPr/>
      </w:pPr>
      <w:r>
        <w:rPr/>
        <w:t> </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event of a corporate transaction, any stock awards outstanding under the 2023 Plan may be assumed, or continued by any surviving or acquiring corporation (or its parent company), or new awards may be issued by such surviving or acquiring corporation (or its parent company) in substitution of such awards, and any reacquisition or repurchase rights held by the Company with respect to the stock award may be assigned to the Company’s successor (or its parent company). If the surviving or acquiring corporation (or its parent company) does not assume, continue or substitute such stock awards, then with respect to any such stock awards that are held by participants whose continuous service has not terminated prior to the effective time of the corporate transaction, or current participants, the vesting (and exercisability, if applicable) of such stock awards will be accelerated in full (or, in the case of performance awards with multiple vesting levels depending on the level of performance, vesting will accelerate at 100% of the target level) to a date prior to the effective time of the corporate transaction (contingent upon the effectiveness of the corporate transaction), and such stock awards will terminate if not exercised (if applicable) at or prior to the effective time of the corporate transaction, and any reacquisition or repurchase rights held by the Company with respect to such stock awards will lapse (contingent upon the effectiveness of the corporate transaction). Any such stock awards that are held by persons other than current participants will terminate if not exercised (if applicable) prior to the effective time of the corporate transaction, except that any reacquisition or repurchase rights held by the Company with respect to such stock awards will not terminate and may continue to be exercised notwithstanding the corporate transaction.</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event a stock award will terminate if not exercised prior to the effective time of a corporate transaction, the plan administrator may provide, in its sole discretion, that the holder of such stock award may not exercise such stock award but instead will receive a payment equal in value to the excess (if any) of (i) the per share amount payable to holders of the Company’s common stock in connection with the corporate transaction, over (ii) if applicable, any per share exercise price payable by such holder.</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Plan Amendment or Termination</w:t>
      </w:r>
      <w:r>
        <w:rPr>
          <w:rFonts w:ascii="Times New Roman;Times;Serif" w:hAnsi="Times New Roman;Times;Serif"/>
          <w:b w:val="false"/>
          <w:i w:val="false"/>
          <w:caps w:val="false"/>
          <w:smallCaps w:val="false"/>
          <w:sz w:val="20"/>
        </w:rPr>
        <w:t>. The Company’s Board has the authority to amend, suspend, or terminate the 2023 Plan at any time, provided that such action does not materially impair the existing rights of any participant without such participant’s written consent. Certain material amendments also require approval of the Company’s stockholders. No ISOs may be granted after the tenth anniversary of the date the Board adopts the 2023 Plan. No stock awards may be granted under the 2023 Plan while it is suspended or after it is terminated.</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Complete Solaria 2023 Employee Stock Purchase Plan</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July 2023, our Board of Directors adopted and our stockholders approved the 2023 Employee Stock Purchase Plan (the “</w:t>
      </w:r>
      <w:r>
        <w:rPr>
          <w:rFonts w:ascii="Times New Roman;Times;Serif" w:hAnsi="Times New Roman;Times;Serif"/>
          <w:b/>
          <w:i/>
          <w:caps w:val="false"/>
          <w:smallCaps w:val="false"/>
          <w:sz w:val="20"/>
        </w:rPr>
        <w:t>ESPP</w:t>
      </w:r>
      <w:r>
        <w:rPr>
          <w:rFonts w:ascii="Times New Roman;Times;Serif" w:hAnsi="Times New Roman;Times;Serif"/>
          <w:b w:val="false"/>
          <w:i w:val="false"/>
          <w:caps w:val="false"/>
          <w:smallCaps w:val="false"/>
          <w:sz w:val="20"/>
        </w:rPr>
        <w:t>”). The ESPP became effective immediately upon the Closing of the Business Combination.</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 xml:space="preserve">Administration. </w:t>
      </w:r>
      <w:r>
        <w:rPr>
          <w:rFonts w:ascii="Times New Roman;Times;Serif" w:hAnsi="Times New Roman;Times;Serif"/>
          <w:b w:val="false"/>
          <w:i w:val="false"/>
          <w:caps w:val="false"/>
          <w:smallCaps w:val="false"/>
          <w:sz w:val="20"/>
        </w:rPr>
        <w:t>The Board of Directors, or a duly authorized committee thereof, administers the ESPP.</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 xml:space="preserve">Limitations. </w:t>
      </w:r>
      <w:r>
        <w:rPr>
          <w:rFonts w:ascii="Times New Roman;Times;Serif" w:hAnsi="Times New Roman;Times;Serif"/>
          <w:b w:val="false"/>
          <w:i w:val="false"/>
          <w:caps w:val="false"/>
          <w:smallCaps w:val="false"/>
          <w:sz w:val="20"/>
        </w:rPr>
        <w:t>Our employees and the employees of any of our designated affiliates, as designated by the Board of Directors, will be eligible to participate in the ESPP, provided they may have to satisfy one or more of the following service requirements before participating in the ESPP, as determined by the administrator: (1) customary employment with the Company or one of its affiliates for more than 20 hours per week and five or more months per calendar year or (2) continuous employment with the Company or one of its affiliates for a minimum period of time, not to exceed two years, prior to the first date of an offering. In addition, the Board of Directors may also exclude from participation in the ESPP or any offering, employees who are “highly compensated employees” (within the meaning of Section 423(b)(4)(D) of the Code) or a subset of such highly compensated employees. An employee may not be granted rights to purchase stock under the ESPP (a) if such employee immediately after the grant would own stock possessing 5% or more of the total combined voting power or value of all classes of the Company’s common stock or (b) to the extent that such rights would accrue at a rate that exceeds $25,000 worth of the Company’s common stock for each calendar year that the rights remain outstanding.</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ESPP is intended to qualify as an employee stock purchase plan under Section 423 of the Code. The administrator may specify offerings with a duration of not more than 27 months and may specify one or more shorter purchase periods within each offering. Each offering will have one or more purchase dates on which shares of the Company’s common stock will be purchased for the employees who are participating in the offering. The administrator, in its discretion, will determine the terms of offerings under the ESPP. The administrator has the discretion to structure an offering so that if the fair market value of a share of the Company’s common stock on any purchase date during the offering period is less than or equal to the fair market value of a share of the Company’s common stock on the first day of the offering period, then that offering will terminate immediately, and the participants in such terminated offering will be automatically enrolled in a new offering that begins immediately after such purchase date.</w:t>
      </w:r>
    </w:p>
    <w:p>
      <w:pPr>
        <w:pStyle w:val="TextBody"/>
        <w:bidi w:val="0"/>
        <w:spacing w:before="0" w:after="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85</w:t>
      </w:r>
    </w:p>
    <w:p>
      <w:pPr>
        <w:pStyle w:val="TextBody"/>
        <w:bidi w:val="0"/>
        <w:spacing w:before="0" w:after="0"/>
        <w:ind w:left="0" w:right="0" w:hanging="0"/>
        <w:jc w:val="left"/>
        <w:rPr/>
      </w:pPr>
      <w:r>
        <w:rPr/>
        <w:t> </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participant may not transfer purchase rights under the ESPP other than by will, the laws of descent and distribution, or as otherwise provided under the ESPP.</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 xml:space="preserve">Payroll Deductions. </w:t>
      </w:r>
      <w:r>
        <w:rPr>
          <w:rFonts w:ascii="Times New Roman;Times;Serif" w:hAnsi="Times New Roman;Times;Serif"/>
          <w:b w:val="false"/>
          <w:i w:val="false"/>
          <w:caps w:val="false"/>
          <w:smallCaps w:val="false"/>
          <w:sz w:val="20"/>
        </w:rPr>
        <w:t>The ESPP permits participants to purchase shares of the Company’s common stock through payroll deductions. Unless otherwise determined by the administrator, the purchase price of the shares will be 85% of the lower of the fair market value of the Company’s common stock on the first day of an offering or on the date of purchase. Participants may end their participation at any time during an offering and will be paid their accrued contributions that have not yet been used to purchase shares, without interest. Participation ends automatically upon termination of employment with the Company and its related corporations.</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 xml:space="preserve">Withdrawal. </w:t>
      </w:r>
      <w:r>
        <w:rPr>
          <w:rFonts w:ascii="Times New Roman;Times;Serif" w:hAnsi="Times New Roman;Times;Serif"/>
          <w:b w:val="false"/>
          <w:i w:val="false"/>
          <w:caps w:val="false"/>
          <w:smallCaps w:val="false"/>
          <w:sz w:val="20"/>
        </w:rPr>
        <w:t>Participants may withdraw from an offering by delivering a withdrawal form to the Company and terminating their contributions. Such withdrawal may be elected at any time prior to the end of an offering, except as otherwise provided by the plan Administrator. Upon such withdrawal, the Company will distribute to the employee his or her accumulated but unused contributions without interest, and such employee’s right to participate in that offering will terminate. However, an employee’s withdrawal from an offering does not affect such employee’s eligibility to participate in any other offerings under the ESPP.</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 xml:space="preserve">Termination of Employment. </w:t>
      </w:r>
      <w:r>
        <w:rPr>
          <w:rFonts w:ascii="Times New Roman;Times;Serif" w:hAnsi="Times New Roman;Times;Serif"/>
          <w:b w:val="false"/>
          <w:i w:val="false"/>
          <w:caps w:val="false"/>
          <w:smallCaps w:val="false"/>
          <w:sz w:val="20"/>
        </w:rPr>
        <w:t>A participant’s rights under any offering under the ESPP will terminate immediately if the participant either (i) is no longer employed by the Company or any of its parent or subsidiary companies (subject to any post-employment participation period required by law) or (ii) is otherwise no longer eligible to participate. In such event, the Company will distribute to the participant his or her accumulated but unused contributions, without interest.</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 xml:space="preserve">Corporate Transactions. </w:t>
      </w:r>
      <w:r>
        <w:rPr>
          <w:rFonts w:ascii="Times New Roman;Times;Serif" w:hAnsi="Times New Roman;Times;Serif"/>
          <w:b w:val="false"/>
          <w:i w:val="false"/>
          <w:caps w:val="false"/>
          <w:smallCaps w:val="false"/>
          <w:sz w:val="20"/>
        </w:rPr>
        <w:t>In the event of certain specified significant corporate transactions, such as a merger or change in control, a successor corporation may assume, continue, or substitute each outstanding purchase right. If the successor corporation does not assume, continue, or substitute for the outstanding purchase rights, the offering in progress will be shortened and the participants’ accumulated contributions will be used to purchase shares of the Company’s common stock within ten business days (or such other period specified by the plan administrator) prior to the corporate transaction, and the participants’ purchase rights will terminate immediately thereafter.</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 xml:space="preserve">Amendment and Termination. </w:t>
      </w:r>
      <w:r>
        <w:rPr>
          <w:rFonts w:ascii="Times New Roman;Times;Serif" w:hAnsi="Times New Roman;Times;Serif"/>
          <w:b w:val="false"/>
          <w:i w:val="false"/>
          <w:caps w:val="false"/>
          <w:smallCaps w:val="false"/>
          <w:sz w:val="20"/>
        </w:rPr>
        <w:t>The Board of Directors has the authority to amend, suspend, or terminate the ESPP, at any time and for any reason, provided certain types of amendments will require the approval of the Company’s stockholders. Any benefits, privileges, entitlements and obligations under any outstanding purchase rights granted before an amendment, suspension or termination of the ESPP will not be materially impaired by any such amendment, suspension or termination except (i) with the consent of the person to whom such purchase rights were granted, (ii) as necessary to facilitate compliance with any laws, listing requirements, or governmental regulations, or (iii) as necessary to obtain or maintain favorable tax, listing, or regulatory treatment. The ESPP will remain in effect until terminated by the Board of Directors in accordance with the terms of the ESPP.</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2022 Plan</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 xml:space="preserve">Background; Termination and No Further Grants Under 2022 Stock Plan. </w:t>
      </w:r>
      <w:r>
        <w:rPr>
          <w:rFonts w:ascii="Times New Roman;Times;Serif" w:hAnsi="Times New Roman;Times;Serif"/>
          <w:b w:val="false"/>
          <w:i w:val="false"/>
          <w:caps w:val="false"/>
          <w:smallCaps w:val="false"/>
          <w:sz w:val="20"/>
        </w:rPr>
        <w:t>Complete Solaria’s Board of Directors adopted, and Complete Solaria’s stockholders approved, the 2022 Plan in October 2022 in connection with the Prior Transaction. The 2022 Plan amended and restated Legacy Complete Solaria’s 2021 Stock Plan.</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2022 Plan terminated when the 2023 Plan became effective upon the consummation of the Business Combination. However, any outstanding awards granted under the 2022 Plan remain outstanding, subject to the terms of Complete Solaria’s 2022 Plan and award agreements, until such outstanding options are exercised or until any awards terminate or expire by their terms.</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December 28, 2025, there were outstanding awards relating to 305,749 shares of the Company’s common stock under the 2022 Plan and the other Legacy Plans, collectively.</w:t>
      </w:r>
    </w:p>
    <w:p>
      <w:pPr>
        <w:pStyle w:val="TextBody"/>
        <w:bidi w:val="0"/>
        <w:spacing w:before="0" w:after="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86</w:t>
      </w:r>
    </w:p>
    <w:p>
      <w:pPr>
        <w:pStyle w:val="TextBody"/>
        <w:bidi w:val="0"/>
        <w:spacing w:before="0" w:after="0"/>
        <w:ind w:left="0" w:right="0" w:hanging="0"/>
        <w:jc w:val="left"/>
        <w:rPr/>
      </w:pPr>
      <w:r>
        <w:rPr/>
        <w:t> </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 xml:space="preserve">Stock Awards. </w:t>
      </w:r>
      <w:r>
        <w:rPr>
          <w:rFonts w:ascii="Times New Roman;Times;Serif" w:hAnsi="Times New Roman;Times;Serif"/>
          <w:b w:val="false"/>
          <w:i w:val="false"/>
          <w:caps w:val="false"/>
          <w:smallCaps w:val="false"/>
          <w:sz w:val="20"/>
        </w:rPr>
        <w:t>The 2022 Plan provides for the grant of incentive stock options (“</w:t>
      </w:r>
      <w:r>
        <w:rPr>
          <w:rFonts w:ascii="Times New Roman;Times;Serif" w:hAnsi="Times New Roman;Times;Serif"/>
          <w:b/>
          <w:i/>
          <w:caps w:val="false"/>
          <w:smallCaps w:val="false"/>
          <w:sz w:val="20"/>
        </w:rPr>
        <w:t>ISOs</w:t>
      </w:r>
      <w:r>
        <w:rPr>
          <w:rFonts w:ascii="Times New Roman;Times;Serif" w:hAnsi="Times New Roman;Times;Serif"/>
          <w:b w:val="false"/>
          <w:i w:val="false"/>
          <w:caps w:val="false"/>
          <w:smallCaps w:val="false"/>
          <w:sz w:val="20"/>
        </w:rPr>
        <w:t>”) and nonstatutory stock options to purchase shares of the Company’s common stock and restricted stock awards (collectively, “</w:t>
      </w:r>
      <w:r>
        <w:rPr>
          <w:rFonts w:ascii="Times New Roman;Times;Serif" w:hAnsi="Times New Roman;Times;Serif"/>
          <w:b/>
          <w:i/>
          <w:caps w:val="false"/>
          <w:smallCaps w:val="false"/>
          <w:sz w:val="20"/>
        </w:rPr>
        <w:t>stock awards</w:t>
      </w:r>
      <w:r>
        <w:rPr>
          <w:rFonts w:ascii="Times New Roman;Times;Serif" w:hAnsi="Times New Roman;Times;Serif"/>
          <w:b w:val="false"/>
          <w:i w:val="false"/>
          <w:caps w:val="false"/>
          <w:smallCaps w:val="false"/>
          <w:sz w:val="20"/>
        </w:rPr>
        <w:t>”). ISOs may be granted only to the Company’s employees and the employees of any parent corporation or subsidiary corporation. All other awards may be granted to the Company’s employees, non-employee directors and consultants and the employees and consultants of the Company’s affiliates.</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 stock award granted under the 2022 Plan expires or otherwise terminates without being exercised in full, or is settled in cash, the shares of the Company’s common stock not acquired pursuant to the stock award again will become available for subsequent issuance under the 2022 Plan (in the event that the 2023 Plan does not become effective as described in the preceding paragraph). In addition, the following types of shares of the Company’s common stock under the 2022 Plan may become available for the grant of new stock awards under the 2022 Plan: (1) shares that are forfeited to or repurchased by the Company prior to becoming fully vested; (2) shares retained to satisfy income or employment withholding taxes; (3) shares retained to pay the exercise or purchase price of a stock award; or (4) shares surrendered pursuant to an option exchange program.</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 xml:space="preserve">Administration. </w:t>
      </w:r>
      <w:r>
        <w:rPr>
          <w:rFonts w:ascii="Times New Roman;Times;Serif" w:hAnsi="Times New Roman;Times;Serif"/>
          <w:b w:val="false"/>
          <w:i w:val="false"/>
          <w:caps w:val="false"/>
          <w:smallCaps w:val="false"/>
          <w:sz w:val="20"/>
        </w:rPr>
        <w:t>The Board of Directors, or a duly authorized committee thereof, has the authority to administer the 2022 Plan. The Board of Directors may also delegate to one or more officers the authority to (1) designate employees (other than other officers or directors) to be recipients of certain stock awards, and (2) grant stock awards to such individuals within parameters specified by the Board of Directors. Subject to the terms of the 2022 Plan, the plan administrator determines the award recipients, dates of grant, the numbers and types of stock awards to be granted and the applicable fair market value and the provisions of the stock awards, including the period of their exercisability, the vesting schedule applicable to a stock award and any repurchase rights that may apply. The plan administrator has the authority to modify outstanding awards, including reducing the exercise, purchase or strike price of any outstanding stock award, canceling any outstanding stock award in exchange for new stock awards, cash or other consideration or taking any other action that is treated as a repricing under generally accepted accounting principles, with the consent of any adversely affected participant.</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 xml:space="preserve">Stock Options. </w:t>
      </w:r>
      <w:r>
        <w:rPr>
          <w:rFonts w:ascii="Times New Roman;Times;Serif" w:hAnsi="Times New Roman;Times;Serif"/>
          <w:b w:val="false"/>
          <w:i w:val="false"/>
          <w:caps w:val="false"/>
          <w:smallCaps w:val="false"/>
          <w:sz w:val="20"/>
        </w:rPr>
        <w:t>ISOs and NSOs are granted pursuant to stock option agreements adopted by the plan administrator. The plan administrator determines the exercise price for a stock option, provided that the exercise price of a stock option generally cannot be less than 100% of the fair market value of the Company’s common stock on the date of grant. Options granted under the 2022 Plan vest at the rate specified by the plan administrator.</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plan administrator determines the term of stock options granted under the 2022 Plan, up to a maximum of ten years. Unless the terms of an optionholder’s stock option agreement provide otherwise, if an optionholder’s service relationship with us, or any of the Company’s affiliates, ceases for any reason other than disability, death or cause, the optionholder may generally exercise any vested options for a period of three months following the cessation of service. The option term may be extended in the event that the exercise of the option following such a termination of service is prohibited by applicable securities laws. If an optionholder’s service relationship with the Company or any of its affiliates ceases due to disability or death, or an optionholder dies within 3 months following cessation of service, the optionholder or a beneficiary may generally exercise any vested options for a period of 12 months following such disability or death. In the event of a termination for cause, options generally terminate immediately upon the termination of the individual for cause. In no event may an option be exercised beyond the expiration of its term.</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Acceptable consideration for the purchase of the Company’s common stock issued upon the exercise of a stock option will be determined by the plan administrator and may include: (1) cash; (2) check; (3) to the extent permitted under applicable laws, a promissory note; (4) cancellation of indebtedness; (5) other previously owned Company shares; (6) a cashless exercise; (7) such other consideration and method of payment permitted under applicable laws; or (8) any combination of the foregoing methods of payment.</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 xml:space="preserve">Tax Limitations on Incentive Stock Options. </w:t>
      </w:r>
      <w:r>
        <w:rPr>
          <w:rFonts w:ascii="Times New Roman;Times;Serif" w:hAnsi="Times New Roman;Times;Serif"/>
          <w:b w:val="false"/>
          <w:i w:val="false"/>
          <w:caps w:val="false"/>
          <w:smallCaps w:val="false"/>
          <w:sz w:val="20"/>
        </w:rPr>
        <w:t>The aggregate fair market value, determined at the time of grant, of the Company’s common stock with respect to ISOs that are exercisable for the first time by an optionholder during any calendar year under all the Company’s stock plans may not exceed $100,000. Options or portions thereof that exceed such limit will generally be treated as NSOs. No ISO may be granted to any person who, at the time of the grant, owns or is deemed to own stock possessing more than 10% of the total combined voting power of the Company or that of any of its affiliates unless (1) the option exercise price is at least 110% of the fair market value of the stock subject to the option on the date of grant and (2) the term of the ISO does not exceed five years from the date of grant.</w:t>
      </w:r>
    </w:p>
    <w:p>
      <w:pPr>
        <w:pStyle w:val="TextBody"/>
        <w:bidi w:val="0"/>
        <w:spacing w:before="0" w:after="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87</w:t>
      </w:r>
    </w:p>
    <w:p>
      <w:pPr>
        <w:pStyle w:val="TextBody"/>
        <w:bidi w:val="0"/>
        <w:spacing w:before="0" w:after="0"/>
        <w:ind w:left="0" w:right="0" w:hanging="0"/>
        <w:jc w:val="left"/>
        <w:rPr/>
      </w:pPr>
      <w:r>
        <w:rPr/>
        <w:t> </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 xml:space="preserve">Incentive Stock Option Limit. </w:t>
      </w:r>
      <w:r>
        <w:rPr>
          <w:rFonts w:ascii="Times New Roman;Times;Serif" w:hAnsi="Times New Roman;Times;Serif"/>
          <w:b w:val="false"/>
          <w:i w:val="false"/>
          <w:caps w:val="false"/>
          <w:smallCaps w:val="false"/>
          <w:sz w:val="20"/>
        </w:rPr>
        <w:t>The maximum number of shares of the Company’s common stock that may be issued upon the exercise of ISOs under the 2022 Plan is 6,677,960 shares plus, to the extent permitted by applicable law, any shares that again become available for issuance under the 2022 Plan.</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 xml:space="preserve">Restricted Stock Awards. </w:t>
      </w:r>
      <w:r>
        <w:rPr>
          <w:rFonts w:ascii="Times New Roman;Times;Serif" w:hAnsi="Times New Roman;Times;Serif"/>
          <w:b w:val="false"/>
          <w:i w:val="false"/>
          <w:caps w:val="false"/>
          <w:smallCaps w:val="false"/>
          <w:sz w:val="20"/>
        </w:rPr>
        <w:t>Restricted stock awards are granted pursuant to restricted stock award agreements adopted by the plan administrator. The permissible consideration for restricted stock awards is the same as apply to stock options. Common stock acquired under a restricted stock award may, but need not, be subject to a share repurchase option in the Company’s favor in accordance with a vesting schedule to be determined by the plan administrator. A restricted stock award may be transferred only upon such terms and conditions as set by the plan administrator. Except as otherwise provided in the applicable award agreement, restricted stock awards that have not vested may be forfeited or repurchased by the Company upon the participant’s cessation of continuous service for any reason.</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 xml:space="preserve">Changes to Capital Structure. </w:t>
      </w:r>
      <w:r>
        <w:rPr>
          <w:rFonts w:ascii="Times New Roman;Times;Serif" w:hAnsi="Times New Roman;Times;Serif"/>
          <w:b w:val="false"/>
          <w:i w:val="false"/>
          <w:caps w:val="false"/>
          <w:smallCaps w:val="false"/>
          <w:sz w:val="20"/>
        </w:rPr>
        <w:t>In the event that there is a specified type of change in the Company’s capital structure, including without limitation a stock split or recapitalization, extraordinary divided payable in a form other than shares in an amount that has a material effect on the fair market value of the Company’s common stock, or any increase or decrease in the number of issued shares effected without receipt of consideration by the Company, appropriate adjustments will be made to (1) the class and maximum number of shares reserved for issuance under the 2022 Plan, and (2) the class and number of shares and price per share of stock (including any repurchase price per share) subject to outstanding stock awards.</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 xml:space="preserve">Corporate Transactions. </w:t>
      </w:r>
      <w:r>
        <w:rPr>
          <w:rFonts w:ascii="Times New Roman;Times;Serif" w:hAnsi="Times New Roman;Times;Serif"/>
          <w:b w:val="false"/>
          <w:i w:val="false"/>
          <w:caps w:val="false"/>
          <w:smallCaps w:val="false"/>
          <w:sz w:val="20"/>
        </w:rPr>
        <w:t>The 2022 Plan provides that in the event of certain specified significant corporate transactions, unless otherwise provided in an award agreement or other written agreement between the Company and the award holder, each outstanding award (vested or unvested) will be treated as the plan administrator determines, including (without limitation) taking one or more of the following actions with respect to each stock award, contingent upon the closing or completion of the transaction: (1) arranging for the assumption, continuation or substitution of the stock award by a successor corporation, (2) arranging for the assignment of any reacquisition or repurchase rights held by the Company in respect of the Company’s common stock issued pursuant to the stock award to a successor corporation, or (3) canceling the stock award in exchange for a cash payment, or no payment, as determined by the plan administrator (including a payment equal to the excess, if any, of the fair market value of the shares as of the closing date of such corporate transaction over any exercise or purchase price payable by the holder (which payment may be delayed to the same extent that payment of consideration to the holders of the Company’s common stock in connection with the transaction is delayed as a result of any escrow, holdback, earnout or similar contingencies). The plan administrator is not obligated to treat all stock awards or portions thereof in the same manner, and the plan administrator may take different actions with respect to the vested and unvested portions of a stock award.</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the 2022 Plan, a significant corporate transaction is generally the consummation of (1) a transfer of all or substantially all of the Company’s assets, (2) the consummation of a transaction, or series of related transactions, in which any person becomes the beneficial owners of more than 50% of the Company’s then-outstanding capital stock, or (3) a merger, consolidation or other capital reorganization or business combination transaction of the Company with our into another corporation, entity or person.</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 xml:space="preserve">Transferability. </w:t>
      </w:r>
      <w:r>
        <w:rPr>
          <w:rFonts w:ascii="Times New Roman;Times;Serif" w:hAnsi="Times New Roman;Times;Serif"/>
          <w:b w:val="false"/>
          <w:i w:val="false"/>
          <w:caps w:val="false"/>
          <w:smallCaps w:val="false"/>
          <w:sz w:val="20"/>
        </w:rPr>
        <w:t>A participant generally may not transfer stock awards under the 2022 Plan other than by will, the laws of descent and distribution or as otherwise provided under the 2022 Plan.</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 xml:space="preserve">Amendment and Termination. </w:t>
      </w:r>
      <w:r>
        <w:rPr>
          <w:rFonts w:ascii="Times New Roman;Times;Serif" w:hAnsi="Times New Roman;Times;Serif"/>
          <w:b w:val="false"/>
          <w:i w:val="false"/>
          <w:caps w:val="false"/>
          <w:smallCaps w:val="false"/>
          <w:sz w:val="20"/>
        </w:rPr>
        <w:t>The Board of Directors has the authority to amend, suspend or terminate the 2022 Plan, provided that, with certain exceptions, such action does not impair the existing rights of any participant without such participant’s written consent. Certain material amendments also require the approval of our stockholders. Unless terminated sooner by the Board of Directors, the 2022 Plan will automatically terminate in October 2032. No stock awards may be granted under the 2022 Plan while it is suspended or terminated.</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2011 Plan</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 xml:space="preserve">Background; Termination and No Further Grants under 2011 Stock Plan. </w:t>
      </w:r>
      <w:r>
        <w:rPr>
          <w:rFonts w:ascii="Times New Roman;Times;Serif" w:hAnsi="Times New Roman;Times;Serif"/>
          <w:b w:val="false"/>
          <w:i w:val="false"/>
          <w:caps w:val="false"/>
          <w:smallCaps w:val="false"/>
          <w:sz w:val="20"/>
        </w:rPr>
        <w:t>Legacy Complete Solaria’s Board of Directors adopted the 2011 Plan in January 2011 and was amended from to time by Legacy Complete Solaria’s Board of Directors and its stockholders.</w:t>
      </w:r>
    </w:p>
    <w:p>
      <w:pPr>
        <w:pStyle w:val="TextBody"/>
        <w:bidi w:val="0"/>
        <w:spacing w:before="0" w:after="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88</w:t>
      </w:r>
    </w:p>
    <w:p>
      <w:pPr>
        <w:pStyle w:val="TextBody"/>
        <w:bidi w:val="0"/>
        <w:spacing w:before="0" w:after="0"/>
        <w:ind w:left="0" w:right="0" w:hanging="0"/>
        <w:jc w:val="left"/>
        <w:rPr/>
      </w:pPr>
      <w:r>
        <w:rPr/>
        <w:t> </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2011 Plan was terminated in November 2021 in connection with Complete Solaria’s adoption of the 2022 Plan, and no new awards may be granted under it. The 2011 Plan was assumed by Complete Solaria in connection with the Prior Transaction. Outstanding awards granted under the 2011 Plan remain outstanding, subject to the terms of the 2011 Plan and award agreements, until such outstanding options are exercised or terminate or expire by their terms.</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December 28, 2025, there were outstanding awards relating to 305,749 shares of our common stock under the 2011 Plan and the other Legacy Plans, collectively.</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 xml:space="preserve">Plan Administration. </w:t>
      </w:r>
      <w:r>
        <w:rPr>
          <w:rFonts w:ascii="Times New Roman;Times;Serif" w:hAnsi="Times New Roman;Times;Serif"/>
          <w:b w:val="false"/>
          <w:i w:val="false"/>
          <w:caps w:val="false"/>
          <w:smallCaps w:val="false"/>
          <w:sz w:val="20"/>
        </w:rPr>
        <w:t>The Board of Directors or a duly authorized committee of the Board of Directors administers the 2011 Plan and the awards granted under it.</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 xml:space="preserve">Capitalization Adjustments. </w:t>
      </w:r>
      <w:r>
        <w:rPr>
          <w:rFonts w:ascii="Times New Roman;Times;Serif" w:hAnsi="Times New Roman;Times;Serif"/>
          <w:b w:val="false"/>
          <w:i w:val="false"/>
          <w:caps w:val="false"/>
          <w:smallCaps w:val="false"/>
          <w:sz w:val="20"/>
        </w:rPr>
        <w:t>In the event that any change is made in, or other events occur with respect to, the Company’s common stock subject to the 2011 Plan or any stock award, such as certain mergers, consolidations, reorganizations, recapitalizations, dividends, stock splits, or other similar transactions, appropriate adjustments will be made to the classes, number of shares subject to, and price per share and repurchase price, if applicable, of any outstanding stock awards.</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 xml:space="preserve">Corporate Transactions. </w:t>
      </w:r>
      <w:r>
        <w:rPr>
          <w:rFonts w:ascii="Times New Roman;Times;Serif" w:hAnsi="Times New Roman;Times;Serif"/>
          <w:b w:val="false"/>
          <w:i w:val="false"/>
          <w:caps w:val="false"/>
          <w:smallCaps w:val="false"/>
          <w:sz w:val="20"/>
        </w:rPr>
        <w:t>In the event of a sale of all or substantially all of our assets or our merger, consolidation or other capital reorganization or business combination transaction with or into another corporation, entity or person, our 2011 Plan provides that any surviving or acquiring corporation (or parent thereof) may assume or substitute such outstanding awards and any reacquisition or repurchase rights may be assigned to such surviving or acquiring corporation (or parent thereof), or such awards may be terminated in exchange for a payment of cash, securities and/or other property equal to the excess of the fair market value of the portion of the stock subject to such awards vested and exercisable as of immediately prior to the consummation of such corporate transaction. If the surviving or acquiring corporation (or parent thereof) does not assume or substitute outstanding awards in the corporate transaction, or exchange such awards for a payment, then each such outstanding award shall terminate upon consummation of the corporate transaction.</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 xml:space="preserve">Change in Control. </w:t>
      </w:r>
      <w:r>
        <w:rPr>
          <w:rFonts w:ascii="Times New Roman;Times;Serif" w:hAnsi="Times New Roman;Times;Serif"/>
          <w:b w:val="false"/>
          <w:i w:val="false"/>
          <w:caps w:val="false"/>
          <w:smallCaps w:val="false"/>
          <w:sz w:val="20"/>
        </w:rPr>
        <w:t>In the event of a change in control (as defined in the 2011 Plan), a stock award may be subject to additional acceleration of vesting and exercisability upon or after a change in control, as may be provided in the stock award agreement or in any other written agreement between us and a participant. In the absence of such a provision, no such acceleration will occur.</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 xml:space="preserve">Amendment of Awards. </w:t>
      </w:r>
      <w:r>
        <w:rPr>
          <w:rFonts w:ascii="Times New Roman;Times;Serif" w:hAnsi="Times New Roman;Times;Serif"/>
          <w:b w:val="false"/>
          <w:i w:val="false"/>
          <w:caps w:val="false"/>
          <w:smallCaps w:val="false"/>
          <w:sz w:val="20"/>
        </w:rPr>
        <w:t>The plan administrator has the authority to modify outstanding stock awards under our 2011 Plan; provided that no such amendment or modification may impair the rights of any participant with respect to awards granted prior to such action without such participant’s written consent.</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2016 Plan</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 xml:space="preserve">Background; Termination and No Further Grants Under 2016 Plan. </w:t>
      </w:r>
      <w:r>
        <w:rPr>
          <w:rFonts w:ascii="Times New Roman;Times;Serif" w:hAnsi="Times New Roman;Times;Serif"/>
          <w:b w:val="false"/>
          <w:i w:val="false"/>
          <w:caps w:val="false"/>
          <w:smallCaps w:val="false"/>
          <w:sz w:val="20"/>
        </w:rPr>
        <w:t>Solaria’s Board of Directors adopted, and Solaria’s stockholders approved, the 2016 Plan, in May 2016 and July 2016, respectively. Complete Solaria assumed the 2016 Plan in connection with the Prior Transaction.</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2016 Plan was terminated in November 2022 in connection with the Prior Transaction, and no new awards may be granted under it. Outstanding awards granted under the 2016 Plan remain outstanding, subject to the terms of the 2016 Plan and award agreements, until such outstanding options are exercised or terminate or expire by their terms.</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December 28, 2025, there were outstanding awards relating to 305,749 shares of our common stock under the 2016 Plan and the other Legacy Plans, collectively.</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 xml:space="preserve">Plan Administration. </w:t>
      </w:r>
      <w:r>
        <w:rPr>
          <w:rFonts w:ascii="Times New Roman;Times;Serif" w:hAnsi="Times New Roman;Times;Serif"/>
          <w:b w:val="false"/>
          <w:i w:val="false"/>
          <w:caps w:val="false"/>
          <w:smallCaps w:val="false"/>
          <w:sz w:val="20"/>
        </w:rPr>
        <w:t>The Board of Directors or a duly authorized committee administers the 2016 Plan and the awards granted under it.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 xml:space="preserve">Capitalization Adjustments. </w:t>
      </w:r>
      <w:r>
        <w:rPr>
          <w:rFonts w:ascii="Times New Roman;Times;Serif" w:hAnsi="Times New Roman;Times;Serif"/>
          <w:b w:val="false"/>
          <w:i w:val="false"/>
          <w:caps w:val="false"/>
          <w:smallCaps w:val="false"/>
          <w:sz w:val="20"/>
        </w:rPr>
        <w:t>In the event that any change is made in, or other events occur with respect to, common stock subject to the 2016 Plan or any stock award, such as certain mergers, consolidations, reorganizations, recapitalizations, dividends, stock splits, or other similar transactions, appropriate adjustments will be made to the classes, number of shares subject to, and the price per share, if applicable, of any outstanding stock awards.</w:t>
      </w:r>
    </w:p>
    <w:p>
      <w:pPr>
        <w:pStyle w:val="TextBody"/>
        <w:bidi w:val="0"/>
        <w:spacing w:before="0" w:after="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89</w:t>
      </w:r>
    </w:p>
    <w:p>
      <w:pPr>
        <w:pStyle w:val="TextBody"/>
        <w:bidi w:val="0"/>
        <w:spacing w:before="0" w:after="0"/>
        <w:ind w:left="0" w:right="0" w:hanging="0"/>
        <w:jc w:val="left"/>
        <w:rPr/>
      </w:pPr>
      <w:r>
        <w:rPr/>
        <w:t> </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 xml:space="preserve">Change in Control. </w:t>
      </w:r>
      <w:r>
        <w:rPr>
          <w:rFonts w:ascii="Times New Roman;Times;Serif" w:hAnsi="Times New Roman;Times;Serif"/>
          <w:b w:val="false"/>
          <w:i w:val="false"/>
          <w:caps w:val="false"/>
          <w:smallCaps w:val="false"/>
          <w:sz w:val="20"/>
        </w:rPr>
        <w:t>In the event of a Change in Control (as defined in the 2016 Plan), our 2016 Plan provides that unless otherwise provided in a written agreement between us and any participant or unless otherwise expressly provided by the Board of Directors at the time of grant of an award, any surviving or acquiring corporation (or parent thereof) may assume, continue or substitute such outstanding awards and any reacquisition or repurchase rights may be assigned to such surviving or acquiring corporation (or parent thereof). If the surviving or acquiring corporation (or parent thereof) does not assume, continue or substitute outstanding awards in the corporate transaction, then the Board of Directors may provide for the accelerated vesting (in whole or in part) of any or all awards or may cancel any award for such consideration, if any, as the Board of Directors may consider appropriate.</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 xml:space="preserve">Amendment of Awards. </w:t>
      </w:r>
      <w:r>
        <w:rPr>
          <w:rFonts w:ascii="Times New Roman;Times;Serif" w:hAnsi="Times New Roman;Times;Serif"/>
          <w:b w:val="false"/>
          <w:i w:val="false"/>
          <w:caps w:val="false"/>
          <w:smallCaps w:val="false"/>
          <w:sz w:val="20"/>
        </w:rPr>
        <w:t>The plan administrator has the authority to modify outstanding stock awards under our 2016 Plan; provided that no such amendment or modification may impair the rights of any participant with respect to awards granted prior to such action without such participant’s written consent.</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2006 Plan</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 xml:space="preserve">Background; Termination and No Further Grants Under 2006 Plan. </w:t>
      </w:r>
      <w:r>
        <w:rPr>
          <w:rFonts w:ascii="Times New Roman;Times;Serif" w:hAnsi="Times New Roman;Times;Serif"/>
          <w:b w:val="false"/>
          <w:i w:val="false"/>
          <w:caps w:val="false"/>
          <w:smallCaps w:val="false"/>
          <w:sz w:val="20"/>
        </w:rPr>
        <w:t>Solaria’s Board of Directors adopted, and Solaria’s stockholders approved, the 2006 Plan, in February 2006 and August 2006, respectively, and it was amended and restated from to time by Solaria’s Board of Directors and its stockholders.</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2006 Plan was terminated in February 2016 in connection with Solaria’s adoption of the 2016 Plan, and no new awards may be granted under it. Complete Solaria assumed the outstanding awards granted pursuant to the 2006 Plan in connection with the Prior Transaction. Outstanding awards granted under the 2006 Plan remain outstanding, subject to the terms of the 2006 Plan and award agreements, until such outstanding options are exercised or terminate or expire by their terms.</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December 28, 2025, there were outstanding awards relating to 305,749 shares of the Company’s common stock under the 2006 Plan and the other Legacy Plans, collectively.</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 xml:space="preserve">Plan Administration. </w:t>
      </w:r>
      <w:r>
        <w:rPr>
          <w:rFonts w:ascii="Times New Roman;Times;Serif" w:hAnsi="Times New Roman;Times;Serif"/>
          <w:b w:val="false"/>
          <w:i w:val="false"/>
          <w:caps w:val="false"/>
          <w:smallCaps w:val="false"/>
          <w:sz w:val="20"/>
        </w:rPr>
        <w:t>The Board of Directors or a duly authorized committee administers the 2006 Plan and the awards granted under it.</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 xml:space="preserve">Capitalization Adjustments. </w:t>
      </w:r>
      <w:r>
        <w:rPr>
          <w:rFonts w:ascii="Times New Roman;Times;Serif" w:hAnsi="Times New Roman;Times;Serif"/>
          <w:b w:val="false"/>
          <w:i w:val="false"/>
          <w:caps w:val="false"/>
          <w:smallCaps w:val="false"/>
          <w:sz w:val="20"/>
        </w:rPr>
        <w:t>In the event that any change is made in, or other events occur with respect to, our Common Stock subject to the 2006 Plan or any stock award, such as certain mergers, consolidations, reorganizations, recapitalizations, dividends, stock splits, or other similar transactions affecting the shares subject to the 2006 Plan, appropriate adjustments will be made to the class and number of shares subject to, and the price per share, if applicable, of any outstanding stock awards.</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 xml:space="preserve">Change in Control. </w:t>
      </w:r>
      <w:r>
        <w:rPr>
          <w:rFonts w:ascii="Times New Roman;Times;Serif" w:hAnsi="Times New Roman;Times;Serif"/>
          <w:b w:val="false"/>
          <w:i w:val="false"/>
          <w:caps w:val="false"/>
          <w:smallCaps w:val="false"/>
          <w:sz w:val="20"/>
        </w:rPr>
        <w:t>In the event of a change in control (as defined in the 2006 Plan), our 2006 Plan provides that any successor corporation (or parent thereof) will assume or substitute such outstanding awards and any reacquisition or repurchase rights may be assigned to such surviving or acquiring corporation (or parent thereof). If the surviving or acquiring corporation (or parent thereof) does not assume or substitute outstanding awards in the corporate transaction, then the vesting of outstanding awards held by participants will accelerate in full and any repurchase rights held by us with respect to such awards will lapse, contingent upon the effectiveness of such transaction. Notwithstanding the foregoing, to the extent that stock awards will terminate if not exercised prior to the effective time of a corporate transaction, our Board of Directors may provide that such awards will be cancelled for a payment equal to the excess, if any, of the value of the property the holder would have received upon exercise of such award over any exercise price payable.</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with respect to awards (and, if applicable, shares of restricted stock acquired pursuant to such awards) granted to non-employee directors that are assumed or substituted for, if on or following the date of such assumption or substitution such individual’s status as a director is involuntarily terminated, such individual shall fully vest in and have the right to exercise awards as to all of the shares subject thereto.</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Also, with respect to awards (and, if applicable, shares of restricted stock acquired pursuant to such awards) granted to participants that are assumed or substituted for, if either (x) such participant remains continuously employed by us or our successor through the one-year anniversary of such change in control or (y) such participant’s employment is involuntarily terminated without cause (as such term is defined in the 2006 Plan), or such participant’s duties are material diminished, in either case at any time prior to the one-year anniversary of such change in control, such individual will vest into such awards on an accelerated basis as if such individual had provided an additional 12 months of continuous service, such individual shall fully vest in and have the right to exercise awards as to all of the shares subject thereto.</w:t>
      </w:r>
    </w:p>
    <w:p>
      <w:pPr>
        <w:pStyle w:val="TextBody"/>
        <w:bidi w:val="0"/>
        <w:spacing w:before="0" w:after="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90</w:t>
      </w:r>
    </w:p>
    <w:p>
      <w:pPr>
        <w:pStyle w:val="TextBody"/>
        <w:bidi w:val="0"/>
        <w:spacing w:before="0" w:after="0"/>
        <w:ind w:left="0" w:right="0" w:hanging="0"/>
        <w:jc w:val="left"/>
        <w:rPr/>
      </w:pPr>
      <w:r>
        <w:rPr/>
        <w:t> </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 xml:space="preserve">Amendment of Awards. </w:t>
      </w:r>
      <w:r>
        <w:rPr>
          <w:rFonts w:ascii="Times New Roman;Times;Serif" w:hAnsi="Times New Roman;Times;Serif"/>
          <w:b w:val="false"/>
          <w:i w:val="false"/>
          <w:caps w:val="false"/>
          <w:smallCaps w:val="false"/>
          <w:sz w:val="20"/>
        </w:rPr>
        <w:t>The plan administrator has the authority to modify outstanding stock awards under our 2006 Plan; provided that no such amendment or modification may impair the rights of any participant with respect to awards granted prior to such action without such participant’s written consent.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Inducement Grants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our acquisitions of Sunder, Ambia and Cobalt, we granted time-based restricted stock units outside of SunPower’s 2023 Plan as a material inducement to certain key employees to enter into employment with SunPower. Such inducement grants were made in accordance with Nasdaq Listing Rule 5635(c)(4). Specifically, in connection with our acquisition of Sunder, we made inducement grants on October 8, 2025 to three key employees of Sunder as a material inducement to their employment with SunPower. These inducement grants were RSUs for a total of 2,700,000 shares of our common stock, with 20% of such RSUs vesting one year after grant and the remaining vesting in equal monthly installments thereafter until the fifth anniversary of the grant date, with such vesting subject to the RSU recipient’s continuous service through each vesting date. These RSUs are also subject to accelerated vesting in the event the RSU recipient’s employment is terminated by the Company without cause.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our acquisition of Ambia, on November 21, 2025, we made inducement grants to two key employees of Ambia as a material inducement to employment with SunPower following its acquisition of Ambia. These inducement grants consist of RSUs for a total of 2,000,000 shares of SunPower common stock, with 20% of the RSUs vesting one year after grant and the remainder vesting in equal monthly installments thereafter until the fifth anniversary of the grant date, with such vesting subject to the RSU recipient’s continuous service through each vesting date. The RSUs are also subject to accelerated vesting in the event the RSU recipient’s employment is terminated by the Company without cause.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Additionally, in connection with our acquisition of Cobalt, on February 2, 2026, we made inducement grants to two key employees of Cobalt as a material inducement to employment with SunPower following its acquisition of Cobalt. These inducement grants consist of RSUs for a total of 850,000 shares of SunPower common stock, with 20% of the RSUs vesting one year after grant and the remainder vesting in equal monthly installments thereafter until the fifth anniversary of the grant date, with such vesting subject to the RSU recipient’s continuous service through each vesting date.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Health and Welfare Benefits</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SunPower provides benefits to its named executive officers on the same basis as provided to all of its employees, including health, dental and vision insurance; life and disability insurance; and a tax-qualified Section 401(k) plan. SunPower does not maintain any executive-specific benefit or perquisite programs.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Rule 10b5-1 Sales Plans</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SunPower’s Directors and executive officers may adopt written plans, known as Rule 10b5-1 plans, in which they will contract with a broker to buy or sell shares of the Company’s Common Stock on a periodic basis. Under a Rule 10b5-1 plan, a broker executes trades pursuant to parameters established by the Director or executive officer when entering into the plan, without further direction from them. The Director or executive officer may amend a Rule 10b5-1 plan in some circumstances and may terminate a plan at any time. SunPower’s Directors and executive officers also may buy or sell additional shares outside of a Rule 10b5-1 plan when they are not in possession of material nonpublic information, subject to compliance with the terms of our insider trading policy.</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Emerging Growth Company Status</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SunPower is an “emerging growth company,” as defined in the JOBS Act. As an emerging growth company it is exempt from certain requirements related to executive compensation, including the requirements to hold a nonbinding advisory vote on executive compensation and to provide information relating to the ratio of total compensation of its chief executive officer to the median of the annual total compensation of all of its employees, each as required by the Investor Protection and Securities Reform Act of 2010, which is part of the Dodd-Frank Wall Street Reform and Consumer Protection Act.</w:t>
      </w:r>
    </w:p>
    <w:p>
      <w:pPr>
        <w:pStyle w:val="TextBody"/>
        <w:bidi w:val="0"/>
        <w:spacing w:before="0" w:after="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91</w:t>
      </w:r>
    </w:p>
    <w:p>
      <w:pPr>
        <w:pStyle w:val="TextBody"/>
        <w:bidi w:val="0"/>
        <w:spacing w:before="0" w:after="0"/>
        <w:ind w:left="0" w:right="0" w:hanging="0"/>
        <w:jc w:val="left"/>
        <w:rPr/>
      </w:pPr>
      <w:r>
        <w:rPr/>
        <w:t> </w:t>
      </w:r>
    </w:p>
    <w:p>
      <w:pPr>
        <w:pStyle w:val="TextBody"/>
        <w:bidi w:val="0"/>
        <w:spacing w:before="0" w:after="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sz w:val="20"/>
        </w:rPr>
      </w:pPr>
      <w:bookmarkStart w:id="12" w:name="a_011"/>
      <w:bookmarkEnd w:id="12"/>
      <w:r>
        <w:rPr>
          <w:rFonts w:ascii="Times New Roman;Times;Serif" w:hAnsi="Times New Roman;Times;Serif"/>
          <w:b/>
          <w:i w:val="false"/>
          <w:caps/>
          <w:sz w:val="20"/>
        </w:rPr>
        <w:t>Certain Relationships and Related Party Transactions</w:t>
      </w:r>
    </w:p>
    <w:p>
      <w:pPr>
        <w:pStyle w:val="TextBody"/>
        <w:bidi w:val="0"/>
        <w:spacing w:before="0" w:after="0"/>
        <w:jc w:val="center"/>
        <w:rPr>
          <w:caps/>
        </w:rPr>
      </w:pPr>
      <w:r>
        <w:rPr>
          <w:caps/>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than the compensation arrangements for our directors and executive officers, which are described in the section titled “Executive Compensation,” below is a description of transactions since December 30, 2024, the beginning of fiscal year 2025, to which we were a party, in which:</w:t>
      </w:r>
    </w:p>
    <w:p>
      <w:pPr>
        <w:pStyle w:val="TextBody"/>
        <w:bidi w:val="0"/>
        <w:spacing w:before="0" w:after="0"/>
        <w:ind w:left="960" w:right="0" w:hanging="48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amounts involved exceeded or will exceed $120,000; and</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any of our Directors, executive officers or holders of more than 5% of our capital stock, or any member of the immediate family of, or person sharing the household with, the foregoing persons, had or will have a direct or indirect material interest.</w:t>
            </w:r>
          </w:p>
        </w:tc>
      </w:tr>
    </w:tbl>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Certain Indebtedness Payable to the Rodgers Massey Revocable Living Trust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principal portion of the SCI Debt owing to the Rodgers Massey Revocable Living Trust of $1.5 million (plus accrued interest) remained outstanding as of December 28, 2025 and is outstanding as of the date of the filing date of this post-effective amendment. The outstanding amount, plus accrued interest, is due on demand to the Rodgers Massey Revocable Living Trust. Thurman J. Rodgers is a trustee of the Rodgers Massey Revocable Living Trust, and he is the Executive Chairman of our Board of Directors and our Chief Executive Officer.</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12.0% Notes Issued to Affiliates of Thurman J. Rodgers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January 29, 2026, SunPower issued a convertible promissory note in the original principal amount of $3,300,000 (the “</w:t>
      </w:r>
      <w:r>
        <w:rPr>
          <w:rFonts w:ascii="Times New Roman;Times;Serif" w:hAnsi="Times New Roman;Times;Serif"/>
          <w:b/>
          <w:i w:val="false"/>
          <w:caps w:val="false"/>
          <w:smallCaps w:val="false"/>
          <w:sz w:val="20"/>
        </w:rPr>
        <w:t>January 2026 Note</w:t>
      </w:r>
      <w:r>
        <w:rPr>
          <w:rFonts w:ascii="Times New Roman;Times;Serif" w:hAnsi="Times New Roman;Times;Serif"/>
          <w:b w:val="false"/>
          <w:i w:val="false"/>
          <w:caps w:val="false"/>
          <w:smallCaps w:val="false"/>
          <w:sz w:val="20"/>
        </w:rPr>
        <w:t>”) to a trust controlled by Thurman J. Rodgers. The January 2026 Note bears a 12.0% interest rate. The January 2026 Note is a general unsecured obligation of the Company and will mature on July 1, 2029, unless earlier converted, redeemed or repurchased. Interest on the January 2026 Note will be payable semiannually in arrears on January 1 and July 1 of each year, beginning on July 1, 2026. The January 2026 Note is convertible at the option of the holder at any time prior to the payment of the principal amount of the January 2026 Note in full. Upon conversion of the January 2026 Note, the Company will satisfy its conversion obligation by delivering shares of its common stock and paying cash in respect of any fractional shares. The conversion rate of the January 2026 Note is initially equal to 540.5405 shares of common stock per $1,000 principal amount due under note. The conversion rate shall be subject to adjustment from time to time pursuant to the terms of the January 2026 Note. We may not redeem the January 2026 Note prior to July 5, 2026. We may redeem for cash all (but not less than all) of the, at our option, (i) on or after July 5, 2026 and prior to July 1, 2027, if the last reported sale price of our common stock has been at least 150% of the conversion price for the January 2026 Note then in effect and (ii) on or after July 5, 2027 and prior to the maturity date for the January 2026 Note if the last reported sale price of our common stock has been at least 130% of the conversion price for the Note then in effect, in each case of (i) and (ii), for at least 20 trading days (whether or not consecutive) during any 30 consecutive trading day period (including the last trading day of such period) ending on, and including, the trading day immediately preceding the date on which we provide notice of redemption at a redemption price equal to 100% of the principal amount of the note, plus accrued and unpaid interest, if any, to, but excluding, the redemption date. No sinking fund is provided for the January 2026 Note. If we undergo a change of control (as defined in the January 2026 Note), then, subject to certain conditions and except as described in the note, the holder may require the Company to redeem for cash all (but not less than all) of the note at a price equal to 100% of the principal amount of the January 2026 Note. The January 2026 Note sets forth certain events of default after which the note may be declared immediately due and payable and sets forth certain types of bankruptcy or insolvency events of default involving the Company after which the January 2026 Note becomes automatically due and payable. If certain bankruptcy and insolvency- related events of default occur with respect to the Company, the principal of, and accrued and unpaid interest, if any, on, the January 2026 Note shall automatically become due and payable. If an event of default with respect to the January 2026 Note, other than certain bankruptcy and insolvency-related events of default with respect to the Company, occurs and is continuing, a holder may at its option declare the note to be immediately due and payable.</w:t>
      </w:r>
    </w:p>
    <w:p>
      <w:pPr>
        <w:pStyle w:val="TextBody"/>
        <w:bidi w:val="0"/>
        <w:spacing w:before="0" w:after="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92</w:t>
      </w:r>
    </w:p>
    <w:p>
      <w:pPr>
        <w:pStyle w:val="TextBody"/>
        <w:bidi w:val="0"/>
        <w:spacing w:before="0" w:after="0"/>
        <w:ind w:left="0" w:right="0" w:hanging="0"/>
        <w:jc w:val="left"/>
        <w:rPr/>
      </w:pPr>
      <w:r>
        <w:rPr/>
        <w:t> </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November 20, 2025, SunPower issued a convertible promissory note in the original principal amount of $2,000,000 (the “</w:t>
      </w:r>
      <w:r>
        <w:rPr>
          <w:rFonts w:ascii="Times New Roman;Times;Serif" w:hAnsi="Times New Roman;Times;Serif"/>
          <w:b/>
          <w:i w:val="false"/>
          <w:caps w:val="false"/>
          <w:smallCaps w:val="false"/>
          <w:sz w:val="20"/>
        </w:rPr>
        <w:t>November 2025 Note</w:t>
      </w:r>
      <w:r>
        <w:rPr>
          <w:rFonts w:ascii="Times New Roman;Times;Serif" w:hAnsi="Times New Roman;Times;Serif"/>
          <w:b w:val="false"/>
          <w:i w:val="false"/>
          <w:caps w:val="false"/>
          <w:smallCaps w:val="false"/>
          <w:sz w:val="20"/>
        </w:rPr>
        <w:t>”) to a trust controlled by Thurman J. Rodgers. The November 2025 Note bears a 12.0% interest rate. The November 2025 Note is a general unsecured obligation of the Company and will mature on July 1, 2029, unless earlier converted, redeemed or repurchased. Interest on the November 2025 Note will be payable semiannually in arrears on January 1 and July 1 of each year, beginning on January 1, 2026. The November 2025 Note is convertible at the option of the holder at any time prior to the payment of the principal amount of the Note in full. Upon conversion of the November 2025 Note, the Company will satisfy its conversion obligation by delivering shares of its common stock and paying cash in respect of any fractional shares. The conversion rate of the November 2025 Note is initially equal to 626.9592 shares of common stock per $1,000 principal amount due under note. The conversion rate shall be subject to adjustment from time to time pursuant to the terms of the November 2025 Note. We may not redeem the November 2025 Note prior to July 5, 2026. We may redeem for cash all (but not less than all) of the, at our option, (i) on or after July 5, 2026 and prior to July 1, 2027, if the last reported sale price of our common stock has been at least 150% of the conversion price for the November 2025 Note then in effect and (ii) on or after July 5, 2027 and prior to the maturity date for the November 2025 Note if the last reported sale price of our common stock has been at least 130% of the conversion price for the Note then in effect, in each case of (i) and (ii), for at least 20 trading days (whether or not consecutive) during any 30 consecutive trading day period (including the last trading day of such period) ending on, and including, the trading day immediately preceding the date on which we provide notice of redemption at a redemption price equal to 100% of the principal amount of the note, plus accrued and unpaid interest, if any, to, but excluding, the redemption date. No sinking fund is provided for the November 2025 Note. If we undergo a change of control (as defined in the November 2025 Note), then, subject to certain conditions and except as described in the note, the holder may require the Company to redeem for cash all (but not less than all) of the note at a price equal to 100% of the principal amount of the November 2025 Note. The November 2025 Note sets forth certain events of default after which the note may be declared immediately due and payable and sets forth certain types of bankruptcy or insolvency events of default involving the Company after which the November 2025 Note becomes automatically due and payable. If certain bankruptcy and insolvency-related events of default occur with respect to the Company, the principal of, and accrued and unpaid interest, if any, on, the November 2025 Note shall automatically become due and payable. If an event of default with respect to the November 2025 Note, other than certain bankruptcy and insolvency- related events of default with respect to the Company, occurs and is continuing, a holder may at its option declare the note to be immediately due and payable.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July 10, 2025, we issued a convertible promissory note in the original principal amount of $5,000,000 (the “</w:t>
      </w:r>
      <w:r>
        <w:rPr>
          <w:rFonts w:ascii="Times New Roman;Times;Serif" w:hAnsi="Times New Roman;Times;Serif"/>
          <w:b/>
          <w:i w:val="false"/>
          <w:caps w:val="false"/>
          <w:smallCaps w:val="false"/>
          <w:sz w:val="20"/>
        </w:rPr>
        <w:t>July 2025 Note</w:t>
      </w:r>
      <w:r>
        <w:rPr>
          <w:rFonts w:ascii="Times New Roman;Times;Serif" w:hAnsi="Times New Roman;Times;Serif"/>
          <w:b w:val="false"/>
          <w:i w:val="false"/>
          <w:caps w:val="false"/>
          <w:smallCaps w:val="false"/>
          <w:sz w:val="20"/>
        </w:rPr>
        <w:t>”) to a trust controlled by Thurman J. Rodgers. The July 2025 Note bears a 12.0% interest rate. The July 2025 Note is a general unsecured obligation of the Company and will mature on July 1, 2029, unless earlier converted, redeemed or repurchased. Interest on the July 2025 Note accrues at a rate of 12.00% per year from July 1, 2024 and is payable semiannually in arrears on January 1 and July 1 of each year, beginning on January 1, 2026. The July 2025 Note is convertible at the option of the holder at any time prior to the payment of the principal amount of the July 2025 Note in full. Upon conversion of the July 2025 Note, the Company will satisfy its conversion obligation by delivering shares of the Company’s common stock and paying cash in respect of any fractional shares. The conversion rate of the July 2025 Note is initially equal to 558.6592 shares of common stock per $1,000 principal amount due under the July 2025 Note. The conversion rate shall be subject to adjustment from time to time pursuant to the terms of the July 2025 Note. The Company may not redeem the July 2025 Note prior to July 5, 2026. The Company may redeem for cash all (but not less than all) of the July 2025 Note, at its option,(i) on or after July 5, 2026 and prior to July 1, 2027, if the last reported sale price of the common stock has been at least 150% of the conversion price for the July 2025 Note then in effect and (ii) on or after July 5, 2027 and prior to the maturity date for the July 2025 Note if the last reported sale price of the common stock has been at least 130% of the conversion price for the July 2025 Note then in effect, in each case of (i) and (ii), for at least 20 trading days (whether or not consecutive) during any 30 consecutive trading day period (including the last trading day of such period) ending on, and including, the trading day immediately preceding the date on which the Company provides notice of redemption at a redemption price equal to 100% of the principal amount of the July 2025 Note, plus accrued and unpaid interest, if any, to, but excluding, the redemption date. No sinking fund is provided for the July 2025 Note. If the Company undergoes a change of control (as defined in the July 2025 Note), then, subject to certain conditions and except as described in the July 2025 Note, the holder may require the Company to redeem for cash all (but not less than all) of July 2025 Note at a price equal to 100% of the principal amount of the July 2025 Note. The July 2025 Note sets forth certain events of default after which the July 2025 Note may be declared immediately due and payable and sets forth certain types of bankruptcy or insolvency events of default involving the Company after which the July 2025 Note becomes automatically due and payable. If certain bankruptcy and insolvency-related events of default occur with respect to the Company, the principal of, and accrued and unpaid interest, if any, on, the July 2025 Note shall automatically become due and payable. If an event of default with respect to the July 2025 Note, other than certain bankruptcy and insolvency-related events of default with respect to the Company, occurs and is continuing, a holder may at its option declare the July 2025 Note to be immediately due and payable.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93</w:t>
      </w:r>
    </w:p>
    <w:p>
      <w:pPr>
        <w:pStyle w:val="TextBody"/>
        <w:bidi w:val="0"/>
        <w:spacing w:before="0" w:after="0"/>
        <w:ind w:left="0" w:right="0" w:hanging="0"/>
        <w:jc w:val="left"/>
        <w:rPr/>
      </w:pPr>
      <w:r>
        <w:rPr/>
        <w:t>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July 1, 2024, we entered into Note Purchase Agreements and the Exchange Agreement (together the “</w:t>
      </w:r>
      <w:r>
        <w:rPr>
          <w:rFonts w:ascii="Times New Roman;Times;Serif" w:hAnsi="Times New Roman;Times;Serif"/>
          <w:b/>
          <w:i w:val="false"/>
          <w:caps w:val="false"/>
          <w:smallCaps w:val="false"/>
          <w:sz w:val="20"/>
        </w:rPr>
        <w:t>July 2024 Purchase Agreement</w:t>
      </w:r>
      <w:r>
        <w:rPr>
          <w:rFonts w:ascii="Times New Roman;Times;Serif" w:hAnsi="Times New Roman;Times;Serif"/>
          <w:b w:val="false"/>
          <w:i w:val="false"/>
          <w:caps w:val="false"/>
          <w:smallCaps w:val="false"/>
          <w:sz w:val="20"/>
        </w:rPr>
        <w:t>”), pursuant to which we issued to certain accredited investors and qualified institutional buyers approximately $50.0 million in aggregate principal amount in July 2024 Notes. A trust controlled by Thurman J. Rodgers holds $18,000,000 principal amount of the July 2024 Notes. The July 2024 Notes accrue interest at the rate of 12.0% annually, which will be payable semiannually in arrears on January 1 and July 1 of each year, beginning on July 1, 2025, and the trust controlled by Mr. Rodgers received such interest payments during 2025 and will be entitled to such interest payments during 2026. The July 2024 Notes are convertible at the option of the holders at any time prior to the payment of the principal amount of such convertible note in full. Upon conversion of any convertible note, we will satisfy its conversion obligation by delivering shares of common stock and paying cash in respect of any fractional shares. The conversion rate for the convertible notes is initially equal to 595.2381 shares of common stock per $1,000 principal amount due under the convertible notes. The conversion rate shall be subject to adjustment from time to time pursuant to the terms of the convertible notes.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7.0% Senior Unsecured Convertible Notes issued to Affiliates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2024 and 2025, we entered into note purchase agreements with certain accredited investors and qualified institutional buyers relating to the sale and issuance of our 7.0% senior unsecured convertible notes (“</w:t>
      </w:r>
      <w:r>
        <w:rPr>
          <w:rFonts w:ascii="Times New Roman;Times;Serif" w:hAnsi="Times New Roman;Times;Serif"/>
          <w:b/>
          <w:i w:val="false"/>
          <w:caps w:val="false"/>
          <w:smallCaps w:val="false"/>
          <w:sz w:val="20"/>
        </w:rPr>
        <w:t>7% Notes</w:t>
      </w:r>
      <w:r>
        <w:rPr>
          <w:rFonts w:ascii="Times New Roman;Times;Serif" w:hAnsi="Times New Roman;Times;Serif"/>
          <w:b w:val="false"/>
          <w:i w:val="false"/>
          <w:caps w:val="false"/>
          <w:smallCaps w:val="false"/>
          <w:sz w:val="20"/>
        </w:rPr>
        <w:t>”). In September 2024, the Company issued $4.0 million principal amount of the 7% Notes to the Rodgers Family and Free Markets Charitable Trust, and the Company issued $4.0 million principal amount of the 7% Notes to the Rodgers Massey Revocable Living Trust. Thurman J. Rodgers is a trustee of each of the Rodgers Family and Free Markets Charitable Trust and the Rodgers Massey Revocable Living Trust. Additionally, the Company also issued $750,000 principal amount of the 7% Notes to the Dan and Kathy McCranie 2000 Revocable Trust, for which J. Daniel McCranie serves as trustee. Mr. McCranie was appointed to serve as a director of the Company on January 24, 2025.</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Interest on the 7% Notes accrues at a rate of 7.00% per year from September 16, 2024 and will be payable semiannually in arrears on January 1 and July 1 of each year, beginning on January 1, 2025. The trusts affiliated with Mr. Rodgers and Mr. McCranie received such interest payments during 2025 and will be entitled to such interest payments during 2026. Holders of the 7% may convert all or any portion of their 7%Notes at any time, in integral multiples of $1,000 principal amount, at the option of the holder. Upon conversion, the Company may satisfy its conversion obligation by paying or delivering, as the case may be, cash, shares of common stock or a combination of cash and shares of common stock, at the Company’s election, in the manner and subject to the terms, conditions and limitations provided in the Indenture. On December 18, 2024, at our annual meeting of stockholders, our stockholders approved the issuance of shares of our common stock upon conversion of the 7% Notes in excess of the limitations otherwise applicable under the Indenture as a result of Nasdaq Listing Rule 5635(d)(2). As a result of this stockholder approval, we will seek approval to amend the Indenture to enable the earlier conversion of the 7% Notes.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conversion rate for the 7% 2024 Notes was initially 467.8363 shares of common stock per $1,000 principal amount of 7% Notes. The conversion rate for the 7% Notes is subject to adjustment from time to time in accordance with the terms of the Indenture, and currently the 7% Notes are convertible at the rate of 584.7953 shares of common stock per $1,000 principal amount of these notes. In addition, upon a conversion of the 7% Notes following certain corporate events that occur prior to the maturity date of the 7% Notes or if the Company delivers a notice of redemption in respect of the 7% Notes, the Company will, under certain circumstances, increase the conversion rate of the 7% Notes for a holder who elects to convert its 7% Notes following September 16, 2025, in connection with such a corporate event that occurs prior to the maturity date, or if the Company delivers a notice of redemption in respect of the 7% Notes.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94</w:t>
      </w:r>
    </w:p>
    <w:p>
      <w:pPr>
        <w:pStyle w:val="TextBody"/>
        <w:bidi w:val="0"/>
        <w:spacing w:before="0" w:after="0"/>
        <w:ind w:left="0" w:right="0" w:hanging="0"/>
        <w:jc w:val="left"/>
        <w:rPr/>
      </w:pPr>
      <w:r>
        <w:rPr/>
        <w:t>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10.0% Convertible Senior Secured Notes Issued to Affiliates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April 21, 2026, the Company entered into note purchase agreements relating to the private offering of $41,000,000 aggregate principal amount of the Company’s 10.00% Convertible Senior Secured Notes due 2029 (the “</w:t>
      </w:r>
      <w:r>
        <w:rPr>
          <w:rFonts w:ascii="Times New Roman;Times;Serif" w:hAnsi="Times New Roman;Times;Serif"/>
          <w:b/>
          <w:i w:val="false"/>
          <w:caps w:val="false"/>
          <w:smallCaps w:val="false"/>
          <w:sz w:val="20"/>
        </w:rPr>
        <w:t>10% Notes</w:t>
      </w:r>
      <w:r>
        <w:rPr>
          <w:rFonts w:ascii="Times New Roman;Times;Serif" w:hAnsi="Times New Roman;Times;Serif"/>
          <w:b w:val="false"/>
          <w:i w:val="false"/>
          <w:caps w:val="false"/>
          <w:smallCaps w:val="false"/>
          <w:sz w:val="20"/>
        </w:rPr>
        <w:t>”), including $6,000,000 principal amount of Notes issuable to entities affiliated with Mr. Rodgers, the Company’s Chief Executive Officer and Chairman pursuant to Note Purchase Agreements executed between the Company and such affiliated entities.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issued the 10% Notes pursuant to the terms and conditions of an Indenture (the “</w:t>
      </w:r>
      <w:r>
        <w:rPr>
          <w:rFonts w:ascii="Times New Roman;Times;Serif" w:hAnsi="Times New Roman;Times;Serif"/>
          <w:b/>
          <w:i w:val="false"/>
          <w:caps w:val="false"/>
          <w:smallCaps w:val="false"/>
          <w:sz w:val="20"/>
        </w:rPr>
        <w:t>Secured Notes Indenture</w:t>
      </w:r>
      <w:r>
        <w:rPr>
          <w:rFonts w:ascii="Times New Roman;Times;Serif" w:hAnsi="Times New Roman;Times;Serif"/>
          <w:b w:val="false"/>
          <w:i w:val="false"/>
          <w:caps w:val="false"/>
          <w:smallCaps w:val="false"/>
          <w:sz w:val="20"/>
        </w:rPr>
        <w:t>”) among the Company, the guarantor named therein, and U.S. Bank Trust Company, National Association, as trustee (in such capacity, the “</w:t>
      </w:r>
      <w:r>
        <w:rPr>
          <w:rFonts w:ascii="Times New Roman;Times;Serif" w:hAnsi="Times New Roman;Times;Serif"/>
          <w:b/>
          <w:i w:val="false"/>
          <w:caps w:val="false"/>
          <w:smallCaps w:val="false"/>
          <w:sz w:val="20"/>
        </w:rPr>
        <w:t>Trustee</w:t>
      </w:r>
      <w:r>
        <w:rPr>
          <w:rFonts w:ascii="Times New Roman;Times;Serif" w:hAnsi="Times New Roman;Times;Serif"/>
          <w:b w:val="false"/>
          <w:i w:val="false"/>
          <w:caps w:val="false"/>
          <w:smallCaps w:val="false"/>
          <w:sz w:val="20"/>
        </w:rPr>
        <w:t>”) and as collateral agent (in such capacity, the “</w:t>
      </w:r>
      <w:r>
        <w:rPr>
          <w:rFonts w:ascii="Times New Roman;Times;Serif" w:hAnsi="Times New Roman;Times;Serif"/>
          <w:b/>
          <w:i w:val="false"/>
          <w:caps w:val="false"/>
          <w:smallCaps w:val="false"/>
          <w:sz w:val="20"/>
        </w:rPr>
        <w:t>Collateral Agent</w:t>
      </w:r>
      <w:r>
        <w:rPr>
          <w:rFonts w:ascii="Times New Roman;Times;Serif" w:hAnsi="Times New Roman;Times;Serif"/>
          <w:b w:val="false"/>
          <w:i w:val="false"/>
          <w:caps w:val="false"/>
          <w:smallCaps w:val="false"/>
          <w:sz w:val="20"/>
        </w:rPr>
        <w:t>”). The 10% Notes are senior, secured obligations of the Company and will mature on May 1, 2029, unless earlier converted, redeemed, or repurchased. Interest on the 10% Notes accrues at a rate of 10.00% per year from April 23, 2026 and will be payable quarterly in arrears on April 1, July 1, October 1, and January 1 of each year, beginning on July 1, 2026. Holders of the 10% Notes may convert all or any portion of their 10% Notes at any time, in integral multiples of $1,000 principal amount, for shares of common stock at the option of the holder.</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conversion rate for the 10% Notes was initially 610.3143 shares of common stock per $1,000 principal amount of 10% Notes, which is equivalent to an initial conversion price of approximately $1.64 per share of common stock. The initial conversion price of the 10% Notes represents a premium of approximately 45% above the last reported sale price of the common stock on The Nasdaq Global Select Market on April 21, 2026. The conversion rate for the 10% Notes is subject to adjustment from time to time in accordance with the terms of the Secured Notes Indenture. In addition, following certain corporate events that occur prior to the maturity date of the 10% Notes, the Company will, under certain circumstances, increase the conversion rate of the Notes for a holder who elects to convert its 10% Notes in connection with such a corporate event, subject to a maximum conversion rate of 884.9557 shares of Common Stock per $1,000 principal amount of 10% Notes. The 10% Notes are not redeemable by the Company.</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Company undergoes a Fundamental Change (as defined in the Secured Notes Indenture), then, subject to certain conditions and except as described in the Secured Notes Indenture, holders of the 10% Notes may require the Company to repurchase for cash all or any portion of their 10% Notes at a fundamental change repurchase price equal to 100% of the principal amount of the 10% Notes to be repurchased, plus accrued and unpaid interest, if any, to, but excluding, the fundamental change repurchase date.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10% Notes are fully and unconditionally guaranteed by Complete Solar, Inc., a Delaware corporation and a wholly owned subsidiary of the Company (the “</w:t>
      </w:r>
      <w:r>
        <w:rPr>
          <w:rFonts w:ascii="Times New Roman;Times;Serif" w:hAnsi="Times New Roman;Times;Serif"/>
          <w:b/>
          <w:i/>
          <w:caps w:val="false"/>
          <w:smallCaps w:val="false"/>
          <w:sz w:val="20"/>
        </w:rPr>
        <w:t>Guarantor</w:t>
      </w:r>
      <w:r>
        <w:rPr>
          <w:rFonts w:ascii="Times New Roman;Times;Serif" w:hAnsi="Times New Roman;Times;Serif"/>
          <w:b w:val="false"/>
          <w:i w:val="false"/>
          <w:caps w:val="false"/>
          <w:smallCaps w:val="false"/>
          <w:sz w:val="20"/>
        </w:rPr>
        <w:t>”), subject to the terms of the Secured Notes Indenture. The 10% Notes and related guarantees are secured by first-priority liens on substantially all of the assets of the Company and the Guarantor, subject to certain exceptions.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SAFE Agreements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April 8, 2026, the Company entered into a Simple Agreement for Future Equity (the “April 2026 SAFE”) with a trust affiliated with Thurman J. Rodgers (the “Purchaser”) in connection with the Purchaser investing $5.0 million in the Company. The April 2026 SAFE was converted and exchanged into $5.0 principal amount of the 10.0% Notes.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95</w:t>
      </w:r>
    </w:p>
    <w:p>
      <w:pPr>
        <w:pStyle w:val="TextBody"/>
        <w:bidi w:val="0"/>
        <w:spacing w:before="0" w:after="0"/>
        <w:ind w:left="0" w:right="0" w:hanging="0"/>
        <w:jc w:val="left"/>
        <w:rPr/>
      </w:pPr>
      <w:r>
        <w:rPr/>
        <w:t>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May 13, 2024, the Company entered into a Simple Agreement for Future Equity (the “Third SAFE”) with a trust affiliated with Thurman J. Rodgers (the “Purchaser”) in connection with the Purchaser investing $1.0 million in the Company. The Third SAFE was converted and exchanged into $1.0 principal amount of the 10.0% Notes.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January 31, 2024, we entered into the First SAFE with the Purchaser in connection with the Purchaser investing $1.5 million in the Company. On February 15, 2024, we entered into the Second SAFE with the Purchaser in connection with the Purchaser investing $3.5 million in the Company. On April 21, 2024, we entered into an amendment for each of our First SAFE and Second SAFE to convert the invested amounts into 4,166,666 and 9,722,222 shares of our common stock, respectively.</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SameDay Solar</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SunPower previously entered into commercial agreements with SameDay Solar, a residential solar installer. William Anderson, a director and our former Chief Executive Officer, owns 60% of the equity securities of SameDay Solar, and he is the Chief Executive Officer of SameDay Solar. All agreements between SunPower and SameDay Solar previously were entered into in the ordinary course of business; provided, however, the Company facilitates equipment purchases for SameDay Solar, and SameDay Solar receives the benefit of the pricing received by the Company for equipment purchases, including for projects that are completed by SameDay Solar on behalf of the Company and that do not involve the Company or its customers. Since January 1, 2022, we have paid SameDay Solar a total of approximately $2.3 million. Mr. Anderson receives separate compensation from SameDay Solar, and given his equity ownership, Mr. Anderson also has a 60% interest in SameDay Solar’s profits and earnings.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Since January 1, 2024, we have paid SameDay Solar a total of approximately $1,065,833. Since January 1, 2024, Mr. Anderson has received approximately $15,000 of remuneration from SameDay Solar relating to its relationship with the Company. Given his equity ownership, Mr. Anderson also has a 60% interest in SameDay Solar’s profits and earnings.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Employment Arrangements</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has entered into employment agreements with certain of its executive officers. For more information regarding these agreements with the Company’s named executive officers, see the section titled “</w:t>
      </w:r>
      <w:r>
        <w:rPr>
          <w:rFonts w:ascii="Times New Roman;Times;Serif" w:hAnsi="Times New Roman;Times;Serif"/>
          <w:b w:val="false"/>
          <w:i/>
          <w:caps w:val="false"/>
          <w:smallCaps w:val="false"/>
          <w:sz w:val="20"/>
        </w:rPr>
        <w:t>Employment Arrangements with Named Executive Officers.</w:t>
      </w:r>
      <w:r>
        <w:rPr>
          <w:rFonts w:ascii="Times New Roman;Times;Serif" w:hAnsi="Times New Roman;Times;Serif"/>
          <w:b w:val="false"/>
          <w:i w:val="false"/>
          <w:caps w:val="false"/>
          <w:smallCaps w:val="false"/>
          <w:sz w:val="20"/>
        </w:rPr>
        <w:t>”</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Stock Option Grants to Directors and Executive Officers</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has granted stock options, restricted stock and other equity-based awards to certain of its Directors and executive officers. For more information regarding the stock options and stock awards granted to the Company’s Directors and named executive officers, see the section titled “</w:t>
      </w:r>
      <w:r>
        <w:rPr>
          <w:rFonts w:ascii="Times New Roman;Times;Serif" w:hAnsi="Times New Roman;Times;Serif"/>
          <w:b w:val="false"/>
          <w:i/>
          <w:caps w:val="false"/>
          <w:smallCaps w:val="false"/>
          <w:sz w:val="20"/>
        </w:rPr>
        <w:t>Executive Compensation</w:t>
      </w:r>
      <w:r>
        <w:rPr>
          <w:rFonts w:ascii="Times New Roman;Times;Serif" w:hAnsi="Times New Roman;Times;Serif"/>
          <w:b w:val="false"/>
          <w:i w:val="false"/>
          <w:caps w:val="false"/>
          <w:smallCaps w:val="false"/>
          <w:sz w:val="20"/>
        </w:rPr>
        <w:t>.”</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Indemnification Agreements</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has entered into indemnification agreements with its Directors and officers.</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certificate of incorporation contains provisions limiting the liability of its Directors, and the Company’s amended and restated bylaws provide that the Company will indemnify each of its Directors and officers to the fullest extent permitted under Delaware law. The Company’s amended and restated certificate of incorporation and amended and restated bylaws also provide the Board of Directors with discretion to indemnify the Company’s employees and other agents when determined appropriate by the Board of Directors.</w:t>
      </w:r>
    </w:p>
    <w:p>
      <w:pPr>
        <w:pStyle w:val="TextBody"/>
        <w:bidi w:val="0"/>
        <w:spacing w:before="0" w:after="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96</w:t>
      </w:r>
    </w:p>
    <w:p>
      <w:pPr>
        <w:pStyle w:val="TextBody"/>
        <w:bidi w:val="0"/>
        <w:spacing w:before="0" w:after="0"/>
        <w:ind w:left="0" w:right="0" w:hanging="0"/>
        <w:jc w:val="left"/>
        <w:rPr/>
      </w:pPr>
      <w:r>
        <w:rPr/>
        <w:t> </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Policies and Procedures for Related Person Transactions</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Board of Directors adopted a written related person transactions policy that sets forth the Company’s policies and procedures regarding the identification, review, consideration and oversight of “related person transactions.” For purposes of the Company’s policy only, a “related person transaction” is a transaction, arrangement or relationship (or any series of similar transactions, arrangements or relationships) in which the Company or any of its subsidiaries are participants involving an amount that exceeds $120,000, including purchases of goods or services by or from the related person or entities in which the related person has a material interest, indebtedness and guarantees of indebtedness, subject to certain exceptions set forth in Item 404 of Regulation S-K under the Securities Act.</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the policy, the related person in question or, in the case of transactions with a holder of more than 5% of any class the Company’s voting securities, an officer with knowledge of a proposed transaction, must present information regarding the proposed related person transaction to the Company’s Audit Committee (or, where review by the Company’s Audit Committee would be inappropriate, to another independent body of the Board of Directors) for review. To identify related person transactions in advance, the Company will rely on information supplied by its executive officers, Directors and certain significant stockholders. In considering a related person transaction, the Company’s Audit Committee will take into account the relevant available facts and circumstances, which may include, but are not limited to:</w:t>
      </w:r>
    </w:p>
    <w:p>
      <w:pPr>
        <w:pStyle w:val="TextBody"/>
        <w:bidi w:val="0"/>
        <w:spacing w:before="0" w:after="0"/>
        <w:ind w:left="960" w:right="0" w:hanging="480"/>
        <w:jc w:val="both"/>
        <w:rPr>
          <w:caps w:val="false"/>
          <w:smallCaps w:val="false"/>
        </w:rPr>
      </w:pPr>
      <w:r>
        <w:rPr>
          <w:caps w:val="false"/>
          <w:smallCaps w:val="false"/>
        </w:rPr>
        <w:t> </w:t>
      </w:r>
    </w:p>
    <w:tbl>
      <w:tblPr>
        <w:tblW w:w="3940" w:type="dxa"/>
        <w:jc w:val="left"/>
        <w:tblInd w:w="0" w:type="dxa"/>
        <w:tblLayout w:type="fixed"/>
        <w:tblCellMar>
          <w:top w:w="0" w:type="dxa"/>
          <w:left w:w="0" w:type="dxa"/>
          <w:bottom w:w="0" w:type="dxa"/>
          <w:right w:w="0" w:type="dxa"/>
        </w:tblCellMar>
      </w:tblPr>
      <w:tblGrid>
        <w:gridCol w:w="75"/>
        <w:gridCol w:w="170"/>
        <w:gridCol w:w="369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369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risks, costs, and benefits to the Company;</w:t>
            </w:r>
          </w:p>
        </w:tc>
      </w:tr>
    </w:tbl>
    <w:p>
      <w:pPr>
        <w:pStyle w:val="TextBody"/>
        <w:bidi w:val="0"/>
        <w:spacing w:before="0" w:after="0"/>
        <w:ind w:left="960" w:right="0" w:hanging="48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impact on a Director’s independence in the event the related person is a director, immediate family member of a director or an entity with which a director is affiliated;</w:t>
            </w:r>
          </w:p>
        </w:tc>
      </w:tr>
    </w:tbl>
    <w:p>
      <w:pPr>
        <w:pStyle w:val="TextBody"/>
        <w:bidi w:val="0"/>
        <w:spacing w:before="0" w:after="0"/>
        <w:ind w:left="960" w:right="0" w:hanging="480"/>
        <w:jc w:val="both"/>
        <w:rPr>
          <w:caps w:val="false"/>
          <w:smallCaps w:val="false"/>
        </w:rPr>
      </w:pPr>
      <w:r>
        <w:rPr>
          <w:caps w:val="false"/>
          <w:smallCaps w:val="false"/>
        </w:rPr>
        <w:t> </w:t>
      </w:r>
    </w:p>
    <w:tbl>
      <w:tblPr>
        <w:tblW w:w="5080" w:type="dxa"/>
        <w:jc w:val="left"/>
        <w:tblInd w:w="0" w:type="dxa"/>
        <w:tblLayout w:type="fixed"/>
        <w:tblCellMar>
          <w:top w:w="0" w:type="dxa"/>
          <w:left w:w="0" w:type="dxa"/>
          <w:bottom w:w="0" w:type="dxa"/>
          <w:right w:w="0" w:type="dxa"/>
        </w:tblCellMar>
      </w:tblPr>
      <w:tblGrid>
        <w:gridCol w:w="75"/>
        <w:gridCol w:w="170"/>
        <w:gridCol w:w="483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483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extent of the related person’s interest in the transaction;</w:t>
            </w:r>
          </w:p>
        </w:tc>
      </w:tr>
    </w:tbl>
    <w:p>
      <w:pPr>
        <w:pStyle w:val="TextBody"/>
        <w:bidi w:val="0"/>
        <w:spacing w:before="0" w:after="0"/>
        <w:ind w:left="960" w:right="0" w:hanging="480"/>
        <w:jc w:val="both"/>
        <w:rPr>
          <w:caps w:val="false"/>
          <w:smallCaps w:val="false"/>
        </w:rPr>
      </w:pPr>
      <w:r>
        <w:rPr>
          <w:caps w:val="false"/>
          <w:smallCaps w:val="false"/>
        </w:rPr>
        <w:t> </w:t>
      </w:r>
    </w:p>
    <w:tbl>
      <w:tblPr>
        <w:tblW w:w="3565" w:type="dxa"/>
        <w:jc w:val="left"/>
        <w:tblInd w:w="0" w:type="dxa"/>
        <w:tblLayout w:type="fixed"/>
        <w:tblCellMar>
          <w:top w:w="0" w:type="dxa"/>
          <w:left w:w="0" w:type="dxa"/>
          <w:bottom w:w="0" w:type="dxa"/>
          <w:right w:w="0" w:type="dxa"/>
        </w:tblCellMar>
      </w:tblPr>
      <w:tblGrid>
        <w:gridCol w:w="75"/>
        <w:gridCol w:w="170"/>
        <w:gridCol w:w="332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332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purpose and terms of the transaction;</w:t>
            </w:r>
          </w:p>
        </w:tc>
      </w:tr>
    </w:tbl>
    <w:p>
      <w:pPr>
        <w:pStyle w:val="TextBody"/>
        <w:bidi w:val="0"/>
        <w:spacing w:before="0" w:after="0"/>
        <w:ind w:left="960" w:right="0" w:hanging="480"/>
        <w:jc w:val="both"/>
        <w:rPr>
          <w:caps w:val="false"/>
          <w:smallCaps w:val="false"/>
        </w:rPr>
      </w:pPr>
      <w:r>
        <w:rPr>
          <w:caps w:val="false"/>
          <w:smallCaps w:val="false"/>
        </w:rPr>
        <w:t> </w:t>
      </w:r>
    </w:p>
    <w:tbl>
      <w:tblPr>
        <w:tblW w:w="7375" w:type="dxa"/>
        <w:jc w:val="left"/>
        <w:tblInd w:w="0" w:type="dxa"/>
        <w:tblLayout w:type="fixed"/>
        <w:tblCellMar>
          <w:top w:w="0" w:type="dxa"/>
          <w:left w:w="0" w:type="dxa"/>
          <w:bottom w:w="0" w:type="dxa"/>
          <w:right w:w="0" w:type="dxa"/>
        </w:tblCellMar>
      </w:tblPr>
      <w:tblGrid>
        <w:gridCol w:w="75"/>
        <w:gridCol w:w="170"/>
        <w:gridCol w:w="713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713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management’s recommendation with respect to the proposed related person transaction;</w:t>
            </w:r>
          </w:p>
        </w:tc>
      </w:tr>
    </w:tbl>
    <w:p>
      <w:pPr>
        <w:pStyle w:val="TextBody"/>
        <w:bidi w:val="0"/>
        <w:spacing w:before="0" w:after="0"/>
        <w:ind w:left="960" w:right="0" w:hanging="480"/>
        <w:jc w:val="both"/>
        <w:rPr>
          <w:caps w:val="false"/>
          <w:smallCaps w:val="false"/>
        </w:rPr>
      </w:pPr>
      <w:r>
        <w:rPr>
          <w:caps w:val="false"/>
          <w:smallCaps w:val="false"/>
        </w:rPr>
        <w:t> </w:t>
      </w:r>
    </w:p>
    <w:tbl>
      <w:tblPr>
        <w:tblW w:w="6160" w:type="dxa"/>
        <w:jc w:val="left"/>
        <w:tblInd w:w="0" w:type="dxa"/>
        <w:tblLayout w:type="fixed"/>
        <w:tblCellMar>
          <w:top w:w="0" w:type="dxa"/>
          <w:left w:w="0" w:type="dxa"/>
          <w:bottom w:w="0" w:type="dxa"/>
          <w:right w:w="0" w:type="dxa"/>
        </w:tblCellMar>
      </w:tblPr>
      <w:tblGrid>
        <w:gridCol w:w="75"/>
        <w:gridCol w:w="170"/>
        <w:gridCol w:w="591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591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availability of other sources for comparable services or products; and</w:t>
            </w:r>
          </w:p>
        </w:tc>
      </w:tr>
    </w:tbl>
    <w:p>
      <w:pPr>
        <w:pStyle w:val="TextBody"/>
        <w:bidi w:val="0"/>
        <w:spacing w:before="0" w:after="0"/>
        <w:ind w:left="960" w:right="0" w:hanging="480"/>
        <w:jc w:val="both"/>
        <w:rPr>
          <w:caps w:val="false"/>
          <w:smallCaps w:val="false"/>
        </w:rPr>
      </w:pPr>
      <w:r>
        <w:rPr>
          <w:caps w:val="false"/>
          <w:smallCaps w:val="false"/>
        </w:rPr>
        <w:t> </w:t>
      </w:r>
    </w:p>
    <w:tbl>
      <w:tblPr>
        <w:tblW w:w="9130" w:type="dxa"/>
        <w:jc w:val="left"/>
        <w:tblInd w:w="0" w:type="dxa"/>
        <w:tblLayout w:type="fixed"/>
        <w:tblCellMar>
          <w:top w:w="0" w:type="dxa"/>
          <w:left w:w="0" w:type="dxa"/>
          <w:bottom w:w="0" w:type="dxa"/>
          <w:right w:w="0" w:type="dxa"/>
        </w:tblCellMar>
      </w:tblPr>
      <w:tblGrid>
        <w:gridCol w:w="75"/>
        <w:gridCol w:w="170"/>
        <w:gridCol w:w="888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888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whether the transaction is on terms comparable to those that could be obtained in an arm’s length transaction.</w:t>
            </w:r>
          </w:p>
        </w:tc>
      </w:tr>
    </w:tbl>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Audit Committee will approve only those transactions that it determines are fair to us and in the Company’s best interests.</w:t>
      </w:r>
    </w:p>
    <w:p>
      <w:pPr>
        <w:pStyle w:val="TextBody"/>
        <w:bidi w:val="0"/>
        <w:spacing w:before="0" w:after="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97</w:t>
      </w:r>
    </w:p>
    <w:p>
      <w:pPr>
        <w:pStyle w:val="TextBody"/>
        <w:bidi w:val="0"/>
        <w:spacing w:before="0" w:after="0"/>
        <w:ind w:left="0" w:right="0" w:hanging="0"/>
        <w:jc w:val="left"/>
        <w:rPr/>
      </w:pPr>
      <w:r>
        <w:rPr/>
        <w:t> </w:t>
      </w:r>
    </w:p>
    <w:p>
      <w:pPr>
        <w:pStyle w:val="TextBody"/>
        <w:bidi w:val="0"/>
        <w:spacing w:before="0" w:after="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sz w:val="20"/>
        </w:rPr>
      </w:pPr>
      <w:bookmarkStart w:id="13" w:name="a_012"/>
      <w:bookmarkEnd w:id="13"/>
      <w:r>
        <w:rPr>
          <w:rFonts w:ascii="Times New Roman;Times;Serif" w:hAnsi="Times New Roman;Times;Serif"/>
          <w:b/>
          <w:i w:val="false"/>
          <w:caps/>
          <w:sz w:val="20"/>
        </w:rPr>
        <w:t>Principal Stockholders</w:t>
      </w:r>
    </w:p>
    <w:p>
      <w:pPr>
        <w:pStyle w:val="TextBody"/>
        <w:bidi w:val="0"/>
        <w:spacing w:before="0" w:after="0"/>
        <w:jc w:val="center"/>
        <w:rPr>
          <w:caps/>
        </w:rPr>
      </w:pPr>
      <w:r>
        <w:rPr>
          <w:caps/>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sets forth information regarding the beneficial ownership of shares of our Common Stock as of June 29, 2026, by:</w:t>
      </w:r>
    </w:p>
    <w:p>
      <w:pPr>
        <w:pStyle w:val="TextBody"/>
        <w:bidi w:val="0"/>
        <w:spacing w:before="0" w:after="0"/>
        <w:ind w:left="960" w:right="0" w:hanging="480"/>
        <w:jc w:val="both"/>
        <w:rPr>
          <w:caps w:val="false"/>
          <w:smallCaps w:val="false"/>
        </w:rPr>
      </w:pPr>
      <w:r>
        <w:rPr>
          <w:caps w:val="false"/>
          <w:smallCaps w:val="false"/>
        </w:rPr>
        <w:t> </w:t>
      </w:r>
    </w:p>
    <w:tbl>
      <w:tblPr>
        <w:tblW w:w="9760" w:type="dxa"/>
        <w:jc w:val="left"/>
        <w:tblInd w:w="0" w:type="dxa"/>
        <w:tblLayout w:type="fixed"/>
        <w:tblCellMar>
          <w:top w:w="0" w:type="dxa"/>
          <w:left w:w="0" w:type="dxa"/>
          <w:bottom w:w="0" w:type="dxa"/>
          <w:right w:w="0" w:type="dxa"/>
        </w:tblCellMar>
      </w:tblPr>
      <w:tblGrid>
        <w:gridCol w:w="75"/>
        <w:gridCol w:w="170"/>
        <w:gridCol w:w="951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51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each person known to us to be the beneficial owner of more than 5% of the outstanding shares of our Common Stock;</w:t>
            </w:r>
          </w:p>
        </w:tc>
      </w:tr>
    </w:tbl>
    <w:p>
      <w:pPr>
        <w:pStyle w:val="TextBody"/>
        <w:bidi w:val="0"/>
        <w:spacing w:before="0" w:after="0"/>
        <w:ind w:left="960" w:right="0" w:hanging="480"/>
        <w:jc w:val="both"/>
        <w:rPr>
          <w:caps w:val="false"/>
          <w:smallCaps w:val="false"/>
        </w:rPr>
      </w:pPr>
      <w:r>
        <w:rPr>
          <w:caps w:val="false"/>
          <w:smallCaps w:val="false"/>
        </w:rPr>
        <w:t> </w:t>
      </w:r>
    </w:p>
    <w:tbl>
      <w:tblPr>
        <w:tblW w:w="2020" w:type="dxa"/>
        <w:jc w:val="left"/>
        <w:tblInd w:w="0" w:type="dxa"/>
        <w:tblLayout w:type="fixed"/>
        <w:tblCellMar>
          <w:top w:w="0" w:type="dxa"/>
          <w:left w:w="0" w:type="dxa"/>
          <w:bottom w:w="0" w:type="dxa"/>
          <w:right w:w="0" w:type="dxa"/>
        </w:tblCellMar>
      </w:tblPr>
      <w:tblGrid>
        <w:gridCol w:w="75"/>
        <w:gridCol w:w="170"/>
        <w:gridCol w:w="177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177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each of our Directors;</w:t>
            </w:r>
          </w:p>
        </w:tc>
      </w:tr>
    </w:tbl>
    <w:p>
      <w:pPr>
        <w:pStyle w:val="TextBody"/>
        <w:bidi w:val="0"/>
        <w:spacing w:before="0" w:after="0"/>
        <w:ind w:left="960" w:right="0" w:hanging="480"/>
        <w:jc w:val="both"/>
        <w:rPr>
          <w:caps w:val="false"/>
          <w:smallCaps w:val="false"/>
        </w:rPr>
      </w:pPr>
      <w:r>
        <w:rPr>
          <w:caps w:val="false"/>
          <w:smallCaps w:val="false"/>
        </w:rPr>
        <w:t> </w:t>
      </w:r>
    </w:p>
    <w:tbl>
      <w:tblPr>
        <w:tblW w:w="3070" w:type="dxa"/>
        <w:jc w:val="left"/>
        <w:tblInd w:w="0" w:type="dxa"/>
        <w:tblLayout w:type="fixed"/>
        <w:tblCellMar>
          <w:top w:w="0" w:type="dxa"/>
          <w:left w:w="0" w:type="dxa"/>
          <w:bottom w:w="0" w:type="dxa"/>
          <w:right w:w="0" w:type="dxa"/>
        </w:tblCellMar>
      </w:tblPr>
      <w:tblGrid>
        <w:gridCol w:w="75"/>
        <w:gridCol w:w="170"/>
        <w:gridCol w:w="282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282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each of our executive officers; and</w:t>
            </w:r>
          </w:p>
        </w:tc>
      </w:tr>
    </w:tbl>
    <w:p>
      <w:pPr>
        <w:pStyle w:val="TextBody"/>
        <w:bidi w:val="0"/>
        <w:spacing w:before="0" w:after="0"/>
        <w:ind w:left="960" w:right="0" w:hanging="480"/>
        <w:jc w:val="both"/>
        <w:rPr>
          <w:caps w:val="false"/>
          <w:smallCaps w:val="false"/>
        </w:rPr>
      </w:pPr>
      <w:r>
        <w:rPr>
          <w:caps w:val="false"/>
          <w:smallCaps w:val="false"/>
        </w:rPr>
        <w:t> </w:t>
      </w:r>
    </w:p>
    <w:tbl>
      <w:tblPr>
        <w:tblW w:w="4540" w:type="dxa"/>
        <w:jc w:val="left"/>
        <w:tblInd w:w="0" w:type="dxa"/>
        <w:tblLayout w:type="fixed"/>
        <w:tblCellMar>
          <w:top w:w="0" w:type="dxa"/>
          <w:left w:w="0" w:type="dxa"/>
          <w:bottom w:w="0" w:type="dxa"/>
          <w:right w:w="0" w:type="dxa"/>
        </w:tblCellMar>
      </w:tblPr>
      <w:tblGrid>
        <w:gridCol w:w="75"/>
        <w:gridCol w:w="170"/>
        <w:gridCol w:w="429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429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all of our Directors and executive officers as a group.</w:t>
            </w:r>
          </w:p>
        </w:tc>
      </w:tr>
    </w:tbl>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SEC has defined “beneficial ownership” of a security to mean the possession, directly or indirectly, of voting power and/or investment power over such security. A stockholder is also deemed to be, as of any date, the beneficial owner of all securities that such stockholder has the right to acquire within 60 days after that date through (a) the exercise of any option, warrant or right; (b) the conversion of a security; (c) the power to revoke a trust, discretionary account or similar arrangement; or (d) the automatic termination of a trust, discretionary account or similar arrangement. In computing the number of shares beneficially owned by a person and the percentage ownership of that person, ordinary shares subject to options or other rights (as set forth above) held by that person that are currently exercisable, or will become exercisable within 60 days, are deemed outstanding, while such shares are not deemed outstanding for purposes of computing percentage ownership of any other person.</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table is based upon information supplied by officers, Directors and principal stockholders and Schedules 13G or 13D filed with the SEC. Unless otherwise indicated in the footnotes to this table and subject to community property laws where applicable, we believe that all persons named in the table have sole voting and investment power with respect to all shares of our Common Stock beneficially owned by them. Applicable percentages are based on 150,283,214 shares of Common Stock outstanding as of June 22, 2026, adjusted as required by rules promulgated by the SEC.</w:t>
      </w:r>
    </w:p>
    <w:p>
      <w:pPr>
        <w:pStyle w:val="TextBody"/>
        <w:bidi w:val="0"/>
        <w:spacing w:before="0" w:after="0"/>
        <w:jc w:val="both"/>
        <w:rPr>
          <w:caps w:val="false"/>
          <w:smallCaps w:val="false"/>
        </w:rPr>
      </w:pPr>
      <w:r>
        <w:rPr>
          <w:caps w:val="false"/>
          <w:smallCaps w:val="false"/>
        </w:rPr>
        <w:t> </w:t>
      </w:r>
    </w:p>
    <w:tbl>
      <w:tblPr>
        <w:tblW w:w="8284" w:type="dxa"/>
        <w:jc w:val="left"/>
        <w:tblInd w:w="0" w:type="dxa"/>
        <w:tblLayout w:type="fixed"/>
        <w:tblCellMar>
          <w:top w:w="0" w:type="dxa"/>
          <w:left w:w="0" w:type="dxa"/>
          <w:bottom w:w="28" w:type="dxa"/>
          <w:right w:w="0" w:type="dxa"/>
        </w:tblCellMar>
      </w:tblPr>
      <w:tblGrid>
        <w:gridCol w:w="5585"/>
        <w:gridCol w:w="60"/>
        <w:gridCol w:w="60"/>
        <w:gridCol w:w="950"/>
        <w:gridCol w:w="60"/>
        <w:gridCol w:w="60"/>
        <w:gridCol w:w="177"/>
        <w:gridCol w:w="1132"/>
        <w:gridCol w:w="200"/>
      </w:tblGrid>
      <w:tr>
        <w:trPr/>
        <w:tc>
          <w:tcPr>
            <w:tcW w:w="5585" w:type="dxa"/>
            <w:tcBorders>
              <w:bottom w:val="single" w:sz="12" w:space="0" w:color="000000"/>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Name and Address of Beneficial Owner</w:t>
            </w:r>
            <w:r>
              <w:rPr>
                <w:rFonts w:ascii="Times New Roman;Times;Serif" w:hAnsi="Times New Roman;Times;Serif"/>
                <w:b/>
                <w:position w:val="7"/>
                <w:sz w:val="16"/>
                <w:sz w:val="20"/>
              </w:rPr>
              <w:t>(1)</w:t>
            </w:r>
          </w:p>
        </w:tc>
        <w:tc>
          <w:tcPr>
            <w:tcW w:w="60" w:type="dxa"/>
            <w:tcBorders/>
            <w:tcMar>
              <w:bottom w:w="0" w:type="dxa"/>
            </w:tcMar>
            <w:vAlign w:val="center"/>
          </w:tcPr>
          <w:p>
            <w:pPr>
              <w:pStyle w:val="TableContents"/>
              <w:bidi w:val="0"/>
              <w:spacing w:before="0" w:after="283"/>
              <w:jc w:val="left"/>
              <w:rPr/>
            </w:pPr>
            <w:r>
              <w:rPr/>
              <w:t> </w:t>
            </w:r>
          </w:p>
        </w:tc>
        <w:tc>
          <w:tcPr>
            <w:tcW w:w="1010" w:type="dxa"/>
            <w:gridSpan w:val="2"/>
            <w:tcBorders>
              <w:bottom w:val="single" w:sz="12" w:space="0" w:color="000000"/>
            </w:tcBorders>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Number of </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Shares</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309" w:type="dxa"/>
            <w:gridSpan w:val="2"/>
            <w:tcBorders>
              <w:bottom w:val="single" w:sz="12" w:space="0" w:color="000000"/>
            </w:tcBorders>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Percentage of</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Common Stock</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Outstanding</w:t>
            </w:r>
          </w:p>
        </w:tc>
        <w:tc>
          <w:tcPr>
            <w:tcW w:w="200" w:type="dxa"/>
            <w:tcBorders/>
            <w:tcMar>
              <w:bottom w:w="0" w:type="dxa"/>
            </w:tcMar>
            <w:vAlign w:val="center"/>
          </w:tcPr>
          <w:p>
            <w:pPr>
              <w:pStyle w:val="TableContents"/>
              <w:bidi w:val="0"/>
              <w:spacing w:before="0" w:after="283"/>
              <w:jc w:val="left"/>
              <w:rPr/>
            </w:pPr>
            <w:r>
              <w:rPr/>
              <w:t> </w:t>
            </w:r>
          </w:p>
        </w:tc>
      </w:tr>
      <w:tr>
        <w:trPr/>
        <w:tc>
          <w:tcPr>
            <w:tcW w:w="5585" w:type="dxa"/>
            <w:tcBorders/>
            <w:tcMar>
              <w:bottom w:w="0" w:type="dxa"/>
            </w:tcMar>
            <w:vAlign w:val="center"/>
          </w:tcPr>
          <w:p>
            <w:pPr>
              <w:pStyle w:val="TableContents"/>
              <w:bidi w:val="0"/>
              <w:spacing w:before="0" w:after="283"/>
              <w:jc w:val="left"/>
              <w:rPr>
                <w:rFonts w:ascii="Times New Roman;Times;Serif" w:hAnsi="Times New Roman;Times;Serif"/>
                <w:i/>
                <w:sz w:val="20"/>
              </w:rPr>
            </w:pPr>
            <w:r>
              <w:rPr>
                <w:rFonts w:ascii="Times New Roman;Times;Serif" w:hAnsi="Times New Roman;Times;Serif"/>
                <w:i/>
                <w:sz w:val="20"/>
              </w:rPr>
              <w:t>5% or Greater Stockholders:</w:t>
            </w:r>
          </w:p>
        </w:tc>
        <w:tc>
          <w:tcPr>
            <w:tcW w:w="60" w:type="dxa"/>
            <w:tcBorders/>
            <w:tcMar>
              <w:bottom w:w="0" w:type="dxa"/>
            </w:tcMar>
            <w:vAlign w:val="center"/>
          </w:tcPr>
          <w:p>
            <w:pPr>
              <w:pStyle w:val="TableContents"/>
              <w:bidi w:val="0"/>
              <w:spacing w:before="0" w:after="283"/>
              <w:jc w:val="left"/>
              <w:rPr/>
            </w:pPr>
            <w:r>
              <w:rPr/>
              <w:t> </w:t>
            </w:r>
          </w:p>
        </w:tc>
        <w:tc>
          <w:tcPr>
            <w:tcW w:w="1010" w:type="dxa"/>
            <w:gridSpan w:val="2"/>
            <w:tcBorders/>
            <w:tcMar>
              <w:bottom w:w="0" w:type="dxa"/>
            </w:tcMar>
            <w:vAlign w:val="center"/>
          </w:tcPr>
          <w:p>
            <w:pPr>
              <w:pStyle w:val="TableContents"/>
              <w:bidi w:val="0"/>
              <w:spacing w:before="0" w:after="283"/>
              <w:jc w:val="right"/>
              <w:rPr/>
            </w:pPr>
            <w:r>
              <w:rPr/>
              <w:t> </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309" w:type="dxa"/>
            <w:gridSpan w:val="2"/>
            <w:tcBorders/>
            <w:tcMar>
              <w:bottom w:w="0" w:type="dxa"/>
            </w:tcMar>
            <w:vAlign w:val="center"/>
          </w:tcPr>
          <w:p>
            <w:pPr>
              <w:pStyle w:val="TableContents"/>
              <w:bidi w:val="0"/>
              <w:spacing w:before="0" w:after="283"/>
              <w:jc w:val="right"/>
              <w:rPr/>
            </w:pPr>
            <w:r>
              <w:rPr/>
              <w:t> </w:t>
            </w:r>
          </w:p>
        </w:tc>
        <w:tc>
          <w:tcPr>
            <w:tcW w:w="200" w:type="dxa"/>
            <w:tcBorders/>
            <w:tcMar>
              <w:bottom w:w="0" w:type="dxa"/>
            </w:tcMar>
            <w:vAlign w:val="center"/>
          </w:tcPr>
          <w:p>
            <w:pPr>
              <w:pStyle w:val="TableContents"/>
              <w:bidi w:val="0"/>
              <w:spacing w:before="0" w:after="283"/>
              <w:jc w:val="left"/>
              <w:rPr/>
            </w:pPr>
            <w:r>
              <w:rPr/>
              <w:t> </w:t>
            </w:r>
          </w:p>
        </w:tc>
      </w:tr>
      <w:tr>
        <w:trPr/>
        <w:tc>
          <w:tcPr>
            <w:tcW w:w="5585"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Ecosystem Integrity Fund II, L.P.</w:t>
            </w:r>
            <w:r>
              <w:rPr>
                <w:rFonts w:ascii="Times New Roman;Times;Serif" w:hAnsi="Times New Roman;Times;Serif"/>
                <w:position w:val="7"/>
                <w:sz w:val="16"/>
                <w:sz w:val="20"/>
              </w:rPr>
              <w:t>(2)</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950"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8,399,653</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77" w:type="dxa"/>
            <w:tcBorders/>
            <w:shd w:fill="CCEEFF" w:val="clear"/>
            <w:tcMar>
              <w:bottom w:w="0" w:type="dxa"/>
            </w:tcMar>
            <w:vAlign w:val="center"/>
          </w:tcPr>
          <w:p>
            <w:pPr>
              <w:pStyle w:val="TableContents"/>
              <w:bidi w:val="0"/>
              <w:spacing w:before="0" w:after="283"/>
              <w:jc w:val="left"/>
              <w:rPr/>
            </w:pPr>
            <w:r>
              <w:rPr/>
              <w:t> </w:t>
            </w:r>
          </w:p>
        </w:tc>
        <w:tc>
          <w:tcPr>
            <w:tcW w:w="1132"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5.6</w:t>
            </w:r>
          </w:p>
        </w:tc>
        <w:tc>
          <w:tcPr>
            <w:tcW w:w="200"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5585"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Thurman J. (T.J.) Rodgers</w:t>
            </w:r>
            <w:r>
              <w:rPr>
                <w:rFonts w:ascii="Times New Roman;Times;Serif" w:hAnsi="Times New Roman;Times;Serif"/>
                <w:position w:val="7"/>
                <w:sz w:val="16"/>
                <w:sz w:val="20"/>
              </w:rPr>
              <w:t>(3)</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950" w:type="dxa"/>
            <w:tcBorders/>
            <w:shd w:fill="FFFF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52,224,701</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77" w:type="dxa"/>
            <w:tcBorders/>
            <w:shd w:fill="FFFFFF" w:val="clear"/>
            <w:tcMar>
              <w:bottom w:w="0" w:type="dxa"/>
            </w:tcMar>
            <w:vAlign w:val="center"/>
          </w:tcPr>
          <w:p>
            <w:pPr>
              <w:pStyle w:val="TableContents"/>
              <w:bidi w:val="0"/>
              <w:spacing w:before="0" w:after="283"/>
              <w:jc w:val="left"/>
              <w:rPr/>
            </w:pPr>
            <w:r>
              <w:rPr/>
              <w:t> </w:t>
            </w:r>
          </w:p>
        </w:tc>
        <w:tc>
          <w:tcPr>
            <w:tcW w:w="1132" w:type="dxa"/>
            <w:tcBorders/>
            <w:shd w:fill="FFFF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29.4</w:t>
            </w:r>
          </w:p>
        </w:tc>
        <w:tc>
          <w:tcPr>
            <w:tcW w:w="200"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5585"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Chicken Parm Pizza LLC</w:t>
            </w:r>
            <w:r>
              <w:rPr>
                <w:rFonts w:ascii="Times New Roman;Times;Serif" w:hAnsi="Times New Roman;Times;Serif"/>
                <w:position w:val="7"/>
                <w:sz w:val="16"/>
                <w:sz w:val="20"/>
              </w:rPr>
              <w:t>(4)</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950"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17,857,902</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77" w:type="dxa"/>
            <w:tcBorders/>
            <w:shd w:fill="CCEEFF" w:val="clear"/>
            <w:tcMar>
              <w:bottom w:w="0" w:type="dxa"/>
            </w:tcMar>
            <w:vAlign w:val="center"/>
          </w:tcPr>
          <w:p>
            <w:pPr>
              <w:pStyle w:val="TableContents"/>
              <w:bidi w:val="0"/>
              <w:spacing w:before="0" w:after="283"/>
              <w:jc w:val="left"/>
              <w:rPr/>
            </w:pPr>
            <w:r>
              <w:rPr/>
              <w:t> </w:t>
            </w:r>
          </w:p>
        </w:tc>
        <w:tc>
          <w:tcPr>
            <w:tcW w:w="1132"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11.2</w:t>
            </w:r>
          </w:p>
        </w:tc>
        <w:tc>
          <w:tcPr>
            <w:tcW w:w="200"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5585"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Entities affiliated with Alyeska Investment Group, L.P.</w:t>
            </w:r>
            <w:r>
              <w:rPr>
                <w:rFonts w:ascii="Times New Roman;Times;Serif" w:hAnsi="Times New Roman;Times;Serif"/>
                <w:position w:val="7"/>
                <w:sz w:val="16"/>
                <w:sz w:val="20"/>
              </w:rPr>
              <w:t>(5)</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950" w:type="dxa"/>
            <w:tcBorders/>
            <w:shd w:fill="FFFF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11,695,906</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77" w:type="dxa"/>
            <w:tcBorders/>
            <w:shd w:fill="FFFFFF" w:val="clear"/>
            <w:tcMar>
              <w:bottom w:w="0" w:type="dxa"/>
            </w:tcMar>
            <w:vAlign w:val="center"/>
          </w:tcPr>
          <w:p>
            <w:pPr>
              <w:pStyle w:val="TableContents"/>
              <w:bidi w:val="0"/>
              <w:spacing w:before="0" w:after="283"/>
              <w:jc w:val="left"/>
              <w:rPr/>
            </w:pPr>
            <w:r>
              <w:rPr/>
              <w:t> </w:t>
            </w:r>
          </w:p>
        </w:tc>
        <w:tc>
          <w:tcPr>
            <w:tcW w:w="1132" w:type="dxa"/>
            <w:tcBorders/>
            <w:shd w:fill="FFFF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7.8</w:t>
            </w:r>
          </w:p>
        </w:tc>
        <w:tc>
          <w:tcPr>
            <w:tcW w:w="200"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558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950" w:type="dxa"/>
            <w:tcBorders/>
            <w:shd w:fill="CCEEFF" w:val="clear"/>
            <w:tcMar>
              <w:bottom w:w="0" w:type="dxa"/>
            </w:tcMar>
            <w:vAlign w:val="center"/>
          </w:tcPr>
          <w:p>
            <w:pPr>
              <w:pStyle w:val="TableContents"/>
              <w:bidi w:val="0"/>
              <w:spacing w:before="0" w:after="283"/>
              <w:jc w:val="righ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77" w:type="dxa"/>
            <w:tcBorders/>
            <w:shd w:fill="CCEEFF" w:val="clear"/>
            <w:tcMar>
              <w:bottom w:w="0" w:type="dxa"/>
            </w:tcMar>
            <w:vAlign w:val="center"/>
          </w:tcPr>
          <w:p>
            <w:pPr>
              <w:pStyle w:val="TableContents"/>
              <w:bidi w:val="0"/>
              <w:spacing w:before="0" w:after="283"/>
              <w:jc w:val="left"/>
              <w:rPr/>
            </w:pPr>
            <w:r>
              <w:rPr/>
              <w:t> </w:t>
            </w:r>
          </w:p>
        </w:tc>
        <w:tc>
          <w:tcPr>
            <w:tcW w:w="1132" w:type="dxa"/>
            <w:tcBorders/>
            <w:shd w:fill="CCEEFF" w:val="clear"/>
            <w:tcMar>
              <w:bottom w:w="0" w:type="dxa"/>
            </w:tcMar>
            <w:vAlign w:val="center"/>
          </w:tcPr>
          <w:p>
            <w:pPr>
              <w:pStyle w:val="TableContents"/>
              <w:bidi w:val="0"/>
              <w:spacing w:before="0" w:after="283"/>
              <w:jc w:val="right"/>
              <w:rPr/>
            </w:pPr>
            <w:r>
              <w:rPr/>
              <w:t> </w:t>
            </w:r>
          </w:p>
        </w:tc>
        <w:tc>
          <w:tcPr>
            <w:tcW w:w="200" w:type="dxa"/>
            <w:tcBorders/>
            <w:shd w:fill="CCEEFF" w:val="clear"/>
            <w:tcMar>
              <w:bottom w:w="0" w:type="dxa"/>
            </w:tcMar>
            <w:vAlign w:val="center"/>
          </w:tcPr>
          <w:p>
            <w:pPr>
              <w:pStyle w:val="TableContents"/>
              <w:bidi w:val="0"/>
              <w:spacing w:before="0" w:after="283"/>
              <w:jc w:val="left"/>
              <w:rPr/>
            </w:pPr>
            <w:r>
              <w:rPr/>
              <w:t> </w:t>
            </w:r>
          </w:p>
        </w:tc>
      </w:tr>
      <w:tr>
        <w:trPr/>
        <w:tc>
          <w:tcPr>
            <w:tcW w:w="5585" w:type="dxa"/>
            <w:tcBorders/>
            <w:shd w:fill="FFFFFF" w:val="clear"/>
            <w:tcMar>
              <w:bottom w:w="0" w:type="dxa"/>
            </w:tcMar>
            <w:vAlign w:val="center"/>
          </w:tcPr>
          <w:p>
            <w:pPr>
              <w:pStyle w:val="TableContents"/>
              <w:bidi w:val="0"/>
              <w:spacing w:before="0" w:after="283"/>
              <w:jc w:val="left"/>
              <w:rPr>
                <w:rFonts w:ascii="Times New Roman;Times;Serif" w:hAnsi="Times New Roman;Times;Serif"/>
                <w:i/>
                <w:sz w:val="20"/>
              </w:rPr>
            </w:pPr>
            <w:r>
              <w:rPr>
                <w:rFonts w:ascii="Times New Roman;Times;Serif" w:hAnsi="Times New Roman;Times;Serif"/>
                <w:i/>
                <w:sz w:val="20"/>
              </w:rPr>
              <w:t>Executive Officers and Incumbent Directors and Director Nominees:</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950" w:type="dxa"/>
            <w:tcBorders/>
            <w:shd w:fill="FFFFFF" w:val="clear"/>
            <w:tcMar>
              <w:bottom w:w="0" w:type="dxa"/>
            </w:tcMar>
            <w:vAlign w:val="center"/>
          </w:tcPr>
          <w:p>
            <w:pPr>
              <w:pStyle w:val="TableContents"/>
              <w:bidi w:val="0"/>
              <w:spacing w:before="0" w:after="283"/>
              <w:jc w:val="righ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77" w:type="dxa"/>
            <w:tcBorders/>
            <w:shd w:fill="FFFFFF" w:val="clear"/>
            <w:tcMar>
              <w:bottom w:w="0" w:type="dxa"/>
            </w:tcMar>
            <w:vAlign w:val="center"/>
          </w:tcPr>
          <w:p>
            <w:pPr>
              <w:pStyle w:val="TableContents"/>
              <w:bidi w:val="0"/>
              <w:spacing w:before="0" w:after="283"/>
              <w:jc w:val="left"/>
              <w:rPr/>
            </w:pPr>
            <w:r>
              <w:rPr/>
              <w:t> </w:t>
            </w:r>
          </w:p>
        </w:tc>
        <w:tc>
          <w:tcPr>
            <w:tcW w:w="1132" w:type="dxa"/>
            <w:tcBorders/>
            <w:shd w:fill="FFFFFF" w:val="clear"/>
            <w:tcMar>
              <w:bottom w:w="0" w:type="dxa"/>
            </w:tcMar>
            <w:vAlign w:val="center"/>
          </w:tcPr>
          <w:p>
            <w:pPr>
              <w:pStyle w:val="TableContents"/>
              <w:bidi w:val="0"/>
              <w:spacing w:before="0" w:after="283"/>
              <w:jc w:val="right"/>
              <w:rPr/>
            </w:pPr>
            <w:r>
              <w:rPr/>
              <w:t> </w:t>
            </w:r>
          </w:p>
        </w:tc>
        <w:tc>
          <w:tcPr>
            <w:tcW w:w="200" w:type="dxa"/>
            <w:tcBorders/>
            <w:shd w:fill="FFFFFF" w:val="clear"/>
            <w:tcMar>
              <w:bottom w:w="0" w:type="dxa"/>
            </w:tcMar>
            <w:vAlign w:val="center"/>
          </w:tcPr>
          <w:p>
            <w:pPr>
              <w:pStyle w:val="TableContents"/>
              <w:bidi w:val="0"/>
              <w:spacing w:before="0" w:after="283"/>
              <w:jc w:val="left"/>
              <w:rPr/>
            </w:pPr>
            <w:r>
              <w:rPr/>
              <w:t> </w:t>
            </w:r>
          </w:p>
        </w:tc>
      </w:tr>
      <w:tr>
        <w:trPr/>
        <w:tc>
          <w:tcPr>
            <w:tcW w:w="5585"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Thurman J.(T.J.) Rodgers</w:t>
            </w:r>
            <w:r>
              <w:rPr>
                <w:rFonts w:ascii="Times New Roman;Times;Serif" w:hAnsi="Times New Roman;Times;Serif"/>
                <w:position w:val="7"/>
                <w:sz w:val="16"/>
                <w:sz w:val="20"/>
              </w:rPr>
              <w:t>(3)</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950"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52,224,701</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77" w:type="dxa"/>
            <w:tcBorders/>
            <w:shd w:fill="CCEEFF" w:val="clear"/>
            <w:tcMar>
              <w:bottom w:w="0" w:type="dxa"/>
            </w:tcMar>
            <w:vAlign w:val="center"/>
          </w:tcPr>
          <w:p>
            <w:pPr>
              <w:pStyle w:val="TableContents"/>
              <w:bidi w:val="0"/>
              <w:spacing w:before="0" w:after="283"/>
              <w:jc w:val="left"/>
              <w:rPr/>
            </w:pPr>
            <w:r>
              <w:rPr/>
              <w:t> </w:t>
            </w:r>
          </w:p>
        </w:tc>
        <w:tc>
          <w:tcPr>
            <w:tcW w:w="1132"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29.4</w:t>
            </w:r>
          </w:p>
        </w:tc>
        <w:tc>
          <w:tcPr>
            <w:tcW w:w="200"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5585"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William J. Anderson</w:t>
            </w:r>
            <w:r>
              <w:rPr>
                <w:rFonts w:ascii="Times New Roman;Times;Serif" w:hAnsi="Times New Roman;Times;Serif"/>
                <w:position w:val="7"/>
                <w:sz w:val="16"/>
                <w:sz w:val="20"/>
              </w:rPr>
              <w:t>(8)</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950" w:type="dxa"/>
            <w:tcBorders/>
            <w:shd w:fill="FFFF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2,953,083</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77" w:type="dxa"/>
            <w:tcBorders/>
            <w:shd w:fill="FFFFFF" w:val="clear"/>
            <w:tcMar>
              <w:bottom w:w="0" w:type="dxa"/>
            </w:tcMar>
            <w:vAlign w:val="center"/>
          </w:tcPr>
          <w:p>
            <w:pPr>
              <w:pStyle w:val="TableContents"/>
              <w:bidi w:val="0"/>
              <w:spacing w:before="0" w:after="283"/>
              <w:jc w:val="left"/>
              <w:rPr/>
            </w:pPr>
            <w:r>
              <w:rPr/>
              <w:t> </w:t>
            </w:r>
          </w:p>
        </w:tc>
        <w:tc>
          <w:tcPr>
            <w:tcW w:w="1132" w:type="dxa"/>
            <w:tcBorders/>
            <w:shd w:fill="FFFF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1.9</w:t>
            </w:r>
          </w:p>
        </w:tc>
        <w:tc>
          <w:tcPr>
            <w:tcW w:w="200"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5585"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Antonio R. Alvarez</w:t>
            </w:r>
            <w:r>
              <w:rPr>
                <w:rFonts w:ascii="Times New Roman;Times;Serif" w:hAnsi="Times New Roman;Times;Serif"/>
                <w:position w:val="7"/>
                <w:sz w:val="16"/>
                <w:sz w:val="20"/>
              </w:rPr>
              <w:t>(9)</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950"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201,029</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77" w:type="dxa"/>
            <w:tcBorders/>
            <w:shd w:fill="CCEEFF" w:val="clear"/>
            <w:tcMar>
              <w:bottom w:w="0" w:type="dxa"/>
            </w:tcMar>
            <w:vAlign w:val="center"/>
          </w:tcPr>
          <w:p>
            <w:pPr>
              <w:pStyle w:val="TableContents"/>
              <w:bidi w:val="0"/>
              <w:spacing w:before="0" w:after="283"/>
              <w:jc w:val="left"/>
              <w:rPr/>
            </w:pPr>
            <w:r>
              <w:rPr/>
              <w:t> </w:t>
            </w:r>
          </w:p>
        </w:tc>
        <w:tc>
          <w:tcPr>
            <w:tcW w:w="1132"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200" w:type="dxa"/>
            <w:tcBorders/>
            <w:shd w:fill="CCEEFF" w:val="clear"/>
            <w:tcMar>
              <w:bottom w:w="0" w:type="dxa"/>
            </w:tcMar>
            <w:vAlign w:val="center"/>
          </w:tcPr>
          <w:p>
            <w:pPr>
              <w:pStyle w:val="TableContents"/>
              <w:bidi w:val="0"/>
              <w:spacing w:before="0" w:after="283"/>
              <w:jc w:val="left"/>
              <w:rPr/>
            </w:pPr>
            <w:r>
              <w:rPr/>
              <w:t> </w:t>
            </w:r>
          </w:p>
        </w:tc>
      </w:tr>
      <w:tr>
        <w:trPr/>
        <w:tc>
          <w:tcPr>
            <w:tcW w:w="5585"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Daniel Foley</w:t>
            </w:r>
            <w:r>
              <w:rPr>
                <w:rFonts w:ascii="Times New Roman;Times;Serif" w:hAnsi="Times New Roman;Times;Serif"/>
                <w:position w:val="7"/>
                <w:sz w:val="16"/>
                <w:sz w:val="20"/>
              </w:rPr>
              <w:t>(10)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950" w:type="dxa"/>
            <w:tcBorders/>
            <w:shd w:fill="FFFF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77,441</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77" w:type="dxa"/>
            <w:tcBorders/>
            <w:shd w:fill="FFFFFF" w:val="clear"/>
            <w:tcMar>
              <w:bottom w:w="0" w:type="dxa"/>
            </w:tcMar>
            <w:vAlign w:val="center"/>
          </w:tcPr>
          <w:p>
            <w:pPr>
              <w:pStyle w:val="TableContents"/>
              <w:bidi w:val="0"/>
              <w:spacing w:before="0" w:after="283"/>
              <w:jc w:val="left"/>
              <w:rPr/>
            </w:pPr>
            <w:r>
              <w:rPr/>
              <w:t> </w:t>
            </w:r>
          </w:p>
        </w:tc>
        <w:tc>
          <w:tcPr>
            <w:tcW w:w="1132" w:type="dxa"/>
            <w:tcBorders/>
            <w:shd w:fill="FFFF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200" w:type="dxa"/>
            <w:tcBorders/>
            <w:shd w:fill="FFFFFF" w:val="clear"/>
            <w:tcMar>
              <w:bottom w:w="0" w:type="dxa"/>
            </w:tcMar>
            <w:vAlign w:val="center"/>
          </w:tcPr>
          <w:p>
            <w:pPr>
              <w:pStyle w:val="TableContents"/>
              <w:bidi w:val="0"/>
              <w:spacing w:before="0" w:after="283"/>
              <w:jc w:val="left"/>
              <w:rPr/>
            </w:pPr>
            <w:r>
              <w:rPr/>
              <w:t> </w:t>
            </w:r>
          </w:p>
        </w:tc>
      </w:tr>
      <w:tr>
        <w:trPr/>
        <w:tc>
          <w:tcPr>
            <w:tcW w:w="5585"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Devin Whatley</w:t>
            </w:r>
            <w:r>
              <w:rPr>
                <w:rFonts w:ascii="Times New Roman;Times;Serif" w:hAnsi="Times New Roman;Times;Serif"/>
                <w:position w:val="7"/>
                <w:sz w:val="16"/>
                <w:sz w:val="20"/>
              </w:rPr>
              <w:t>(2)</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950"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8,591,602</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77" w:type="dxa"/>
            <w:tcBorders/>
            <w:shd w:fill="CCEEFF" w:val="clear"/>
            <w:tcMar>
              <w:bottom w:w="0" w:type="dxa"/>
            </w:tcMar>
            <w:vAlign w:val="center"/>
          </w:tcPr>
          <w:p>
            <w:pPr>
              <w:pStyle w:val="TableContents"/>
              <w:bidi w:val="0"/>
              <w:spacing w:before="0" w:after="283"/>
              <w:jc w:val="left"/>
              <w:rPr/>
            </w:pPr>
            <w:r>
              <w:rPr/>
              <w:t> </w:t>
            </w:r>
          </w:p>
        </w:tc>
        <w:tc>
          <w:tcPr>
            <w:tcW w:w="1132"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5.7</w:t>
            </w:r>
          </w:p>
        </w:tc>
        <w:tc>
          <w:tcPr>
            <w:tcW w:w="200"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5585"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Tidjane Thiam</w:t>
            </w:r>
            <w:r>
              <w:rPr>
                <w:rFonts w:ascii="Times New Roman;Times;Serif" w:hAnsi="Times New Roman;Times;Serif"/>
                <w:position w:val="7"/>
                <w:sz w:val="16"/>
                <w:sz w:val="20"/>
              </w:rPr>
              <w:t>(11)</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950" w:type="dxa"/>
            <w:tcBorders/>
            <w:shd w:fill="FFFF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292,825</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77" w:type="dxa"/>
            <w:tcBorders/>
            <w:shd w:fill="FFFFFF" w:val="clear"/>
            <w:tcMar>
              <w:bottom w:w="0" w:type="dxa"/>
            </w:tcMar>
            <w:vAlign w:val="center"/>
          </w:tcPr>
          <w:p>
            <w:pPr>
              <w:pStyle w:val="TableContents"/>
              <w:bidi w:val="0"/>
              <w:spacing w:before="0" w:after="283"/>
              <w:jc w:val="left"/>
              <w:rPr/>
            </w:pPr>
            <w:r>
              <w:rPr/>
              <w:t> </w:t>
            </w:r>
          </w:p>
        </w:tc>
        <w:tc>
          <w:tcPr>
            <w:tcW w:w="1132" w:type="dxa"/>
            <w:tcBorders/>
            <w:shd w:fill="FFFF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200" w:type="dxa"/>
            <w:tcBorders/>
            <w:shd w:fill="FFFFFF" w:val="clear"/>
            <w:tcMar>
              <w:bottom w:w="0" w:type="dxa"/>
            </w:tcMar>
            <w:vAlign w:val="center"/>
          </w:tcPr>
          <w:p>
            <w:pPr>
              <w:pStyle w:val="TableContents"/>
              <w:bidi w:val="0"/>
              <w:spacing w:before="0" w:after="283"/>
              <w:jc w:val="left"/>
              <w:rPr/>
            </w:pPr>
            <w:r>
              <w:rPr/>
              <w:t> </w:t>
            </w:r>
          </w:p>
        </w:tc>
      </w:tr>
      <w:tr>
        <w:trPr/>
        <w:tc>
          <w:tcPr>
            <w:tcW w:w="5585"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Adam Gishen</w:t>
            </w:r>
            <w:r>
              <w:rPr>
                <w:rFonts w:ascii="Times New Roman;Times;Serif" w:hAnsi="Times New Roman;Times;Serif"/>
                <w:position w:val="7"/>
                <w:sz w:val="16"/>
                <w:sz w:val="20"/>
              </w:rPr>
              <w:t>(12)</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950"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864,686</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77" w:type="dxa"/>
            <w:tcBorders/>
            <w:shd w:fill="CCEEFF" w:val="clear"/>
            <w:tcMar>
              <w:bottom w:w="0" w:type="dxa"/>
            </w:tcMar>
            <w:vAlign w:val="center"/>
          </w:tcPr>
          <w:p>
            <w:pPr>
              <w:pStyle w:val="TableContents"/>
              <w:bidi w:val="0"/>
              <w:spacing w:before="0" w:after="283"/>
              <w:jc w:val="left"/>
              <w:rPr/>
            </w:pPr>
            <w:r>
              <w:rPr/>
              <w:t> </w:t>
            </w:r>
          </w:p>
        </w:tc>
        <w:tc>
          <w:tcPr>
            <w:tcW w:w="1132"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200" w:type="dxa"/>
            <w:tcBorders/>
            <w:shd w:fill="CCEEFF" w:val="clear"/>
            <w:tcMar>
              <w:bottom w:w="0" w:type="dxa"/>
            </w:tcMar>
            <w:vAlign w:val="center"/>
          </w:tcPr>
          <w:p>
            <w:pPr>
              <w:pStyle w:val="TableContents"/>
              <w:bidi w:val="0"/>
              <w:spacing w:before="0" w:after="283"/>
              <w:jc w:val="left"/>
              <w:rPr/>
            </w:pPr>
            <w:r>
              <w:rPr/>
              <w:t> </w:t>
            </w:r>
          </w:p>
        </w:tc>
      </w:tr>
      <w:tr>
        <w:trPr/>
        <w:tc>
          <w:tcPr>
            <w:tcW w:w="5585"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Ronald Pasek</w:t>
            </w:r>
            <w:r>
              <w:rPr>
                <w:rFonts w:ascii="Times New Roman;Times;Serif" w:hAnsi="Times New Roman;Times;Serif"/>
                <w:position w:val="7"/>
                <w:sz w:val="16"/>
                <w:sz w:val="20"/>
              </w:rPr>
              <w:t>(13)</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950" w:type="dxa"/>
            <w:tcBorders/>
            <w:shd w:fill="FFFF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225,459</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77" w:type="dxa"/>
            <w:tcBorders/>
            <w:shd w:fill="FFFFFF" w:val="clear"/>
            <w:tcMar>
              <w:bottom w:w="0" w:type="dxa"/>
            </w:tcMar>
            <w:vAlign w:val="center"/>
          </w:tcPr>
          <w:p>
            <w:pPr>
              <w:pStyle w:val="TableContents"/>
              <w:bidi w:val="0"/>
              <w:spacing w:before="0" w:after="283"/>
              <w:jc w:val="left"/>
              <w:rPr/>
            </w:pPr>
            <w:r>
              <w:rPr/>
              <w:t> </w:t>
            </w:r>
          </w:p>
        </w:tc>
        <w:tc>
          <w:tcPr>
            <w:tcW w:w="1132" w:type="dxa"/>
            <w:tcBorders/>
            <w:shd w:fill="FFFF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200" w:type="dxa"/>
            <w:tcBorders/>
            <w:shd w:fill="FFFFFF" w:val="clear"/>
            <w:tcMar>
              <w:bottom w:w="0" w:type="dxa"/>
            </w:tcMar>
            <w:vAlign w:val="center"/>
          </w:tcPr>
          <w:p>
            <w:pPr>
              <w:pStyle w:val="TableContents"/>
              <w:bidi w:val="0"/>
              <w:spacing w:before="0" w:after="283"/>
              <w:jc w:val="left"/>
              <w:rPr/>
            </w:pPr>
            <w:r>
              <w:rPr/>
              <w:t> </w:t>
            </w:r>
          </w:p>
        </w:tc>
      </w:tr>
      <w:tr>
        <w:trPr/>
        <w:tc>
          <w:tcPr>
            <w:tcW w:w="5585"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Chris Lundell</w:t>
            </w:r>
            <w:r>
              <w:rPr>
                <w:rFonts w:ascii="Times New Roman;Times;Serif" w:hAnsi="Times New Roman;Times;Serif"/>
                <w:position w:val="7"/>
                <w:sz w:val="16"/>
                <w:sz w:val="20"/>
              </w:rPr>
              <w:t>(14)</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950"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396,714</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77" w:type="dxa"/>
            <w:tcBorders/>
            <w:shd w:fill="CCEEFF" w:val="clear"/>
            <w:tcMar>
              <w:bottom w:w="0" w:type="dxa"/>
            </w:tcMar>
            <w:vAlign w:val="center"/>
          </w:tcPr>
          <w:p>
            <w:pPr>
              <w:pStyle w:val="TableContents"/>
              <w:bidi w:val="0"/>
              <w:spacing w:before="0" w:after="283"/>
              <w:jc w:val="left"/>
              <w:rPr/>
            </w:pPr>
            <w:r>
              <w:rPr/>
              <w:t> </w:t>
            </w:r>
          </w:p>
        </w:tc>
        <w:tc>
          <w:tcPr>
            <w:tcW w:w="1132"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200" w:type="dxa"/>
            <w:tcBorders/>
            <w:shd w:fill="CCEEFF" w:val="clear"/>
            <w:tcMar>
              <w:bottom w:w="0" w:type="dxa"/>
            </w:tcMar>
            <w:vAlign w:val="center"/>
          </w:tcPr>
          <w:p>
            <w:pPr>
              <w:pStyle w:val="TableContents"/>
              <w:bidi w:val="0"/>
              <w:spacing w:before="0" w:after="283"/>
              <w:jc w:val="left"/>
              <w:rPr/>
            </w:pPr>
            <w:r>
              <w:rPr/>
              <w:t> </w:t>
            </w:r>
          </w:p>
        </w:tc>
      </w:tr>
      <w:tr>
        <w:trPr/>
        <w:tc>
          <w:tcPr>
            <w:tcW w:w="5585"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Lothar Maier</w:t>
            </w:r>
            <w:r>
              <w:rPr>
                <w:rFonts w:ascii="Times New Roman;Times;Serif" w:hAnsi="Times New Roman;Times;Serif"/>
                <w:position w:val="7"/>
                <w:sz w:val="16"/>
                <w:sz w:val="20"/>
              </w:rPr>
              <w:t>(15)</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950" w:type="dxa"/>
            <w:tcBorders/>
            <w:shd w:fill="FFFF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243,169</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77" w:type="dxa"/>
            <w:tcBorders/>
            <w:shd w:fill="FFFFFF" w:val="clear"/>
            <w:tcMar>
              <w:bottom w:w="0" w:type="dxa"/>
            </w:tcMar>
            <w:vAlign w:val="center"/>
          </w:tcPr>
          <w:p>
            <w:pPr>
              <w:pStyle w:val="TableContents"/>
              <w:bidi w:val="0"/>
              <w:spacing w:before="0" w:after="283"/>
              <w:jc w:val="left"/>
              <w:rPr/>
            </w:pPr>
            <w:r>
              <w:rPr/>
              <w:t> </w:t>
            </w:r>
          </w:p>
        </w:tc>
        <w:tc>
          <w:tcPr>
            <w:tcW w:w="1132" w:type="dxa"/>
            <w:tcBorders/>
            <w:shd w:fill="FFFF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200" w:type="dxa"/>
            <w:tcBorders/>
            <w:shd w:fill="FFFFFF" w:val="clear"/>
            <w:tcMar>
              <w:bottom w:w="0" w:type="dxa"/>
            </w:tcMar>
            <w:vAlign w:val="center"/>
          </w:tcPr>
          <w:p>
            <w:pPr>
              <w:pStyle w:val="TableContents"/>
              <w:bidi w:val="0"/>
              <w:spacing w:before="0" w:after="283"/>
              <w:jc w:val="left"/>
              <w:rPr/>
            </w:pPr>
            <w:r>
              <w:rPr/>
              <w:t> </w:t>
            </w:r>
          </w:p>
        </w:tc>
      </w:tr>
      <w:tr>
        <w:trPr/>
        <w:tc>
          <w:tcPr>
            <w:tcW w:w="5585"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J. Daniel McCranie</w:t>
            </w:r>
            <w:r>
              <w:rPr>
                <w:rFonts w:ascii="Times New Roman;Times;Serif" w:hAnsi="Times New Roman;Times;Serif"/>
                <w:position w:val="7"/>
                <w:sz w:val="16"/>
                <w:sz w:val="20"/>
              </w:rPr>
              <w:t>(16)</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950"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1,681,765</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77" w:type="dxa"/>
            <w:tcBorders/>
            <w:shd w:fill="CCEEFF" w:val="clear"/>
            <w:tcMar>
              <w:bottom w:w="0" w:type="dxa"/>
            </w:tcMar>
            <w:vAlign w:val="center"/>
          </w:tcPr>
          <w:p>
            <w:pPr>
              <w:pStyle w:val="TableContents"/>
              <w:bidi w:val="0"/>
              <w:spacing w:before="0" w:after="283"/>
              <w:jc w:val="left"/>
              <w:rPr/>
            </w:pPr>
            <w:r>
              <w:rPr/>
              <w:t> </w:t>
            </w:r>
          </w:p>
        </w:tc>
        <w:tc>
          <w:tcPr>
            <w:tcW w:w="1132"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200" w:type="dxa"/>
            <w:tcBorders/>
            <w:shd w:fill="CCEEFF" w:val="clear"/>
            <w:tcMar>
              <w:bottom w:w="0" w:type="dxa"/>
            </w:tcMar>
            <w:vAlign w:val="center"/>
          </w:tcPr>
          <w:p>
            <w:pPr>
              <w:pStyle w:val="TableContents"/>
              <w:bidi w:val="0"/>
              <w:spacing w:before="0" w:after="283"/>
              <w:jc w:val="left"/>
              <w:rPr/>
            </w:pPr>
            <w:r>
              <w:rPr/>
              <w:t> </w:t>
            </w:r>
          </w:p>
        </w:tc>
      </w:tr>
      <w:tr>
        <w:trPr/>
        <w:tc>
          <w:tcPr>
            <w:tcW w:w="5585"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Jamie Haenggi</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950" w:type="dxa"/>
            <w:tcBorders/>
            <w:shd w:fill="FFFF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77" w:type="dxa"/>
            <w:tcBorders/>
            <w:shd w:fill="FFFFFF" w:val="clear"/>
            <w:tcMar>
              <w:bottom w:w="0" w:type="dxa"/>
            </w:tcMar>
            <w:vAlign w:val="center"/>
          </w:tcPr>
          <w:p>
            <w:pPr>
              <w:pStyle w:val="TableContents"/>
              <w:bidi w:val="0"/>
              <w:spacing w:before="0" w:after="283"/>
              <w:jc w:val="left"/>
              <w:rPr/>
            </w:pPr>
            <w:r>
              <w:rPr/>
              <w:t> </w:t>
            </w:r>
          </w:p>
        </w:tc>
        <w:tc>
          <w:tcPr>
            <w:tcW w:w="1132" w:type="dxa"/>
            <w:tcBorders/>
            <w:shd w:fill="FFFF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200" w:type="dxa"/>
            <w:tcBorders/>
            <w:shd w:fill="FFFFFF" w:val="clear"/>
            <w:tcMar>
              <w:bottom w:w="0" w:type="dxa"/>
            </w:tcMar>
            <w:vAlign w:val="center"/>
          </w:tcPr>
          <w:p>
            <w:pPr>
              <w:pStyle w:val="TableContents"/>
              <w:bidi w:val="0"/>
              <w:spacing w:before="0" w:after="283"/>
              <w:jc w:val="left"/>
              <w:rPr/>
            </w:pPr>
            <w:r>
              <w:rPr/>
              <w:t> </w:t>
            </w:r>
          </w:p>
        </w:tc>
      </w:tr>
      <w:tr>
        <w:trPr/>
        <w:tc>
          <w:tcPr>
            <w:tcW w:w="5585"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Bernard Gutmann</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950"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77" w:type="dxa"/>
            <w:tcBorders/>
            <w:shd w:fill="CCEEFF" w:val="clear"/>
            <w:tcMar>
              <w:bottom w:w="0" w:type="dxa"/>
            </w:tcMar>
            <w:vAlign w:val="center"/>
          </w:tcPr>
          <w:p>
            <w:pPr>
              <w:pStyle w:val="TableContents"/>
              <w:bidi w:val="0"/>
              <w:spacing w:before="0" w:after="283"/>
              <w:jc w:val="left"/>
              <w:rPr/>
            </w:pPr>
            <w:r>
              <w:rPr/>
              <w:t> </w:t>
            </w:r>
          </w:p>
        </w:tc>
        <w:tc>
          <w:tcPr>
            <w:tcW w:w="1132"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200" w:type="dxa"/>
            <w:tcBorders/>
            <w:shd w:fill="CCEEFF" w:val="clear"/>
            <w:tcMar>
              <w:bottom w:w="0" w:type="dxa"/>
            </w:tcMar>
            <w:vAlign w:val="center"/>
          </w:tcPr>
          <w:p>
            <w:pPr>
              <w:pStyle w:val="TableContents"/>
              <w:bidi w:val="0"/>
              <w:spacing w:before="0" w:after="283"/>
              <w:jc w:val="left"/>
              <w:rPr/>
            </w:pPr>
            <w:r>
              <w:rPr/>
              <w:t> </w:t>
            </w:r>
          </w:p>
        </w:tc>
      </w:tr>
      <w:tr>
        <w:trPr/>
        <w:tc>
          <w:tcPr>
            <w:tcW w:w="5585"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Jeanne Nguyen</w:t>
            </w:r>
            <w:r>
              <w:rPr>
                <w:rFonts w:ascii="Times New Roman;Times;Serif" w:hAnsi="Times New Roman;Times;Serif"/>
                <w:position w:val="7"/>
                <w:sz w:val="16"/>
                <w:sz w:val="20"/>
              </w:rPr>
              <w:t>(16)</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950" w:type="dxa"/>
            <w:tcBorders/>
            <w:shd w:fill="FFFF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114,012</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77" w:type="dxa"/>
            <w:tcBorders/>
            <w:shd w:fill="FFFFFF" w:val="clear"/>
            <w:tcMar>
              <w:bottom w:w="0" w:type="dxa"/>
            </w:tcMar>
            <w:vAlign w:val="center"/>
          </w:tcPr>
          <w:p>
            <w:pPr>
              <w:pStyle w:val="TableContents"/>
              <w:bidi w:val="0"/>
              <w:spacing w:before="0" w:after="283"/>
              <w:jc w:val="left"/>
              <w:rPr/>
            </w:pPr>
            <w:r>
              <w:rPr/>
              <w:t> </w:t>
            </w:r>
          </w:p>
        </w:tc>
        <w:tc>
          <w:tcPr>
            <w:tcW w:w="1132" w:type="dxa"/>
            <w:tcBorders/>
            <w:shd w:fill="FFFF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200" w:type="dxa"/>
            <w:tcBorders/>
            <w:shd w:fill="FFFFFF" w:val="clear"/>
            <w:tcMar>
              <w:bottom w:w="0" w:type="dxa"/>
            </w:tcMar>
            <w:vAlign w:val="center"/>
          </w:tcPr>
          <w:p>
            <w:pPr>
              <w:pStyle w:val="TableContents"/>
              <w:bidi w:val="0"/>
              <w:spacing w:before="0" w:after="283"/>
              <w:jc w:val="left"/>
              <w:rPr/>
            </w:pPr>
            <w:r>
              <w:rPr/>
              <w:t> </w:t>
            </w:r>
          </w:p>
        </w:tc>
      </w:tr>
      <w:tr>
        <w:trPr/>
        <w:tc>
          <w:tcPr>
            <w:tcW w:w="5585"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All Directors and executive officers as a group (14 persons)</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950"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67,866,486</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77" w:type="dxa"/>
            <w:tcBorders/>
            <w:shd w:fill="CCEEFF" w:val="clear"/>
            <w:tcMar>
              <w:bottom w:w="0" w:type="dxa"/>
            </w:tcMar>
            <w:vAlign w:val="center"/>
          </w:tcPr>
          <w:p>
            <w:pPr>
              <w:pStyle w:val="TableContents"/>
              <w:bidi w:val="0"/>
              <w:spacing w:before="0" w:after="283"/>
              <w:jc w:val="left"/>
              <w:rPr/>
            </w:pPr>
            <w:r>
              <w:rPr/>
              <w:t> </w:t>
            </w:r>
          </w:p>
        </w:tc>
        <w:tc>
          <w:tcPr>
            <w:tcW w:w="1132"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37.4</w:t>
            </w:r>
          </w:p>
        </w:tc>
        <w:tc>
          <w:tcPr>
            <w:tcW w:w="200"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bl>
    <w:p>
      <w:pPr>
        <w:pStyle w:val="TextBody"/>
        <w:bidi w:val="0"/>
        <w:spacing w:before="0" w:after="0"/>
        <w:jc w:val="both"/>
        <w:rPr>
          <w:caps w:val="false"/>
          <w:smallCaps w:val="false"/>
        </w:rPr>
      </w:pPr>
      <w:r>
        <w:rPr>
          <w:caps w:val="false"/>
          <w:smallCaps w:val="false"/>
        </w:rPr>
        <w:t> </w:t>
      </w:r>
    </w:p>
    <w:tbl>
      <w:tblPr>
        <w:tblW w:w="1975" w:type="dxa"/>
        <w:jc w:val="left"/>
        <w:tblInd w:w="0" w:type="dxa"/>
        <w:tblLayout w:type="fixed"/>
        <w:tblCellMar>
          <w:top w:w="0" w:type="dxa"/>
          <w:left w:w="0" w:type="dxa"/>
          <w:bottom w:w="0" w:type="dxa"/>
          <w:right w:w="0" w:type="dxa"/>
        </w:tblCellMar>
      </w:tblPr>
      <w:tblGrid>
        <w:gridCol w:w="140"/>
        <w:gridCol w:w="1835"/>
      </w:tblGrid>
      <w:tr>
        <w:trPr/>
        <w:tc>
          <w:tcPr>
            <w:tcW w:w="14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83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Less than one percent.</w:t>
            </w:r>
          </w:p>
        </w:tc>
      </w:tr>
    </w:tbl>
    <w:p>
      <w:pPr>
        <w:pStyle w:val="TextBody"/>
        <w:bidi w:val="0"/>
        <w:spacing w:before="0" w:after="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98</w:t>
      </w:r>
    </w:p>
    <w:p>
      <w:pPr>
        <w:pStyle w:val="TextBody"/>
        <w:bidi w:val="0"/>
        <w:spacing w:before="0" w:after="0"/>
        <w:ind w:left="0" w:right="0" w:hanging="0"/>
        <w:jc w:val="left"/>
        <w:rPr/>
      </w:pPr>
      <w:r>
        <w:rPr/>
        <w:t> </w:t>
      </w:r>
    </w:p>
    <w:p>
      <w:pPr>
        <w:pStyle w:val="TextBody"/>
        <w:bidi w:val="0"/>
        <w:spacing w:before="0" w:after="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37"/>
        <w:gridCol w:w="9968"/>
      </w:tblGrid>
      <w:tr>
        <w:trPr/>
        <w:tc>
          <w:tcPr>
            <w:tcW w:w="237"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w:t>
            </w:r>
          </w:p>
        </w:tc>
        <w:tc>
          <w:tcPr>
            <w:tcW w:w="9968"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Unless otherwise indicated, the business address of each of the directors and executive officers of the Company listed in the table is c/o SunPower Inc., 1403 N. Research Way, Orem, UT 84097.</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09"/>
        <w:gridCol w:w="9996"/>
      </w:tblGrid>
      <w:tr>
        <w:trPr/>
        <w:tc>
          <w:tcPr>
            <w:tcW w:w="209"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w:t>
            </w:r>
          </w:p>
        </w:tc>
        <w:tc>
          <w:tcPr>
            <w:tcW w:w="9996"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Includes (i) 5,832,054 shares held by Ecosystem Integrity Fund II, L.P., of which Mr. Devin Whatley is the managing member of the general partner, (ii) 198,346 shares held by EIF CS SPV LLC, and (iii) 2,369,253 shares issuable pursuant to warrants exercisable within 60 days of May 15, 2026. Mr. Whatley serves as a director of the Company. The business address of each of Ecosystem Integrity Fund II, L.P., EIF CS SPV LLC and Mr. Whatley is 20 Richelle Court, Lafayette, California 94549. In the case of Mr. Whatley, also includes (i) 103,825 shares of common stock issuable upon settlement of restricted stock units, and (ii) 88,124 shares issuable pursuant to stock options exercisable within 60 days of June 22, 2026.</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03"/>
        <w:gridCol w:w="10002"/>
      </w:tblGrid>
      <w:tr>
        <w:trPr/>
        <w:tc>
          <w:tcPr>
            <w:tcW w:w="203"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(3)</w:t>
            </w:r>
          </w:p>
        </w:tc>
        <w:tc>
          <w:tcPr>
            <w:tcW w:w="10002"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Includes (i) 485,562 shares held by Rodgers Capital, LLC, (ii) 8,842 shares held by Thurman J. Rodgers, (iii) 21,590,490 shares held by the Rodgers Massey Revocable Living Trust, (iv) 1,838,235 shares held by the Rodgers Massey Freedom and Free Markets Charitable Trust, (v) 463,589 shares held by the T.J. Rodgers 2012 Irrevocable Trust dtd 12/26/12, (vi) 463,589 shares held by the Valeta Massey 2012 Irrevocable Trust dtd 12/26/12, (vii) 724,416 shares issuable pursuant to warrants exercisable within 60 days of June 22, 2026, and (viii) 116,601 shares issuable pursuant to stock options and restricted stock units exercisable or settleable within 60 days of June 22, 2026. Additionally, the number of shares reflected in the table above includes shares issuable upon conversion of the following convertible notes: (a) the Rodgers Massey Revocable Living Trust holds $18,000,000 principal amount of 12% Notes convertible into 10,714,285 shares of common stock, (b) the Rodgers Massey Revocable Living Trust and the Rodgers Massey Freedom and Free Markets Charitable Trust hold an aggregate of $8,000,000 principal amount of 7% Notes convertible into a total of 4,678,362 shares of common stock, (c) the Rodgers Massey Revocable Living Trust holds $5,000,000 principal amount of 12% Notes issued in July 2025 that are convertible into 2,793,296 shares of common stock, (d) the Rodgers Massey Freedom and Free Markets Charitable Trust holds an additional $2,000,000 principal amount of 12% Notes issued in November 2025 that are convertible into 1,253,918 shares of common stock, (e) the Rodgers Massey Freedom and Free Markets Charitable Trust holds an additional $3,300,000 principal amount of 12% Notes issued in January 2026 that are convertible into 1,783,783 shares of common stock; (f) the Rodgers Massey Freedom and Free Markets Charitable Trust holds $1,000,000 principal amount of the 10% Notes that are convertible into 884,955 shares of common stock; and (g) the Rodgers Massey Revocable Living Trust holds $5,000,000 principal amount of the 10% Notes that are convertible into 4,424,778 shares of common stock.</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25"/>
        <w:gridCol w:w="9980"/>
      </w:tblGrid>
      <w:tr>
        <w:trPr/>
        <w:tc>
          <w:tcPr>
            <w:tcW w:w="22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(4)</w:t>
            </w:r>
          </w:p>
        </w:tc>
        <w:tc>
          <w:tcPr>
            <w:tcW w:w="998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Consists of 9,008,345 shares of common stock and 8,849,557 shares of common stock issuable upon conversion of 10.0% Notes held by Chicken Parm Pizza LLC. The business address of Chicken Parm Pizza LLC is 1750 West 11400 South, Suite 110, South Jordan, Utah 84095.  </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10"/>
        <w:gridCol w:w="9995"/>
      </w:tblGrid>
      <w:tr>
        <w:trPr/>
        <w:tc>
          <w:tcPr>
            <w:tcW w:w="21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(5)</w:t>
            </w:r>
          </w:p>
        </w:tc>
        <w:tc>
          <w:tcPr>
            <w:tcW w:w="999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Consists of shares of common stock issuable upon conversion of the 7% Notes. Alyeska Investment Group, L.P., the investment manager of Alyeska Master Fund, L.P. (“Alyeska”), has voting and investment control of the shares held by Alyeska. Anand Parekh is the Chief Executive Officer of Alyeska Investment Group, L.P. and may be deemed to be the beneficial owner of such shares. The registered address of Alyeska Master Fund, L.P. is c/o Maples Corporate Services Limited, P.O. Box 309, Ugland House, South Church Street George Town, Grand Cayman, KY1-1104, Cayman Islands. Alyeska Investment Group, L.P. is located at 77 W. Wacker, Suite 700, Chicago, IL 60601.</w:t>
            </w:r>
          </w:p>
        </w:tc>
      </w:tr>
    </w:tbl>
    <w:p>
      <w:pPr>
        <w:pStyle w:val="TextBody"/>
        <w:bidi w:val="0"/>
        <w:spacing w:before="0" w:after="0"/>
        <w:jc w:val="left"/>
        <w:rPr>
          <w:caps w:val="false"/>
          <w:smallCaps w:val="false"/>
        </w:rPr>
      </w:pPr>
      <w:r>
        <w:rPr>
          <w:caps w:val="false"/>
          <w:smallCaps w:val="false"/>
        </w:rPr>
        <w:t> </w:t>
      </w:r>
    </w:p>
    <w:tbl>
      <w:tblPr>
        <w:tblW w:w="1510" w:type="dxa"/>
        <w:jc w:val="left"/>
        <w:tblInd w:w="0" w:type="dxa"/>
        <w:tblLayout w:type="fixed"/>
        <w:tblCellMar>
          <w:top w:w="0" w:type="dxa"/>
          <w:left w:w="0" w:type="dxa"/>
          <w:bottom w:w="0" w:type="dxa"/>
          <w:right w:w="0" w:type="dxa"/>
        </w:tblCellMar>
      </w:tblPr>
      <w:tblGrid>
        <w:gridCol w:w="260"/>
        <w:gridCol w:w="1250"/>
      </w:tblGrid>
      <w:tr>
        <w:trPr/>
        <w:tc>
          <w:tcPr>
            <w:tcW w:w="2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(6)</w:t>
            </w:r>
          </w:p>
        </w:tc>
        <w:tc>
          <w:tcPr>
            <w:tcW w:w="1250" w:type="dxa"/>
            <w:tcBorders/>
            <w:vAlign w:val="center"/>
          </w:tcPr>
          <w:p>
            <w:pPr>
              <w:pStyle w:val="TableContents"/>
              <w:bidi w:val="0"/>
              <w:spacing w:before="0" w:after="283"/>
              <w:jc w:val="both"/>
              <w:rPr/>
            </w:pPr>
            <w:r>
              <w:rPr/>
              <w:t>[Reserved].  </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99</w:t>
      </w:r>
    </w:p>
    <w:p>
      <w:pPr>
        <w:pStyle w:val="TextBody"/>
        <w:bidi w:val="0"/>
        <w:spacing w:before="0" w:after="0"/>
        <w:ind w:left="0" w:right="0" w:hanging="0"/>
        <w:jc w:val="left"/>
        <w:rPr/>
      </w:pPr>
      <w:r>
        <w:rPr/>
        <w:t> </w:t>
      </w:r>
    </w:p>
    <w:p>
      <w:pPr>
        <w:pStyle w:val="TextBody"/>
        <w:bidi w:val="0"/>
        <w:spacing w:before="0" w:after="0"/>
        <w:jc w:val="left"/>
        <w:rPr>
          <w:caps w:val="false"/>
          <w:smallCaps w:val="false"/>
        </w:rPr>
      </w:pPr>
      <w:r>
        <w:rPr>
          <w:caps w:val="false"/>
          <w:smallCaps w:val="false"/>
        </w:rPr>
        <w:t> </w:t>
      </w:r>
    </w:p>
    <w:tbl>
      <w:tblPr>
        <w:tblW w:w="1300" w:type="dxa"/>
        <w:jc w:val="left"/>
        <w:tblInd w:w="0" w:type="dxa"/>
        <w:tblLayout w:type="fixed"/>
        <w:tblCellMar>
          <w:top w:w="0" w:type="dxa"/>
          <w:left w:w="0" w:type="dxa"/>
          <w:bottom w:w="0" w:type="dxa"/>
          <w:right w:w="0" w:type="dxa"/>
        </w:tblCellMar>
      </w:tblPr>
      <w:tblGrid>
        <w:gridCol w:w="260"/>
        <w:gridCol w:w="1040"/>
      </w:tblGrid>
      <w:tr>
        <w:trPr/>
        <w:tc>
          <w:tcPr>
            <w:tcW w:w="2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(7)</w:t>
            </w:r>
          </w:p>
        </w:tc>
        <w:tc>
          <w:tcPr>
            <w:tcW w:w="104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[Reserved].  </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20"/>
        <w:gridCol w:w="9985"/>
      </w:tblGrid>
      <w:tr>
        <w:trPr/>
        <w:tc>
          <w:tcPr>
            <w:tcW w:w="22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(8)</w:t>
            </w:r>
          </w:p>
        </w:tc>
        <w:tc>
          <w:tcPr>
            <w:tcW w:w="998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Includes (i) 405,090 shares of common stock, (ii) 671,738 shares of common stock issued or issuable upon settlement of restricted stock units, (iii) 1,735,068 shares issuable pursuant to stock options exercisable within 60 days of June 22, 2026, and (iv) 141,187 shares issuable pursuant to warrants exercisable within 60 days of June 22, 2026.</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34"/>
        <w:gridCol w:w="9971"/>
      </w:tblGrid>
      <w:tr>
        <w:trPr/>
        <w:tc>
          <w:tcPr>
            <w:tcW w:w="23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(9)</w:t>
            </w:r>
          </w:p>
        </w:tc>
        <w:tc>
          <w:tcPr>
            <w:tcW w:w="9971"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Includes (i) 106,577 shares of common stock issued or issuable upon settlement of restricted stock units and (ii) 94,452 shares issuable pursuant to stock options exercisable within 60 days of June 22, 2026.</w:t>
            </w:r>
          </w:p>
        </w:tc>
      </w:tr>
    </w:tbl>
    <w:p>
      <w:pPr>
        <w:pStyle w:val="TextBody"/>
        <w:bidi w:val="0"/>
        <w:spacing w:before="0" w:after="0"/>
        <w:jc w:val="left"/>
        <w:rPr>
          <w:caps w:val="false"/>
          <w:smallCaps w:val="false"/>
        </w:rPr>
      </w:pPr>
      <w:r>
        <w:rPr>
          <w:caps w:val="false"/>
          <w:smallCaps w:val="false"/>
        </w:rPr>
        <w:t> </w:t>
      </w:r>
    </w:p>
    <w:tbl>
      <w:tblPr>
        <w:tblW w:w="3730" w:type="dxa"/>
        <w:jc w:val="left"/>
        <w:tblInd w:w="0" w:type="dxa"/>
        <w:tblLayout w:type="fixed"/>
        <w:tblCellMar>
          <w:top w:w="0" w:type="dxa"/>
          <w:left w:w="0" w:type="dxa"/>
          <w:bottom w:w="0" w:type="dxa"/>
          <w:right w:w="0" w:type="dxa"/>
        </w:tblCellMar>
      </w:tblPr>
      <w:tblGrid>
        <w:gridCol w:w="365"/>
        <w:gridCol w:w="3365"/>
      </w:tblGrid>
      <w:tr>
        <w:trPr/>
        <w:tc>
          <w:tcPr>
            <w:tcW w:w="36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(10)</w:t>
            </w:r>
          </w:p>
        </w:tc>
        <w:tc>
          <w:tcPr>
            <w:tcW w:w="336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Includes 77,441 shares of common stock.</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25"/>
        <w:gridCol w:w="9880"/>
      </w:tblGrid>
      <w:tr>
        <w:trPr/>
        <w:tc>
          <w:tcPr>
            <w:tcW w:w="32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(11)</w:t>
            </w:r>
          </w:p>
        </w:tc>
        <w:tc>
          <w:tcPr>
            <w:tcW w:w="988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Includes (i) 80,245 shares of common stock and 106,011 shares of common stock issued or issuable upon settlement of restricted stock units, (ii) 12,117 shares issuable pursuant to warrants exercisable within 60 days of June 22, 2026, and (iii) 94,452 shares issuable pursuant to stock options exercisable within 60 days of June 22, 2026.</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25"/>
        <w:gridCol w:w="9880"/>
      </w:tblGrid>
      <w:tr>
        <w:trPr/>
        <w:tc>
          <w:tcPr>
            <w:tcW w:w="32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(12)</w:t>
            </w:r>
          </w:p>
        </w:tc>
        <w:tc>
          <w:tcPr>
            <w:tcW w:w="988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Includes (i) 174,515 shares of common stock and 110,656 shares of common stock issued or issuable upon settlement of restricted stock units, (ii) 480,000 shares issuable pursuant to warrants exercisable within 60 days of June 22, 2026, and (iii) 99,515 shares issuable pursuant to stock options exercisable within 60 days of June 22, 2026.</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38"/>
        <w:gridCol w:w="9867"/>
      </w:tblGrid>
      <w:tr>
        <w:trPr/>
        <w:tc>
          <w:tcPr>
            <w:tcW w:w="338"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(13)</w:t>
            </w:r>
          </w:p>
        </w:tc>
        <w:tc>
          <w:tcPr>
            <w:tcW w:w="986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Includes (i) 112,022 shares of common stock issued or issuable upon settlement of restricted stock units and (ii) 113,437 shares issuable pursuant to stock options exercisable within 60 days of June 22, 2026.</w:t>
            </w:r>
          </w:p>
        </w:tc>
      </w:tr>
    </w:tbl>
    <w:p>
      <w:pPr>
        <w:pStyle w:val="TextBody"/>
        <w:bidi w:val="0"/>
        <w:spacing w:before="0" w:after="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38"/>
        <w:gridCol w:w="9867"/>
      </w:tblGrid>
      <w:tr>
        <w:trPr/>
        <w:tc>
          <w:tcPr>
            <w:tcW w:w="338"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(14)</w:t>
            </w:r>
          </w:p>
        </w:tc>
        <w:tc>
          <w:tcPr>
            <w:tcW w:w="986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Includes (i) 103,825 shares of common stock issued or issuable upon settlement of restricted stock units and (ii) 292,889 shares issuable pursuant to stock options exercisable within 60 days of June 22, 2026.</w:t>
            </w:r>
          </w:p>
        </w:tc>
      </w:tr>
    </w:tbl>
    <w:p>
      <w:pPr>
        <w:pStyle w:val="TextBody"/>
        <w:bidi w:val="0"/>
        <w:spacing w:before="0" w:after="0"/>
        <w:jc w:val="both"/>
        <w:rPr>
          <w:caps w:val="false"/>
          <w:smallCaps w:val="false"/>
        </w:rPr>
      </w:pPr>
      <w:r>
        <w:rPr>
          <w:caps w:val="false"/>
          <w:smallCaps w:val="false"/>
        </w:rPr>
        <w:t> </w:t>
      </w:r>
    </w:p>
    <w:tbl>
      <w:tblPr>
        <w:tblW w:w="8590" w:type="dxa"/>
        <w:jc w:val="left"/>
        <w:tblInd w:w="0" w:type="dxa"/>
        <w:tblLayout w:type="fixed"/>
        <w:tblCellMar>
          <w:top w:w="0" w:type="dxa"/>
          <w:left w:w="0" w:type="dxa"/>
          <w:bottom w:w="0" w:type="dxa"/>
          <w:right w:w="0" w:type="dxa"/>
        </w:tblCellMar>
      </w:tblPr>
      <w:tblGrid>
        <w:gridCol w:w="365"/>
        <w:gridCol w:w="8225"/>
      </w:tblGrid>
      <w:tr>
        <w:trPr/>
        <w:tc>
          <w:tcPr>
            <w:tcW w:w="36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(15)</w:t>
            </w:r>
          </w:p>
        </w:tc>
        <w:tc>
          <w:tcPr>
            <w:tcW w:w="822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Includes 243,169 shares of common stock issued or issuable upon settlement of restricted stock units.</w:t>
            </w:r>
          </w:p>
        </w:tc>
      </w:tr>
    </w:tbl>
    <w:p>
      <w:pPr>
        <w:pStyle w:val="TextBody"/>
        <w:bidi w:val="0"/>
        <w:spacing w:before="0" w:after="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18"/>
        <w:gridCol w:w="9887"/>
      </w:tblGrid>
      <w:tr>
        <w:trPr/>
        <w:tc>
          <w:tcPr>
            <w:tcW w:w="318"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(16)</w:t>
            </w:r>
          </w:p>
        </w:tc>
        <w:tc>
          <w:tcPr>
            <w:tcW w:w="988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Includes (i) 438,596 shares of common stock issuable upon conversion of $750,000 principal amount of 7% Notes held by the Dan and Kathy McCranie 2000 Revocable Trust, and (ii) 1,243,169 shares of common stock issued or issuable upon settlement of restricted stock units. Mr. McCranie serves as trustee of the Dan and Kathy McCranie 2000 Revocable Trust. Mr. McCranie disclaims any beneficial ownership of the reported shares other than to the extent of any pecuniary interest therein.</w:t>
            </w:r>
          </w:p>
        </w:tc>
      </w:tr>
    </w:tbl>
    <w:p>
      <w:pPr>
        <w:pStyle w:val="TextBody"/>
        <w:bidi w:val="0"/>
        <w:spacing w:before="0" w:after="0"/>
        <w:jc w:val="both"/>
        <w:rPr>
          <w:caps w:val="false"/>
          <w:smallCaps w:val="false"/>
        </w:rPr>
      </w:pPr>
      <w:r>
        <w:rPr>
          <w:caps w:val="false"/>
          <w:smallCaps w:val="false"/>
        </w:rPr>
        <w:t> </w:t>
      </w:r>
    </w:p>
    <w:tbl>
      <w:tblPr>
        <w:tblW w:w="8590" w:type="dxa"/>
        <w:jc w:val="left"/>
        <w:tblInd w:w="0" w:type="dxa"/>
        <w:tblLayout w:type="fixed"/>
        <w:tblCellMar>
          <w:top w:w="0" w:type="dxa"/>
          <w:left w:w="0" w:type="dxa"/>
          <w:bottom w:w="0" w:type="dxa"/>
          <w:right w:w="0" w:type="dxa"/>
        </w:tblCellMar>
      </w:tblPr>
      <w:tblGrid>
        <w:gridCol w:w="365"/>
        <w:gridCol w:w="8225"/>
      </w:tblGrid>
      <w:tr>
        <w:trPr/>
        <w:tc>
          <w:tcPr>
            <w:tcW w:w="36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(17)</w:t>
            </w:r>
          </w:p>
        </w:tc>
        <w:tc>
          <w:tcPr>
            <w:tcW w:w="822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Includes 114,012 shares of common stock issued or issuable upon settlement of restricted stock units.</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100</w:t>
      </w:r>
    </w:p>
    <w:p>
      <w:pPr>
        <w:pStyle w:val="TextBody"/>
        <w:bidi w:val="0"/>
        <w:spacing w:before="0" w:after="0"/>
        <w:ind w:left="0" w:right="0" w:hanging="0"/>
        <w:jc w:val="left"/>
        <w:rPr/>
      </w:pPr>
      <w:r>
        <w:rPr/>
        <w:t> </w:t>
      </w:r>
    </w:p>
    <w:p>
      <w:pPr>
        <w:pStyle w:val="TextBody"/>
        <w:bidi w:val="0"/>
        <w:spacing w:before="0" w:after="0"/>
        <w:jc w:val="center"/>
        <w:rPr>
          <w:caps/>
        </w:rPr>
      </w:pPr>
      <w:r>
        <w:rPr>
          <w:caps/>
        </w:rPr>
        <w:t> </w:t>
      </w:r>
    </w:p>
    <w:p>
      <w:pPr>
        <w:pStyle w:val="TextBody"/>
        <w:bidi w:val="0"/>
        <w:spacing w:before="0" w:after="0"/>
        <w:jc w:val="center"/>
        <w:rPr>
          <w:rFonts w:ascii="Times New Roman;Times;Serif" w:hAnsi="Times New Roman;Times;Serif"/>
          <w:b/>
          <w:i w:val="false"/>
          <w:caps/>
          <w:sz w:val="20"/>
        </w:rPr>
      </w:pPr>
      <w:bookmarkStart w:id="14" w:name="a_013"/>
      <w:bookmarkEnd w:id="14"/>
      <w:r>
        <w:rPr>
          <w:rFonts w:ascii="Times New Roman;Times;Serif" w:hAnsi="Times New Roman;Times;Serif"/>
          <w:b/>
          <w:i w:val="false"/>
          <w:caps/>
          <w:sz w:val="20"/>
        </w:rPr>
        <w:t>Selling SecurityholderS</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Selling Securityholders may offer and sell, from time to time, any or all of the shares of common stock being offered for resale by this prospectus, which consists of:</w:t>
      </w:r>
    </w:p>
    <w:p>
      <w:pPr>
        <w:pStyle w:val="TextBody"/>
        <w:bidi w:val="0"/>
        <w:spacing w:before="0" w:after="0"/>
        <w:ind w:left="0" w:right="0" w:firstLine="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6,666,666 shares of common stock previously issued by us pursuant to the Sunder Purchase Agreement and the Sunder Amendment, in connection with our acquisition of Sunder,</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1,805,705 shares of common stock previously issued by us pursuant to the Cobalt Purchase Agreement in connection with the acquisition of Cobalt,</w:t>
            </w:r>
          </w:p>
        </w:tc>
      </w:tr>
    </w:tbl>
    <w:p>
      <w:pPr>
        <w:pStyle w:val="TextBody"/>
        <w:bidi w:val="0"/>
        <w:spacing w:before="0" w:after="0"/>
        <w:jc w:val="left"/>
        <w:rPr>
          <w:caps w:val="false"/>
          <w:smallCaps w:val="false"/>
        </w:rPr>
      </w:pPr>
      <w:r>
        <w:rPr>
          <w:caps w:val="false"/>
          <w:smallCaps w:val="false"/>
        </w:rPr>
        <w:t> </w:t>
      </w:r>
    </w:p>
    <w:tbl>
      <w:tblPr>
        <w:tblW w:w="8268" w:type="dxa"/>
        <w:jc w:val="left"/>
        <w:tblInd w:w="0" w:type="dxa"/>
        <w:tblLayout w:type="fixed"/>
        <w:tblCellMar>
          <w:top w:w="0" w:type="dxa"/>
          <w:left w:w="0" w:type="dxa"/>
          <w:bottom w:w="0" w:type="dxa"/>
          <w:right w:w="0" w:type="dxa"/>
        </w:tblCellMar>
      </w:tblPr>
      <w:tblGrid>
        <w:gridCol w:w="38"/>
        <w:gridCol w:w="170"/>
        <w:gridCol w:w="806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80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380,000 shares of common stock that are issuable upon the exercise of the Ayna 2026 Warrant; and</w:t>
            </w:r>
          </w:p>
        </w:tc>
      </w:tr>
    </w:tbl>
    <w:p>
      <w:pPr>
        <w:pStyle w:val="TextBody"/>
        <w:bidi w:val="0"/>
        <w:spacing w:before="0" w:after="0"/>
        <w:ind w:left="0" w:right="0" w:firstLine="360"/>
        <w:jc w:val="both"/>
        <w:rPr>
          <w:caps w:val="false"/>
          <w:smallCaps w:val="false"/>
        </w:rPr>
      </w:pPr>
      <w:r>
        <w:rPr>
          <w:caps w:val="false"/>
          <w:smallCaps w:val="false"/>
        </w:rPr>
        <w:t> </w:t>
      </w:r>
    </w:p>
    <w:tbl>
      <w:tblPr>
        <w:tblW w:w="7278" w:type="dxa"/>
        <w:jc w:val="left"/>
        <w:tblInd w:w="0" w:type="dxa"/>
        <w:tblLayout w:type="fixed"/>
        <w:tblCellMar>
          <w:top w:w="0" w:type="dxa"/>
          <w:left w:w="0" w:type="dxa"/>
          <w:bottom w:w="0" w:type="dxa"/>
          <w:right w:w="0" w:type="dxa"/>
        </w:tblCellMar>
      </w:tblPr>
      <w:tblGrid>
        <w:gridCol w:w="38"/>
        <w:gridCol w:w="170"/>
        <w:gridCol w:w="707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707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up to 4,424,779 shares of common stock issuable upon conversion of our 10.0% Notes.</w:t>
            </w:r>
          </w:p>
        </w:tc>
      </w:tr>
    </w:tbl>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used in this prospectus, the term “Selling Securityholders” includes the Selling Securityholders listed in the table below, together with any additional Selling Securityholders listed in a subsequent amendment to this prospectus, and their donees, pledgees, assignees, transferees, distributees and successors-in-interest that receive shares in any non-sale transfer after the date of this prospectus.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provides, as of the date of this prospectus, information regarding the beneficial ownership of our common stock of each Selling Securityholder, the number of shares of common stock that may be sold by each Selling Securityholder under this prospectus and that each Selling Securityholder will beneficially own assuming all securities that may be offered pursuant to this prospectus are sold. Because each Selling Securityholder may dispose of all, none or some portion of their securities, no estimate can be given as to the number of securities that will be beneficially owned by a Selling Securityholder upon termination of this offering. For purposes of the table below, however, we have assumed that after termination of this offering none of the securities covered by this prospectus will be beneficially owned by the Selling Securityholders and further assumed that the Selling Securityholders will not acquire beneficial ownership of any additional securities during the offering. In addition, the selling securityholders may have sold, transferred or otherwise disposed of, or may sell, transfer or otherwise dispose of, at any time and from time to time, our securities in transactions exempt from the registration requirements of the Securities Act after the date on which the information in the table is presented.</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holder of 10.0% Notes may not convert such 10.0% Notes if such holder, together with its affiliates, would beneficially own more than 9.99% (or, if elected by the holder, an amount lesser than or equal to 9.99%) of the number of shares of common stock outstanding immediately after giving effect to such conversion (the “Beneficial Ownership Limitation”). Unless otherwise noted below, the table below does not give effect to the applicable Beneficial Ownership Limitation.</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Beneficial ownership is determined in accordance with Rule 13d-3(d) promulgated by the SEC under the Exchange Act, and includes shares of common stock with respect to which the Selling Securityholders have voting and investment power. The percentage of shares of common stock beneficially owned by the Selling Securityholders prior to the offering shown in the table below is based on an aggregate of 150,283,214 shares of our common stock outstanding on June 22, 2026. The fourth column assumes the sale of all of the shares offered by the Selling Securityholders pursuant to this prospectus.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101</w:t>
      </w:r>
    </w:p>
    <w:p>
      <w:pPr>
        <w:pStyle w:val="TextBody"/>
        <w:bidi w:val="0"/>
        <w:spacing w:before="0" w:after="0"/>
        <w:ind w:left="0" w:right="0" w:hanging="0"/>
        <w:jc w:val="left"/>
        <w:rPr/>
      </w:pPr>
      <w:r>
        <w:rPr/>
        <w:t>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Unless otherwise noted below, the business address of each of the Selling Securityholders is 1403 N. Research Way, Orem, UT 84097.</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Please see the section titled “</w:t>
      </w:r>
      <w:r>
        <w:rPr>
          <w:rFonts w:ascii="Times New Roman;Times;Serif" w:hAnsi="Times New Roman;Times;Serif"/>
          <w:b w:val="false"/>
          <w:i/>
          <w:caps w:val="false"/>
          <w:smallCaps w:val="false"/>
          <w:sz w:val="20"/>
        </w:rPr>
        <w:t>Plan of Distribution</w:t>
      </w:r>
      <w:r>
        <w:rPr>
          <w:rFonts w:ascii="Times New Roman;Times;Serif" w:hAnsi="Times New Roman;Times;Serif"/>
          <w:b w:val="false"/>
          <w:i w:val="false"/>
          <w:caps w:val="false"/>
          <w:smallCaps w:val="false"/>
          <w:sz w:val="20"/>
        </w:rPr>
        <w:t>” for further information regarding the Selling Securityholders’ method of distributing these shares.</w:t>
      </w:r>
    </w:p>
    <w:p>
      <w:pPr>
        <w:pStyle w:val="TextBody"/>
        <w:bidi w:val="0"/>
        <w:spacing w:before="0" w:after="0"/>
        <w:ind w:left="0" w:right="0" w:firstLine="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072"/>
        <w:gridCol w:w="60"/>
        <w:gridCol w:w="69"/>
        <w:gridCol w:w="1271"/>
        <w:gridCol w:w="69"/>
        <w:gridCol w:w="107"/>
        <w:gridCol w:w="688"/>
        <w:gridCol w:w="215"/>
        <w:gridCol w:w="60"/>
        <w:gridCol w:w="220"/>
        <w:gridCol w:w="2947"/>
        <w:gridCol w:w="60"/>
        <w:gridCol w:w="60"/>
        <w:gridCol w:w="68"/>
        <w:gridCol w:w="1099"/>
        <w:gridCol w:w="68"/>
        <w:gridCol w:w="68"/>
        <w:gridCol w:w="120"/>
        <w:gridCol w:w="648"/>
        <w:gridCol w:w="236"/>
      </w:tblGrid>
      <w:tr>
        <w:trPr/>
        <w:tc>
          <w:tcPr>
            <w:tcW w:w="2072"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2204" w:type="dxa"/>
            <w:gridSpan w:val="5"/>
            <w:tcBorders>
              <w:bottom w:val="single" w:sz="12" w:space="0" w:color="000000"/>
            </w:tcBorders>
            <w:tcMar>
              <w:bottom w:w="28" w:type="dxa"/>
            </w:tcMar>
            <w:vAlign w:val="center"/>
          </w:tcPr>
          <w:p>
            <w:pPr>
              <w:pStyle w:val="TableContents"/>
              <w:bidi w:val="0"/>
              <w:spacing w:before="0" w:after="283"/>
              <w:jc w:val="center"/>
              <w:rPr>
                <w:b/>
              </w:rPr>
            </w:pPr>
            <w:r>
              <w:rPr>
                <w:b/>
              </w:rPr>
              <w:t xml:space="preserve">Number of Shares of </w:t>
              <w:br/>
              <w:t>Common Stock</w:t>
              <w:br/>
              <w:t>Owned Prior to Offering</w:t>
            </w:r>
          </w:p>
        </w:tc>
        <w:tc>
          <w:tcPr>
            <w:tcW w:w="21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3167" w:type="dxa"/>
            <w:gridSpan w:val="2"/>
            <w:tcBorders/>
            <w:vAlign w:val="center"/>
          </w:tcPr>
          <w:p>
            <w:pPr>
              <w:pStyle w:val="TableContents"/>
              <w:bidi w:val="0"/>
              <w:spacing w:before="0" w:after="283"/>
              <w:jc w:val="center"/>
              <w:rPr>
                <w:b/>
              </w:rPr>
            </w:pPr>
            <w:r>
              <w:rPr>
                <w:b/>
              </w:rPr>
              <w:t>Maximum Number of Shares of Common Stock to be Offered Pursuant to this</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2071"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 xml:space="preserve">Number of Shares of </w:t>
              <w:br/>
              <w:t xml:space="preserve">Common Stock </w:t>
              <w:br/>
              <w:t>Owned After Offering</w:t>
            </w:r>
          </w:p>
        </w:tc>
        <w:tc>
          <w:tcPr>
            <w:tcW w:w="236" w:type="dxa"/>
            <w:tcBorders/>
            <w:vAlign w:val="center"/>
          </w:tcPr>
          <w:p>
            <w:pPr>
              <w:pStyle w:val="TableContents"/>
              <w:bidi w:val="0"/>
              <w:spacing w:before="0" w:after="283"/>
              <w:jc w:val="center"/>
              <w:rPr/>
            </w:pPr>
            <w:r>
              <w:rPr/>
              <w:t> </w:t>
            </w:r>
          </w:p>
        </w:tc>
      </w:tr>
      <w:tr>
        <w:trPr/>
        <w:tc>
          <w:tcPr>
            <w:tcW w:w="2072" w:type="dxa"/>
            <w:tcBorders>
              <w:bottom w:val="single" w:sz="12" w:space="0" w:color="000000"/>
            </w:tcBorders>
            <w:tcMar>
              <w:bottom w:w="28" w:type="dxa"/>
            </w:tcMar>
            <w:vAlign w:val="center"/>
          </w:tcPr>
          <w:p>
            <w:pPr>
              <w:pStyle w:val="TableContents"/>
              <w:bidi w:val="0"/>
              <w:spacing w:before="0" w:after="283"/>
              <w:jc w:val="left"/>
              <w:rPr>
                <w:b/>
              </w:rPr>
            </w:pPr>
            <w:r>
              <w:rPr>
                <w:b/>
              </w:rPr>
              <w:t>Name of Selling Securityholder</w:t>
            </w:r>
          </w:p>
        </w:tc>
        <w:tc>
          <w:tcPr>
            <w:tcW w:w="60" w:type="dxa"/>
            <w:tcBorders/>
            <w:vAlign w:val="center"/>
          </w:tcPr>
          <w:p>
            <w:pPr>
              <w:pStyle w:val="TableContents"/>
              <w:bidi w:val="0"/>
              <w:spacing w:before="0" w:after="283"/>
              <w:jc w:val="center"/>
              <w:rPr/>
            </w:pPr>
            <w:r>
              <w:rPr/>
              <w:t> </w:t>
            </w:r>
          </w:p>
        </w:tc>
        <w:tc>
          <w:tcPr>
            <w:tcW w:w="134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Number</w:t>
            </w:r>
          </w:p>
        </w:tc>
        <w:tc>
          <w:tcPr>
            <w:tcW w:w="69" w:type="dxa"/>
            <w:tcBorders/>
            <w:vAlign w:val="center"/>
          </w:tcPr>
          <w:p>
            <w:pPr>
              <w:pStyle w:val="TableContents"/>
              <w:bidi w:val="0"/>
              <w:spacing w:before="0" w:after="283"/>
              <w:jc w:val="center"/>
              <w:rPr/>
            </w:pPr>
            <w:r>
              <w:rPr/>
              <w:t> </w:t>
            </w:r>
          </w:p>
        </w:tc>
        <w:tc>
          <w:tcPr>
            <w:tcW w:w="795"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Percent</w:t>
            </w:r>
            <w:r>
              <w:rPr>
                <w:rFonts w:ascii="Times New Roman;Times;Serif" w:hAnsi="Times New Roman;Times;Serif"/>
                <w:b/>
                <w:position w:val="7"/>
                <w:sz w:val="16"/>
                <w:sz w:val="20"/>
              </w:rPr>
              <w:t>(1)</w:t>
            </w:r>
            <w:r>
              <w:rPr>
                <w:rFonts w:ascii="Times New Roman;Times;Serif" w:hAnsi="Times New Roman;Times;Serif"/>
                <w:b/>
                <w:sz w:val="20"/>
              </w:rPr>
              <w:t xml:space="preserve">  </w:t>
            </w:r>
          </w:p>
        </w:tc>
        <w:tc>
          <w:tcPr>
            <w:tcW w:w="21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3167"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Prospectus</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167" w:type="dxa"/>
            <w:gridSpan w:val="2"/>
            <w:tcBorders>
              <w:bottom w:val="single" w:sz="12" w:space="0" w:color="000000"/>
            </w:tcBorders>
            <w:tcMar>
              <w:bottom w:w="28" w:type="dxa"/>
            </w:tcMar>
            <w:vAlign w:val="center"/>
          </w:tcPr>
          <w:p>
            <w:pPr>
              <w:pStyle w:val="TableContents"/>
              <w:bidi w:val="0"/>
              <w:spacing w:before="0" w:after="283"/>
              <w:jc w:val="center"/>
              <w:rPr/>
            </w:pPr>
            <w:r>
              <w:rPr/>
              <w:t> </w:t>
            </w:r>
            <w:r>
              <w:rPr>
                <w:rFonts w:ascii="Times New Roman;Times;Serif" w:hAnsi="Times New Roman;Times;Serif"/>
                <w:b/>
                <w:sz w:val="20"/>
              </w:rPr>
              <w:t>Number</w:t>
            </w:r>
            <w:r>
              <w:rPr>
                <w:rFonts w:ascii="Times New Roman;Times;Serif" w:hAnsi="Times New Roman;Times;Serif"/>
                <w:b/>
                <w:position w:val="7"/>
                <w:sz w:val="16"/>
                <w:sz w:val="20"/>
              </w:rPr>
              <w:t>(2)</w:t>
            </w:r>
          </w:p>
        </w:tc>
        <w:tc>
          <w:tcPr>
            <w:tcW w:w="68" w:type="dxa"/>
            <w:tcBorders/>
            <w:vAlign w:val="center"/>
          </w:tcPr>
          <w:p>
            <w:pPr>
              <w:pStyle w:val="TableContents"/>
              <w:bidi w:val="0"/>
              <w:spacing w:before="0" w:after="283"/>
              <w:jc w:val="center"/>
              <w:rPr/>
            </w:pPr>
            <w:r>
              <w:rPr/>
              <w:t> </w:t>
            </w:r>
          </w:p>
        </w:tc>
        <w:tc>
          <w:tcPr>
            <w:tcW w:w="68" w:type="dxa"/>
            <w:tcBorders/>
            <w:vAlign w:val="center"/>
          </w:tcPr>
          <w:p>
            <w:pPr>
              <w:pStyle w:val="TableContents"/>
              <w:bidi w:val="0"/>
              <w:spacing w:before="0" w:after="283"/>
              <w:jc w:val="center"/>
              <w:rPr/>
            </w:pPr>
            <w:r>
              <w:rPr/>
              <w:t> </w:t>
            </w:r>
          </w:p>
        </w:tc>
        <w:tc>
          <w:tcPr>
            <w:tcW w:w="768"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Percent</w:t>
            </w:r>
            <w:r>
              <w:rPr>
                <w:rFonts w:ascii="Times New Roman;Times;Serif" w:hAnsi="Times New Roman;Times;Serif"/>
                <w:b/>
                <w:position w:val="7"/>
                <w:sz w:val="16"/>
                <w:sz w:val="20"/>
              </w:rPr>
              <w:t>(1)</w:t>
            </w:r>
          </w:p>
        </w:tc>
        <w:tc>
          <w:tcPr>
            <w:tcW w:w="236" w:type="dxa"/>
            <w:tcBorders/>
            <w:vAlign w:val="center"/>
          </w:tcPr>
          <w:p>
            <w:pPr>
              <w:pStyle w:val="TableContents"/>
              <w:bidi w:val="0"/>
              <w:spacing w:before="0" w:after="283"/>
              <w:jc w:val="center"/>
              <w:rPr/>
            </w:pPr>
            <w:r>
              <w:rPr/>
              <w:t> </w:t>
            </w:r>
          </w:p>
        </w:tc>
      </w:tr>
      <w:tr>
        <w:trPr/>
        <w:tc>
          <w:tcPr>
            <w:tcW w:w="2072" w:type="dxa"/>
            <w:tcBorders/>
            <w:shd w:fill="FFFFFF" w:val="clear"/>
            <w:vAlign w:val="center"/>
          </w:tcPr>
          <w:p>
            <w:pPr>
              <w:pStyle w:val="TableContents"/>
              <w:bidi w:val="0"/>
              <w:spacing w:before="0" w:after="283"/>
              <w:jc w:val="left"/>
              <w:rPr>
                <w:b/>
              </w:rPr>
            </w:pPr>
            <w:r>
              <w:rPr>
                <w:b/>
              </w:rPr>
              <w:t>Acquisition Transaction Holders</w:t>
            </w:r>
          </w:p>
        </w:tc>
        <w:tc>
          <w:tcPr>
            <w:tcW w:w="60" w:type="dxa"/>
            <w:tcBorders/>
            <w:shd w:fill="FFFFFF" w:val="clear"/>
            <w:vAlign w:val="center"/>
          </w:tcPr>
          <w:p>
            <w:pPr>
              <w:pStyle w:val="TableContents"/>
              <w:bidi w:val="0"/>
              <w:spacing w:before="0" w:after="283"/>
              <w:jc w:val="left"/>
              <w:rPr/>
            </w:pPr>
            <w:r>
              <w:rPr/>
              <w:t> </w:t>
            </w:r>
          </w:p>
        </w:tc>
        <w:tc>
          <w:tcPr>
            <w:tcW w:w="69" w:type="dxa"/>
            <w:tcBorders/>
            <w:shd w:fill="FFFFFF" w:val="clear"/>
            <w:vAlign w:val="center"/>
          </w:tcPr>
          <w:p>
            <w:pPr>
              <w:pStyle w:val="TableContents"/>
              <w:bidi w:val="0"/>
              <w:spacing w:before="0" w:after="283"/>
              <w:jc w:val="left"/>
              <w:rPr/>
            </w:pPr>
            <w:r>
              <w:rPr/>
              <w:t> </w:t>
            </w:r>
          </w:p>
        </w:tc>
        <w:tc>
          <w:tcPr>
            <w:tcW w:w="1271" w:type="dxa"/>
            <w:tcBorders/>
            <w:shd w:fill="FFFFFF" w:val="clear"/>
            <w:vAlign w:val="center"/>
          </w:tcPr>
          <w:p>
            <w:pPr>
              <w:pStyle w:val="TableContents"/>
              <w:bidi w:val="0"/>
              <w:spacing w:before="0" w:after="283"/>
              <w:jc w:val="right"/>
              <w:rPr/>
            </w:pPr>
            <w:r>
              <w:rPr/>
              <w:t> </w:t>
            </w:r>
          </w:p>
        </w:tc>
        <w:tc>
          <w:tcPr>
            <w:tcW w:w="69" w:type="dxa"/>
            <w:tcBorders/>
            <w:shd w:fill="FFFFFF" w:val="clear"/>
            <w:vAlign w:val="center"/>
          </w:tcPr>
          <w:p>
            <w:pPr>
              <w:pStyle w:val="TableContents"/>
              <w:bidi w:val="0"/>
              <w:spacing w:before="0" w:after="283"/>
              <w:jc w:val="left"/>
              <w:rPr/>
            </w:pPr>
            <w:r>
              <w:rPr/>
              <w:t> </w:t>
            </w:r>
          </w:p>
        </w:tc>
        <w:tc>
          <w:tcPr>
            <w:tcW w:w="107" w:type="dxa"/>
            <w:tcBorders/>
            <w:shd w:fill="FFFFFF" w:val="clear"/>
            <w:vAlign w:val="center"/>
          </w:tcPr>
          <w:p>
            <w:pPr>
              <w:pStyle w:val="TableContents"/>
              <w:bidi w:val="0"/>
              <w:spacing w:before="0" w:after="283"/>
              <w:jc w:val="left"/>
              <w:rPr/>
            </w:pPr>
            <w:r>
              <w:rPr/>
              <w:t> </w:t>
            </w:r>
          </w:p>
        </w:tc>
        <w:tc>
          <w:tcPr>
            <w:tcW w:w="688" w:type="dxa"/>
            <w:tcBorders/>
            <w:shd w:fill="FFFFFF" w:val="clear"/>
            <w:vAlign w:val="center"/>
          </w:tcPr>
          <w:p>
            <w:pPr>
              <w:pStyle w:val="TableContents"/>
              <w:bidi w:val="0"/>
              <w:spacing w:before="0" w:after="283"/>
              <w:jc w:val="right"/>
              <w:rPr/>
            </w:pPr>
            <w:r>
              <w:rPr/>
              <w:t> </w:t>
            </w:r>
          </w:p>
        </w:tc>
        <w:tc>
          <w:tcPr>
            <w:tcW w:w="2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20" w:type="dxa"/>
            <w:tcBorders/>
            <w:shd w:fill="FFFFFF" w:val="clear"/>
            <w:vAlign w:val="center"/>
          </w:tcPr>
          <w:p>
            <w:pPr>
              <w:pStyle w:val="TableContents"/>
              <w:bidi w:val="0"/>
              <w:spacing w:before="0" w:after="283"/>
              <w:jc w:val="left"/>
              <w:rPr/>
            </w:pPr>
            <w:r>
              <w:rPr/>
              <w:t> </w:t>
            </w:r>
          </w:p>
        </w:tc>
        <w:tc>
          <w:tcPr>
            <w:tcW w:w="2947"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8" w:type="dxa"/>
            <w:tcBorders/>
            <w:shd w:fill="FFFFFF" w:val="clear"/>
            <w:vAlign w:val="center"/>
          </w:tcPr>
          <w:p>
            <w:pPr>
              <w:pStyle w:val="TableContents"/>
              <w:bidi w:val="0"/>
              <w:spacing w:before="0" w:after="283"/>
              <w:jc w:val="left"/>
              <w:rPr/>
            </w:pPr>
            <w:r>
              <w:rPr/>
              <w:t> </w:t>
            </w:r>
          </w:p>
        </w:tc>
        <w:tc>
          <w:tcPr>
            <w:tcW w:w="1099" w:type="dxa"/>
            <w:tcBorders/>
            <w:shd w:fill="FFFFFF" w:val="clear"/>
            <w:vAlign w:val="center"/>
          </w:tcPr>
          <w:p>
            <w:pPr>
              <w:pStyle w:val="TableContents"/>
              <w:bidi w:val="0"/>
              <w:spacing w:before="0" w:after="283"/>
              <w:jc w:val="right"/>
              <w:rPr/>
            </w:pPr>
            <w:r>
              <w:rPr/>
              <w:t> </w:t>
            </w:r>
          </w:p>
        </w:tc>
        <w:tc>
          <w:tcPr>
            <w:tcW w:w="68" w:type="dxa"/>
            <w:tcBorders/>
            <w:shd w:fill="FFFFFF" w:val="clear"/>
            <w:vAlign w:val="center"/>
          </w:tcPr>
          <w:p>
            <w:pPr>
              <w:pStyle w:val="TableContents"/>
              <w:bidi w:val="0"/>
              <w:spacing w:before="0" w:after="283"/>
              <w:jc w:val="left"/>
              <w:rPr/>
            </w:pPr>
            <w:r>
              <w:rPr/>
              <w:t> </w:t>
            </w:r>
          </w:p>
        </w:tc>
        <w:tc>
          <w:tcPr>
            <w:tcW w:w="68" w:type="dxa"/>
            <w:tcBorders/>
            <w:shd w:fill="FFFFFF" w:val="clear"/>
            <w:vAlign w:val="center"/>
          </w:tcPr>
          <w:p>
            <w:pPr>
              <w:pStyle w:val="TableContents"/>
              <w:bidi w:val="0"/>
              <w:spacing w:before="0" w:after="283"/>
              <w:jc w:val="left"/>
              <w:rPr/>
            </w:pPr>
            <w:r>
              <w:rPr/>
              <w:t> </w:t>
            </w:r>
          </w:p>
        </w:tc>
        <w:tc>
          <w:tcPr>
            <w:tcW w:w="120" w:type="dxa"/>
            <w:tcBorders/>
            <w:shd w:fill="FFFFFF" w:val="clear"/>
            <w:vAlign w:val="center"/>
          </w:tcPr>
          <w:p>
            <w:pPr>
              <w:pStyle w:val="TableContents"/>
              <w:bidi w:val="0"/>
              <w:spacing w:before="0" w:after="283"/>
              <w:jc w:val="left"/>
              <w:rPr/>
            </w:pPr>
            <w:r>
              <w:rPr/>
              <w:t> </w:t>
            </w:r>
          </w:p>
        </w:tc>
        <w:tc>
          <w:tcPr>
            <w:tcW w:w="648" w:type="dxa"/>
            <w:tcBorders/>
            <w:shd w:fill="FFFFFF" w:val="clear"/>
            <w:vAlign w:val="center"/>
          </w:tcPr>
          <w:p>
            <w:pPr>
              <w:pStyle w:val="TableContents"/>
              <w:bidi w:val="0"/>
              <w:spacing w:before="0" w:after="283"/>
              <w:jc w:val="right"/>
              <w:rPr/>
            </w:pPr>
            <w:r>
              <w:rPr/>
              <w:t> </w:t>
            </w:r>
          </w:p>
        </w:tc>
        <w:tc>
          <w:tcPr>
            <w:tcW w:w="236" w:type="dxa"/>
            <w:tcBorders/>
            <w:shd w:fill="FFFFFF" w:val="clear"/>
            <w:vAlign w:val="center"/>
          </w:tcPr>
          <w:p>
            <w:pPr>
              <w:pStyle w:val="TableContents"/>
              <w:bidi w:val="0"/>
              <w:spacing w:before="0" w:after="283"/>
              <w:jc w:val="left"/>
              <w:rPr/>
            </w:pPr>
            <w:r>
              <w:rPr/>
              <w:t> </w:t>
            </w:r>
          </w:p>
        </w:tc>
      </w:tr>
      <w:tr>
        <w:trPr/>
        <w:tc>
          <w:tcPr>
            <w:tcW w:w="2072" w:type="dxa"/>
            <w:tcBorders/>
            <w:shd w:fill="CCEEFF" w:val="clear"/>
            <w:vAlign w:val="center"/>
          </w:tcPr>
          <w:p>
            <w:pPr>
              <w:pStyle w:val="TableContents"/>
              <w:bidi w:val="0"/>
              <w:spacing w:before="0" w:after="283"/>
              <w:jc w:val="left"/>
              <w:rPr/>
            </w:pPr>
            <w:r>
              <w:rPr/>
              <w:t>Chicken Parm Pizza LLC(3)</w:t>
            </w:r>
          </w:p>
        </w:tc>
        <w:tc>
          <w:tcPr>
            <w:tcW w:w="60" w:type="dxa"/>
            <w:tcBorders/>
            <w:shd w:fill="CCEEFF" w:val="clear"/>
            <w:vAlign w:val="center"/>
          </w:tcPr>
          <w:p>
            <w:pPr>
              <w:pStyle w:val="TableContents"/>
              <w:bidi w:val="0"/>
              <w:spacing w:before="0" w:after="283"/>
              <w:jc w:val="left"/>
              <w:rPr/>
            </w:pPr>
            <w:r>
              <w:rPr/>
              <w:t> </w:t>
            </w:r>
          </w:p>
        </w:tc>
        <w:tc>
          <w:tcPr>
            <w:tcW w:w="69" w:type="dxa"/>
            <w:tcBorders/>
            <w:shd w:fill="CCEEFF" w:val="clear"/>
            <w:vAlign w:val="center"/>
          </w:tcPr>
          <w:p>
            <w:pPr>
              <w:pStyle w:val="TableContents"/>
              <w:bidi w:val="0"/>
              <w:spacing w:before="0" w:after="283"/>
              <w:jc w:val="left"/>
              <w:rPr/>
            </w:pPr>
            <w:r>
              <w:rPr/>
              <w:t> </w:t>
            </w:r>
          </w:p>
        </w:tc>
        <w:tc>
          <w:tcPr>
            <w:tcW w:w="1271" w:type="dxa"/>
            <w:tcBorders/>
            <w:shd w:fill="CCEEFF" w:val="clear"/>
            <w:vAlign w:val="center"/>
          </w:tcPr>
          <w:p>
            <w:pPr>
              <w:pStyle w:val="TableContents"/>
              <w:bidi w:val="0"/>
              <w:spacing w:before="0" w:after="283"/>
              <w:jc w:val="right"/>
              <w:rPr/>
            </w:pPr>
            <w:r>
              <w:rPr/>
              <w:t>17,857,902</w:t>
            </w:r>
          </w:p>
        </w:tc>
        <w:tc>
          <w:tcPr>
            <w:tcW w:w="69" w:type="dxa"/>
            <w:tcBorders/>
            <w:shd w:fill="CCEEFF" w:val="clear"/>
            <w:vAlign w:val="center"/>
          </w:tcPr>
          <w:p>
            <w:pPr>
              <w:pStyle w:val="TableContents"/>
              <w:bidi w:val="0"/>
              <w:spacing w:before="0" w:after="283"/>
              <w:jc w:val="left"/>
              <w:rPr/>
            </w:pPr>
            <w:r>
              <w:rPr/>
              <w:t> </w:t>
            </w:r>
          </w:p>
        </w:tc>
        <w:tc>
          <w:tcPr>
            <w:tcW w:w="107" w:type="dxa"/>
            <w:tcBorders/>
            <w:shd w:fill="CCEEFF" w:val="clear"/>
            <w:vAlign w:val="center"/>
          </w:tcPr>
          <w:p>
            <w:pPr>
              <w:pStyle w:val="TableContents"/>
              <w:bidi w:val="0"/>
              <w:spacing w:before="0" w:after="283"/>
              <w:jc w:val="left"/>
              <w:rPr/>
            </w:pPr>
            <w:r>
              <w:rPr/>
              <w:t> </w:t>
            </w:r>
          </w:p>
        </w:tc>
        <w:tc>
          <w:tcPr>
            <w:tcW w:w="688"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11.2</w:t>
            </w:r>
          </w:p>
        </w:tc>
        <w:tc>
          <w:tcPr>
            <w:tcW w:w="21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220" w:type="dxa"/>
            <w:tcBorders/>
            <w:shd w:fill="CCEEFF" w:val="clear"/>
            <w:vAlign w:val="center"/>
          </w:tcPr>
          <w:p>
            <w:pPr>
              <w:pStyle w:val="TableContents"/>
              <w:bidi w:val="0"/>
              <w:spacing w:before="0" w:after="283"/>
              <w:jc w:val="left"/>
              <w:rPr/>
            </w:pPr>
            <w:r>
              <w:rPr/>
              <w:t> </w:t>
            </w:r>
          </w:p>
        </w:tc>
        <w:tc>
          <w:tcPr>
            <w:tcW w:w="2947" w:type="dxa"/>
            <w:tcBorders/>
            <w:shd w:fill="CCEEFF" w:val="clear"/>
            <w:vAlign w:val="center"/>
          </w:tcPr>
          <w:p>
            <w:pPr>
              <w:pStyle w:val="TableContents"/>
              <w:bidi w:val="0"/>
              <w:spacing w:before="0" w:after="283"/>
              <w:jc w:val="right"/>
              <w:rPr/>
            </w:pPr>
            <w:r>
              <w:rPr/>
              <w:t>6,666,666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8" w:type="dxa"/>
            <w:tcBorders/>
            <w:shd w:fill="CCEEFF" w:val="clear"/>
            <w:vAlign w:val="center"/>
          </w:tcPr>
          <w:p>
            <w:pPr>
              <w:pStyle w:val="TableContents"/>
              <w:bidi w:val="0"/>
              <w:spacing w:before="0" w:after="283"/>
              <w:jc w:val="left"/>
              <w:rPr/>
            </w:pPr>
            <w:r>
              <w:rPr/>
              <w:t> </w:t>
            </w:r>
          </w:p>
        </w:tc>
        <w:tc>
          <w:tcPr>
            <w:tcW w:w="1099"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 xml:space="preserve">11,191,236 </w:t>
            </w:r>
          </w:p>
        </w:tc>
        <w:tc>
          <w:tcPr>
            <w:tcW w:w="68" w:type="dxa"/>
            <w:tcBorders/>
            <w:shd w:fill="CCEEFF" w:val="clear"/>
            <w:vAlign w:val="center"/>
          </w:tcPr>
          <w:p>
            <w:pPr>
              <w:pStyle w:val="TableContents"/>
              <w:bidi w:val="0"/>
              <w:spacing w:before="0" w:after="283"/>
              <w:jc w:val="left"/>
              <w:rPr/>
            </w:pPr>
            <w:r>
              <w:rPr/>
              <w:t> </w:t>
            </w:r>
          </w:p>
        </w:tc>
        <w:tc>
          <w:tcPr>
            <w:tcW w:w="68"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48" w:type="dxa"/>
            <w:tcBorders/>
            <w:shd w:fill="CCEEFF" w:val="clear"/>
            <w:vAlign w:val="center"/>
          </w:tcPr>
          <w:p>
            <w:pPr>
              <w:pStyle w:val="TableContents"/>
              <w:bidi w:val="0"/>
              <w:spacing w:before="0" w:after="283"/>
              <w:jc w:val="right"/>
              <w:rPr/>
            </w:pPr>
            <w:r>
              <w:rPr/>
              <w:t>7.4</w:t>
            </w:r>
          </w:p>
        </w:tc>
        <w:tc>
          <w:tcPr>
            <w:tcW w:w="236" w:type="dxa"/>
            <w:tcBorders/>
            <w:shd w:fill="CCEEFF" w:val="clear"/>
            <w:vAlign w:val="center"/>
          </w:tcPr>
          <w:p>
            <w:pPr>
              <w:pStyle w:val="TableContents"/>
              <w:bidi w:val="0"/>
              <w:spacing w:before="0" w:after="283"/>
              <w:jc w:val="left"/>
              <w:rPr/>
            </w:pPr>
            <w:r>
              <w:rPr/>
              <w:t>%</w:t>
            </w:r>
          </w:p>
        </w:tc>
      </w:tr>
      <w:tr>
        <w:trPr/>
        <w:tc>
          <w:tcPr>
            <w:tcW w:w="2072" w:type="dxa"/>
            <w:tcBorders/>
            <w:shd w:fill="FFFFFF" w:val="clear"/>
            <w:vAlign w:val="center"/>
          </w:tcPr>
          <w:p>
            <w:pPr>
              <w:pStyle w:val="TableContents"/>
              <w:bidi w:val="0"/>
              <w:spacing w:before="0" w:after="283"/>
              <w:jc w:val="left"/>
              <w:rPr/>
            </w:pPr>
            <w:r>
              <w:rPr/>
              <w:t>John P. Bergh(4)</w:t>
            </w:r>
          </w:p>
        </w:tc>
        <w:tc>
          <w:tcPr>
            <w:tcW w:w="60" w:type="dxa"/>
            <w:tcBorders/>
            <w:shd w:fill="FFFFFF" w:val="clear"/>
            <w:vAlign w:val="center"/>
          </w:tcPr>
          <w:p>
            <w:pPr>
              <w:pStyle w:val="TableContents"/>
              <w:bidi w:val="0"/>
              <w:spacing w:before="0" w:after="283"/>
              <w:jc w:val="left"/>
              <w:rPr/>
            </w:pPr>
            <w:r>
              <w:rPr/>
              <w:t> </w:t>
            </w:r>
          </w:p>
        </w:tc>
        <w:tc>
          <w:tcPr>
            <w:tcW w:w="69" w:type="dxa"/>
            <w:tcBorders/>
            <w:shd w:fill="FFFFFF" w:val="clear"/>
            <w:vAlign w:val="center"/>
          </w:tcPr>
          <w:p>
            <w:pPr>
              <w:pStyle w:val="TableContents"/>
              <w:bidi w:val="0"/>
              <w:spacing w:before="0" w:after="283"/>
              <w:jc w:val="left"/>
              <w:rPr/>
            </w:pPr>
            <w:r>
              <w:rPr/>
              <w:t> </w:t>
            </w:r>
          </w:p>
        </w:tc>
        <w:tc>
          <w:tcPr>
            <w:tcW w:w="1271" w:type="dxa"/>
            <w:tcBorders/>
            <w:shd w:fill="FFFFFF" w:val="clear"/>
            <w:vAlign w:val="center"/>
          </w:tcPr>
          <w:p>
            <w:pPr>
              <w:pStyle w:val="TableContents"/>
              <w:bidi w:val="0"/>
              <w:spacing w:before="0" w:after="283"/>
              <w:jc w:val="right"/>
              <w:rPr/>
            </w:pPr>
            <w:r>
              <w:rPr/>
              <w:t>1,354,270</w:t>
            </w:r>
          </w:p>
        </w:tc>
        <w:tc>
          <w:tcPr>
            <w:tcW w:w="69" w:type="dxa"/>
            <w:tcBorders/>
            <w:shd w:fill="FFFFFF" w:val="clear"/>
            <w:vAlign w:val="center"/>
          </w:tcPr>
          <w:p>
            <w:pPr>
              <w:pStyle w:val="TableContents"/>
              <w:bidi w:val="0"/>
              <w:spacing w:before="0" w:after="283"/>
              <w:jc w:val="left"/>
              <w:rPr/>
            </w:pPr>
            <w:r>
              <w:rPr/>
              <w:t> </w:t>
            </w:r>
          </w:p>
        </w:tc>
        <w:tc>
          <w:tcPr>
            <w:tcW w:w="107" w:type="dxa"/>
            <w:tcBorders/>
            <w:shd w:fill="FFFFFF" w:val="clear"/>
            <w:vAlign w:val="center"/>
          </w:tcPr>
          <w:p>
            <w:pPr>
              <w:pStyle w:val="TableContents"/>
              <w:bidi w:val="0"/>
              <w:spacing w:before="0" w:after="283"/>
              <w:jc w:val="left"/>
              <w:rPr/>
            </w:pPr>
            <w:r>
              <w:rPr/>
              <w:t> </w:t>
            </w:r>
          </w:p>
        </w:tc>
        <w:tc>
          <w:tcPr>
            <w:tcW w:w="688" w:type="dxa"/>
            <w:tcBorders/>
            <w:shd w:fill="FFFFFF" w:val="clear"/>
            <w:vAlign w:val="center"/>
          </w:tcPr>
          <w:p>
            <w:pPr>
              <w:pStyle w:val="TableContents"/>
              <w:bidi w:val="0"/>
              <w:spacing w:before="0" w:after="283"/>
              <w:jc w:val="right"/>
              <w:rPr/>
            </w:pPr>
            <w:r>
              <w:rPr/>
              <w:t> </w:t>
            </w:r>
            <w:r>
              <w:rPr>
                <w:rFonts w:ascii="Times New Roman;Times;Serif" w:hAnsi="Times New Roman;Times;Serif"/>
                <w:sz w:val="20"/>
              </w:rPr>
              <w:t>*</w:t>
            </w:r>
          </w:p>
        </w:tc>
        <w:tc>
          <w:tcPr>
            <w:tcW w:w="2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20" w:type="dxa"/>
            <w:tcBorders/>
            <w:shd w:fill="FFFFFF" w:val="clear"/>
            <w:vAlign w:val="center"/>
          </w:tcPr>
          <w:p>
            <w:pPr>
              <w:pStyle w:val="TableContents"/>
              <w:bidi w:val="0"/>
              <w:spacing w:before="0" w:after="283"/>
              <w:jc w:val="left"/>
              <w:rPr/>
            </w:pPr>
            <w:r>
              <w:rPr/>
              <w:t> </w:t>
            </w:r>
          </w:p>
        </w:tc>
        <w:tc>
          <w:tcPr>
            <w:tcW w:w="2947" w:type="dxa"/>
            <w:tcBorders/>
            <w:shd w:fill="FFFFFF" w:val="clear"/>
            <w:vAlign w:val="center"/>
          </w:tcPr>
          <w:p>
            <w:pPr>
              <w:pStyle w:val="TableContents"/>
              <w:bidi w:val="0"/>
              <w:spacing w:before="0" w:after="283"/>
              <w:jc w:val="right"/>
              <w:rPr/>
            </w:pPr>
            <w:r>
              <w:rPr/>
              <w:t>1,354,270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8" w:type="dxa"/>
            <w:tcBorders/>
            <w:shd w:fill="FFFFFF" w:val="clear"/>
            <w:vAlign w:val="center"/>
          </w:tcPr>
          <w:p>
            <w:pPr>
              <w:pStyle w:val="TableContents"/>
              <w:bidi w:val="0"/>
              <w:spacing w:before="0" w:after="283"/>
              <w:jc w:val="left"/>
              <w:rPr/>
            </w:pPr>
            <w:r>
              <w:rPr/>
              <w:t> </w:t>
            </w:r>
          </w:p>
        </w:tc>
        <w:tc>
          <w:tcPr>
            <w:tcW w:w="1099" w:type="dxa"/>
            <w:tcBorders/>
            <w:shd w:fill="FFFFFF" w:val="clear"/>
            <w:vAlign w:val="center"/>
          </w:tcPr>
          <w:p>
            <w:pPr>
              <w:pStyle w:val="TableContents"/>
              <w:bidi w:val="0"/>
              <w:spacing w:before="0" w:after="283"/>
              <w:jc w:val="right"/>
              <w:rPr/>
            </w:pPr>
            <w:r>
              <w:rPr/>
              <w:t>0</w:t>
            </w:r>
          </w:p>
        </w:tc>
        <w:tc>
          <w:tcPr>
            <w:tcW w:w="68" w:type="dxa"/>
            <w:tcBorders/>
            <w:shd w:fill="FFFFFF" w:val="clear"/>
            <w:vAlign w:val="center"/>
          </w:tcPr>
          <w:p>
            <w:pPr>
              <w:pStyle w:val="TableContents"/>
              <w:bidi w:val="0"/>
              <w:spacing w:before="0" w:after="283"/>
              <w:jc w:val="left"/>
              <w:rPr/>
            </w:pPr>
            <w:r>
              <w:rPr/>
              <w:t> </w:t>
            </w:r>
          </w:p>
        </w:tc>
        <w:tc>
          <w:tcPr>
            <w:tcW w:w="68" w:type="dxa"/>
            <w:tcBorders/>
            <w:shd w:fill="FFFFFF" w:val="clear"/>
            <w:vAlign w:val="center"/>
          </w:tcPr>
          <w:p>
            <w:pPr>
              <w:pStyle w:val="TableContents"/>
              <w:bidi w:val="0"/>
              <w:spacing w:before="0" w:after="283"/>
              <w:jc w:val="left"/>
              <w:rPr/>
            </w:pPr>
            <w:r>
              <w:rPr/>
              <w:t> </w:t>
            </w:r>
          </w:p>
        </w:tc>
        <w:tc>
          <w:tcPr>
            <w:tcW w:w="120" w:type="dxa"/>
            <w:tcBorders/>
            <w:shd w:fill="FFFFFF" w:val="clear"/>
            <w:vAlign w:val="center"/>
          </w:tcPr>
          <w:p>
            <w:pPr>
              <w:pStyle w:val="TableContents"/>
              <w:bidi w:val="0"/>
              <w:spacing w:before="0" w:after="283"/>
              <w:jc w:val="left"/>
              <w:rPr/>
            </w:pPr>
            <w:r>
              <w:rPr/>
              <w:t> </w:t>
            </w:r>
          </w:p>
        </w:tc>
        <w:tc>
          <w:tcPr>
            <w:tcW w:w="648"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236" w:type="dxa"/>
            <w:tcBorders/>
            <w:shd w:fill="FFFFFF" w:val="clear"/>
            <w:vAlign w:val="center"/>
          </w:tcPr>
          <w:p>
            <w:pPr>
              <w:pStyle w:val="TableContents"/>
              <w:bidi w:val="0"/>
              <w:spacing w:before="0" w:after="283"/>
              <w:jc w:val="left"/>
              <w:rPr/>
            </w:pPr>
            <w:r>
              <w:rPr/>
              <w:t> </w:t>
            </w:r>
          </w:p>
        </w:tc>
      </w:tr>
      <w:tr>
        <w:trPr/>
        <w:tc>
          <w:tcPr>
            <w:tcW w:w="2072" w:type="dxa"/>
            <w:tcBorders/>
            <w:shd w:fill="CCEEFF" w:val="clear"/>
            <w:vAlign w:val="center"/>
          </w:tcPr>
          <w:p>
            <w:pPr>
              <w:pStyle w:val="TableContents"/>
              <w:bidi w:val="0"/>
              <w:spacing w:before="0" w:after="283"/>
              <w:jc w:val="left"/>
              <w:rPr/>
            </w:pPr>
            <w:r>
              <w:rPr/>
              <w:t>Mary Ellen Foley-Bergh(5)</w:t>
            </w:r>
          </w:p>
        </w:tc>
        <w:tc>
          <w:tcPr>
            <w:tcW w:w="60" w:type="dxa"/>
            <w:tcBorders/>
            <w:shd w:fill="CCEEFF" w:val="clear"/>
            <w:vAlign w:val="center"/>
          </w:tcPr>
          <w:p>
            <w:pPr>
              <w:pStyle w:val="TableContents"/>
              <w:bidi w:val="0"/>
              <w:spacing w:before="0" w:after="283"/>
              <w:jc w:val="left"/>
              <w:rPr/>
            </w:pPr>
            <w:r>
              <w:rPr/>
              <w:t> </w:t>
            </w:r>
          </w:p>
        </w:tc>
        <w:tc>
          <w:tcPr>
            <w:tcW w:w="69" w:type="dxa"/>
            <w:tcBorders/>
            <w:shd w:fill="CCEEFF" w:val="clear"/>
            <w:vAlign w:val="center"/>
          </w:tcPr>
          <w:p>
            <w:pPr>
              <w:pStyle w:val="TableContents"/>
              <w:bidi w:val="0"/>
              <w:spacing w:before="0" w:after="283"/>
              <w:jc w:val="left"/>
              <w:rPr/>
            </w:pPr>
            <w:r>
              <w:rPr/>
              <w:t> </w:t>
            </w:r>
          </w:p>
        </w:tc>
        <w:tc>
          <w:tcPr>
            <w:tcW w:w="1271" w:type="dxa"/>
            <w:tcBorders/>
            <w:shd w:fill="CCEEFF" w:val="clear"/>
            <w:vAlign w:val="center"/>
          </w:tcPr>
          <w:p>
            <w:pPr>
              <w:pStyle w:val="TableContents"/>
              <w:bidi w:val="0"/>
              <w:spacing w:before="0" w:after="283"/>
              <w:jc w:val="right"/>
              <w:rPr/>
            </w:pPr>
            <w:r>
              <w:rPr/>
              <w:t>451,426</w:t>
            </w:r>
          </w:p>
        </w:tc>
        <w:tc>
          <w:tcPr>
            <w:tcW w:w="69" w:type="dxa"/>
            <w:tcBorders/>
            <w:shd w:fill="CCEEFF" w:val="clear"/>
            <w:vAlign w:val="center"/>
          </w:tcPr>
          <w:p>
            <w:pPr>
              <w:pStyle w:val="TableContents"/>
              <w:bidi w:val="0"/>
              <w:spacing w:before="0" w:after="283"/>
              <w:jc w:val="left"/>
              <w:rPr/>
            </w:pPr>
            <w:r>
              <w:rPr/>
              <w:t> </w:t>
            </w:r>
          </w:p>
        </w:tc>
        <w:tc>
          <w:tcPr>
            <w:tcW w:w="107" w:type="dxa"/>
            <w:tcBorders/>
            <w:shd w:fill="CCEEFF" w:val="clear"/>
            <w:vAlign w:val="center"/>
          </w:tcPr>
          <w:p>
            <w:pPr>
              <w:pStyle w:val="TableContents"/>
              <w:bidi w:val="0"/>
              <w:spacing w:before="0" w:after="283"/>
              <w:jc w:val="left"/>
              <w:rPr/>
            </w:pPr>
            <w:r>
              <w:rPr/>
              <w:t> </w:t>
            </w:r>
          </w:p>
        </w:tc>
        <w:tc>
          <w:tcPr>
            <w:tcW w:w="688" w:type="dxa"/>
            <w:tcBorders/>
            <w:shd w:fill="CCEEFF" w:val="clear"/>
            <w:vAlign w:val="center"/>
          </w:tcPr>
          <w:p>
            <w:pPr>
              <w:pStyle w:val="TableContents"/>
              <w:bidi w:val="0"/>
              <w:spacing w:before="0" w:after="283"/>
              <w:jc w:val="right"/>
              <w:rPr/>
            </w:pPr>
            <w:r>
              <w:rPr/>
              <w:t> </w:t>
            </w:r>
            <w:r>
              <w:rPr>
                <w:rFonts w:ascii="Times New Roman;Times;Serif" w:hAnsi="Times New Roman;Times;Serif"/>
                <w:sz w:val="20"/>
              </w:rPr>
              <w:t>*</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0" w:type="dxa"/>
            <w:tcBorders/>
            <w:shd w:fill="CCEEFF" w:val="clear"/>
            <w:vAlign w:val="center"/>
          </w:tcPr>
          <w:p>
            <w:pPr>
              <w:pStyle w:val="TableContents"/>
              <w:bidi w:val="0"/>
              <w:spacing w:before="0" w:after="283"/>
              <w:jc w:val="left"/>
              <w:rPr/>
            </w:pPr>
            <w:r>
              <w:rPr/>
              <w:t> </w:t>
            </w:r>
          </w:p>
        </w:tc>
        <w:tc>
          <w:tcPr>
            <w:tcW w:w="2947" w:type="dxa"/>
            <w:tcBorders/>
            <w:shd w:fill="CCEEFF" w:val="clear"/>
            <w:vAlign w:val="center"/>
          </w:tcPr>
          <w:p>
            <w:pPr>
              <w:pStyle w:val="TableContents"/>
              <w:bidi w:val="0"/>
              <w:spacing w:before="0" w:after="283"/>
              <w:jc w:val="right"/>
              <w:rPr/>
            </w:pPr>
            <w:r>
              <w:rPr/>
              <w:t>451,426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8" w:type="dxa"/>
            <w:tcBorders/>
            <w:shd w:fill="CCEEFF" w:val="clear"/>
            <w:vAlign w:val="center"/>
          </w:tcPr>
          <w:p>
            <w:pPr>
              <w:pStyle w:val="TableContents"/>
              <w:bidi w:val="0"/>
              <w:spacing w:before="0" w:after="283"/>
              <w:jc w:val="left"/>
              <w:rPr/>
            </w:pPr>
            <w:r>
              <w:rPr/>
              <w:t> </w:t>
            </w:r>
          </w:p>
        </w:tc>
        <w:tc>
          <w:tcPr>
            <w:tcW w:w="1099" w:type="dxa"/>
            <w:tcBorders/>
            <w:shd w:fill="CCEEFF" w:val="clear"/>
            <w:vAlign w:val="center"/>
          </w:tcPr>
          <w:p>
            <w:pPr>
              <w:pStyle w:val="TableContents"/>
              <w:bidi w:val="0"/>
              <w:spacing w:before="0" w:after="283"/>
              <w:jc w:val="right"/>
              <w:rPr/>
            </w:pPr>
            <w:r>
              <w:rPr/>
              <w:t>0</w:t>
            </w:r>
          </w:p>
        </w:tc>
        <w:tc>
          <w:tcPr>
            <w:tcW w:w="68" w:type="dxa"/>
            <w:tcBorders/>
            <w:shd w:fill="CCEEFF" w:val="clear"/>
            <w:vAlign w:val="center"/>
          </w:tcPr>
          <w:p>
            <w:pPr>
              <w:pStyle w:val="TableContents"/>
              <w:bidi w:val="0"/>
              <w:spacing w:before="0" w:after="283"/>
              <w:jc w:val="left"/>
              <w:rPr/>
            </w:pPr>
            <w:r>
              <w:rPr/>
              <w:t> </w:t>
            </w:r>
          </w:p>
        </w:tc>
        <w:tc>
          <w:tcPr>
            <w:tcW w:w="68"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48"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236" w:type="dxa"/>
            <w:tcBorders/>
            <w:shd w:fill="CCEEFF" w:val="clear"/>
            <w:vAlign w:val="center"/>
          </w:tcPr>
          <w:p>
            <w:pPr>
              <w:pStyle w:val="TableContents"/>
              <w:bidi w:val="0"/>
              <w:spacing w:before="0" w:after="283"/>
              <w:jc w:val="left"/>
              <w:rPr/>
            </w:pPr>
            <w:r>
              <w:rPr/>
              <w:t> </w:t>
            </w:r>
          </w:p>
        </w:tc>
      </w:tr>
      <w:tr>
        <w:trPr/>
        <w:tc>
          <w:tcPr>
            <w:tcW w:w="2072" w:type="dxa"/>
            <w:tcBorders/>
            <w:shd w:fill="FFFFFF" w:val="clear"/>
            <w:vAlign w:val="center"/>
          </w:tcPr>
          <w:p>
            <w:pPr>
              <w:pStyle w:val="TableContents"/>
              <w:bidi w:val="0"/>
              <w:spacing w:before="0" w:after="283"/>
              <w:jc w:val="left"/>
              <w:rPr/>
            </w:pPr>
            <w:r>
              <w:rPr/>
              <w:t>Ayna.AI LLC(6)</w:t>
            </w:r>
          </w:p>
        </w:tc>
        <w:tc>
          <w:tcPr>
            <w:tcW w:w="60" w:type="dxa"/>
            <w:tcBorders/>
            <w:shd w:fill="FFFFFF" w:val="clear"/>
            <w:vAlign w:val="center"/>
          </w:tcPr>
          <w:p>
            <w:pPr>
              <w:pStyle w:val="TableContents"/>
              <w:bidi w:val="0"/>
              <w:spacing w:before="0" w:after="283"/>
              <w:jc w:val="left"/>
              <w:rPr/>
            </w:pPr>
            <w:r>
              <w:rPr/>
              <w:t> </w:t>
            </w:r>
          </w:p>
        </w:tc>
        <w:tc>
          <w:tcPr>
            <w:tcW w:w="69" w:type="dxa"/>
            <w:tcBorders/>
            <w:shd w:fill="FFFFFF" w:val="clear"/>
            <w:vAlign w:val="center"/>
          </w:tcPr>
          <w:p>
            <w:pPr>
              <w:pStyle w:val="TableContents"/>
              <w:bidi w:val="0"/>
              <w:spacing w:before="0" w:after="283"/>
              <w:jc w:val="left"/>
              <w:rPr/>
            </w:pPr>
            <w:r>
              <w:rPr/>
              <w:t> </w:t>
            </w:r>
          </w:p>
        </w:tc>
        <w:tc>
          <w:tcPr>
            <w:tcW w:w="1271" w:type="dxa"/>
            <w:tcBorders/>
            <w:shd w:fill="FFFFFF" w:val="clear"/>
            <w:vAlign w:val="center"/>
          </w:tcPr>
          <w:p>
            <w:pPr>
              <w:pStyle w:val="TableContents"/>
              <w:bidi w:val="0"/>
              <w:spacing w:before="0" w:after="283"/>
              <w:jc w:val="right"/>
              <w:rPr/>
            </w:pPr>
            <w:r>
              <w:rPr/>
              <w:t>380,000</w:t>
            </w:r>
          </w:p>
        </w:tc>
        <w:tc>
          <w:tcPr>
            <w:tcW w:w="69" w:type="dxa"/>
            <w:tcBorders/>
            <w:shd w:fill="FFFFFF" w:val="clear"/>
            <w:vAlign w:val="center"/>
          </w:tcPr>
          <w:p>
            <w:pPr>
              <w:pStyle w:val="TableContents"/>
              <w:bidi w:val="0"/>
              <w:spacing w:before="0" w:after="283"/>
              <w:jc w:val="left"/>
              <w:rPr/>
            </w:pPr>
            <w:r>
              <w:rPr/>
              <w:t> </w:t>
            </w:r>
          </w:p>
        </w:tc>
        <w:tc>
          <w:tcPr>
            <w:tcW w:w="107" w:type="dxa"/>
            <w:tcBorders/>
            <w:shd w:fill="FFFFFF" w:val="clear"/>
            <w:vAlign w:val="center"/>
          </w:tcPr>
          <w:p>
            <w:pPr>
              <w:pStyle w:val="TableContents"/>
              <w:bidi w:val="0"/>
              <w:spacing w:before="0" w:after="283"/>
              <w:jc w:val="left"/>
              <w:rPr/>
            </w:pPr>
            <w:r>
              <w:rPr/>
              <w:t> </w:t>
            </w:r>
          </w:p>
        </w:tc>
        <w:tc>
          <w:tcPr>
            <w:tcW w:w="688" w:type="dxa"/>
            <w:tcBorders/>
            <w:shd w:fill="FFFFFF" w:val="clear"/>
            <w:vAlign w:val="center"/>
          </w:tcPr>
          <w:p>
            <w:pPr>
              <w:pStyle w:val="TableContents"/>
              <w:bidi w:val="0"/>
              <w:spacing w:before="0" w:after="283"/>
              <w:jc w:val="right"/>
              <w:rPr/>
            </w:pPr>
            <w:r>
              <w:rPr/>
              <w:t> </w:t>
            </w:r>
            <w:r>
              <w:rPr>
                <w:rFonts w:ascii="Times New Roman;Times;Serif" w:hAnsi="Times New Roman;Times;Serif"/>
                <w:sz w:val="20"/>
              </w:rPr>
              <w:t>*</w:t>
            </w:r>
          </w:p>
        </w:tc>
        <w:tc>
          <w:tcPr>
            <w:tcW w:w="2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20" w:type="dxa"/>
            <w:tcBorders/>
            <w:shd w:fill="FFFFFF" w:val="clear"/>
            <w:vAlign w:val="center"/>
          </w:tcPr>
          <w:p>
            <w:pPr>
              <w:pStyle w:val="TableContents"/>
              <w:bidi w:val="0"/>
              <w:spacing w:before="0" w:after="283"/>
              <w:jc w:val="left"/>
              <w:rPr/>
            </w:pPr>
            <w:r>
              <w:rPr/>
              <w:t> </w:t>
            </w:r>
          </w:p>
        </w:tc>
        <w:tc>
          <w:tcPr>
            <w:tcW w:w="2947" w:type="dxa"/>
            <w:tcBorders/>
            <w:shd w:fill="FFFFFF" w:val="clear"/>
            <w:vAlign w:val="center"/>
          </w:tcPr>
          <w:p>
            <w:pPr>
              <w:pStyle w:val="TableContents"/>
              <w:bidi w:val="0"/>
              <w:spacing w:before="0" w:after="283"/>
              <w:jc w:val="right"/>
              <w:rPr/>
            </w:pPr>
            <w:r>
              <w:rPr/>
              <w:t>380,000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8" w:type="dxa"/>
            <w:tcBorders/>
            <w:shd w:fill="FFFFFF" w:val="clear"/>
            <w:vAlign w:val="center"/>
          </w:tcPr>
          <w:p>
            <w:pPr>
              <w:pStyle w:val="TableContents"/>
              <w:bidi w:val="0"/>
              <w:spacing w:before="0" w:after="283"/>
              <w:jc w:val="left"/>
              <w:rPr/>
            </w:pPr>
            <w:r>
              <w:rPr/>
              <w:t> </w:t>
            </w:r>
          </w:p>
        </w:tc>
        <w:tc>
          <w:tcPr>
            <w:tcW w:w="1099" w:type="dxa"/>
            <w:tcBorders/>
            <w:shd w:fill="FFFFFF" w:val="clear"/>
            <w:vAlign w:val="center"/>
          </w:tcPr>
          <w:p>
            <w:pPr>
              <w:pStyle w:val="TableContents"/>
              <w:bidi w:val="0"/>
              <w:spacing w:before="0" w:after="283"/>
              <w:jc w:val="right"/>
              <w:rPr/>
            </w:pPr>
            <w:r>
              <w:rPr/>
              <w:t>0</w:t>
            </w:r>
          </w:p>
        </w:tc>
        <w:tc>
          <w:tcPr>
            <w:tcW w:w="68" w:type="dxa"/>
            <w:tcBorders/>
            <w:shd w:fill="FFFFFF" w:val="clear"/>
            <w:vAlign w:val="center"/>
          </w:tcPr>
          <w:p>
            <w:pPr>
              <w:pStyle w:val="TableContents"/>
              <w:bidi w:val="0"/>
              <w:spacing w:before="0" w:after="283"/>
              <w:jc w:val="left"/>
              <w:rPr>
                <w:sz w:val="4"/>
                <w:szCs w:val="4"/>
              </w:rPr>
            </w:pPr>
            <w:r>
              <w:rPr>
                <w:sz w:val="4"/>
                <w:szCs w:val="4"/>
              </w:rPr>
            </w:r>
          </w:p>
        </w:tc>
        <w:tc>
          <w:tcPr>
            <w:tcW w:w="68" w:type="dxa"/>
            <w:tcBorders/>
            <w:shd w:fill="FFFFFF" w:val="clear"/>
            <w:vAlign w:val="center"/>
          </w:tcPr>
          <w:p>
            <w:pPr>
              <w:pStyle w:val="TableContents"/>
              <w:bidi w:val="0"/>
              <w:spacing w:before="0" w:after="283"/>
              <w:jc w:val="left"/>
              <w:rPr/>
            </w:pPr>
            <w:r>
              <w:rPr/>
              <w:t> </w:t>
            </w:r>
          </w:p>
        </w:tc>
        <w:tc>
          <w:tcPr>
            <w:tcW w:w="120" w:type="dxa"/>
            <w:tcBorders/>
            <w:shd w:fill="FFFFFF" w:val="clear"/>
            <w:vAlign w:val="center"/>
          </w:tcPr>
          <w:p>
            <w:pPr>
              <w:pStyle w:val="TableContents"/>
              <w:bidi w:val="0"/>
              <w:spacing w:before="0" w:after="283"/>
              <w:jc w:val="left"/>
              <w:rPr/>
            </w:pPr>
            <w:r>
              <w:rPr/>
              <w:t> </w:t>
            </w:r>
          </w:p>
        </w:tc>
        <w:tc>
          <w:tcPr>
            <w:tcW w:w="648"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236" w:type="dxa"/>
            <w:tcBorders/>
            <w:shd w:fill="FFFFFF" w:val="clear"/>
            <w:vAlign w:val="center"/>
          </w:tcPr>
          <w:p>
            <w:pPr>
              <w:pStyle w:val="TableContents"/>
              <w:bidi w:val="0"/>
              <w:spacing w:before="0" w:after="283"/>
              <w:jc w:val="left"/>
              <w:rPr/>
            </w:pPr>
            <w:r>
              <w:rPr/>
              <w:t> </w:t>
            </w:r>
          </w:p>
        </w:tc>
      </w:tr>
      <w:tr>
        <w:trPr/>
        <w:tc>
          <w:tcPr>
            <w:tcW w:w="2072" w:type="dxa"/>
            <w:tcBorders/>
            <w:shd w:fill="CCEEFF" w:val="clear"/>
            <w:vAlign w:val="center"/>
          </w:tcPr>
          <w:p>
            <w:pPr>
              <w:pStyle w:val="TableContents"/>
              <w:bidi w:val="0"/>
              <w:spacing w:before="0" w:after="283"/>
              <w:jc w:val="left"/>
              <w:rPr/>
            </w:pPr>
            <w:r>
              <w:rPr/>
              <w:t>Foris Ventures LLC(7)</w:t>
            </w:r>
          </w:p>
        </w:tc>
        <w:tc>
          <w:tcPr>
            <w:tcW w:w="60" w:type="dxa"/>
            <w:tcBorders/>
            <w:shd w:fill="CCEEFF" w:val="clear"/>
            <w:vAlign w:val="center"/>
          </w:tcPr>
          <w:p>
            <w:pPr>
              <w:pStyle w:val="TableContents"/>
              <w:bidi w:val="0"/>
              <w:spacing w:before="0" w:after="283"/>
              <w:jc w:val="left"/>
              <w:rPr/>
            </w:pPr>
            <w:r>
              <w:rPr/>
              <w:t> </w:t>
            </w:r>
          </w:p>
        </w:tc>
        <w:tc>
          <w:tcPr>
            <w:tcW w:w="69" w:type="dxa"/>
            <w:tcBorders/>
            <w:shd w:fill="CCEEFF" w:val="clear"/>
            <w:vAlign w:val="center"/>
          </w:tcPr>
          <w:p>
            <w:pPr>
              <w:pStyle w:val="TableContents"/>
              <w:bidi w:val="0"/>
              <w:spacing w:before="0" w:after="283"/>
              <w:jc w:val="left"/>
              <w:rPr/>
            </w:pPr>
            <w:r>
              <w:rPr/>
              <w:t> </w:t>
            </w:r>
          </w:p>
        </w:tc>
        <w:tc>
          <w:tcPr>
            <w:tcW w:w="1271"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 xml:space="preserve">4,424,779 </w:t>
            </w:r>
          </w:p>
        </w:tc>
        <w:tc>
          <w:tcPr>
            <w:tcW w:w="69" w:type="dxa"/>
            <w:tcBorders/>
            <w:shd w:fill="CCEEFF" w:val="clear"/>
            <w:vAlign w:val="center"/>
          </w:tcPr>
          <w:p>
            <w:pPr>
              <w:pStyle w:val="TableContents"/>
              <w:bidi w:val="0"/>
              <w:spacing w:before="0" w:after="283"/>
              <w:jc w:val="left"/>
              <w:rPr/>
            </w:pPr>
            <w:r>
              <w:rPr/>
              <w:t> </w:t>
            </w:r>
          </w:p>
        </w:tc>
        <w:tc>
          <w:tcPr>
            <w:tcW w:w="107" w:type="dxa"/>
            <w:tcBorders/>
            <w:shd w:fill="CCEEFF" w:val="clear"/>
            <w:vAlign w:val="center"/>
          </w:tcPr>
          <w:p>
            <w:pPr>
              <w:pStyle w:val="TableContents"/>
              <w:bidi w:val="0"/>
              <w:spacing w:before="0" w:after="283"/>
              <w:jc w:val="left"/>
              <w:rPr/>
            </w:pPr>
            <w:r>
              <w:rPr/>
              <w:t> </w:t>
            </w:r>
          </w:p>
        </w:tc>
        <w:tc>
          <w:tcPr>
            <w:tcW w:w="688" w:type="dxa"/>
            <w:tcBorders/>
            <w:shd w:fill="CCEEFF" w:val="clear"/>
            <w:vAlign w:val="center"/>
          </w:tcPr>
          <w:p>
            <w:pPr>
              <w:pStyle w:val="TableContents"/>
              <w:bidi w:val="0"/>
              <w:spacing w:before="0" w:after="283"/>
              <w:jc w:val="right"/>
              <w:rPr/>
            </w:pPr>
            <w:r>
              <w:rPr/>
              <w:t> </w:t>
            </w:r>
            <w:r>
              <w:rPr>
                <w:rFonts w:ascii="Times New Roman;Times;Serif" w:hAnsi="Times New Roman;Times;Serif"/>
                <w:sz w:val="20"/>
              </w:rPr>
              <w:t>*</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0" w:type="dxa"/>
            <w:tcBorders/>
            <w:shd w:fill="CCEEFF" w:val="clear"/>
            <w:vAlign w:val="center"/>
          </w:tcPr>
          <w:p>
            <w:pPr>
              <w:pStyle w:val="TableContents"/>
              <w:bidi w:val="0"/>
              <w:spacing w:before="0" w:after="283"/>
              <w:jc w:val="left"/>
              <w:rPr/>
            </w:pPr>
            <w:r>
              <w:rPr/>
              <w:t> </w:t>
            </w:r>
          </w:p>
        </w:tc>
        <w:tc>
          <w:tcPr>
            <w:tcW w:w="2947"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 xml:space="preserve">4,424,779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8" w:type="dxa"/>
            <w:tcBorders/>
            <w:shd w:fill="CCEEFF" w:val="clear"/>
            <w:vAlign w:val="center"/>
          </w:tcPr>
          <w:p>
            <w:pPr>
              <w:pStyle w:val="TableContents"/>
              <w:bidi w:val="0"/>
              <w:spacing w:before="0" w:after="283"/>
              <w:jc w:val="left"/>
              <w:rPr/>
            </w:pPr>
            <w:r>
              <w:rPr/>
              <w:t> </w:t>
            </w:r>
          </w:p>
        </w:tc>
        <w:tc>
          <w:tcPr>
            <w:tcW w:w="1099" w:type="dxa"/>
            <w:tcBorders/>
            <w:shd w:fill="CCEEFF" w:val="clear"/>
            <w:vAlign w:val="center"/>
          </w:tcPr>
          <w:p>
            <w:pPr>
              <w:pStyle w:val="TableContents"/>
              <w:bidi w:val="0"/>
              <w:spacing w:before="0" w:after="283"/>
              <w:jc w:val="right"/>
              <w:rPr/>
            </w:pPr>
            <w:r>
              <w:rPr/>
              <w:t>0</w:t>
            </w:r>
          </w:p>
        </w:tc>
        <w:tc>
          <w:tcPr>
            <w:tcW w:w="68" w:type="dxa"/>
            <w:tcBorders/>
            <w:shd w:fill="CCEEFF" w:val="clear"/>
            <w:vAlign w:val="center"/>
          </w:tcPr>
          <w:p>
            <w:pPr>
              <w:pStyle w:val="TableContents"/>
              <w:bidi w:val="0"/>
              <w:spacing w:before="0" w:after="283"/>
              <w:jc w:val="left"/>
              <w:rPr/>
            </w:pPr>
            <w:r>
              <w:rPr/>
              <w:t> </w:t>
            </w:r>
          </w:p>
        </w:tc>
        <w:tc>
          <w:tcPr>
            <w:tcW w:w="68"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48"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236"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firstLine="360"/>
        <w:jc w:val="both"/>
        <w:rPr>
          <w:caps w:val="false"/>
          <w:smallCaps w:val="false"/>
        </w:rPr>
      </w:pPr>
      <w:r>
        <w:rPr>
          <w:caps w:val="false"/>
          <w:smallCaps w:val="false"/>
        </w:rPr>
        <w:t>  </w:t>
      </w:r>
    </w:p>
    <w:tbl>
      <w:tblPr>
        <w:tblW w:w="7945" w:type="dxa"/>
        <w:jc w:val="left"/>
        <w:tblInd w:w="0" w:type="dxa"/>
        <w:tblLayout w:type="fixed"/>
        <w:tblCellMar>
          <w:top w:w="0" w:type="dxa"/>
          <w:left w:w="0" w:type="dxa"/>
          <w:bottom w:w="0" w:type="dxa"/>
          <w:right w:w="0" w:type="dxa"/>
        </w:tblCellMar>
      </w:tblPr>
      <w:tblGrid>
        <w:gridCol w:w="140"/>
        <w:gridCol w:w="7805"/>
      </w:tblGrid>
      <w:tr>
        <w:trPr/>
        <w:tc>
          <w:tcPr>
            <w:tcW w:w="14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780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Represents beneficial ownership of less than 1% of the outstanding shares of our common stock.</w:t>
            </w:r>
          </w:p>
        </w:tc>
      </w:tr>
    </w:tbl>
    <w:p>
      <w:pPr>
        <w:pStyle w:val="TextBody"/>
        <w:bidi w:val="0"/>
        <w:spacing w:before="0" w:after="0"/>
        <w:jc w:val="both"/>
        <w:rPr>
          <w:caps w:val="false"/>
          <w:smallCaps w:val="false"/>
        </w:rPr>
      </w:pPr>
      <w:r>
        <w:rPr>
          <w:caps w:val="false"/>
          <w:smallCaps w:val="false"/>
        </w:rPr>
        <w:t> </w:t>
      </w:r>
    </w:p>
    <w:tbl>
      <w:tblPr>
        <w:tblW w:w="10000" w:type="dxa"/>
        <w:jc w:val="left"/>
        <w:tblInd w:w="0" w:type="dxa"/>
        <w:tblLayout w:type="fixed"/>
        <w:tblCellMar>
          <w:top w:w="0" w:type="dxa"/>
          <w:left w:w="0" w:type="dxa"/>
          <w:bottom w:w="0" w:type="dxa"/>
          <w:right w:w="0" w:type="dxa"/>
        </w:tblCellMar>
      </w:tblPr>
      <w:tblGrid>
        <w:gridCol w:w="260"/>
        <w:gridCol w:w="9740"/>
      </w:tblGrid>
      <w:tr>
        <w:trPr/>
        <w:tc>
          <w:tcPr>
            <w:tcW w:w="2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w:t>
            </w:r>
          </w:p>
        </w:tc>
        <w:tc>
          <w:tcPr>
            <w:tcW w:w="974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Applicable percentage ownership is based on 150,283,214 shares of our common stock outstanding as of June 22, 2026.</w:t>
            </w:r>
          </w:p>
        </w:tc>
      </w:tr>
    </w:tbl>
    <w:p>
      <w:pPr>
        <w:pStyle w:val="TextBody"/>
        <w:bidi w:val="0"/>
        <w:spacing w:before="0" w:after="0"/>
        <w:jc w:val="both"/>
        <w:rPr>
          <w:caps w:val="false"/>
          <w:smallCaps w:val="false"/>
        </w:rPr>
      </w:pPr>
      <w:r>
        <w:rPr>
          <w:caps w:val="false"/>
          <w:smallCaps w:val="false"/>
        </w:rPr>
        <w:t> </w:t>
      </w:r>
    </w:p>
    <w:tbl>
      <w:tblPr>
        <w:tblW w:w="6055" w:type="dxa"/>
        <w:jc w:val="left"/>
        <w:tblInd w:w="0" w:type="dxa"/>
        <w:tblLayout w:type="fixed"/>
        <w:tblCellMar>
          <w:top w:w="0" w:type="dxa"/>
          <w:left w:w="0" w:type="dxa"/>
          <w:bottom w:w="0" w:type="dxa"/>
          <w:right w:w="0" w:type="dxa"/>
        </w:tblCellMar>
      </w:tblPr>
      <w:tblGrid>
        <w:gridCol w:w="260"/>
        <w:gridCol w:w="5795"/>
      </w:tblGrid>
      <w:tr>
        <w:trPr/>
        <w:tc>
          <w:tcPr>
            <w:tcW w:w="2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w:t>
            </w:r>
          </w:p>
        </w:tc>
        <w:tc>
          <w:tcPr>
            <w:tcW w:w="579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Assumes the sale of all shares being offered pursuant to this prospectus.</w:t>
            </w:r>
          </w:p>
        </w:tc>
      </w:tr>
    </w:tbl>
    <w:p>
      <w:pPr>
        <w:pStyle w:val="TextBody"/>
        <w:bidi w:val="0"/>
        <w:spacing w:before="0" w:after="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25"/>
        <w:gridCol w:w="9980"/>
      </w:tblGrid>
      <w:tr>
        <w:trPr/>
        <w:tc>
          <w:tcPr>
            <w:tcW w:w="22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(3)</w:t>
            </w:r>
          </w:p>
        </w:tc>
        <w:tc>
          <w:tcPr>
            <w:tcW w:w="998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Consists of 9,008,345 shares of common stock and 8,849,557 shares of common stock issuable upon conversion of 10.0% Notes held by Chicken Parm Pizza LLC. The business address of Chicken Parm Pizza LLC is 1750 West 11400 South, Suite 110, South Jordan, Utah 84095.</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260"/>
        <w:gridCol w:w="9945"/>
      </w:tblGrid>
      <w:tr>
        <w:trPr/>
        <w:tc>
          <w:tcPr>
            <w:tcW w:w="2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 xml:space="preserve">(4) </w:t>
            </w:r>
          </w:p>
        </w:tc>
        <w:tc>
          <w:tcPr>
            <w:tcW w:w="994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Consists of 1,354,270 shares of common stock issued pursuant to the Cobalt Purchase Agreement. The business address for the selling security holder is 2557 Wyandotte Street, Mountain View, CA 94043.</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261"/>
        <w:gridCol w:w="9944"/>
      </w:tblGrid>
      <w:tr>
        <w:trPr/>
        <w:tc>
          <w:tcPr>
            <w:tcW w:w="261"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 xml:space="preserve">(5) </w:t>
            </w:r>
          </w:p>
        </w:tc>
        <w:tc>
          <w:tcPr>
            <w:tcW w:w="9944"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Consists of 451,426 shares of common stock issued pursuant to the Cobalt Purchase Agreement. The business address for the selling security holder is 2557 Wyandotte Street, Mountain View, CA 94043.</w:t>
            </w:r>
          </w:p>
        </w:tc>
      </w:tr>
      <w:tr>
        <w:trPr/>
        <w:tc>
          <w:tcPr>
            <w:tcW w:w="261" w:type="dxa"/>
            <w:tcBorders/>
            <w:vAlign w:val="center"/>
          </w:tcPr>
          <w:p>
            <w:pPr>
              <w:pStyle w:val="TableContents"/>
              <w:bidi w:val="0"/>
              <w:spacing w:before="0" w:after="283"/>
              <w:jc w:val="both"/>
              <w:rPr/>
            </w:pPr>
            <w:r>
              <w:rPr/>
              <w:t> </w:t>
            </w:r>
          </w:p>
        </w:tc>
        <w:tc>
          <w:tcPr>
            <w:tcW w:w="9944" w:type="dxa"/>
            <w:tcBorders/>
            <w:vAlign w:val="center"/>
          </w:tcPr>
          <w:p>
            <w:pPr>
              <w:pStyle w:val="TableContents"/>
              <w:bidi w:val="0"/>
              <w:spacing w:before="0" w:after="283"/>
              <w:jc w:val="both"/>
              <w:rPr/>
            </w:pPr>
            <w:r>
              <w:rPr/>
              <w:t> </w:t>
            </w:r>
          </w:p>
        </w:tc>
      </w:tr>
      <w:tr>
        <w:trPr/>
        <w:tc>
          <w:tcPr>
            <w:tcW w:w="261"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(6)</w:t>
            </w:r>
          </w:p>
        </w:tc>
        <w:tc>
          <w:tcPr>
            <w:tcW w:w="9944"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Consists of 380,000 shares of common stock issuable upon exercise of the Ayna 2026 Warrant. The business address for Ayna is 100 Century Center Court, Suite 205, San Jose, CA 95112.</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60"/>
        <w:gridCol w:w="9945"/>
      </w:tblGrid>
      <w:tr>
        <w:trPr/>
        <w:tc>
          <w:tcPr>
            <w:tcW w:w="2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 xml:space="preserve">(7) </w:t>
            </w:r>
          </w:p>
        </w:tc>
        <w:tc>
          <w:tcPr>
            <w:tcW w:w="994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Consists of shares of common stock issuable upon conversion of 10.0% Notes held by Foris Ventures LLC. The business address of Foris Ventures LLC is 1180 San Carlos Ave., #717, San Carlos, CA 94070.</w:t>
            </w:r>
          </w:p>
        </w:tc>
      </w:tr>
    </w:tbl>
    <w:p>
      <w:pPr>
        <w:pStyle w:val="TextBody"/>
        <w:bidi w:val="0"/>
        <w:spacing w:before="0" w:after="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102</w:t>
      </w:r>
    </w:p>
    <w:p>
      <w:pPr>
        <w:pStyle w:val="TextBody"/>
        <w:bidi w:val="0"/>
        <w:spacing w:before="0" w:after="0"/>
        <w:ind w:left="0" w:right="0" w:hanging="0"/>
        <w:jc w:val="left"/>
        <w:rPr/>
      </w:pPr>
      <w:r>
        <w:rPr/>
        <w:t> </w:t>
      </w:r>
    </w:p>
    <w:p>
      <w:pPr>
        <w:pStyle w:val="TextBody"/>
        <w:bidi w:val="0"/>
        <w:spacing w:before="0" w:after="0"/>
        <w:jc w:val="center"/>
        <w:rPr>
          <w:caps/>
        </w:rPr>
      </w:pPr>
      <w:r>
        <w:rPr>
          <w:caps/>
        </w:rPr>
        <w:t> </w:t>
      </w:r>
    </w:p>
    <w:p>
      <w:pPr>
        <w:pStyle w:val="TextBody"/>
        <w:bidi w:val="0"/>
        <w:spacing w:before="0" w:after="0"/>
        <w:jc w:val="center"/>
        <w:rPr>
          <w:rFonts w:ascii="Times New Roman;Times;Serif" w:hAnsi="Times New Roman;Times;Serif"/>
          <w:b/>
          <w:i w:val="false"/>
          <w:caps/>
          <w:sz w:val="20"/>
        </w:rPr>
      </w:pPr>
      <w:bookmarkStart w:id="15" w:name="a_014"/>
      <w:bookmarkEnd w:id="15"/>
      <w:r>
        <w:rPr>
          <w:rFonts w:ascii="Times New Roman;Times;Serif" w:hAnsi="Times New Roman;Times;Serif"/>
          <w:b/>
          <w:i w:val="false"/>
          <w:caps/>
          <w:sz w:val="20"/>
        </w:rPr>
        <w:t>Description of Capital Stock</w:t>
      </w:r>
    </w:p>
    <w:p>
      <w:pPr>
        <w:pStyle w:val="TextBody"/>
        <w:bidi w:val="0"/>
        <w:spacing w:before="0" w:after="0"/>
        <w:jc w:val="center"/>
        <w:rPr>
          <w:caps/>
        </w:rPr>
      </w:pPr>
      <w:r>
        <w:rPr>
          <w:caps/>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summary of certain provisions of SunPower’s securities does not purport to be complete and is subject to the Certificate of Incorporation, the Bylaws and the provisions of the DGCL.</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Authorized and Outstanding Stock</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the date of this prospectus, our Certificate of Incorporation authorizes the issuance of 1,010,000,000 shares, consisting of 1,000,000,000 shares of common stock, $0.0001 par value per share, and 10,000,000 shares of preferred stock, $0.0001 par value (the “</w:t>
      </w:r>
      <w:r>
        <w:rPr>
          <w:rFonts w:ascii="Times New Roman;Times;Serif" w:hAnsi="Times New Roman;Times;Serif"/>
          <w:b/>
          <w:i w:val="false"/>
          <w:caps w:val="false"/>
          <w:smallCaps w:val="false"/>
          <w:sz w:val="20"/>
        </w:rPr>
        <w:t>preferred stock</w:t>
      </w:r>
      <w:r>
        <w:rPr>
          <w:rFonts w:ascii="Times New Roman;Times;Serif" w:hAnsi="Times New Roman;Times;Serif"/>
          <w:b w:val="false"/>
          <w:i w:val="false"/>
          <w:caps w:val="false"/>
          <w:smallCaps w:val="false"/>
          <w:sz w:val="20"/>
        </w:rPr>
        <w:t>”). As of June 22, 2026, there were 150,283,214 shares of common stock issued and outstanding and no preferred shares of outstanding.</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Common Stock</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Voting Power</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Except as otherwise required by law or as otherwise provided in any certificate of designation for any series of preferred stock, the holders of common stock possess all voting power for the election of SunPower’s directors and all other matters requiring stockholder action. Holders of common stock are entitled to one vote per share on matters to be voted on by stockholders.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Dividends</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Holders of common stock are entitled to receive such dividends, if any, as may be declared from time to time by SunPower’s Board in its discretion out of funds legally available therefor. In no event will any stock dividends or stock splits or combinations of stock be declared or made on common stock unless the shares of common stock at the time outstanding are treated equally and identically.</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Liquidation, Dissolution and Winding Up</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event of SunPower’s voluntary or involuntary liquidation, dissolution, distribution of assets or winding-up, the holders of common stock will be entitled to receive an equal amount per share of all of SunPower’s assets of whatever kind available for distribution to stockholders, after the rights of the holders of preferred stock have been satisfied.</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Preemptive or Other Rights</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holders of common stock have no preemptive rights or other subscription rights and there are no sinking fund or redemption provisions applicable to common stock.</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Election of Directors</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SunPower’s Board has one class of directors and each director generally serves for a term of one year. Unless required by applicable law at the time of election, there is no cumulative voting with respect to the election of directors, with the result that the holders of more than 50% of the shares voted for the election of directors can elect all of the directors.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Preferred Stock</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SunPower’s Board has authority to issue shares of preferred stock in one or more series, to fix for each such series such voting powers, designations, preferences, qualifications, limitations or restrictions thereof, including dividend rights, conversion rights, redemption privileges and liquidation preferences for the issue of such series all to the fullest extent permitted by the DGCL. The issuance of preferred stock could have the effect of decreasing the trading price of the common stock, restricting dividends on SunPower’s capital stock, diluting the voting power of common stock, impairing the liquidation rights of SunPower’s capital stock, or delaying or preventing a change in control of SunPower.</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103</w:t>
      </w:r>
    </w:p>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SAFE Agreements and Related Common Stock Issued or Issuable</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January 31, 2024, we entered into the First SAFE with the Purchaser in connection with the Purchaser investing $1.5 million in the Company. On February 15, 2024, we entered into the Second SAFE with the Purchaser in connection with the Purchaser investing $3.5 million in the Company. On April 21, 2024, we entered into an amendment for each of our First SAFE and Second SAFE to convert the invested amounts into 4,166,667 and 9,722,222 shares of our common stock, respectively.</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May 13, 2024, we entered into the Third SAFE with the Purchaser in connection with the Purchaser’s investment of $1,000,000. The Third SAFE was converted and exchanged into $1.0 principal amount of the 10.0% Notes.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April 8, 2026, the Company entered into a Simple Agreement for Future Equity (the “April 2026 SAFE”) with a trust affiliated with Thurman J. Rodgers (the “Purchaser”) in connection with the Purchaser investing $5.0 million in the Company. The April 2026 SAFE was converted and exchanged into $5.0 principal amount of the 10.0% Notes.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Thurman J. Rodgers is a trustee of the Purchaser, the Executive Chairman of the SunPower Board, and the Chief Executive Officer of the Company.</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Forward Purchase Agreements</w:t>
      </w:r>
      <w:r>
        <w:rPr>
          <w:rFonts w:ascii="Times New Roman;Times;Serif" w:hAnsi="Times New Roman;Times;Serif"/>
          <w:b w:val="false"/>
          <w:i w:val="false"/>
          <w:caps w:val="false"/>
          <w:smallCaps w:val="false"/>
          <w:sz w:val="20"/>
        </w:rPr>
        <w:t> </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July 2023, FACT and Legacy Complete Solaria entered into Forward Purchase Agreements with each of the FPA Sellers. Pursuant to the terms of the original Forward Purchase Agreements, the FPA Sellers could purchase through a broker in the open market, from holders of Shares other than the Company or affiliates thereof, the shares purchasable under the Forward Purchase Agreement (the “</w:t>
      </w:r>
      <w:r>
        <w:rPr>
          <w:rFonts w:ascii="Times New Roman;Times;Serif" w:hAnsi="Times New Roman;Times;Serif"/>
          <w:b/>
          <w:i w:val="false"/>
          <w:caps w:val="false"/>
          <w:smallCaps w:val="false"/>
          <w:sz w:val="20"/>
        </w:rPr>
        <w:t>FPA Shares</w:t>
      </w:r>
      <w:r>
        <w:rPr>
          <w:rFonts w:ascii="Times New Roman;Times;Serif" w:hAnsi="Times New Roman;Times;Serif"/>
          <w:b w:val="false"/>
          <w:i w:val="false"/>
          <w:caps w:val="false"/>
          <w:smallCaps w:val="false"/>
          <w:sz w:val="20"/>
        </w:rPr>
        <w:t>”). While the FPA Sellers had no obligation to purchase any Shares under the Forward Purchase Agreements, the aggregate total FPA Shares that could be purchased under the original Forward Purchase Agreements was no more than 6,720,000 in aggregate. The FPA Sellers could not beneficially own greater than 9.9% of issued and outstanding Shares following the Business Combination as per the Amended and Restated Business Combination Agreement.</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December 18, 2023, the Company and the FPA Sellers entered into separate amendments to the Forward Purchase Agreements (the “</w:t>
      </w:r>
      <w:r>
        <w:rPr>
          <w:rFonts w:ascii="Times New Roman;Times;Serif" w:hAnsi="Times New Roman;Times;Serif"/>
          <w:b/>
          <w:i w:val="false"/>
          <w:caps w:val="false"/>
          <w:smallCaps w:val="false"/>
          <w:sz w:val="20"/>
        </w:rPr>
        <w:t>FPA Amendments</w:t>
      </w:r>
      <w:r>
        <w:rPr>
          <w:rFonts w:ascii="Times New Roman;Times;Serif" w:hAnsi="Times New Roman;Times;Serif"/>
          <w:b w:val="false"/>
          <w:i w:val="false"/>
          <w:caps w:val="false"/>
          <w:smallCaps w:val="false"/>
          <w:sz w:val="20"/>
        </w:rPr>
        <w:t>”). The FPA Amendments lower the reset floor price of each Forward Purchase Agreement from $5.00 to $3.00 and allow the Company to raise up to $10.0 million of equity from existing stockholders without triggering certain anti-dilution provisions contained in the Forward Purchase Agreements; provided, the insiders pay a price per share for their initial investment equal to the closing price per share as quoted on the Nasdaq on the day of purchase; provided, further, that any subsequent investments are made at a price per share equal to the greater of (a) the closing price per share as quoted by Nasdaq on the day of the purchase or (b) the amount paid in connection with the initial investment.</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May 7, 2024 and May 8, 2024, respectively, the Company entered into the Sandia Second Amendment and the Polar Second Amendment to the Forward Purchase Agreements. The Second Amendments lower the reset price of each Forward Purchase Agreement from $3.00 to $1.00 per share and amend the VWAP trigger event to mean an event that occurs if the VWAP price, for any 20 trading days during a 30 consecutive trading day-period, is below $1.00 per FPA Share.</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Subsequently, on June 14, 2024, the Company entered into the Sandia Third Amendment. The Sandia Third Amendment sets the reset price of each Forward Purchase Agreement to $1.00 per share and amends the VWAP trigger event to mean an event that occurs if the VWAP price (as defined in the Forward Purchase Agreement), for any 20 trading days during a 30 consecutive trading day-period, is below $1.00 per Share. In the event either Polar or Meteora amend their Forward Purchase Agreements to include different terms from the $1 reset price and VWAP trigger adjustment, or file a notice of a VWAP trigger event, as referenced herein, the Sandia Forward Purchase Agreement will be retroactively amended to reflect those improved terms and liquidity on the Sandia Forward Purchase Agreement, including any of the 1,050,000 shares that were sold upon execution of this document.</w:t>
      </w:r>
    </w:p>
    <w:p>
      <w:pPr>
        <w:pStyle w:val="TextBody"/>
        <w:bidi w:val="0"/>
        <w:spacing w:before="0" w:after="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104</w:t>
      </w:r>
    </w:p>
    <w:p>
      <w:pPr>
        <w:pStyle w:val="TextBody"/>
        <w:bidi w:val="0"/>
        <w:spacing w:before="0" w:after="0"/>
        <w:ind w:left="0" w:right="0" w:hanging="0"/>
        <w:jc w:val="left"/>
        <w:rPr/>
      </w:pPr>
      <w:r>
        <w:rPr/>
        <w:t> </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July 17, 2024, the Company entered into the third amendment to the Polar Third Amendment, pursuant to which the Company and Polar agreed that most favored nation term of the Forward Purchase Agreement is applicable to all 2,450,000 shares subject to the Forward Purchase Agreement.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July 15, 2025, SunPower and Meteora entered into an amendment to the Forward Purchase Agreement between Meteora and SunPower, and on July 16, 2025, SunPower and Sandia entered into an amendment to the Forward Purchase Agreement between Sandia and SunPower (collectively, the “</w:t>
      </w:r>
      <w:r>
        <w:rPr>
          <w:rFonts w:ascii="Times New Roman;Times;Serif" w:hAnsi="Times New Roman;Times;Serif"/>
          <w:b/>
          <w:i w:val="false"/>
          <w:caps w:val="false"/>
          <w:smallCaps w:val="false"/>
          <w:sz w:val="20"/>
        </w:rPr>
        <w:t>Further FPA Amendments</w:t>
      </w:r>
      <w:r>
        <w:rPr>
          <w:rFonts w:ascii="Times New Roman;Times;Serif" w:hAnsi="Times New Roman;Times;Serif"/>
          <w:b w:val="false"/>
          <w:i w:val="false"/>
          <w:caps w:val="false"/>
          <w:smallCaps w:val="false"/>
          <w:sz w:val="20"/>
        </w:rPr>
        <w:t>”). The Further FPA Amendments extend the valuation date to the earliest to occur of (a) July 17, 2026, (b) the date specified by the applicable Seller in a written notice to be delivered to the Company at such Seller’s discretion (which valuation date shall not be earlier than the day such notice is effective) after the occurrence of any of (w) a VWAP trigger event (x) a delisting event, (y) a registration failure or (z) unless otherwise specified therein, upon any additional termination event and (c) 90 days after delivery by SunPower of a written notice in the event that for any 20 trading days during a 30 consecutive trading day-period that occurs at least six months after the closing date of the transactions under the Amended and Restated Business Combination Agreement, dated as of May 26, 2023, among Freedom, the Company and the other parties thereto, the VWAP price is less than the then applicable reset price, provided that a registration statement was effective and available for the entire measurement period and remains continuously effective and available during the entire 90 day notice period.</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Further FPA Amendments further amend the definition of “Settlement Amount Adjustment” to provide that if the expected settlement amount determined by the VWAP price over the 15 scheduled trading days ending on but excluding the valuation date exceeds the settlement amount adjustment, then the settlement amount adjustment shall be deemed to be zero, and that if the settlement amount adjustment exceeds the settlement amount, then the settlement amount adjustment shall be paid, at SunPower’s option, in cash or shares of SunPower’s common stock.</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Further FPA Amendments also amend the definition of “Cash Settlement Payment Date” to provide that if the settlement adjustment amount exceeds the settlement amount, SunPower shall remit to the applicable seller the difference between (i) the settlement amount adjustment and (ii) the settlement amount. The Further FPA Amendments further provide that the settlement amount will be used solely as a calculation mechanism to determine any liability SunPower may owe to the Seller via the settlement amount adjustment, and notwithstanding anything to the contrary herein, the Seller shall not be required to remit the settlement amount to SunPower or return any portion of the prepayment amount.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Warrants</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whole Public Warrant and Merger Warrant entitles the registered holder to purchase one share of common stock at a price of $11.50 per share, subject to adjustment as discussed below. The Public Warrants will expire on July 18, 2028 at 5:00 p.m., Eastern Time or earlier upon redemption or liquidation. The Merger Warrants expire on July 18, 2028 at 5:00 p.m., Eastern Time or earlier upon redemption or liquidation. However, no Public Warrants or Merger Warrants will be exercisable for cash unless SunPower has an effective and current registration statement covering the shares of common stock issuable upon exercise of the Public Warrants and Merger Warrants and a current prospectus relating to such shares of common stock. Notwithstanding the foregoing, if a registration statement covering the shares of common stock issuable upon exercise of the Public Warrants is not effective within 60 days from the Closing, warrant holders may, until such time as there is an effective registration statement and during any period when it shall have failed to maintain an effective registration statement, exercise Public Warrants and Merger Warrants on a cashless basis pursuant to an available exemption from registration under the Securities Act.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warrant agreements, no fractional warrants will be issued upon separation of the units and only whole warrants will trade. Upon the Closing, SunPower separated the units into shares of common stock and Public Warrants, and the Units stopped trading and were delisted from the New York Stock Exchange.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105</w:t>
      </w:r>
    </w:p>
    <w:p>
      <w:pPr>
        <w:pStyle w:val="TextBody"/>
        <w:bidi w:val="0"/>
        <w:spacing w:before="0" w:after="0"/>
        <w:ind w:left="0" w:right="0" w:hanging="0"/>
        <w:jc w:val="left"/>
        <w:rPr/>
      </w:pPr>
      <w:r>
        <w:rPr/>
        <w:t>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Private Warrants are identical to the Public Warrants underlying the Units except that (i) each Private Warrant is exercisable for one share of common stock at an exercise price of $11.50 per share, and (ii) such Private Warrants will be exercisable for cash (even if a registration statement covering the shares of common stock issuable upon exercise of such warrants is not effective) or on a cashless basis, at the holder’s option, and will not be redeemable by us, in each case so long as they are still held by the initial purchasers or their affiliates.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Working Capital Warrants are identical to the Private Warrants.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Once the warrants become exercisable, SunPower may redeem the outstanding warrants (except as described herein with respect to the Private Warrants and Working Capital Warrants):</w:t>
      </w:r>
    </w:p>
    <w:p>
      <w:pPr>
        <w:pStyle w:val="TextBody"/>
        <w:bidi w:val="0"/>
        <w:spacing w:before="0" w:after="0"/>
        <w:ind w:left="0" w:right="0" w:firstLine="360"/>
        <w:jc w:val="both"/>
        <w:rPr>
          <w:caps w:val="false"/>
          <w:smallCaps w:val="false"/>
        </w:rPr>
      </w:pPr>
      <w:r>
        <w:rPr>
          <w:caps w:val="false"/>
          <w:smallCaps w:val="false"/>
        </w:rPr>
        <w:t> </w:t>
      </w:r>
    </w:p>
    <w:tbl>
      <w:tblPr>
        <w:tblW w:w="2275" w:type="dxa"/>
        <w:jc w:val="left"/>
        <w:tblInd w:w="0" w:type="dxa"/>
        <w:tblLayout w:type="fixed"/>
        <w:tblCellMar>
          <w:top w:w="0" w:type="dxa"/>
          <w:left w:w="0" w:type="dxa"/>
          <w:bottom w:w="0" w:type="dxa"/>
          <w:right w:w="0" w:type="dxa"/>
        </w:tblCellMar>
      </w:tblPr>
      <w:tblGrid>
        <w:gridCol w:w="75"/>
        <w:gridCol w:w="170"/>
        <w:gridCol w:w="203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203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in whole and not in part;</w:t>
            </w:r>
          </w:p>
        </w:tc>
      </w:tr>
    </w:tbl>
    <w:p>
      <w:pPr>
        <w:pStyle w:val="TextBody"/>
        <w:bidi w:val="0"/>
        <w:spacing w:before="0" w:after="0"/>
        <w:ind w:left="72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at $0.10 per warrant upon a minimum of 30 days’ prior written notice of redemption, provided that holders will be able to exercise their warrants on a cashless basis prior to redemption and receive the number of shares determined by reference to the table set forth below based on the redemption date and the “fair market value” of common stock;</w:t>
            </w:r>
          </w:p>
        </w:tc>
      </w:tr>
    </w:tbl>
    <w:p>
      <w:pPr>
        <w:pStyle w:val="TextBody"/>
        <w:bidi w:val="0"/>
        <w:spacing w:before="0" w:after="0"/>
        <w:ind w:left="72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if, and only if, the Reference Value equals or exceeds $10.00 per share (as adjusted for share sub-divisions, share capitalizations, reorganizations, recapitalizations and the like); and</w:t>
            </w:r>
          </w:p>
        </w:tc>
      </w:tr>
    </w:tbl>
    <w:p>
      <w:pPr>
        <w:pStyle w:val="TextBody"/>
        <w:bidi w:val="0"/>
        <w:spacing w:before="0" w:after="0"/>
        <w:ind w:left="72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if the Reference Value is less than $18.00 per share (as adjusted for share sub-divisions, share capitalizations, reorganizations, recapitalizations and the like and as described above adjacent to the caption “Exercise Price”), the Private Warrants must also concurrently be called for redemption on the same terms as the outstanding public warrants, as described above.</w:t>
            </w:r>
          </w:p>
        </w:tc>
      </w:tr>
    </w:tbl>
    <w:p>
      <w:pPr>
        <w:pStyle w:val="TextBody"/>
        <w:bidi w:val="0"/>
        <w:spacing w:before="0" w:after="0"/>
        <w:ind w:left="720" w:right="0" w:hanging="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right to exercise will be forfeited unless the Public Warrants are exercised prior to the date specified in the notice of redemption. On and after the redemption date, a record holder of a Public Warrant will have no further rights except to receive the redemption price for such holder’s warrant upon surrender of such warrant.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established the last of the redemption criteria discussed above to prevent a redemption call unless there is at the time of the call a significant premium to the warrant exercise price. If the foregoing conditions are satisfied and we issue a notice of redemption of the warrants, each warrant holder will be entitled to exercise his, her or its warrant prior to the scheduled redemption date. Any such exercise would not be done on a “cashless” basis and would require the exercising warrant holder to pay the exercise price for each warrant being exercised. However, the price of the common stock may fall below the $18.00 redemption trigger price (as adjusted for share sub-divisions, share capitalizations, reorganizations, recapitalizations and the like and as described below) as well as the $11.50 (for whole shares) warrant exercise price after the redemption notice is issued.</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numbers in the table below represent the number of shares of common stock that a warrant holder will receive upon such cashless exercise in connection with a redemption by us pursuant to this redemption feature, based on the “fair market value” of shares of common stock on the corresponding redemption date (assuming holders elect to exercise their warrants and such warrants are not redeemed for $0.10 per warrant), determined for these purposes based on volume-weighted average price of shares of common stock during the 10 trading days immediately following the date on which the notice of redemption is sent to the holders of warrants, and the number of months that the corresponding redemption date precedes the expiration date of the warrants, each as set forth in the table below. We will provide our warrant holders with the final fair market value no later than one business day after the 10-trading day period described above ends.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106</w:t>
      </w:r>
    </w:p>
    <w:p>
      <w:pPr>
        <w:pStyle w:val="TextBody"/>
        <w:bidi w:val="0"/>
        <w:spacing w:before="0" w:after="0"/>
        <w:ind w:left="0" w:right="0" w:hanging="0"/>
        <w:jc w:val="left"/>
        <w:rPr/>
      </w:pPr>
      <w:r>
        <w:rPr/>
        <w:t>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share prices set forth in the column headings of the table below will be adjusted as of any date on which the number of shares issuable upon exercise of a warrant or the exercise price of the warrant is adjusted as set forth below. If the number of shares issuable upon exercise of a warrant is adjusted, the adjusted share prices in the column headings will equal the share prices immediately prior to such adjustment, multiplied by a fraction, the numerator of which is the exercise price of the warrant after such adjustment and the denominator of which is the price of the warrant immediately prior to such adjustment. In such an event, the number of shares in the table below shall be adjusted by multiplying such share amounts by a fraction, the numerator of which is the number of shares deliverable upon exercise of a warrant immediately prior to such adjustment and the denominator of which is the number of shares deliverable upon exercise of a warrant as so adjusted.</w:t>
      </w:r>
    </w:p>
    <w:p>
      <w:pPr>
        <w:pStyle w:val="TextBody"/>
        <w:bidi w:val="0"/>
        <w:spacing w:before="0" w:after="0"/>
        <w:ind w:left="0" w:right="0" w:firstLine="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989"/>
        <w:gridCol w:w="60"/>
        <w:gridCol w:w="65"/>
        <w:gridCol w:w="614"/>
        <w:gridCol w:w="60"/>
        <w:gridCol w:w="60"/>
        <w:gridCol w:w="65"/>
        <w:gridCol w:w="615"/>
        <w:gridCol w:w="60"/>
        <w:gridCol w:w="60"/>
        <w:gridCol w:w="65"/>
        <w:gridCol w:w="615"/>
        <w:gridCol w:w="60"/>
        <w:gridCol w:w="60"/>
        <w:gridCol w:w="65"/>
        <w:gridCol w:w="615"/>
        <w:gridCol w:w="60"/>
        <w:gridCol w:w="60"/>
        <w:gridCol w:w="65"/>
        <w:gridCol w:w="615"/>
        <w:gridCol w:w="60"/>
        <w:gridCol w:w="60"/>
        <w:gridCol w:w="65"/>
        <w:gridCol w:w="615"/>
        <w:gridCol w:w="60"/>
        <w:gridCol w:w="60"/>
        <w:gridCol w:w="65"/>
        <w:gridCol w:w="615"/>
        <w:gridCol w:w="60"/>
        <w:gridCol w:w="60"/>
        <w:gridCol w:w="65"/>
        <w:gridCol w:w="615"/>
        <w:gridCol w:w="60"/>
        <w:gridCol w:w="60"/>
        <w:gridCol w:w="65"/>
        <w:gridCol w:w="614"/>
        <w:gridCol w:w="78"/>
      </w:tblGrid>
      <w:tr>
        <w:trPr/>
        <w:tc>
          <w:tcPr>
            <w:tcW w:w="2989" w:type="dxa"/>
            <w:tcBorders/>
            <w:vAlign w:val="center"/>
          </w:tcPr>
          <w:p>
            <w:pPr>
              <w:pStyle w:val="TableContents"/>
              <w:bidi w:val="0"/>
              <w:spacing w:before="0" w:after="283"/>
              <w:jc w:val="left"/>
              <w:rPr>
                <w:b/>
              </w:rPr>
            </w:pPr>
            <w:r>
              <w:rPr>
                <w:b/>
              </w:rPr>
              <w:t>Redemption Date (period to expiration of</w:t>
            </w:r>
          </w:p>
        </w:tc>
        <w:tc>
          <w:tcPr>
            <w:tcW w:w="60" w:type="dxa"/>
            <w:tcBorders/>
            <w:vAlign w:val="center"/>
          </w:tcPr>
          <w:p>
            <w:pPr>
              <w:pStyle w:val="TableContents"/>
              <w:bidi w:val="0"/>
              <w:spacing w:before="0" w:after="283"/>
              <w:jc w:val="left"/>
              <w:rPr/>
            </w:pPr>
            <w:r>
              <w:rPr/>
              <w:t> </w:t>
            </w:r>
          </w:p>
        </w:tc>
        <w:tc>
          <w:tcPr>
            <w:tcW w:w="7078" w:type="dxa"/>
            <w:gridSpan w:val="34"/>
            <w:tcBorders>
              <w:bottom w:val="single" w:sz="12" w:space="0" w:color="000000"/>
            </w:tcBorders>
            <w:tcMar>
              <w:bottom w:w="28" w:type="dxa"/>
            </w:tcMar>
            <w:vAlign w:val="center"/>
          </w:tcPr>
          <w:p>
            <w:pPr>
              <w:pStyle w:val="TableContents"/>
              <w:bidi w:val="0"/>
              <w:spacing w:before="0" w:after="283"/>
              <w:jc w:val="center"/>
              <w:rPr>
                <w:b/>
              </w:rPr>
            </w:pPr>
            <w:r>
              <w:rPr>
                <w:b/>
              </w:rPr>
              <w:t>Fair Market Value of Common Stock</w:t>
            </w:r>
          </w:p>
        </w:tc>
        <w:tc>
          <w:tcPr>
            <w:tcW w:w="78" w:type="dxa"/>
            <w:tcBorders/>
            <w:vAlign w:val="center"/>
          </w:tcPr>
          <w:p>
            <w:pPr>
              <w:pStyle w:val="TableContents"/>
              <w:bidi w:val="0"/>
              <w:spacing w:before="0" w:after="283"/>
              <w:jc w:val="left"/>
              <w:rPr/>
            </w:pPr>
            <w:r>
              <w:rPr/>
              <w:t> </w:t>
            </w:r>
          </w:p>
        </w:tc>
      </w:tr>
      <w:tr>
        <w:trPr/>
        <w:tc>
          <w:tcPr>
            <w:tcW w:w="2989" w:type="dxa"/>
            <w:tcBorders>
              <w:bottom w:val="single" w:sz="12" w:space="0" w:color="000000"/>
            </w:tcBorders>
            <w:tcMar>
              <w:bottom w:w="28" w:type="dxa"/>
            </w:tcMar>
            <w:vAlign w:val="center"/>
          </w:tcPr>
          <w:p>
            <w:pPr>
              <w:pStyle w:val="TableContents"/>
              <w:bidi w:val="0"/>
              <w:spacing w:before="0" w:after="283"/>
              <w:jc w:val="left"/>
              <w:rPr>
                <w:b/>
              </w:rPr>
            </w:pPr>
            <w:r>
              <w:rPr>
                <w:b/>
              </w:rPr>
              <w:t>warrants)</w:t>
            </w:r>
          </w:p>
        </w:tc>
        <w:tc>
          <w:tcPr>
            <w:tcW w:w="60" w:type="dxa"/>
            <w:tcBorders/>
            <w:vAlign w:val="center"/>
          </w:tcPr>
          <w:p>
            <w:pPr>
              <w:pStyle w:val="TableContents"/>
              <w:bidi w:val="0"/>
              <w:spacing w:before="0" w:after="283"/>
              <w:jc w:val="left"/>
              <w:rPr/>
            </w:pPr>
            <w:r>
              <w:rPr/>
              <w:t> </w:t>
            </w:r>
          </w:p>
        </w:tc>
        <w:tc>
          <w:tcPr>
            <w:tcW w:w="679" w:type="dxa"/>
            <w:gridSpan w:val="2"/>
            <w:tcBorders>
              <w:bottom w:val="single" w:sz="12" w:space="0" w:color="000000"/>
            </w:tcBorders>
            <w:tcMar>
              <w:bottom w:w="28" w:type="dxa"/>
            </w:tcMar>
            <w:vAlign w:val="center"/>
          </w:tcPr>
          <w:p>
            <w:pPr>
              <w:pStyle w:val="TableContents"/>
              <w:bidi w:val="0"/>
              <w:spacing w:before="0" w:after="283"/>
              <w:jc w:val="center"/>
              <w:rPr/>
            </w:pPr>
            <w:r>
              <w:rPr/>
              <w:t>≤</w:t>
            </w:r>
            <w:r>
              <w:rPr>
                <w:rFonts w:ascii="Times New Roman;Times;Serif" w:hAnsi="Times New Roman;Times;Serif"/>
                <w:b/>
                <w:sz w:val="20"/>
              </w:rPr>
              <w:t>$10.00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8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$11.00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8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$12.00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8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$13.00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8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$14.00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8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$15.00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8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$16.00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8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$17.00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79" w:type="dxa"/>
            <w:gridSpan w:val="2"/>
            <w:tcBorders>
              <w:bottom w:val="single" w:sz="12" w:space="0" w:color="000000"/>
            </w:tcBorders>
            <w:tcMar>
              <w:bottom w:w="28" w:type="dxa"/>
            </w:tcMar>
            <w:vAlign w:val="center"/>
          </w:tcPr>
          <w:p>
            <w:pPr>
              <w:pStyle w:val="TableContents"/>
              <w:bidi w:val="0"/>
              <w:spacing w:before="0" w:after="283"/>
              <w:jc w:val="center"/>
              <w:rPr/>
            </w:pPr>
            <w:r>
              <w:rPr/>
              <w:t>≥</w:t>
            </w:r>
            <w:r>
              <w:rPr>
                <w:rFonts w:ascii="Times New Roman;Times;Serif" w:hAnsi="Times New Roman;Times;Serif"/>
                <w:b/>
                <w:sz w:val="20"/>
              </w:rPr>
              <w:t>$18.00</w:t>
            </w:r>
          </w:p>
        </w:tc>
        <w:tc>
          <w:tcPr>
            <w:tcW w:w="78" w:type="dxa"/>
            <w:tcBorders/>
            <w:vAlign w:val="center"/>
          </w:tcPr>
          <w:p>
            <w:pPr>
              <w:pStyle w:val="TableContents"/>
              <w:bidi w:val="0"/>
              <w:spacing w:before="0" w:after="283"/>
              <w:jc w:val="left"/>
              <w:rPr/>
            </w:pPr>
            <w:r>
              <w:rPr/>
              <w:t> </w:t>
            </w:r>
          </w:p>
        </w:tc>
      </w:tr>
      <w:tr>
        <w:trPr/>
        <w:tc>
          <w:tcPr>
            <w:tcW w:w="2989" w:type="dxa"/>
            <w:tcBorders/>
            <w:shd w:fill="CCEEFF" w:val="clear"/>
            <w:vAlign w:val="center"/>
          </w:tcPr>
          <w:p>
            <w:pPr>
              <w:pStyle w:val="TableContents"/>
              <w:bidi w:val="0"/>
              <w:spacing w:before="0" w:after="283"/>
              <w:jc w:val="left"/>
              <w:rPr/>
            </w:pPr>
            <w:r>
              <w:rPr/>
              <w:t>60 months</w:t>
            </w:r>
          </w:p>
        </w:tc>
        <w:tc>
          <w:tcPr>
            <w:tcW w:w="60"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jc w:val="left"/>
              <w:rPr/>
            </w:pPr>
            <w:r>
              <w:rPr/>
              <w:t> </w:t>
            </w:r>
          </w:p>
        </w:tc>
        <w:tc>
          <w:tcPr>
            <w:tcW w:w="614" w:type="dxa"/>
            <w:tcBorders/>
            <w:shd w:fill="CCEEFF" w:val="clear"/>
            <w:vAlign w:val="center"/>
          </w:tcPr>
          <w:p>
            <w:pPr>
              <w:pStyle w:val="TableContents"/>
              <w:bidi w:val="0"/>
              <w:spacing w:before="0" w:after="283"/>
              <w:jc w:val="right"/>
              <w:rPr/>
            </w:pPr>
            <w:r>
              <w:rPr/>
              <w:t>0.261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jc w:val="left"/>
              <w:rPr/>
            </w:pPr>
            <w:r>
              <w:rPr/>
              <w:t> </w:t>
            </w:r>
          </w:p>
        </w:tc>
        <w:tc>
          <w:tcPr>
            <w:tcW w:w="615" w:type="dxa"/>
            <w:tcBorders/>
            <w:shd w:fill="CCEEFF" w:val="clear"/>
            <w:vAlign w:val="center"/>
          </w:tcPr>
          <w:p>
            <w:pPr>
              <w:pStyle w:val="TableContents"/>
              <w:bidi w:val="0"/>
              <w:spacing w:before="0" w:after="283"/>
              <w:jc w:val="right"/>
              <w:rPr/>
            </w:pPr>
            <w:r>
              <w:rPr/>
              <w:t>0.281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jc w:val="left"/>
              <w:rPr/>
            </w:pPr>
            <w:r>
              <w:rPr/>
              <w:t> </w:t>
            </w:r>
          </w:p>
        </w:tc>
        <w:tc>
          <w:tcPr>
            <w:tcW w:w="615" w:type="dxa"/>
            <w:tcBorders/>
            <w:shd w:fill="CCEEFF" w:val="clear"/>
            <w:vAlign w:val="center"/>
          </w:tcPr>
          <w:p>
            <w:pPr>
              <w:pStyle w:val="TableContents"/>
              <w:bidi w:val="0"/>
              <w:spacing w:before="0" w:after="283"/>
              <w:jc w:val="right"/>
              <w:rPr/>
            </w:pPr>
            <w:r>
              <w:rPr/>
              <w:t>0.297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jc w:val="left"/>
              <w:rPr/>
            </w:pPr>
            <w:r>
              <w:rPr/>
              <w:t> </w:t>
            </w:r>
          </w:p>
        </w:tc>
        <w:tc>
          <w:tcPr>
            <w:tcW w:w="615" w:type="dxa"/>
            <w:tcBorders/>
            <w:shd w:fill="CCEEFF" w:val="clear"/>
            <w:vAlign w:val="center"/>
          </w:tcPr>
          <w:p>
            <w:pPr>
              <w:pStyle w:val="TableContents"/>
              <w:bidi w:val="0"/>
              <w:spacing w:before="0" w:after="283"/>
              <w:jc w:val="right"/>
              <w:rPr/>
            </w:pPr>
            <w:r>
              <w:rPr/>
              <w:t>0.311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jc w:val="left"/>
              <w:rPr/>
            </w:pPr>
            <w:r>
              <w:rPr/>
              <w:t> </w:t>
            </w:r>
          </w:p>
        </w:tc>
        <w:tc>
          <w:tcPr>
            <w:tcW w:w="615" w:type="dxa"/>
            <w:tcBorders/>
            <w:shd w:fill="CCEEFF" w:val="clear"/>
            <w:vAlign w:val="center"/>
          </w:tcPr>
          <w:p>
            <w:pPr>
              <w:pStyle w:val="TableContents"/>
              <w:bidi w:val="0"/>
              <w:spacing w:before="0" w:after="283"/>
              <w:jc w:val="right"/>
              <w:rPr/>
            </w:pPr>
            <w:r>
              <w:rPr/>
              <w:t>0.324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jc w:val="left"/>
              <w:rPr/>
            </w:pPr>
            <w:r>
              <w:rPr/>
              <w:t> </w:t>
            </w:r>
          </w:p>
        </w:tc>
        <w:tc>
          <w:tcPr>
            <w:tcW w:w="615" w:type="dxa"/>
            <w:tcBorders/>
            <w:shd w:fill="CCEEFF" w:val="clear"/>
            <w:vAlign w:val="center"/>
          </w:tcPr>
          <w:p>
            <w:pPr>
              <w:pStyle w:val="TableContents"/>
              <w:bidi w:val="0"/>
              <w:spacing w:before="0" w:after="283"/>
              <w:jc w:val="right"/>
              <w:rPr/>
            </w:pPr>
            <w:r>
              <w:rPr/>
              <w:t>0.337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jc w:val="left"/>
              <w:rPr/>
            </w:pPr>
            <w:r>
              <w:rPr/>
              <w:t> </w:t>
            </w:r>
          </w:p>
        </w:tc>
        <w:tc>
          <w:tcPr>
            <w:tcW w:w="615" w:type="dxa"/>
            <w:tcBorders/>
            <w:shd w:fill="CCEEFF" w:val="clear"/>
            <w:vAlign w:val="center"/>
          </w:tcPr>
          <w:p>
            <w:pPr>
              <w:pStyle w:val="TableContents"/>
              <w:bidi w:val="0"/>
              <w:spacing w:before="0" w:after="283"/>
              <w:jc w:val="right"/>
              <w:rPr/>
            </w:pPr>
            <w:r>
              <w:rPr/>
              <w:t>0.348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jc w:val="left"/>
              <w:rPr/>
            </w:pPr>
            <w:r>
              <w:rPr/>
              <w:t> </w:t>
            </w:r>
          </w:p>
        </w:tc>
        <w:tc>
          <w:tcPr>
            <w:tcW w:w="615" w:type="dxa"/>
            <w:tcBorders/>
            <w:shd w:fill="CCEEFF" w:val="clear"/>
            <w:vAlign w:val="center"/>
          </w:tcPr>
          <w:p>
            <w:pPr>
              <w:pStyle w:val="TableContents"/>
              <w:bidi w:val="0"/>
              <w:spacing w:before="0" w:after="283"/>
              <w:jc w:val="right"/>
              <w:rPr/>
            </w:pPr>
            <w:r>
              <w:rPr/>
              <w:t>0.358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jc w:val="left"/>
              <w:rPr/>
            </w:pPr>
            <w:r>
              <w:rPr/>
              <w:t> </w:t>
            </w:r>
          </w:p>
        </w:tc>
        <w:tc>
          <w:tcPr>
            <w:tcW w:w="614" w:type="dxa"/>
            <w:tcBorders/>
            <w:shd w:fill="CCEEFF" w:val="clear"/>
            <w:vAlign w:val="center"/>
          </w:tcPr>
          <w:p>
            <w:pPr>
              <w:pStyle w:val="TableContents"/>
              <w:bidi w:val="0"/>
              <w:spacing w:before="0" w:after="283"/>
              <w:jc w:val="right"/>
              <w:rPr/>
            </w:pPr>
            <w:r>
              <w:rPr/>
              <w:t>0.361</w:t>
            </w:r>
          </w:p>
        </w:tc>
        <w:tc>
          <w:tcPr>
            <w:tcW w:w="78" w:type="dxa"/>
            <w:tcBorders/>
            <w:shd w:fill="CCEEFF" w:val="clear"/>
            <w:vAlign w:val="center"/>
          </w:tcPr>
          <w:p>
            <w:pPr>
              <w:pStyle w:val="TableContents"/>
              <w:bidi w:val="0"/>
              <w:spacing w:before="0" w:after="283"/>
              <w:jc w:val="left"/>
              <w:rPr/>
            </w:pPr>
            <w:r>
              <w:rPr/>
              <w:t> </w:t>
            </w:r>
          </w:p>
        </w:tc>
      </w:tr>
      <w:tr>
        <w:trPr/>
        <w:tc>
          <w:tcPr>
            <w:tcW w:w="2989" w:type="dxa"/>
            <w:tcBorders/>
            <w:shd w:fill="FFFFFF" w:val="clear"/>
            <w:vAlign w:val="center"/>
          </w:tcPr>
          <w:p>
            <w:pPr>
              <w:pStyle w:val="TableContents"/>
              <w:bidi w:val="0"/>
              <w:spacing w:before="0" w:after="283"/>
              <w:jc w:val="left"/>
              <w:rPr/>
            </w:pPr>
            <w:r>
              <w:rPr/>
              <w:t>57 months</w:t>
            </w:r>
          </w:p>
        </w:tc>
        <w:tc>
          <w:tcPr>
            <w:tcW w:w="60" w:type="dxa"/>
            <w:tcBorders/>
            <w:shd w:fill="FFFFFF" w:val="clear"/>
            <w:vAlign w:val="center"/>
          </w:tcPr>
          <w:p>
            <w:pPr>
              <w:pStyle w:val="TableContents"/>
              <w:bidi w:val="0"/>
              <w:spacing w:before="0" w:after="283"/>
              <w:jc w:val="left"/>
              <w:rPr/>
            </w:pPr>
            <w:r>
              <w:rPr/>
              <w:t> </w:t>
            </w:r>
          </w:p>
        </w:tc>
        <w:tc>
          <w:tcPr>
            <w:tcW w:w="65" w:type="dxa"/>
            <w:tcBorders/>
            <w:shd w:fill="FFFFFF" w:val="clear"/>
            <w:vAlign w:val="center"/>
          </w:tcPr>
          <w:p>
            <w:pPr>
              <w:pStyle w:val="TableContents"/>
              <w:bidi w:val="0"/>
              <w:spacing w:before="0" w:after="283"/>
              <w:jc w:val="left"/>
              <w:rPr/>
            </w:pPr>
            <w:r>
              <w:rPr/>
              <w:t> </w:t>
            </w:r>
          </w:p>
        </w:tc>
        <w:tc>
          <w:tcPr>
            <w:tcW w:w="614" w:type="dxa"/>
            <w:tcBorders/>
            <w:shd w:fill="FFFFFF" w:val="clear"/>
            <w:vAlign w:val="center"/>
          </w:tcPr>
          <w:p>
            <w:pPr>
              <w:pStyle w:val="TableContents"/>
              <w:bidi w:val="0"/>
              <w:spacing w:before="0" w:after="283"/>
              <w:jc w:val="right"/>
              <w:rPr/>
            </w:pPr>
            <w:r>
              <w:rPr/>
              <w:t>0.257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5" w:type="dxa"/>
            <w:tcBorders/>
            <w:shd w:fill="FFFFFF" w:val="clear"/>
            <w:vAlign w:val="center"/>
          </w:tcPr>
          <w:p>
            <w:pPr>
              <w:pStyle w:val="TableContents"/>
              <w:bidi w:val="0"/>
              <w:spacing w:before="0" w:after="283"/>
              <w:jc w:val="left"/>
              <w:rPr/>
            </w:pPr>
            <w:r>
              <w:rPr/>
              <w:t> </w:t>
            </w:r>
          </w:p>
        </w:tc>
        <w:tc>
          <w:tcPr>
            <w:tcW w:w="615" w:type="dxa"/>
            <w:tcBorders/>
            <w:shd w:fill="FFFFFF" w:val="clear"/>
            <w:vAlign w:val="center"/>
          </w:tcPr>
          <w:p>
            <w:pPr>
              <w:pStyle w:val="TableContents"/>
              <w:bidi w:val="0"/>
              <w:spacing w:before="0" w:after="283"/>
              <w:jc w:val="right"/>
              <w:rPr/>
            </w:pPr>
            <w:r>
              <w:rPr/>
              <w:t>0.277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5" w:type="dxa"/>
            <w:tcBorders/>
            <w:shd w:fill="FFFFFF" w:val="clear"/>
            <w:vAlign w:val="center"/>
          </w:tcPr>
          <w:p>
            <w:pPr>
              <w:pStyle w:val="TableContents"/>
              <w:bidi w:val="0"/>
              <w:spacing w:before="0" w:after="283"/>
              <w:jc w:val="left"/>
              <w:rPr/>
            </w:pPr>
            <w:r>
              <w:rPr/>
              <w:t> </w:t>
            </w:r>
          </w:p>
        </w:tc>
        <w:tc>
          <w:tcPr>
            <w:tcW w:w="615" w:type="dxa"/>
            <w:tcBorders/>
            <w:shd w:fill="FFFFFF" w:val="clear"/>
            <w:vAlign w:val="center"/>
          </w:tcPr>
          <w:p>
            <w:pPr>
              <w:pStyle w:val="TableContents"/>
              <w:bidi w:val="0"/>
              <w:spacing w:before="0" w:after="283"/>
              <w:jc w:val="right"/>
              <w:rPr/>
            </w:pPr>
            <w:r>
              <w:rPr/>
              <w:t>0.294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5" w:type="dxa"/>
            <w:tcBorders/>
            <w:shd w:fill="FFFFFF" w:val="clear"/>
            <w:vAlign w:val="center"/>
          </w:tcPr>
          <w:p>
            <w:pPr>
              <w:pStyle w:val="TableContents"/>
              <w:bidi w:val="0"/>
              <w:spacing w:before="0" w:after="283"/>
              <w:jc w:val="left"/>
              <w:rPr/>
            </w:pPr>
            <w:r>
              <w:rPr/>
              <w:t> </w:t>
            </w:r>
          </w:p>
        </w:tc>
        <w:tc>
          <w:tcPr>
            <w:tcW w:w="615" w:type="dxa"/>
            <w:tcBorders/>
            <w:shd w:fill="FFFFFF" w:val="clear"/>
            <w:vAlign w:val="center"/>
          </w:tcPr>
          <w:p>
            <w:pPr>
              <w:pStyle w:val="TableContents"/>
              <w:bidi w:val="0"/>
              <w:spacing w:before="0" w:after="283"/>
              <w:jc w:val="right"/>
              <w:rPr/>
            </w:pPr>
            <w:r>
              <w:rPr/>
              <w:t>0.310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5" w:type="dxa"/>
            <w:tcBorders/>
            <w:shd w:fill="FFFFFF" w:val="clear"/>
            <w:vAlign w:val="center"/>
          </w:tcPr>
          <w:p>
            <w:pPr>
              <w:pStyle w:val="TableContents"/>
              <w:bidi w:val="0"/>
              <w:spacing w:before="0" w:after="283"/>
              <w:jc w:val="left"/>
              <w:rPr/>
            </w:pPr>
            <w:r>
              <w:rPr/>
              <w:t> </w:t>
            </w:r>
          </w:p>
        </w:tc>
        <w:tc>
          <w:tcPr>
            <w:tcW w:w="615" w:type="dxa"/>
            <w:tcBorders/>
            <w:shd w:fill="FFFFFF" w:val="clear"/>
            <w:vAlign w:val="center"/>
          </w:tcPr>
          <w:p>
            <w:pPr>
              <w:pStyle w:val="TableContents"/>
              <w:bidi w:val="0"/>
              <w:spacing w:before="0" w:after="283"/>
              <w:jc w:val="right"/>
              <w:rPr/>
            </w:pPr>
            <w:r>
              <w:rPr/>
              <w:t>0.324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5" w:type="dxa"/>
            <w:tcBorders/>
            <w:shd w:fill="FFFFFF" w:val="clear"/>
            <w:vAlign w:val="center"/>
          </w:tcPr>
          <w:p>
            <w:pPr>
              <w:pStyle w:val="TableContents"/>
              <w:bidi w:val="0"/>
              <w:spacing w:before="0" w:after="283"/>
              <w:jc w:val="left"/>
              <w:rPr/>
            </w:pPr>
            <w:r>
              <w:rPr/>
              <w:t> </w:t>
            </w:r>
          </w:p>
        </w:tc>
        <w:tc>
          <w:tcPr>
            <w:tcW w:w="615" w:type="dxa"/>
            <w:tcBorders/>
            <w:shd w:fill="FFFFFF" w:val="clear"/>
            <w:vAlign w:val="center"/>
          </w:tcPr>
          <w:p>
            <w:pPr>
              <w:pStyle w:val="TableContents"/>
              <w:bidi w:val="0"/>
              <w:spacing w:before="0" w:after="283"/>
              <w:jc w:val="right"/>
              <w:rPr/>
            </w:pPr>
            <w:r>
              <w:rPr/>
              <w:t>0.337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5" w:type="dxa"/>
            <w:tcBorders/>
            <w:shd w:fill="FFFFFF" w:val="clear"/>
            <w:vAlign w:val="center"/>
          </w:tcPr>
          <w:p>
            <w:pPr>
              <w:pStyle w:val="TableContents"/>
              <w:bidi w:val="0"/>
              <w:spacing w:before="0" w:after="283"/>
              <w:jc w:val="left"/>
              <w:rPr/>
            </w:pPr>
            <w:r>
              <w:rPr/>
              <w:t> </w:t>
            </w:r>
          </w:p>
        </w:tc>
        <w:tc>
          <w:tcPr>
            <w:tcW w:w="615" w:type="dxa"/>
            <w:tcBorders/>
            <w:shd w:fill="FFFFFF" w:val="clear"/>
            <w:vAlign w:val="center"/>
          </w:tcPr>
          <w:p>
            <w:pPr>
              <w:pStyle w:val="TableContents"/>
              <w:bidi w:val="0"/>
              <w:spacing w:before="0" w:after="283"/>
              <w:jc w:val="right"/>
              <w:rPr/>
            </w:pPr>
            <w:r>
              <w:rPr/>
              <w:t>0.348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5" w:type="dxa"/>
            <w:tcBorders/>
            <w:shd w:fill="FFFFFF" w:val="clear"/>
            <w:vAlign w:val="center"/>
          </w:tcPr>
          <w:p>
            <w:pPr>
              <w:pStyle w:val="TableContents"/>
              <w:bidi w:val="0"/>
              <w:spacing w:before="0" w:after="283"/>
              <w:jc w:val="left"/>
              <w:rPr/>
            </w:pPr>
            <w:r>
              <w:rPr/>
              <w:t> </w:t>
            </w:r>
          </w:p>
        </w:tc>
        <w:tc>
          <w:tcPr>
            <w:tcW w:w="615" w:type="dxa"/>
            <w:tcBorders/>
            <w:shd w:fill="FFFFFF" w:val="clear"/>
            <w:vAlign w:val="center"/>
          </w:tcPr>
          <w:p>
            <w:pPr>
              <w:pStyle w:val="TableContents"/>
              <w:bidi w:val="0"/>
              <w:spacing w:before="0" w:after="283"/>
              <w:jc w:val="right"/>
              <w:rPr/>
            </w:pPr>
            <w:r>
              <w:rPr/>
              <w:t>0.358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5" w:type="dxa"/>
            <w:tcBorders/>
            <w:shd w:fill="FFFFFF" w:val="clear"/>
            <w:vAlign w:val="center"/>
          </w:tcPr>
          <w:p>
            <w:pPr>
              <w:pStyle w:val="TableContents"/>
              <w:bidi w:val="0"/>
              <w:spacing w:before="0" w:after="283"/>
              <w:jc w:val="left"/>
              <w:rPr/>
            </w:pPr>
            <w:r>
              <w:rPr/>
              <w:t> </w:t>
            </w:r>
          </w:p>
        </w:tc>
        <w:tc>
          <w:tcPr>
            <w:tcW w:w="614" w:type="dxa"/>
            <w:tcBorders/>
            <w:shd w:fill="FFFFFF" w:val="clear"/>
            <w:vAlign w:val="center"/>
          </w:tcPr>
          <w:p>
            <w:pPr>
              <w:pStyle w:val="TableContents"/>
              <w:bidi w:val="0"/>
              <w:spacing w:before="0" w:after="283"/>
              <w:jc w:val="right"/>
              <w:rPr/>
            </w:pPr>
            <w:r>
              <w:rPr/>
              <w:t>0.361</w:t>
            </w:r>
          </w:p>
        </w:tc>
        <w:tc>
          <w:tcPr>
            <w:tcW w:w="78" w:type="dxa"/>
            <w:tcBorders/>
            <w:shd w:fill="FFFFFF" w:val="clear"/>
            <w:vAlign w:val="center"/>
          </w:tcPr>
          <w:p>
            <w:pPr>
              <w:pStyle w:val="TableContents"/>
              <w:bidi w:val="0"/>
              <w:spacing w:before="0" w:after="283"/>
              <w:jc w:val="left"/>
              <w:rPr/>
            </w:pPr>
            <w:r>
              <w:rPr/>
              <w:t> </w:t>
            </w:r>
          </w:p>
        </w:tc>
      </w:tr>
      <w:tr>
        <w:trPr/>
        <w:tc>
          <w:tcPr>
            <w:tcW w:w="2989" w:type="dxa"/>
            <w:tcBorders/>
            <w:shd w:fill="CCEEFF" w:val="clear"/>
            <w:vAlign w:val="center"/>
          </w:tcPr>
          <w:p>
            <w:pPr>
              <w:pStyle w:val="TableContents"/>
              <w:bidi w:val="0"/>
              <w:spacing w:before="0" w:after="283"/>
              <w:jc w:val="left"/>
              <w:rPr/>
            </w:pPr>
            <w:r>
              <w:rPr/>
              <w:t>54 months</w:t>
            </w:r>
          </w:p>
        </w:tc>
        <w:tc>
          <w:tcPr>
            <w:tcW w:w="60"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jc w:val="left"/>
              <w:rPr/>
            </w:pPr>
            <w:r>
              <w:rPr/>
              <w:t> </w:t>
            </w:r>
          </w:p>
        </w:tc>
        <w:tc>
          <w:tcPr>
            <w:tcW w:w="614" w:type="dxa"/>
            <w:tcBorders/>
            <w:shd w:fill="CCEEFF" w:val="clear"/>
            <w:vAlign w:val="center"/>
          </w:tcPr>
          <w:p>
            <w:pPr>
              <w:pStyle w:val="TableContents"/>
              <w:bidi w:val="0"/>
              <w:spacing w:before="0" w:after="283"/>
              <w:jc w:val="right"/>
              <w:rPr/>
            </w:pPr>
            <w:r>
              <w:rPr/>
              <w:t>0.252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jc w:val="left"/>
              <w:rPr/>
            </w:pPr>
            <w:r>
              <w:rPr/>
              <w:t> </w:t>
            </w:r>
          </w:p>
        </w:tc>
        <w:tc>
          <w:tcPr>
            <w:tcW w:w="615" w:type="dxa"/>
            <w:tcBorders/>
            <w:shd w:fill="CCEEFF" w:val="clear"/>
            <w:vAlign w:val="center"/>
          </w:tcPr>
          <w:p>
            <w:pPr>
              <w:pStyle w:val="TableContents"/>
              <w:bidi w:val="0"/>
              <w:spacing w:before="0" w:after="283"/>
              <w:jc w:val="right"/>
              <w:rPr/>
            </w:pPr>
            <w:r>
              <w:rPr/>
              <w:t>0.272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jc w:val="left"/>
              <w:rPr/>
            </w:pPr>
            <w:r>
              <w:rPr/>
              <w:t> </w:t>
            </w:r>
          </w:p>
        </w:tc>
        <w:tc>
          <w:tcPr>
            <w:tcW w:w="615" w:type="dxa"/>
            <w:tcBorders/>
            <w:shd w:fill="CCEEFF" w:val="clear"/>
            <w:vAlign w:val="center"/>
          </w:tcPr>
          <w:p>
            <w:pPr>
              <w:pStyle w:val="TableContents"/>
              <w:bidi w:val="0"/>
              <w:spacing w:before="0" w:after="283"/>
              <w:jc w:val="right"/>
              <w:rPr/>
            </w:pPr>
            <w:r>
              <w:rPr/>
              <w:t>0.291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jc w:val="left"/>
              <w:rPr/>
            </w:pPr>
            <w:r>
              <w:rPr/>
              <w:t> </w:t>
            </w:r>
          </w:p>
        </w:tc>
        <w:tc>
          <w:tcPr>
            <w:tcW w:w="615" w:type="dxa"/>
            <w:tcBorders/>
            <w:shd w:fill="CCEEFF" w:val="clear"/>
            <w:vAlign w:val="center"/>
          </w:tcPr>
          <w:p>
            <w:pPr>
              <w:pStyle w:val="TableContents"/>
              <w:bidi w:val="0"/>
              <w:spacing w:before="0" w:after="283"/>
              <w:jc w:val="right"/>
              <w:rPr/>
            </w:pPr>
            <w:r>
              <w:rPr/>
              <w:t>0.307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jc w:val="left"/>
              <w:rPr/>
            </w:pPr>
            <w:r>
              <w:rPr/>
              <w:t> </w:t>
            </w:r>
          </w:p>
        </w:tc>
        <w:tc>
          <w:tcPr>
            <w:tcW w:w="615" w:type="dxa"/>
            <w:tcBorders/>
            <w:shd w:fill="CCEEFF" w:val="clear"/>
            <w:vAlign w:val="center"/>
          </w:tcPr>
          <w:p>
            <w:pPr>
              <w:pStyle w:val="TableContents"/>
              <w:bidi w:val="0"/>
              <w:spacing w:before="0" w:after="283"/>
              <w:jc w:val="right"/>
              <w:rPr/>
            </w:pPr>
            <w:r>
              <w:rPr/>
              <w:t>0.322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jc w:val="left"/>
              <w:rPr/>
            </w:pPr>
            <w:r>
              <w:rPr/>
              <w:t> </w:t>
            </w:r>
          </w:p>
        </w:tc>
        <w:tc>
          <w:tcPr>
            <w:tcW w:w="615" w:type="dxa"/>
            <w:tcBorders/>
            <w:shd w:fill="CCEEFF" w:val="clear"/>
            <w:vAlign w:val="center"/>
          </w:tcPr>
          <w:p>
            <w:pPr>
              <w:pStyle w:val="TableContents"/>
              <w:bidi w:val="0"/>
              <w:spacing w:before="0" w:after="283"/>
              <w:jc w:val="right"/>
              <w:rPr/>
            </w:pPr>
            <w:r>
              <w:rPr/>
              <w:t>0.335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jc w:val="left"/>
              <w:rPr/>
            </w:pPr>
            <w:r>
              <w:rPr/>
              <w:t> </w:t>
            </w:r>
          </w:p>
        </w:tc>
        <w:tc>
          <w:tcPr>
            <w:tcW w:w="615" w:type="dxa"/>
            <w:tcBorders/>
            <w:shd w:fill="CCEEFF" w:val="clear"/>
            <w:vAlign w:val="center"/>
          </w:tcPr>
          <w:p>
            <w:pPr>
              <w:pStyle w:val="TableContents"/>
              <w:bidi w:val="0"/>
              <w:spacing w:before="0" w:after="283"/>
              <w:jc w:val="right"/>
              <w:rPr/>
            </w:pPr>
            <w:r>
              <w:rPr/>
              <w:t>0.347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jc w:val="left"/>
              <w:rPr/>
            </w:pPr>
            <w:r>
              <w:rPr/>
              <w:t> </w:t>
            </w:r>
          </w:p>
        </w:tc>
        <w:tc>
          <w:tcPr>
            <w:tcW w:w="615" w:type="dxa"/>
            <w:tcBorders/>
            <w:shd w:fill="CCEEFF" w:val="clear"/>
            <w:vAlign w:val="center"/>
          </w:tcPr>
          <w:p>
            <w:pPr>
              <w:pStyle w:val="TableContents"/>
              <w:bidi w:val="0"/>
              <w:spacing w:before="0" w:after="283"/>
              <w:jc w:val="right"/>
              <w:rPr/>
            </w:pPr>
            <w:r>
              <w:rPr/>
              <w:t>0.357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jc w:val="left"/>
              <w:rPr/>
            </w:pPr>
            <w:r>
              <w:rPr/>
              <w:t> </w:t>
            </w:r>
          </w:p>
        </w:tc>
        <w:tc>
          <w:tcPr>
            <w:tcW w:w="614" w:type="dxa"/>
            <w:tcBorders/>
            <w:shd w:fill="CCEEFF" w:val="clear"/>
            <w:vAlign w:val="center"/>
          </w:tcPr>
          <w:p>
            <w:pPr>
              <w:pStyle w:val="TableContents"/>
              <w:bidi w:val="0"/>
              <w:spacing w:before="0" w:after="283"/>
              <w:jc w:val="right"/>
              <w:rPr/>
            </w:pPr>
            <w:r>
              <w:rPr/>
              <w:t>0.361</w:t>
            </w:r>
          </w:p>
        </w:tc>
        <w:tc>
          <w:tcPr>
            <w:tcW w:w="78" w:type="dxa"/>
            <w:tcBorders/>
            <w:shd w:fill="CCEEFF" w:val="clear"/>
            <w:vAlign w:val="center"/>
          </w:tcPr>
          <w:p>
            <w:pPr>
              <w:pStyle w:val="TableContents"/>
              <w:bidi w:val="0"/>
              <w:spacing w:before="0" w:after="283"/>
              <w:jc w:val="left"/>
              <w:rPr/>
            </w:pPr>
            <w:r>
              <w:rPr/>
              <w:t> </w:t>
            </w:r>
          </w:p>
        </w:tc>
      </w:tr>
      <w:tr>
        <w:trPr/>
        <w:tc>
          <w:tcPr>
            <w:tcW w:w="2989" w:type="dxa"/>
            <w:tcBorders/>
            <w:shd w:fill="FFFFFF" w:val="clear"/>
            <w:vAlign w:val="center"/>
          </w:tcPr>
          <w:p>
            <w:pPr>
              <w:pStyle w:val="TableContents"/>
              <w:bidi w:val="0"/>
              <w:spacing w:before="0" w:after="283"/>
              <w:jc w:val="left"/>
              <w:rPr/>
            </w:pPr>
            <w:r>
              <w:rPr/>
              <w:t>51 months</w:t>
            </w:r>
          </w:p>
        </w:tc>
        <w:tc>
          <w:tcPr>
            <w:tcW w:w="60" w:type="dxa"/>
            <w:tcBorders/>
            <w:shd w:fill="FFFFFF" w:val="clear"/>
            <w:vAlign w:val="center"/>
          </w:tcPr>
          <w:p>
            <w:pPr>
              <w:pStyle w:val="TableContents"/>
              <w:bidi w:val="0"/>
              <w:spacing w:before="0" w:after="283"/>
              <w:jc w:val="left"/>
              <w:rPr/>
            </w:pPr>
            <w:r>
              <w:rPr/>
              <w:t> </w:t>
            </w:r>
          </w:p>
        </w:tc>
        <w:tc>
          <w:tcPr>
            <w:tcW w:w="65" w:type="dxa"/>
            <w:tcBorders/>
            <w:shd w:fill="FFFFFF" w:val="clear"/>
            <w:vAlign w:val="center"/>
          </w:tcPr>
          <w:p>
            <w:pPr>
              <w:pStyle w:val="TableContents"/>
              <w:bidi w:val="0"/>
              <w:spacing w:before="0" w:after="283"/>
              <w:jc w:val="left"/>
              <w:rPr/>
            </w:pPr>
            <w:r>
              <w:rPr/>
              <w:t> </w:t>
            </w:r>
          </w:p>
        </w:tc>
        <w:tc>
          <w:tcPr>
            <w:tcW w:w="614" w:type="dxa"/>
            <w:tcBorders/>
            <w:shd w:fill="FFFFFF" w:val="clear"/>
            <w:vAlign w:val="center"/>
          </w:tcPr>
          <w:p>
            <w:pPr>
              <w:pStyle w:val="TableContents"/>
              <w:bidi w:val="0"/>
              <w:spacing w:before="0" w:after="283"/>
              <w:jc w:val="right"/>
              <w:rPr/>
            </w:pPr>
            <w:r>
              <w:rPr/>
              <w:t>0.246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5" w:type="dxa"/>
            <w:tcBorders/>
            <w:shd w:fill="FFFFFF" w:val="clear"/>
            <w:vAlign w:val="center"/>
          </w:tcPr>
          <w:p>
            <w:pPr>
              <w:pStyle w:val="TableContents"/>
              <w:bidi w:val="0"/>
              <w:spacing w:before="0" w:after="283"/>
              <w:jc w:val="left"/>
              <w:rPr/>
            </w:pPr>
            <w:r>
              <w:rPr/>
              <w:t> </w:t>
            </w:r>
          </w:p>
        </w:tc>
        <w:tc>
          <w:tcPr>
            <w:tcW w:w="615" w:type="dxa"/>
            <w:tcBorders/>
            <w:shd w:fill="FFFFFF" w:val="clear"/>
            <w:vAlign w:val="center"/>
          </w:tcPr>
          <w:p>
            <w:pPr>
              <w:pStyle w:val="TableContents"/>
              <w:bidi w:val="0"/>
              <w:spacing w:before="0" w:after="283"/>
              <w:jc w:val="right"/>
              <w:rPr/>
            </w:pPr>
            <w:r>
              <w:rPr/>
              <w:t>0.268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5" w:type="dxa"/>
            <w:tcBorders/>
            <w:shd w:fill="FFFFFF" w:val="clear"/>
            <w:vAlign w:val="center"/>
          </w:tcPr>
          <w:p>
            <w:pPr>
              <w:pStyle w:val="TableContents"/>
              <w:bidi w:val="0"/>
              <w:spacing w:before="0" w:after="283"/>
              <w:jc w:val="left"/>
              <w:rPr/>
            </w:pPr>
            <w:r>
              <w:rPr/>
              <w:t> </w:t>
            </w:r>
          </w:p>
        </w:tc>
        <w:tc>
          <w:tcPr>
            <w:tcW w:w="615" w:type="dxa"/>
            <w:tcBorders/>
            <w:shd w:fill="FFFFFF" w:val="clear"/>
            <w:vAlign w:val="center"/>
          </w:tcPr>
          <w:p>
            <w:pPr>
              <w:pStyle w:val="TableContents"/>
              <w:bidi w:val="0"/>
              <w:spacing w:before="0" w:after="283"/>
              <w:jc w:val="right"/>
              <w:rPr/>
            </w:pPr>
            <w:r>
              <w:rPr/>
              <w:t>0.287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5" w:type="dxa"/>
            <w:tcBorders/>
            <w:shd w:fill="FFFFFF" w:val="clear"/>
            <w:vAlign w:val="center"/>
          </w:tcPr>
          <w:p>
            <w:pPr>
              <w:pStyle w:val="TableContents"/>
              <w:bidi w:val="0"/>
              <w:spacing w:before="0" w:after="283"/>
              <w:jc w:val="left"/>
              <w:rPr/>
            </w:pPr>
            <w:r>
              <w:rPr/>
              <w:t> </w:t>
            </w:r>
          </w:p>
        </w:tc>
        <w:tc>
          <w:tcPr>
            <w:tcW w:w="615" w:type="dxa"/>
            <w:tcBorders/>
            <w:shd w:fill="FFFFFF" w:val="clear"/>
            <w:vAlign w:val="center"/>
          </w:tcPr>
          <w:p>
            <w:pPr>
              <w:pStyle w:val="TableContents"/>
              <w:bidi w:val="0"/>
              <w:spacing w:before="0" w:after="283"/>
              <w:jc w:val="right"/>
              <w:rPr/>
            </w:pPr>
            <w:r>
              <w:rPr/>
              <w:t>0.304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5" w:type="dxa"/>
            <w:tcBorders/>
            <w:shd w:fill="FFFFFF" w:val="clear"/>
            <w:vAlign w:val="center"/>
          </w:tcPr>
          <w:p>
            <w:pPr>
              <w:pStyle w:val="TableContents"/>
              <w:bidi w:val="0"/>
              <w:spacing w:before="0" w:after="283"/>
              <w:jc w:val="left"/>
              <w:rPr/>
            </w:pPr>
            <w:r>
              <w:rPr/>
              <w:t> </w:t>
            </w:r>
          </w:p>
        </w:tc>
        <w:tc>
          <w:tcPr>
            <w:tcW w:w="615" w:type="dxa"/>
            <w:tcBorders/>
            <w:shd w:fill="FFFFFF" w:val="clear"/>
            <w:vAlign w:val="center"/>
          </w:tcPr>
          <w:p>
            <w:pPr>
              <w:pStyle w:val="TableContents"/>
              <w:bidi w:val="0"/>
              <w:spacing w:before="0" w:after="283"/>
              <w:jc w:val="right"/>
              <w:rPr/>
            </w:pPr>
            <w:r>
              <w:rPr/>
              <w:t>0.320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5" w:type="dxa"/>
            <w:tcBorders/>
            <w:shd w:fill="FFFFFF" w:val="clear"/>
            <w:vAlign w:val="center"/>
          </w:tcPr>
          <w:p>
            <w:pPr>
              <w:pStyle w:val="TableContents"/>
              <w:bidi w:val="0"/>
              <w:spacing w:before="0" w:after="283"/>
              <w:jc w:val="left"/>
              <w:rPr/>
            </w:pPr>
            <w:r>
              <w:rPr/>
              <w:t> </w:t>
            </w:r>
          </w:p>
        </w:tc>
        <w:tc>
          <w:tcPr>
            <w:tcW w:w="615" w:type="dxa"/>
            <w:tcBorders/>
            <w:shd w:fill="FFFFFF" w:val="clear"/>
            <w:vAlign w:val="center"/>
          </w:tcPr>
          <w:p>
            <w:pPr>
              <w:pStyle w:val="TableContents"/>
              <w:bidi w:val="0"/>
              <w:spacing w:before="0" w:after="283"/>
              <w:jc w:val="right"/>
              <w:rPr/>
            </w:pPr>
            <w:r>
              <w:rPr/>
              <w:t>0.333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5" w:type="dxa"/>
            <w:tcBorders/>
            <w:shd w:fill="FFFFFF" w:val="clear"/>
            <w:vAlign w:val="center"/>
          </w:tcPr>
          <w:p>
            <w:pPr>
              <w:pStyle w:val="TableContents"/>
              <w:bidi w:val="0"/>
              <w:spacing w:before="0" w:after="283"/>
              <w:jc w:val="left"/>
              <w:rPr/>
            </w:pPr>
            <w:r>
              <w:rPr/>
              <w:t> </w:t>
            </w:r>
          </w:p>
        </w:tc>
        <w:tc>
          <w:tcPr>
            <w:tcW w:w="615" w:type="dxa"/>
            <w:tcBorders/>
            <w:shd w:fill="FFFFFF" w:val="clear"/>
            <w:vAlign w:val="center"/>
          </w:tcPr>
          <w:p>
            <w:pPr>
              <w:pStyle w:val="TableContents"/>
              <w:bidi w:val="0"/>
              <w:spacing w:before="0" w:after="283"/>
              <w:jc w:val="right"/>
              <w:rPr/>
            </w:pPr>
            <w:r>
              <w:rPr/>
              <w:t>0.346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5" w:type="dxa"/>
            <w:tcBorders/>
            <w:shd w:fill="FFFFFF" w:val="clear"/>
            <w:vAlign w:val="center"/>
          </w:tcPr>
          <w:p>
            <w:pPr>
              <w:pStyle w:val="TableContents"/>
              <w:bidi w:val="0"/>
              <w:spacing w:before="0" w:after="283"/>
              <w:jc w:val="left"/>
              <w:rPr/>
            </w:pPr>
            <w:r>
              <w:rPr/>
              <w:t> </w:t>
            </w:r>
          </w:p>
        </w:tc>
        <w:tc>
          <w:tcPr>
            <w:tcW w:w="615" w:type="dxa"/>
            <w:tcBorders/>
            <w:shd w:fill="FFFFFF" w:val="clear"/>
            <w:vAlign w:val="center"/>
          </w:tcPr>
          <w:p>
            <w:pPr>
              <w:pStyle w:val="TableContents"/>
              <w:bidi w:val="0"/>
              <w:spacing w:before="0" w:after="283"/>
              <w:jc w:val="right"/>
              <w:rPr/>
            </w:pPr>
            <w:r>
              <w:rPr/>
              <w:t>0.357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5" w:type="dxa"/>
            <w:tcBorders/>
            <w:shd w:fill="FFFFFF" w:val="clear"/>
            <w:vAlign w:val="center"/>
          </w:tcPr>
          <w:p>
            <w:pPr>
              <w:pStyle w:val="TableContents"/>
              <w:bidi w:val="0"/>
              <w:spacing w:before="0" w:after="283"/>
              <w:jc w:val="left"/>
              <w:rPr/>
            </w:pPr>
            <w:r>
              <w:rPr/>
              <w:t> </w:t>
            </w:r>
          </w:p>
        </w:tc>
        <w:tc>
          <w:tcPr>
            <w:tcW w:w="614" w:type="dxa"/>
            <w:tcBorders/>
            <w:shd w:fill="FFFFFF" w:val="clear"/>
            <w:vAlign w:val="center"/>
          </w:tcPr>
          <w:p>
            <w:pPr>
              <w:pStyle w:val="TableContents"/>
              <w:bidi w:val="0"/>
              <w:spacing w:before="0" w:after="283"/>
              <w:jc w:val="right"/>
              <w:rPr/>
            </w:pPr>
            <w:r>
              <w:rPr/>
              <w:t>0.361</w:t>
            </w:r>
          </w:p>
        </w:tc>
        <w:tc>
          <w:tcPr>
            <w:tcW w:w="78" w:type="dxa"/>
            <w:tcBorders/>
            <w:shd w:fill="FFFFFF" w:val="clear"/>
            <w:vAlign w:val="center"/>
          </w:tcPr>
          <w:p>
            <w:pPr>
              <w:pStyle w:val="TableContents"/>
              <w:bidi w:val="0"/>
              <w:spacing w:before="0" w:after="283"/>
              <w:jc w:val="left"/>
              <w:rPr/>
            </w:pPr>
            <w:r>
              <w:rPr/>
              <w:t> </w:t>
            </w:r>
          </w:p>
        </w:tc>
      </w:tr>
      <w:tr>
        <w:trPr/>
        <w:tc>
          <w:tcPr>
            <w:tcW w:w="2989" w:type="dxa"/>
            <w:tcBorders/>
            <w:shd w:fill="CCEEFF" w:val="clear"/>
            <w:vAlign w:val="center"/>
          </w:tcPr>
          <w:p>
            <w:pPr>
              <w:pStyle w:val="TableContents"/>
              <w:bidi w:val="0"/>
              <w:spacing w:before="0" w:after="283"/>
              <w:jc w:val="left"/>
              <w:rPr/>
            </w:pPr>
            <w:r>
              <w:rPr/>
              <w:t>48 months</w:t>
            </w:r>
          </w:p>
        </w:tc>
        <w:tc>
          <w:tcPr>
            <w:tcW w:w="60"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jc w:val="left"/>
              <w:rPr/>
            </w:pPr>
            <w:r>
              <w:rPr/>
              <w:t> </w:t>
            </w:r>
          </w:p>
        </w:tc>
        <w:tc>
          <w:tcPr>
            <w:tcW w:w="614" w:type="dxa"/>
            <w:tcBorders/>
            <w:shd w:fill="CCEEFF" w:val="clear"/>
            <w:vAlign w:val="center"/>
          </w:tcPr>
          <w:p>
            <w:pPr>
              <w:pStyle w:val="TableContents"/>
              <w:bidi w:val="0"/>
              <w:spacing w:before="0" w:after="283"/>
              <w:jc w:val="right"/>
              <w:rPr/>
            </w:pPr>
            <w:r>
              <w:rPr/>
              <w:t>0.241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jc w:val="left"/>
              <w:rPr/>
            </w:pPr>
            <w:r>
              <w:rPr/>
              <w:t> </w:t>
            </w:r>
          </w:p>
        </w:tc>
        <w:tc>
          <w:tcPr>
            <w:tcW w:w="615" w:type="dxa"/>
            <w:tcBorders/>
            <w:shd w:fill="CCEEFF" w:val="clear"/>
            <w:vAlign w:val="center"/>
          </w:tcPr>
          <w:p>
            <w:pPr>
              <w:pStyle w:val="TableContents"/>
              <w:bidi w:val="0"/>
              <w:spacing w:before="0" w:after="283"/>
              <w:jc w:val="right"/>
              <w:rPr/>
            </w:pPr>
            <w:r>
              <w:rPr/>
              <w:t>0.263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jc w:val="left"/>
              <w:rPr/>
            </w:pPr>
            <w:r>
              <w:rPr/>
              <w:t> </w:t>
            </w:r>
          </w:p>
        </w:tc>
        <w:tc>
          <w:tcPr>
            <w:tcW w:w="615" w:type="dxa"/>
            <w:tcBorders/>
            <w:shd w:fill="CCEEFF" w:val="clear"/>
            <w:vAlign w:val="center"/>
          </w:tcPr>
          <w:p>
            <w:pPr>
              <w:pStyle w:val="TableContents"/>
              <w:bidi w:val="0"/>
              <w:spacing w:before="0" w:after="283"/>
              <w:jc w:val="right"/>
              <w:rPr/>
            </w:pPr>
            <w:r>
              <w:rPr/>
              <w:t>0.283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jc w:val="left"/>
              <w:rPr/>
            </w:pPr>
            <w:r>
              <w:rPr/>
              <w:t> </w:t>
            </w:r>
          </w:p>
        </w:tc>
        <w:tc>
          <w:tcPr>
            <w:tcW w:w="615" w:type="dxa"/>
            <w:tcBorders/>
            <w:shd w:fill="CCEEFF" w:val="clear"/>
            <w:vAlign w:val="center"/>
          </w:tcPr>
          <w:p>
            <w:pPr>
              <w:pStyle w:val="TableContents"/>
              <w:bidi w:val="0"/>
              <w:spacing w:before="0" w:after="283"/>
              <w:jc w:val="right"/>
              <w:rPr/>
            </w:pPr>
            <w:r>
              <w:rPr/>
              <w:t>0.301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jc w:val="left"/>
              <w:rPr/>
            </w:pPr>
            <w:r>
              <w:rPr/>
              <w:t> </w:t>
            </w:r>
          </w:p>
        </w:tc>
        <w:tc>
          <w:tcPr>
            <w:tcW w:w="615" w:type="dxa"/>
            <w:tcBorders/>
            <w:shd w:fill="CCEEFF" w:val="clear"/>
            <w:vAlign w:val="center"/>
          </w:tcPr>
          <w:p>
            <w:pPr>
              <w:pStyle w:val="TableContents"/>
              <w:bidi w:val="0"/>
              <w:spacing w:before="0" w:after="283"/>
              <w:jc w:val="right"/>
              <w:rPr/>
            </w:pPr>
            <w:r>
              <w:rPr/>
              <w:t>0.317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jc w:val="left"/>
              <w:rPr/>
            </w:pPr>
            <w:r>
              <w:rPr/>
              <w:t> </w:t>
            </w:r>
          </w:p>
        </w:tc>
        <w:tc>
          <w:tcPr>
            <w:tcW w:w="615" w:type="dxa"/>
            <w:tcBorders/>
            <w:shd w:fill="CCEEFF" w:val="clear"/>
            <w:vAlign w:val="center"/>
          </w:tcPr>
          <w:p>
            <w:pPr>
              <w:pStyle w:val="TableContents"/>
              <w:bidi w:val="0"/>
              <w:spacing w:before="0" w:after="283"/>
              <w:jc w:val="right"/>
              <w:rPr/>
            </w:pPr>
            <w:r>
              <w:rPr/>
              <w:t>0.332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jc w:val="left"/>
              <w:rPr/>
            </w:pPr>
            <w:r>
              <w:rPr/>
              <w:t> </w:t>
            </w:r>
          </w:p>
        </w:tc>
        <w:tc>
          <w:tcPr>
            <w:tcW w:w="615" w:type="dxa"/>
            <w:tcBorders/>
            <w:shd w:fill="CCEEFF" w:val="clear"/>
            <w:vAlign w:val="center"/>
          </w:tcPr>
          <w:p>
            <w:pPr>
              <w:pStyle w:val="TableContents"/>
              <w:bidi w:val="0"/>
              <w:spacing w:before="0" w:after="283"/>
              <w:jc w:val="right"/>
              <w:rPr/>
            </w:pPr>
            <w:r>
              <w:rPr/>
              <w:t>0.344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jc w:val="left"/>
              <w:rPr/>
            </w:pPr>
            <w:r>
              <w:rPr/>
              <w:t> </w:t>
            </w:r>
          </w:p>
        </w:tc>
        <w:tc>
          <w:tcPr>
            <w:tcW w:w="615" w:type="dxa"/>
            <w:tcBorders/>
            <w:shd w:fill="CCEEFF" w:val="clear"/>
            <w:vAlign w:val="center"/>
          </w:tcPr>
          <w:p>
            <w:pPr>
              <w:pStyle w:val="TableContents"/>
              <w:bidi w:val="0"/>
              <w:spacing w:before="0" w:after="283"/>
              <w:jc w:val="right"/>
              <w:rPr/>
            </w:pPr>
            <w:r>
              <w:rPr/>
              <w:t>0.356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jc w:val="left"/>
              <w:rPr/>
            </w:pPr>
            <w:r>
              <w:rPr/>
              <w:t> </w:t>
            </w:r>
          </w:p>
        </w:tc>
        <w:tc>
          <w:tcPr>
            <w:tcW w:w="614" w:type="dxa"/>
            <w:tcBorders/>
            <w:shd w:fill="CCEEFF" w:val="clear"/>
            <w:vAlign w:val="center"/>
          </w:tcPr>
          <w:p>
            <w:pPr>
              <w:pStyle w:val="TableContents"/>
              <w:bidi w:val="0"/>
              <w:spacing w:before="0" w:after="283"/>
              <w:jc w:val="right"/>
              <w:rPr/>
            </w:pPr>
            <w:r>
              <w:rPr/>
              <w:t>0.361</w:t>
            </w:r>
          </w:p>
        </w:tc>
        <w:tc>
          <w:tcPr>
            <w:tcW w:w="78" w:type="dxa"/>
            <w:tcBorders/>
            <w:shd w:fill="CCEEFF" w:val="clear"/>
            <w:vAlign w:val="center"/>
          </w:tcPr>
          <w:p>
            <w:pPr>
              <w:pStyle w:val="TableContents"/>
              <w:bidi w:val="0"/>
              <w:spacing w:before="0" w:after="283"/>
              <w:jc w:val="left"/>
              <w:rPr/>
            </w:pPr>
            <w:r>
              <w:rPr/>
              <w:t> </w:t>
            </w:r>
          </w:p>
        </w:tc>
      </w:tr>
      <w:tr>
        <w:trPr/>
        <w:tc>
          <w:tcPr>
            <w:tcW w:w="2989" w:type="dxa"/>
            <w:tcBorders/>
            <w:shd w:fill="FFFFFF" w:val="clear"/>
            <w:vAlign w:val="center"/>
          </w:tcPr>
          <w:p>
            <w:pPr>
              <w:pStyle w:val="TableContents"/>
              <w:bidi w:val="0"/>
              <w:spacing w:before="0" w:after="283"/>
              <w:jc w:val="left"/>
              <w:rPr/>
            </w:pPr>
            <w:r>
              <w:rPr/>
              <w:t>45 months</w:t>
            </w:r>
          </w:p>
        </w:tc>
        <w:tc>
          <w:tcPr>
            <w:tcW w:w="60" w:type="dxa"/>
            <w:tcBorders/>
            <w:shd w:fill="FFFFFF" w:val="clear"/>
            <w:vAlign w:val="center"/>
          </w:tcPr>
          <w:p>
            <w:pPr>
              <w:pStyle w:val="TableContents"/>
              <w:bidi w:val="0"/>
              <w:spacing w:before="0" w:after="283"/>
              <w:jc w:val="left"/>
              <w:rPr/>
            </w:pPr>
            <w:r>
              <w:rPr/>
              <w:t> </w:t>
            </w:r>
          </w:p>
        </w:tc>
        <w:tc>
          <w:tcPr>
            <w:tcW w:w="65" w:type="dxa"/>
            <w:tcBorders/>
            <w:shd w:fill="FFFFFF" w:val="clear"/>
            <w:vAlign w:val="center"/>
          </w:tcPr>
          <w:p>
            <w:pPr>
              <w:pStyle w:val="TableContents"/>
              <w:bidi w:val="0"/>
              <w:spacing w:before="0" w:after="283"/>
              <w:jc w:val="left"/>
              <w:rPr/>
            </w:pPr>
            <w:r>
              <w:rPr/>
              <w:t> </w:t>
            </w:r>
          </w:p>
        </w:tc>
        <w:tc>
          <w:tcPr>
            <w:tcW w:w="614" w:type="dxa"/>
            <w:tcBorders/>
            <w:shd w:fill="FFFFFF" w:val="clear"/>
            <w:vAlign w:val="center"/>
          </w:tcPr>
          <w:p>
            <w:pPr>
              <w:pStyle w:val="TableContents"/>
              <w:bidi w:val="0"/>
              <w:spacing w:before="0" w:after="283"/>
              <w:jc w:val="right"/>
              <w:rPr/>
            </w:pPr>
            <w:r>
              <w:rPr/>
              <w:t>0.235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5" w:type="dxa"/>
            <w:tcBorders/>
            <w:shd w:fill="FFFFFF" w:val="clear"/>
            <w:vAlign w:val="center"/>
          </w:tcPr>
          <w:p>
            <w:pPr>
              <w:pStyle w:val="TableContents"/>
              <w:bidi w:val="0"/>
              <w:spacing w:before="0" w:after="283"/>
              <w:jc w:val="left"/>
              <w:rPr/>
            </w:pPr>
            <w:r>
              <w:rPr/>
              <w:t> </w:t>
            </w:r>
          </w:p>
        </w:tc>
        <w:tc>
          <w:tcPr>
            <w:tcW w:w="615" w:type="dxa"/>
            <w:tcBorders/>
            <w:shd w:fill="FFFFFF" w:val="clear"/>
            <w:vAlign w:val="center"/>
          </w:tcPr>
          <w:p>
            <w:pPr>
              <w:pStyle w:val="TableContents"/>
              <w:bidi w:val="0"/>
              <w:spacing w:before="0" w:after="283"/>
              <w:jc w:val="right"/>
              <w:rPr/>
            </w:pPr>
            <w:r>
              <w:rPr/>
              <w:t>0.258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5" w:type="dxa"/>
            <w:tcBorders/>
            <w:shd w:fill="FFFFFF" w:val="clear"/>
            <w:vAlign w:val="center"/>
          </w:tcPr>
          <w:p>
            <w:pPr>
              <w:pStyle w:val="TableContents"/>
              <w:bidi w:val="0"/>
              <w:spacing w:before="0" w:after="283"/>
              <w:jc w:val="left"/>
              <w:rPr/>
            </w:pPr>
            <w:r>
              <w:rPr/>
              <w:t> </w:t>
            </w:r>
          </w:p>
        </w:tc>
        <w:tc>
          <w:tcPr>
            <w:tcW w:w="615" w:type="dxa"/>
            <w:tcBorders/>
            <w:shd w:fill="FFFFFF" w:val="clear"/>
            <w:vAlign w:val="center"/>
          </w:tcPr>
          <w:p>
            <w:pPr>
              <w:pStyle w:val="TableContents"/>
              <w:bidi w:val="0"/>
              <w:spacing w:before="0" w:after="283"/>
              <w:jc w:val="right"/>
              <w:rPr/>
            </w:pPr>
            <w:r>
              <w:rPr/>
              <w:t>0.279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5" w:type="dxa"/>
            <w:tcBorders/>
            <w:shd w:fill="FFFFFF" w:val="clear"/>
            <w:vAlign w:val="center"/>
          </w:tcPr>
          <w:p>
            <w:pPr>
              <w:pStyle w:val="TableContents"/>
              <w:bidi w:val="0"/>
              <w:spacing w:before="0" w:after="283"/>
              <w:jc w:val="left"/>
              <w:rPr/>
            </w:pPr>
            <w:r>
              <w:rPr/>
              <w:t> </w:t>
            </w:r>
          </w:p>
        </w:tc>
        <w:tc>
          <w:tcPr>
            <w:tcW w:w="615" w:type="dxa"/>
            <w:tcBorders/>
            <w:shd w:fill="FFFFFF" w:val="clear"/>
            <w:vAlign w:val="center"/>
          </w:tcPr>
          <w:p>
            <w:pPr>
              <w:pStyle w:val="TableContents"/>
              <w:bidi w:val="0"/>
              <w:spacing w:before="0" w:after="283"/>
              <w:jc w:val="right"/>
              <w:rPr/>
            </w:pPr>
            <w:r>
              <w:rPr/>
              <w:t>0.298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5" w:type="dxa"/>
            <w:tcBorders/>
            <w:shd w:fill="FFFFFF" w:val="clear"/>
            <w:vAlign w:val="center"/>
          </w:tcPr>
          <w:p>
            <w:pPr>
              <w:pStyle w:val="TableContents"/>
              <w:bidi w:val="0"/>
              <w:spacing w:before="0" w:after="283"/>
              <w:jc w:val="left"/>
              <w:rPr/>
            </w:pPr>
            <w:r>
              <w:rPr/>
              <w:t> </w:t>
            </w:r>
          </w:p>
        </w:tc>
        <w:tc>
          <w:tcPr>
            <w:tcW w:w="615" w:type="dxa"/>
            <w:tcBorders/>
            <w:shd w:fill="FFFFFF" w:val="clear"/>
            <w:vAlign w:val="center"/>
          </w:tcPr>
          <w:p>
            <w:pPr>
              <w:pStyle w:val="TableContents"/>
              <w:bidi w:val="0"/>
              <w:spacing w:before="0" w:after="283"/>
              <w:jc w:val="right"/>
              <w:rPr/>
            </w:pPr>
            <w:r>
              <w:rPr/>
              <w:t>0.315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5" w:type="dxa"/>
            <w:tcBorders/>
            <w:shd w:fill="FFFFFF" w:val="clear"/>
            <w:vAlign w:val="center"/>
          </w:tcPr>
          <w:p>
            <w:pPr>
              <w:pStyle w:val="TableContents"/>
              <w:bidi w:val="0"/>
              <w:spacing w:before="0" w:after="283"/>
              <w:jc w:val="left"/>
              <w:rPr/>
            </w:pPr>
            <w:r>
              <w:rPr/>
              <w:t> </w:t>
            </w:r>
          </w:p>
        </w:tc>
        <w:tc>
          <w:tcPr>
            <w:tcW w:w="615" w:type="dxa"/>
            <w:tcBorders/>
            <w:shd w:fill="FFFFFF" w:val="clear"/>
            <w:vAlign w:val="center"/>
          </w:tcPr>
          <w:p>
            <w:pPr>
              <w:pStyle w:val="TableContents"/>
              <w:bidi w:val="0"/>
              <w:spacing w:before="0" w:after="283"/>
              <w:jc w:val="right"/>
              <w:rPr/>
            </w:pPr>
            <w:r>
              <w:rPr/>
              <w:t>0.330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5" w:type="dxa"/>
            <w:tcBorders/>
            <w:shd w:fill="FFFFFF" w:val="clear"/>
            <w:vAlign w:val="center"/>
          </w:tcPr>
          <w:p>
            <w:pPr>
              <w:pStyle w:val="TableContents"/>
              <w:bidi w:val="0"/>
              <w:spacing w:before="0" w:after="283"/>
              <w:jc w:val="left"/>
              <w:rPr/>
            </w:pPr>
            <w:r>
              <w:rPr/>
              <w:t> </w:t>
            </w:r>
          </w:p>
        </w:tc>
        <w:tc>
          <w:tcPr>
            <w:tcW w:w="615" w:type="dxa"/>
            <w:tcBorders/>
            <w:shd w:fill="FFFFFF" w:val="clear"/>
            <w:vAlign w:val="center"/>
          </w:tcPr>
          <w:p>
            <w:pPr>
              <w:pStyle w:val="TableContents"/>
              <w:bidi w:val="0"/>
              <w:spacing w:before="0" w:after="283"/>
              <w:jc w:val="right"/>
              <w:rPr/>
            </w:pPr>
            <w:r>
              <w:rPr/>
              <w:t>0.343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5" w:type="dxa"/>
            <w:tcBorders/>
            <w:shd w:fill="FFFFFF" w:val="clear"/>
            <w:vAlign w:val="center"/>
          </w:tcPr>
          <w:p>
            <w:pPr>
              <w:pStyle w:val="TableContents"/>
              <w:bidi w:val="0"/>
              <w:spacing w:before="0" w:after="283"/>
              <w:jc w:val="left"/>
              <w:rPr/>
            </w:pPr>
            <w:r>
              <w:rPr/>
              <w:t> </w:t>
            </w:r>
          </w:p>
        </w:tc>
        <w:tc>
          <w:tcPr>
            <w:tcW w:w="615" w:type="dxa"/>
            <w:tcBorders/>
            <w:shd w:fill="FFFFFF" w:val="clear"/>
            <w:vAlign w:val="center"/>
          </w:tcPr>
          <w:p>
            <w:pPr>
              <w:pStyle w:val="TableContents"/>
              <w:bidi w:val="0"/>
              <w:spacing w:before="0" w:after="283"/>
              <w:jc w:val="right"/>
              <w:rPr/>
            </w:pPr>
            <w:r>
              <w:rPr/>
              <w:t>0.356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5" w:type="dxa"/>
            <w:tcBorders/>
            <w:shd w:fill="FFFFFF" w:val="clear"/>
            <w:vAlign w:val="center"/>
          </w:tcPr>
          <w:p>
            <w:pPr>
              <w:pStyle w:val="TableContents"/>
              <w:bidi w:val="0"/>
              <w:spacing w:before="0" w:after="283"/>
              <w:jc w:val="left"/>
              <w:rPr/>
            </w:pPr>
            <w:r>
              <w:rPr/>
              <w:t> </w:t>
            </w:r>
          </w:p>
        </w:tc>
        <w:tc>
          <w:tcPr>
            <w:tcW w:w="614" w:type="dxa"/>
            <w:tcBorders/>
            <w:shd w:fill="FFFFFF" w:val="clear"/>
            <w:vAlign w:val="center"/>
          </w:tcPr>
          <w:p>
            <w:pPr>
              <w:pStyle w:val="TableContents"/>
              <w:bidi w:val="0"/>
              <w:spacing w:before="0" w:after="283"/>
              <w:jc w:val="right"/>
              <w:rPr/>
            </w:pPr>
            <w:r>
              <w:rPr/>
              <w:t>0.361</w:t>
            </w:r>
          </w:p>
        </w:tc>
        <w:tc>
          <w:tcPr>
            <w:tcW w:w="78" w:type="dxa"/>
            <w:tcBorders/>
            <w:shd w:fill="FFFFFF" w:val="clear"/>
            <w:vAlign w:val="center"/>
          </w:tcPr>
          <w:p>
            <w:pPr>
              <w:pStyle w:val="TableContents"/>
              <w:bidi w:val="0"/>
              <w:spacing w:before="0" w:after="283"/>
              <w:jc w:val="left"/>
              <w:rPr/>
            </w:pPr>
            <w:r>
              <w:rPr/>
              <w:t> </w:t>
            </w:r>
          </w:p>
        </w:tc>
      </w:tr>
      <w:tr>
        <w:trPr/>
        <w:tc>
          <w:tcPr>
            <w:tcW w:w="2989" w:type="dxa"/>
            <w:tcBorders/>
            <w:shd w:fill="CCEEFF" w:val="clear"/>
            <w:vAlign w:val="center"/>
          </w:tcPr>
          <w:p>
            <w:pPr>
              <w:pStyle w:val="TableContents"/>
              <w:bidi w:val="0"/>
              <w:spacing w:before="0" w:after="283"/>
              <w:jc w:val="left"/>
              <w:rPr/>
            </w:pPr>
            <w:r>
              <w:rPr/>
              <w:t>42 months</w:t>
            </w:r>
          </w:p>
        </w:tc>
        <w:tc>
          <w:tcPr>
            <w:tcW w:w="60"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jc w:val="left"/>
              <w:rPr/>
            </w:pPr>
            <w:r>
              <w:rPr/>
              <w:t> </w:t>
            </w:r>
          </w:p>
        </w:tc>
        <w:tc>
          <w:tcPr>
            <w:tcW w:w="614" w:type="dxa"/>
            <w:tcBorders/>
            <w:shd w:fill="CCEEFF" w:val="clear"/>
            <w:vAlign w:val="center"/>
          </w:tcPr>
          <w:p>
            <w:pPr>
              <w:pStyle w:val="TableContents"/>
              <w:bidi w:val="0"/>
              <w:spacing w:before="0" w:after="283"/>
              <w:jc w:val="right"/>
              <w:rPr/>
            </w:pPr>
            <w:r>
              <w:rPr/>
              <w:t>0.228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jc w:val="left"/>
              <w:rPr/>
            </w:pPr>
            <w:r>
              <w:rPr/>
              <w:t> </w:t>
            </w:r>
          </w:p>
        </w:tc>
        <w:tc>
          <w:tcPr>
            <w:tcW w:w="615" w:type="dxa"/>
            <w:tcBorders/>
            <w:shd w:fill="CCEEFF" w:val="clear"/>
            <w:vAlign w:val="center"/>
          </w:tcPr>
          <w:p>
            <w:pPr>
              <w:pStyle w:val="TableContents"/>
              <w:bidi w:val="0"/>
              <w:spacing w:before="0" w:after="283"/>
              <w:jc w:val="right"/>
              <w:rPr/>
            </w:pPr>
            <w:r>
              <w:rPr/>
              <w:t>0.252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jc w:val="left"/>
              <w:rPr/>
            </w:pPr>
            <w:r>
              <w:rPr/>
              <w:t> </w:t>
            </w:r>
          </w:p>
        </w:tc>
        <w:tc>
          <w:tcPr>
            <w:tcW w:w="615" w:type="dxa"/>
            <w:tcBorders/>
            <w:shd w:fill="CCEEFF" w:val="clear"/>
            <w:vAlign w:val="center"/>
          </w:tcPr>
          <w:p>
            <w:pPr>
              <w:pStyle w:val="TableContents"/>
              <w:bidi w:val="0"/>
              <w:spacing w:before="0" w:after="283"/>
              <w:jc w:val="right"/>
              <w:rPr/>
            </w:pPr>
            <w:r>
              <w:rPr/>
              <w:t>0.274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jc w:val="left"/>
              <w:rPr/>
            </w:pPr>
            <w:r>
              <w:rPr/>
              <w:t> </w:t>
            </w:r>
          </w:p>
        </w:tc>
        <w:tc>
          <w:tcPr>
            <w:tcW w:w="615" w:type="dxa"/>
            <w:tcBorders/>
            <w:shd w:fill="CCEEFF" w:val="clear"/>
            <w:vAlign w:val="center"/>
          </w:tcPr>
          <w:p>
            <w:pPr>
              <w:pStyle w:val="TableContents"/>
              <w:bidi w:val="0"/>
              <w:spacing w:before="0" w:after="283"/>
              <w:jc w:val="right"/>
              <w:rPr/>
            </w:pPr>
            <w:r>
              <w:rPr/>
              <w:t>0.294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jc w:val="left"/>
              <w:rPr/>
            </w:pPr>
            <w:r>
              <w:rPr/>
              <w:t> </w:t>
            </w:r>
          </w:p>
        </w:tc>
        <w:tc>
          <w:tcPr>
            <w:tcW w:w="615" w:type="dxa"/>
            <w:tcBorders/>
            <w:shd w:fill="CCEEFF" w:val="clear"/>
            <w:vAlign w:val="center"/>
          </w:tcPr>
          <w:p>
            <w:pPr>
              <w:pStyle w:val="TableContents"/>
              <w:bidi w:val="0"/>
              <w:spacing w:before="0" w:after="283"/>
              <w:jc w:val="right"/>
              <w:rPr/>
            </w:pPr>
            <w:r>
              <w:rPr/>
              <w:t>0.312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jc w:val="left"/>
              <w:rPr/>
            </w:pPr>
            <w:r>
              <w:rPr/>
              <w:t> </w:t>
            </w:r>
          </w:p>
        </w:tc>
        <w:tc>
          <w:tcPr>
            <w:tcW w:w="615" w:type="dxa"/>
            <w:tcBorders/>
            <w:shd w:fill="CCEEFF" w:val="clear"/>
            <w:vAlign w:val="center"/>
          </w:tcPr>
          <w:p>
            <w:pPr>
              <w:pStyle w:val="TableContents"/>
              <w:bidi w:val="0"/>
              <w:spacing w:before="0" w:after="283"/>
              <w:jc w:val="right"/>
              <w:rPr/>
            </w:pPr>
            <w:r>
              <w:rPr/>
              <w:t>0.328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jc w:val="left"/>
              <w:rPr/>
            </w:pPr>
            <w:r>
              <w:rPr/>
              <w:t> </w:t>
            </w:r>
          </w:p>
        </w:tc>
        <w:tc>
          <w:tcPr>
            <w:tcW w:w="615" w:type="dxa"/>
            <w:tcBorders/>
            <w:shd w:fill="CCEEFF" w:val="clear"/>
            <w:vAlign w:val="center"/>
          </w:tcPr>
          <w:p>
            <w:pPr>
              <w:pStyle w:val="TableContents"/>
              <w:bidi w:val="0"/>
              <w:spacing w:before="0" w:after="283"/>
              <w:jc w:val="right"/>
              <w:rPr/>
            </w:pPr>
            <w:r>
              <w:rPr/>
              <w:t>0.342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jc w:val="left"/>
              <w:rPr/>
            </w:pPr>
            <w:r>
              <w:rPr/>
              <w:t> </w:t>
            </w:r>
          </w:p>
        </w:tc>
        <w:tc>
          <w:tcPr>
            <w:tcW w:w="615" w:type="dxa"/>
            <w:tcBorders/>
            <w:shd w:fill="CCEEFF" w:val="clear"/>
            <w:vAlign w:val="center"/>
          </w:tcPr>
          <w:p>
            <w:pPr>
              <w:pStyle w:val="TableContents"/>
              <w:bidi w:val="0"/>
              <w:spacing w:before="0" w:after="283"/>
              <w:jc w:val="right"/>
              <w:rPr/>
            </w:pPr>
            <w:r>
              <w:rPr/>
              <w:t>0.355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jc w:val="left"/>
              <w:rPr/>
            </w:pPr>
            <w:r>
              <w:rPr/>
              <w:t> </w:t>
            </w:r>
          </w:p>
        </w:tc>
        <w:tc>
          <w:tcPr>
            <w:tcW w:w="614" w:type="dxa"/>
            <w:tcBorders/>
            <w:shd w:fill="CCEEFF" w:val="clear"/>
            <w:vAlign w:val="center"/>
          </w:tcPr>
          <w:p>
            <w:pPr>
              <w:pStyle w:val="TableContents"/>
              <w:bidi w:val="0"/>
              <w:spacing w:before="0" w:after="283"/>
              <w:jc w:val="right"/>
              <w:rPr/>
            </w:pPr>
            <w:r>
              <w:rPr/>
              <w:t>0.361</w:t>
            </w:r>
          </w:p>
        </w:tc>
        <w:tc>
          <w:tcPr>
            <w:tcW w:w="78" w:type="dxa"/>
            <w:tcBorders/>
            <w:shd w:fill="CCEEFF" w:val="clear"/>
            <w:vAlign w:val="center"/>
          </w:tcPr>
          <w:p>
            <w:pPr>
              <w:pStyle w:val="TableContents"/>
              <w:bidi w:val="0"/>
              <w:spacing w:before="0" w:after="283"/>
              <w:jc w:val="left"/>
              <w:rPr/>
            </w:pPr>
            <w:r>
              <w:rPr/>
              <w:t> </w:t>
            </w:r>
          </w:p>
        </w:tc>
      </w:tr>
      <w:tr>
        <w:trPr/>
        <w:tc>
          <w:tcPr>
            <w:tcW w:w="2989" w:type="dxa"/>
            <w:tcBorders/>
            <w:shd w:fill="FFFFFF" w:val="clear"/>
            <w:vAlign w:val="center"/>
          </w:tcPr>
          <w:p>
            <w:pPr>
              <w:pStyle w:val="TableContents"/>
              <w:bidi w:val="0"/>
              <w:spacing w:before="0" w:after="283"/>
              <w:jc w:val="left"/>
              <w:rPr/>
            </w:pPr>
            <w:r>
              <w:rPr/>
              <w:t>39 months</w:t>
            </w:r>
          </w:p>
        </w:tc>
        <w:tc>
          <w:tcPr>
            <w:tcW w:w="60" w:type="dxa"/>
            <w:tcBorders/>
            <w:shd w:fill="FFFFFF" w:val="clear"/>
            <w:vAlign w:val="center"/>
          </w:tcPr>
          <w:p>
            <w:pPr>
              <w:pStyle w:val="TableContents"/>
              <w:bidi w:val="0"/>
              <w:spacing w:before="0" w:after="283"/>
              <w:jc w:val="left"/>
              <w:rPr/>
            </w:pPr>
            <w:r>
              <w:rPr/>
              <w:t> </w:t>
            </w:r>
          </w:p>
        </w:tc>
        <w:tc>
          <w:tcPr>
            <w:tcW w:w="65" w:type="dxa"/>
            <w:tcBorders/>
            <w:shd w:fill="FFFFFF" w:val="clear"/>
            <w:vAlign w:val="center"/>
          </w:tcPr>
          <w:p>
            <w:pPr>
              <w:pStyle w:val="TableContents"/>
              <w:bidi w:val="0"/>
              <w:spacing w:before="0" w:after="283"/>
              <w:jc w:val="left"/>
              <w:rPr/>
            </w:pPr>
            <w:r>
              <w:rPr/>
              <w:t> </w:t>
            </w:r>
          </w:p>
        </w:tc>
        <w:tc>
          <w:tcPr>
            <w:tcW w:w="614" w:type="dxa"/>
            <w:tcBorders/>
            <w:shd w:fill="FFFFFF" w:val="clear"/>
            <w:vAlign w:val="center"/>
          </w:tcPr>
          <w:p>
            <w:pPr>
              <w:pStyle w:val="TableContents"/>
              <w:bidi w:val="0"/>
              <w:spacing w:before="0" w:after="283"/>
              <w:jc w:val="right"/>
              <w:rPr/>
            </w:pPr>
            <w:r>
              <w:rPr/>
              <w:t>0.221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5" w:type="dxa"/>
            <w:tcBorders/>
            <w:shd w:fill="FFFFFF" w:val="clear"/>
            <w:vAlign w:val="center"/>
          </w:tcPr>
          <w:p>
            <w:pPr>
              <w:pStyle w:val="TableContents"/>
              <w:bidi w:val="0"/>
              <w:spacing w:before="0" w:after="283"/>
              <w:jc w:val="left"/>
              <w:rPr/>
            </w:pPr>
            <w:r>
              <w:rPr/>
              <w:t> </w:t>
            </w:r>
          </w:p>
        </w:tc>
        <w:tc>
          <w:tcPr>
            <w:tcW w:w="615" w:type="dxa"/>
            <w:tcBorders/>
            <w:shd w:fill="FFFFFF" w:val="clear"/>
            <w:vAlign w:val="center"/>
          </w:tcPr>
          <w:p>
            <w:pPr>
              <w:pStyle w:val="TableContents"/>
              <w:bidi w:val="0"/>
              <w:spacing w:before="0" w:after="283"/>
              <w:jc w:val="right"/>
              <w:rPr/>
            </w:pPr>
            <w:r>
              <w:rPr/>
              <w:t>0.246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5" w:type="dxa"/>
            <w:tcBorders/>
            <w:shd w:fill="FFFFFF" w:val="clear"/>
            <w:vAlign w:val="center"/>
          </w:tcPr>
          <w:p>
            <w:pPr>
              <w:pStyle w:val="TableContents"/>
              <w:bidi w:val="0"/>
              <w:spacing w:before="0" w:after="283"/>
              <w:jc w:val="left"/>
              <w:rPr/>
            </w:pPr>
            <w:r>
              <w:rPr/>
              <w:t> </w:t>
            </w:r>
          </w:p>
        </w:tc>
        <w:tc>
          <w:tcPr>
            <w:tcW w:w="615" w:type="dxa"/>
            <w:tcBorders/>
            <w:shd w:fill="FFFFFF" w:val="clear"/>
            <w:vAlign w:val="center"/>
          </w:tcPr>
          <w:p>
            <w:pPr>
              <w:pStyle w:val="TableContents"/>
              <w:bidi w:val="0"/>
              <w:spacing w:before="0" w:after="283"/>
              <w:jc w:val="right"/>
              <w:rPr/>
            </w:pPr>
            <w:r>
              <w:rPr/>
              <w:t>0.269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5" w:type="dxa"/>
            <w:tcBorders/>
            <w:shd w:fill="FFFFFF" w:val="clear"/>
            <w:vAlign w:val="center"/>
          </w:tcPr>
          <w:p>
            <w:pPr>
              <w:pStyle w:val="TableContents"/>
              <w:bidi w:val="0"/>
              <w:spacing w:before="0" w:after="283"/>
              <w:jc w:val="left"/>
              <w:rPr/>
            </w:pPr>
            <w:r>
              <w:rPr/>
              <w:t> </w:t>
            </w:r>
          </w:p>
        </w:tc>
        <w:tc>
          <w:tcPr>
            <w:tcW w:w="615" w:type="dxa"/>
            <w:tcBorders/>
            <w:shd w:fill="FFFFFF" w:val="clear"/>
            <w:vAlign w:val="center"/>
          </w:tcPr>
          <w:p>
            <w:pPr>
              <w:pStyle w:val="TableContents"/>
              <w:bidi w:val="0"/>
              <w:spacing w:before="0" w:after="283"/>
              <w:jc w:val="right"/>
              <w:rPr/>
            </w:pPr>
            <w:r>
              <w:rPr/>
              <w:t>0.290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5" w:type="dxa"/>
            <w:tcBorders/>
            <w:shd w:fill="FFFFFF" w:val="clear"/>
            <w:vAlign w:val="center"/>
          </w:tcPr>
          <w:p>
            <w:pPr>
              <w:pStyle w:val="TableContents"/>
              <w:bidi w:val="0"/>
              <w:spacing w:before="0" w:after="283"/>
              <w:jc w:val="left"/>
              <w:rPr/>
            </w:pPr>
            <w:r>
              <w:rPr/>
              <w:t> </w:t>
            </w:r>
          </w:p>
        </w:tc>
        <w:tc>
          <w:tcPr>
            <w:tcW w:w="615" w:type="dxa"/>
            <w:tcBorders/>
            <w:shd w:fill="FFFFFF" w:val="clear"/>
            <w:vAlign w:val="center"/>
          </w:tcPr>
          <w:p>
            <w:pPr>
              <w:pStyle w:val="TableContents"/>
              <w:bidi w:val="0"/>
              <w:spacing w:before="0" w:after="283"/>
              <w:jc w:val="right"/>
              <w:rPr/>
            </w:pPr>
            <w:r>
              <w:rPr/>
              <w:t>0.309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5" w:type="dxa"/>
            <w:tcBorders/>
            <w:shd w:fill="FFFFFF" w:val="clear"/>
            <w:vAlign w:val="center"/>
          </w:tcPr>
          <w:p>
            <w:pPr>
              <w:pStyle w:val="TableContents"/>
              <w:bidi w:val="0"/>
              <w:spacing w:before="0" w:after="283"/>
              <w:jc w:val="left"/>
              <w:rPr/>
            </w:pPr>
            <w:r>
              <w:rPr/>
              <w:t> </w:t>
            </w:r>
          </w:p>
        </w:tc>
        <w:tc>
          <w:tcPr>
            <w:tcW w:w="615" w:type="dxa"/>
            <w:tcBorders/>
            <w:shd w:fill="FFFFFF" w:val="clear"/>
            <w:vAlign w:val="center"/>
          </w:tcPr>
          <w:p>
            <w:pPr>
              <w:pStyle w:val="TableContents"/>
              <w:bidi w:val="0"/>
              <w:spacing w:before="0" w:after="283"/>
              <w:jc w:val="right"/>
              <w:rPr/>
            </w:pPr>
            <w:r>
              <w:rPr/>
              <w:t>0.325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5" w:type="dxa"/>
            <w:tcBorders/>
            <w:shd w:fill="FFFFFF" w:val="clear"/>
            <w:vAlign w:val="center"/>
          </w:tcPr>
          <w:p>
            <w:pPr>
              <w:pStyle w:val="TableContents"/>
              <w:bidi w:val="0"/>
              <w:spacing w:before="0" w:after="283"/>
              <w:jc w:val="left"/>
              <w:rPr/>
            </w:pPr>
            <w:r>
              <w:rPr/>
              <w:t> </w:t>
            </w:r>
          </w:p>
        </w:tc>
        <w:tc>
          <w:tcPr>
            <w:tcW w:w="615" w:type="dxa"/>
            <w:tcBorders/>
            <w:shd w:fill="FFFFFF" w:val="clear"/>
            <w:vAlign w:val="center"/>
          </w:tcPr>
          <w:p>
            <w:pPr>
              <w:pStyle w:val="TableContents"/>
              <w:bidi w:val="0"/>
              <w:spacing w:before="0" w:after="283"/>
              <w:jc w:val="right"/>
              <w:rPr/>
            </w:pPr>
            <w:r>
              <w:rPr/>
              <w:t>0.340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5" w:type="dxa"/>
            <w:tcBorders/>
            <w:shd w:fill="FFFFFF" w:val="clear"/>
            <w:vAlign w:val="center"/>
          </w:tcPr>
          <w:p>
            <w:pPr>
              <w:pStyle w:val="TableContents"/>
              <w:bidi w:val="0"/>
              <w:spacing w:before="0" w:after="283"/>
              <w:jc w:val="left"/>
              <w:rPr/>
            </w:pPr>
            <w:r>
              <w:rPr/>
              <w:t> </w:t>
            </w:r>
          </w:p>
        </w:tc>
        <w:tc>
          <w:tcPr>
            <w:tcW w:w="615" w:type="dxa"/>
            <w:tcBorders/>
            <w:shd w:fill="FFFFFF" w:val="clear"/>
            <w:vAlign w:val="center"/>
          </w:tcPr>
          <w:p>
            <w:pPr>
              <w:pStyle w:val="TableContents"/>
              <w:bidi w:val="0"/>
              <w:spacing w:before="0" w:after="283"/>
              <w:jc w:val="right"/>
              <w:rPr/>
            </w:pPr>
            <w:r>
              <w:rPr/>
              <w:t>0.354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5" w:type="dxa"/>
            <w:tcBorders/>
            <w:shd w:fill="FFFFFF" w:val="clear"/>
            <w:vAlign w:val="center"/>
          </w:tcPr>
          <w:p>
            <w:pPr>
              <w:pStyle w:val="TableContents"/>
              <w:bidi w:val="0"/>
              <w:spacing w:before="0" w:after="283"/>
              <w:jc w:val="left"/>
              <w:rPr/>
            </w:pPr>
            <w:r>
              <w:rPr/>
              <w:t> </w:t>
            </w:r>
          </w:p>
        </w:tc>
        <w:tc>
          <w:tcPr>
            <w:tcW w:w="614" w:type="dxa"/>
            <w:tcBorders/>
            <w:shd w:fill="FFFFFF" w:val="clear"/>
            <w:vAlign w:val="center"/>
          </w:tcPr>
          <w:p>
            <w:pPr>
              <w:pStyle w:val="TableContents"/>
              <w:bidi w:val="0"/>
              <w:spacing w:before="0" w:after="283"/>
              <w:jc w:val="right"/>
              <w:rPr/>
            </w:pPr>
            <w:r>
              <w:rPr/>
              <w:t>0.361</w:t>
            </w:r>
          </w:p>
        </w:tc>
        <w:tc>
          <w:tcPr>
            <w:tcW w:w="78" w:type="dxa"/>
            <w:tcBorders/>
            <w:shd w:fill="FFFFFF" w:val="clear"/>
            <w:vAlign w:val="center"/>
          </w:tcPr>
          <w:p>
            <w:pPr>
              <w:pStyle w:val="TableContents"/>
              <w:bidi w:val="0"/>
              <w:spacing w:before="0" w:after="283"/>
              <w:jc w:val="left"/>
              <w:rPr/>
            </w:pPr>
            <w:r>
              <w:rPr/>
              <w:t> </w:t>
            </w:r>
          </w:p>
        </w:tc>
      </w:tr>
      <w:tr>
        <w:trPr/>
        <w:tc>
          <w:tcPr>
            <w:tcW w:w="2989" w:type="dxa"/>
            <w:tcBorders/>
            <w:shd w:fill="CCEEFF" w:val="clear"/>
            <w:vAlign w:val="center"/>
          </w:tcPr>
          <w:p>
            <w:pPr>
              <w:pStyle w:val="TableContents"/>
              <w:bidi w:val="0"/>
              <w:spacing w:before="0" w:after="283"/>
              <w:jc w:val="left"/>
              <w:rPr/>
            </w:pPr>
            <w:r>
              <w:rPr/>
              <w:t>36 months</w:t>
            </w:r>
          </w:p>
        </w:tc>
        <w:tc>
          <w:tcPr>
            <w:tcW w:w="60"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jc w:val="left"/>
              <w:rPr/>
            </w:pPr>
            <w:r>
              <w:rPr/>
              <w:t> </w:t>
            </w:r>
          </w:p>
        </w:tc>
        <w:tc>
          <w:tcPr>
            <w:tcW w:w="614" w:type="dxa"/>
            <w:tcBorders/>
            <w:shd w:fill="CCEEFF" w:val="clear"/>
            <w:vAlign w:val="center"/>
          </w:tcPr>
          <w:p>
            <w:pPr>
              <w:pStyle w:val="TableContents"/>
              <w:bidi w:val="0"/>
              <w:spacing w:before="0" w:after="283"/>
              <w:jc w:val="right"/>
              <w:rPr/>
            </w:pPr>
            <w:r>
              <w:rPr/>
              <w:t>0.213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jc w:val="left"/>
              <w:rPr/>
            </w:pPr>
            <w:r>
              <w:rPr/>
              <w:t> </w:t>
            </w:r>
          </w:p>
        </w:tc>
        <w:tc>
          <w:tcPr>
            <w:tcW w:w="615" w:type="dxa"/>
            <w:tcBorders/>
            <w:shd w:fill="CCEEFF" w:val="clear"/>
            <w:vAlign w:val="center"/>
          </w:tcPr>
          <w:p>
            <w:pPr>
              <w:pStyle w:val="TableContents"/>
              <w:bidi w:val="0"/>
              <w:spacing w:before="0" w:after="283"/>
              <w:jc w:val="right"/>
              <w:rPr/>
            </w:pPr>
            <w:r>
              <w:rPr/>
              <w:t>0.239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jc w:val="left"/>
              <w:rPr/>
            </w:pPr>
            <w:r>
              <w:rPr/>
              <w:t> </w:t>
            </w:r>
          </w:p>
        </w:tc>
        <w:tc>
          <w:tcPr>
            <w:tcW w:w="615" w:type="dxa"/>
            <w:tcBorders/>
            <w:shd w:fill="CCEEFF" w:val="clear"/>
            <w:vAlign w:val="center"/>
          </w:tcPr>
          <w:p>
            <w:pPr>
              <w:pStyle w:val="TableContents"/>
              <w:bidi w:val="0"/>
              <w:spacing w:before="0" w:after="283"/>
              <w:jc w:val="right"/>
              <w:rPr/>
            </w:pPr>
            <w:r>
              <w:rPr/>
              <w:t>0.263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jc w:val="left"/>
              <w:rPr/>
            </w:pPr>
            <w:r>
              <w:rPr/>
              <w:t> </w:t>
            </w:r>
          </w:p>
        </w:tc>
        <w:tc>
          <w:tcPr>
            <w:tcW w:w="615" w:type="dxa"/>
            <w:tcBorders/>
            <w:shd w:fill="CCEEFF" w:val="clear"/>
            <w:vAlign w:val="center"/>
          </w:tcPr>
          <w:p>
            <w:pPr>
              <w:pStyle w:val="TableContents"/>
              <w:bidi w:val="0"/>
              <w:spacing w:before="0" w:after="283"/>
              <w:jc w:val="right"/>
              <w:rPr/>
            </w:pPr>
            <w:r>
              <w:rPr/>
              <w:t>0.285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jc w:val="left"/>
              <w:rPr/>
            </w:pPr>
            <w:r>
              <w:rPr/>
              <w:t> </w:t>
            </w:r>
          </w:p>
        </w:tc>
        <w:tc>
          <w:tcPr>
            <w:tcW w:w="615" w:type="dxa"/>
            <w:tcBorders/>
            <w:shd w:fill="CCEEFF" w:val="clear"/>
            <w:vAlign w:val="center"/>
          </w:tcPr>
          <w:p>
            <w:pPr>
              <w:pStyle w:val="TableContents"/>
              <w:bidi w:val="0"/>
              <w:spacing w:before="0" w:after="283"/>
              <w:jc w:val="right"/>
              <w:rPr/>
            </w:pPr>
            <w:r>
              <w:rPr/>
              <w:t>0.305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jc w:val="left"/>
              <w:rPr/>
            </w:pPr>
            <w:r>
              <w:rPr/>
              <w:t> </w:t>
            </w:r>
          </w:p>
        </w:tc>
        <w:tc>
          <w:tcPr>
            <w:tcW w:w="615" w:type="dxa"/>
            <w:tcBorders/>
            <w:shd w:fill="CCEEFF" w:val="clear"/>
            <w:vAlign w:val="center"/>
          </w:tcPr>
          <w:p>
            <w:pPr>
              <w:pStyle w:val="TableContents"/>
              <w:bidi w:val="0"/>
              <w:spacing w:before="0" w:after="283"/>
              <w:jc w:val="right"/>
              <w:rPr/>
            </w:pPr>
            <w:r>
              <w:rPr/>
              <w:t>0.323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jc w:val="left"/>
              <w:rPr/>
            </w:pPr>
            <w:r>
              <w:rPr/>
              <w:t> </w:t>
            </w:r>
          </w:p>
        </w:tc>
        <w:tc>
          <w:tcPr>
            <w:tcW w:w="615" w:type="dxa"/>
            <w:tcBorders/>
            <w:shd w:fill="CCEEFF" w:val="clear"/>
            <w:vAlign w:val="center"/>
          </w:tcPr>
          <w:p>
            <w:pPr>
              <w:pStyle w:val="TableContents"/>
              <w:bidi w:val="0"/>
              <w:spacing w:before="0" w:after="283"/>
              <w:jc w:val="right"/>
              <w:rPr/>
            </w:pPr>
            <w:r>
              <w:rPr/>
              <w:t>0.339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jc w:val="left"/>
              <w:rPr/>
            </w:pPr>
            <w:r>
              <w:rPr/>
              <w:t> </w:t>
            </w:r>
          </w:p>
        </w:tc>
        <w:tc>
          <w:tcPr>
            <w:tcW w:w="615" w:type="dxa"/>
            <w:tcBorders/>
            <w:shd w:fill="CCEEFF" w:val="clear"/>
            <w:vAlign w:val="center"/>
          </w:tcPr>
          <w:p>
            <w:pPr>
              <w:pStyle w:val="TableContents"/>
              <w:bidi w:val="0"/>
              <w:spacing w:before="0" w:after="283"/>
              <w:jc w:val="right"/>
              <w:rPr/>
            </w:pPr>
            <w:r>
              <w:rPr/>
              <w:t>0.353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jc w:val="left"/>
              <w:rPr/>
            </w:pPr>
            <w:r>
              <w:rPr/>
              <w:t> </w:t>
            </w:r>
          </w:p>
        </w:tc>
        <w:tc>
          <w:tcPr>
            <w:tcW w:w="614" w:type="dxa"/>
            <w:tcBorders/>
            <w:shd w:fill="CCEEFF" w:val="clear"/>
            <w:vAlign w:val="center"/>
          </w:tcPr>
          <w:p>
            <w:pPr>
              <w:pStyle w:val="TableContents"/>
              <w:bidi w:val="0"/>
              <w:spacing w:before="0" w:after="283"/>
              <w:jc w:val="right"/>
              <w:rPr/>
            </w:pPr>
            <w:r>
              <w:rPr/>
              <w:t>0.361</w:t>
            </w:r>
          </w:p>
        </w:tc>
        <w:tc>
          <w:tcPr>
            <w:tcW w:w="78" w:type="dxa"/>
            <w:tcBorders/>
            <w:shd w:fill="CCEEFF" w:val="clear"/>
            <w:vAlign w:val="center"/>
          </w:tcPr>
          <w:p>
            <w:pPr>
              <w:pStyle w:val="TableContents"/>
              <w:bidi w:val="0"/>
              <w:spacing w:before="0" w:after="283"/>
              <w:jc w:val="left"/>
              <w:rPr/>
            </w:pPr>
            <w:r>
              <w:rPr/>
              <w:t> </w:t>
            </w:r>
          </w:p>
        </w:tc>
      </w:tr>
      <w:tr>
        <w:trPr/>
        <w:tc>
          <w:tcPr>
            <w:tcW w:w="2989" w:type="dxa"/>
            <w:tcBorders/>
            <w:shd w:fill="FFFFFF" w:val="clear"/>
            <w:vAlign w:val="center"/>
          </w:tcPr>
          <w:p>
            <w:pPr>
              <w:pStyle w:val="TableContents"/>
              <w:bidi w:val="0"/>
              <w:spacing w:before="0" w:after="283"/>
              <w:jc w:val="left"/>
              <w:rPr/>
            </w:pPr>
            <w:r>
              <w:rPr/>
              <w:t>33 months</w:t>
            </w:r>
          </w:p>
        </w:tc>
        <w:tc>
          <w:tcPr>
            <w:tcW w:w="60" w:type="dxa"/>
            <w:tcBorders/>
            <w:shd w:fill="FFFFFF" w:val="clear"/>
            <w:vAlign w:val="center"/>
          </w:tcPr>
          <w:p>
            <w:pPr>
              <w:pStyle w:val="TableContents"/>
              <w:bidi w:val="0"/>
              <w:spacing w:before="0" w:after="283"/>
              <w:jc w:val="left"/>
              <w:rPr/>
            </w:pPr>
            <w:r>
              <w:rPr/>
              <w:t> </w:t>
            </w:r>
          </w:p>
        </w:tc>
        <w:tc>
          <w:tcPr>
            <w:tcW w:w="65" w:type="dxa"/>
            <w:tcBorders/>
            <w:shd w:fill="FFFFFF" w:val="clear"/>
            <w:vAlign w:val="center"/>
          </w:tcPr>
          <w:p>
            <w:pPr>
              <w:pStyle w:val="TableContents"/>
              <w:bidi w:val="0"/>
              <w:spacing w:before="0" w:after="283"/>
              <w:jc w:val="left"/>
              <w:rPr/>
            </w:pPr>
            <w:r>
              <w:rPr/>
              <w:t> </w:t>
            </w:r>
          </w:p>
        </w:tc>
        <w:tc>
          <w:tcPr>
            <w:tcW w:w="614" w:type="dxa"/>
            <w:tcBorders/>
            <w:shd w:fill="FFFFFF" w:val="clear"/>
            <w:vAlign w:val="center"/>
          </w:tcPr>
          <w:p>
            <w:pPr>
              <w:pStyle w:val="TableContents"/>
              <w:bidi w:val="0"/>
              <w:spacing w:before="0" w:after="283"/>
              <w:jc w:val="right"/>
              <w:rPr/>
            </w:pPr>
            <w:r>
              <w:rPr/>
              <w:t>0.205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5" w:type="dxa"/>
            <w:tcBorders/>
            <w:shd w:fill="FFFFFF" w:val="clear"/>
            <w:vAlign w:val="center"/>
          </w:tcPr>
          <w:p>
            <w:pPr>
              <w:pStyle w:val="TableContents"/>
              <w:bidi w:val="0"/>
              <w:spacing w:before="0" w:after="283"/>
              <w:jc w:val="left"/>
              <w:rPr/>
            </w:pPr>
            <w:r>
              <w:rPr/>
              <w:t> </w:t>
            </w:r>
          </w:p>
        </w:tc>
        <w:tc>
          <w:tcPr>
            <w:tcW w:w="615" w:type="dxa"/>
            <w:tcBorders/>
            <w:shd w:fill="FFFFFF" w:val="clear"/>
            <w:vAlign w:val="center"/>
          </w:tcPr>
          <w:p>
            <w:pPr>
              <w:pStyle w:val="TableContents"/>
              <w:bidi w:val="0"/>
              <w:spacing w:before="0" w:after="283"/>
              <w:jc w:val="right"/>
              <w:rPr/>
            </w:pPr>
            <w:r>
              <w:rPr/>
              <w:t>0.232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5" w:type="dxa"/>
            <w:tcBorders/>
            <w:shd w:fill="FFFFFF" w:val="clear"/>
            <w:vAlign w:val="center"/>
          </w:tcPr>
          <w:p>
            <w:pPr>
              <w:pStyle w:val="TableContents"/>
              <w:bidi w:val="0"/>
              <w:spacing w:before="0" w:after="283"/>
              <w:jc w:val="left"/>
              <w:rPr/>
            </w:pPr>
            <w:r>
              <w:rPr/>
              <w:t> </w:t>
            </w:r>
          </w:p>
        </w:tc>
        <w:tc>
          <w:tcPr>
            <w:tcW w:w="615" w:type="dxa"/>
            <w:tcBorders/>
            <w:shd w:fill="FFFFFF" w:val="clear"/>
            <w:vAlign w:val="center"/>
          </w:tcPr>
          <w:p>
            <w:pPr>
              <w:pStyle w:val="TableContents"/>
              <w:bidi w:val="0"/>
              <w:spacing w:before="0" w:after="283"/>
              <w:jc w:val="right"/>
              <w:rPr/>
            </w:pPr>
            <w:r>
              <w:rPr/>
              <w:t>0.257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5" w:type="dxa"/>
            <w:tcBorders/>
            <w:shd w:fill="FFFFFF" w:val="clear"/>
            <w:vAlign w:val="center"/>
          </w:tcPr>
          <w:p>
            <w:pPr>
              <w:pStyle w:val="TableContents"/>
              <w:bidi w:val="0"/>
              <w:spacing w:before="0" w:after="283"/>
              <w:jc w:val="left"/>
              <w:rPr/>
            </w:pPr>
            <w:r>
              <w:rPr/>
              <w:t> </w:t>
            </w:r>
          </w:p>
        </w:tc>
        <w:tc>
          <w:tcPr>
            <w:tcW w:w="615" w:type="dxa"/>
            <w:tcBorders/>
            <w:shd w:fill="FFFFFF" w:val="clear"/>
            <w:vAlign w:val="center"/>
          </w:tcPr>
          <w:p>
            <w:pPr>
              <w:pStyle w:val="TableContents"/>
              <w:bidi w:val="0"/>
              <w:spacing w:before="0" w:after="283"/>
              <w:jc w:val="right"/>
              <w:rPr/>
            </w:pPr>
            <w:r>
              <w:rPr/>
              <w:t>0.280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5" w:type="dxa"/>
            <w:tcBorders/>
            <w:shd w:fill="FFFFFF" w:val="clear"/>
            <w:vAlign w:val="center"/>
          </w:tcPr>
          <w:p>
            <w:pPr>
              <w:pStyle w:val="TableContents"/>
              <w:bidi w:val="0"/>
              <w:spacing w:before="0" w:after="283"/>
              <w:jc w:val="left"/>
              <w:rPr/>
            </w:pPr>
            <w:r>
              <w:rPr/>
              <w:t> </w:t>
            </w:r>
          </w:p>
        </w:tc>
        <w:tc>
          <w:tcPr>
            <w:tcW w:w="615" w:type="dxa"/>
            <w:tcBorders/>
            <w:shd w:fill="FFFFFF" w:val="clear"/>
            <w:vAlign w:val="center"/>
          </w:tcPr>
          <w:p>
            <w:pPr>
              <w:pStyle w:val="TableContents"/>
              <w:bidi w:val="0"/>
              <w:spacing w:before="0" w:after="283"/>
              <w:jc w:val="right"/>
              <w:rPr/>
            </w:pPr>
            <w:r>
              <w:rPr/>
              <w:t>0.301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5" w:type="dxa"/>
            <w:tcBorders/>
            <w:shd w:fill="FFFFFF" w:val="clear"/>
            <w:vAlign w:val="center"/>
          </w:tcPr>
          <w:p>
            <w:pPr>
              <w:pStyle w:val="TableContents"/>
              <w:bidi w:val="0"/>
              <w:spacing w:before="0" w:after="283"/>
              <w:jc w:val="left"/>
              <w:rPr/>
            </w:pPr>
            <w:r>
              <w:rPr/>
              <w:t> </w:t>
            </w:r>
          </w:p>
        </w:tc>
        <w:tc>
          <w:tcPr>
            <w:tcW w:w="615" w:type="dxa"/>
            <w:tcBorders/>
            <w:shd w:fill="FFFFFF" w:val="clear"/>
            <w:vAlign w:val="center"/>
          </w:tcPr>
          <w:p>
            <w:pPr>
              <w:pStyle w:val="TableContents"/>
              <w:bidi w:val="0"/>
              <w:spacing w:before="0" w:after="283"/>
              <w:jc w:val="right"/>
              <w:rPr/>
            </w:pPr>
            <w:r>
              <w:rPr/>
              <w:t>0.320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5" w:type="dxa"/>
            <w:tcBorders/>
            <w:shd w:fill="FFFFFF" w:val="clear"/>
            <w:vAlign w:val="center"/>
          </w:tcPr>
          <w:p>
            <w:pPr>
              <w:pStyle w:val="TableContents"/>
              <w:bidi w:val="0"/>
              <w:spacing w:before="0" w:after="283"/>
              <w:jc w:val="left"/>
              <w:rPr/>
            </w:pPr>
            <w:r>
              <w:rPr/>
              <w:t> </w:t>
            </w:r>
          </w:p>
        </w:tc>
        <w:tc>
          <w:tcPr>
            <w:tcW w:w="615" w:type="dxa"/>
            <w:tcBorders/>
            <w:shd w:fill="FFFFFF" w:val="clear"/>
            <w:vAlign w:val="center"/>
          </w:tcPr>
          <w:p>
            <w:pPr>
              <w:pStyle w:val="TableContents"/>
              <w:bidi w:val="0"/>
              <w:spacing w:before="0" w:after="283"/>
              <w:jc w:val="right"/>
              <w:rPr/>
            </w:pPr>
            <w:r>
              <w:rPr/>
              <w:t>0.337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5" w:type="dxa"/>
            <w:tcBorders/>
            <w:shd w:fill="FFFFFF" w:val="clear"/>
            <w:vAlign w:val="center"/>
          </w:tcPr>
          <w:p>
            <w:pPr>
              <w:pStyle w:val="TableContents"/>
              <w:bidi w:val="0"/>
              <w:spacing w:before="0" w:after="283"/>
              <w:jc w:val="left"/>
              <w:rPr/>
            </w:pPr>
            <w:r>
              <w:rPr/>
              <w:t> </w:t>
            </w:r>
          </w:p>
        </w:tc>
        <w:tc>
          <w:tcPr>
            <w:tcW w:w="615" w:type="dxa"/>
            <w:tcBorders/>
            <w:shd w:fill="FFFFFF" w:val="clear"/>
            <w:vAlign w:val="center"/>
          </w:tcPr>
          <w:p>
            <w:pPr>
              <w:pStyle w:val="TableContents"/>
              <w:bidi w:val="0"/>
              <w:spacing w:before="0" w:after="283"/>
              <w:jc w:val="right"/>
              <w:rPr/>
            </w:pPr>
            <w:r>
              <w:rPr/>
              <w:t>0.352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5" w:type="dxa"/>
            <w:tcBorders/>
            <w:shd w:fill="FFFFFF" w:val="clear"/>
            <w:vAlign w:val="center"/>
          </w:tcPr>
          <w:p>
            <w:pPr>
              <w:pStyle w:val="TableContents"/>
              <w:bidi w:val="0"/>
              <w:spacing w:before="0" w:after="283"/>
              <w:jc w:val="left"/>
              <w:rPr/>
            </w:pPr>
            <w:r>
              <w:rPr/>
              <w:t> </w:t>
            </w:r>
          </w:p>
        </w:tc>
        <w:tc>
          <w:tcPr>
            <w:tcW w:w="614" w:type="dxa"/>
            <w:tcBorders/>
            <w:shd w:fill="FFFFFF" w:val="clear"/>
            <w:vAlign w:val="center"/>
          </w:tcPr>
          <w:p>
            <w:pPr>
              <w:pStyle w:val="TableContents"/>
              <w:bidi w:val="0"/>
              <w:spacing w:before="0" w:after="283"/>
              <w:jc w:val="right"/>
              <w:rPr/>
            </w:pPr>
            <w:r>
              <w:rPr/>
              <w:t>0.361</w:t>
            </w:r>
          </w:p>
        </w:tc>
        <w:tc>
          <w:tcPr>
            <w:tcW w:w="78" w:type="dxa"/>
            <w:tcBorders/>
            <w:shd w:fill="FFFFFF" w:val="clear"/>
            <w:vAlign w:val="center"/>
          </w:tcPr>
          <w:p>
            <w:pPr>
              <w:pStyle w:val="TableContents"/>
              <w:bidi w:val="0"/>
              <w:spacing w:before="0" w:after="283"/>
              <w:jc w:val="left"/>
              <w:rPr/>
            </w:pPr>
            <w:r>
              <w:rPr/>
              <w:t> </w:t>
            </w:r>
          </w:p>
        </w:tc>
      </w:tr>
      <w:tr>
        <w:trPr/>
        <w:tc>
          <w:tcPr>
            <w:tcW w:w="2989" w:type="dxa"/>
            <w:tcBorders/>
            <w:shd w:fill="CCEEFF" w:val="clear"/>
            <w:vAlign w:val="center"/>
          </w:tcPr>
          <w:p>
            <w:pPr>
              <w:pStyle w:val="TableContents"/>
              <w:bidi w:val="0"/>
              <w:spacing w:before="0" w:after="283"/>
              <w:jc w:val="left"/>
              <w:rPr/>
            </w:pPr>
            <w:r>
              <w:rPr/>
              <w:t>30 months</w:t>
            </w:r>
          </w:p>
        </w:tc>
        <w:tc>
          <w:tcPr>
            <w:tcW w:w="60"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jc w:val="left"/>
              <w:rPr/>
            </w:pPr>
            <w:r>
              <w:rPr/>
              <w:t> </w:t>
            </w:r>
          </w:p>
        </w:tc>
        <w:tc>
          <w:tcPr>
            <w:tcW w:w="614" w:type="dxa"/>
            <w:tcBorders/>
            <w:shd w:fill="CCEEFF" w:val="clear"/>
            <w:vAlign w:val="center"/>
          </w:tcPr>
          <w:p>
            <w:pPr>
              <w:pStyle w:val="TableContents"/>
              <w:bidi w:val="0"/>
              <w:spacing w:before="0" w:after="283"/>
              <w:jc w:val="right"/>
              <w:rPr/>
            </w:pPr>
            <w:r>
              <w:rPr/>
              <w:t>0.196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jc w:val="left"/>
              <w:rPr/>
            </w:pPr>
            <w:r>
              <w:rPr/>
              <w:t> </w:t>
            </w:r>
          </w:p>
        </w:tc>
        <w:tc>
          <w:tcPr>
            <w:tcW w:w="615" w:type="dxa"/>
            <w:tcBorders/>
            <w:shd w:fill="CCEEFF" w:val="clear"/>
            <w:vAlign w:val="center"/>
          </w:tcPr>
          <w:p>
            <w:pPr>
              <w:pStyle w:val="TableContents"/>
              <w:bidi w:val="0"/>
              <w:spacing w:before="0" w:after="283"/>
              <w:jc w:val="right"/>
              <w:rPr/>
            </w:pPr>
            <w:r>
              <w:rPr/>
              <w:t>0.224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jc w:val="left"/>
              <w:rPr/>
            </w:pPr>
            <w:r>
              <w:rPr/>
              <w:t> </w:t>
            </w:r>
          </w:p>
        </w:tc>
        <w:tc>
          <w:tcPr>
            <w:tcW w:w="615" w:type="dxa"/>
            <w:tcBorders/>
            <w:shd w:fill="CCEEFF" w:val="clear"/>
            <w:vAlign w:val="center"/>
          </w:tcPr>
          <w:p>
            <w:pPr>
              <w:pStyle w:val="TableContents"/>
              <w:bidi w:val="0"/>
              <w:spacing w:before="0" w:after="283"/>
              <w:jc w:val="right"/>
              <w:rPr/>
            </w:pPr>
            <w:r>
              <w:rPr/>
              <w:t>0.250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jc w:val="left"/>
              <w:rPr/>
            </w:pPr>
            <w:r>
              <w:rPr/>
              <w:t> </w:t>
            </w:r>
          </w:p>
        </w:tc>
        <w:tc>
          <w:tcPr>
            <w:tcW w:w="615" w:type="dxa"/>
            <w:tcBorders/>
            <w:shd w:fill="CCEEFF" w:val="clear"/>
            <w:vAlign w:val="center"/>
          </w:tcPr>
          <w:p>
            <w:pPr>
              <w:pStyle w:val="TableContents"/>
              <w:bidi w:val="0"/>
              <w:spacing w:before="0" w:after="283"/>
              <w:jc w:val="right"/>
              <w:rPr/>
            </w:pPr>
            <w:r>
              <w:rPr/>
              <w:t>0.274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jc w:val="left"/>
              <w:rPr/>
            </w:pPr>
            <w:r>
              <w:rPr/>
              <w:t> </w:t>
            </w:r>
          </w:p>
        </w:tc>
        <w:tc>
          <w:tcPr>
            <w:tcW w:w="615" w:type="dxa"/>
            <w:tcBorders/>
            <w:shd w:fill="CCEEFF" w:val="clear"/>
            <w:vAlign w:val="center"/>
          </w:tcPr>
          <w:p>
            <w:pPr>
              <w:pStyle w:val="TableContents"/>
              <w:bidi w:val="0"/>
              <w:spacing w:before="0" w:after="283"/>
              <w:jc w:val="right"/>
              <w:rPr/>
            </w:pPr>
            <w:r>
              <w:rPr/>
              <w:t>0.297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jc w:val="left"/>
              <w:rPr/>
            </w:pPr>
            <w:r>
              <w:rPr/>
              <w:t> </w:t>
            </w:r>
          </w:p>
        </w:tc>
        <w:tc>
          <w:tcPr>
            <w:tcW w:w="615" w:type="dxa"/>
            <w:tcBorders/>
            <w:shd w:fill="CCEEFF" w:val="clear"/>
            <w:vAlign w:val="center"/>
          </w:tcPr>
          <w:p>
            <w:pPr>
              <w:pStyle w:val="TableContents"/>
              <w:bidi w:val="0"/>
              <w:spacing w:before="0" w:after="283"/>
              <w:jc w:val="right"/>
              <w:rPr/>
            </w:pPr>
            <w:r>
              <w:rPr/>
              <w:t>0.316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jc w:val="left"/>
              <w:rPr/>
            </w:pPr>
            <w:r>
              <w:rPr/>
              <w:t> </w:t>
            </w:r>
          </w:p>
        </w:tc>
        <w:tc>
          <w:tcPr>
            <w:tcW w:w="615" w:type="dxa"/>
            <w:tcBorders/>
            <w:shd w:fill="CCEEFF" w:val="clear"/>
            <w:vAlign w:val="center"/>
          </w:tcPr>
          <w:p>
            <w:pPr>
              <w:pStyle w:val="TableContents"/>
              <w:bidi w:val="0"/>
              <w:spacing w:before="0" w:after="283"/>
              <w:jc w:val="right"/>
              <w:rPr/>
            </w:pPr>
            <w:r>
              <w:rPr/>
              <w:t>0.335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jc w:val="left"/>
              <w:rPr/>
            </w:pPr>
            <w:r>
              <w:rPr/>
              <w:t> </w:t>
            </w:r>
          </w:p>
        </w:tc>
        <w:tc>
          <w:tcPr>
            <w:tcW w:w="615" w:type="dxa"/>
            <w:tcBorders/>
            <w:shd w:fill="CCEEFF" w:val="clear"/>
            <w:vAlign w:val="center"/>
          </w:tcPr>
          <w:p>
            <w:pPr>
              <w:pStyle w:val="TableContents"/>
              <w:bidi w:val="0"/>
              <w:spacing w:before="0" w:after="283"/>
              <w:jc w:val="right"/>
              <w:rPr/>
            </w:pPr>
            <w:r>
              <w:rPr/>
              <w:t>0.351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jc w:val="left"/>
              <w:rPr/>
            </w:pPr>
            <w:r>
              <w:rPr/>
              <w:t> </w:t>
            </w:r>
          </w:p>
        </w:tc>
        <w:tc>
          <w:tcPr>
            <w:tcW w:w="614" w:type="dxa"/>
            <w:tcBorders/>
            <w:shd w:fill="CCEEFF" w:val="clear"/>
            <w:vAlign w:val="center"/>
          </w:tcPr>
          <w:p>
            <w:pPr>
              <w:pStyle w:val="TableContents"/>
              <w:bidi w:val="0"/>
              <w:spacing w:before="0" w:after="283"/>
              <w:jc w:val="right"/>
              <w:rPr/>
            </w:pPr>
            <w:r>
              <w:rPr/>
              <w:t>0.361</w:t>
            </w:r>
          </w:p>
        </w:tc>
        <w:tc>
          <w:tcPr>
            <w:tcW w:w="78" w:type="dxa"/>
            <w:tcBorders/>
            <w:shd w:fill="CCEEFF" w:val="clear"/>
            <w:vAlign w:val="center"/>
          </w:tcPr>
          <w:p>
            <w:pPr>
              <w:pStyle w:val="TableContents"/>
              <w:bidi w:val="0"/>
              <w:spacing w:before="0" w:after="283"/>
              <w:jc w:val="left"/>
              <w:rPr/>
            </w:pPr>
            <w:r>
              <w:rPr/>
              <w:t> </w:t>
            </w:r>
          </w:p>
        </w:tc>
      </w:tr>
      <w:tr>
        <w:trPr/>
        <w:tc>
          <w:tcPr>
            <w:tcW w:w="2989" w:type="dxa"/>
            <w:tcBorders/>
            <w:shd w:fill="FFFFFF" w:val="clear"/>
            <w:vAlign w:val="center"/>
          </w:tcPr>
          <w:p>
            <w:pPr>
              <w:pStyle w:val="TableContents"/>
              <w:bidi w:val="0"/>
              <w:spacing w:before="0" w:after="283"/>
              <w:jc w:val="left"/>
              <w:rPr/>
            </w:pPr>
            <w:r>
              <w:rPr/>
              <w:t>27 months</w:t>
            </w:r>
          </w:p>
        </w:tc>
        <w:tc>
          <w:tcPr>
            <w:tcW w:w="60" w:type="dxa"/>
            <w:tcBorders/>
            <w:shd w:fill="FFFFFF" w:val="clear"/>
            <w:vAlign w:val="center"/>
          </w:tcPr>
          <w:p>
            <w:pPr>
              <w:pStyle w:val="TableContents"/>
              <w:bidi w:val="0"/>
              <w:spacing w:before="0" w:after="283"/>
              <w:jc w:val="left"/>
              <w:rPr/>
            </w:pPr>
            <w:r>
              <w:rPr/>
              <w:t> </w:t>
            </w:r>
          </w:p>
        </w:tc>
        <w:tc>
          <w:tcPr>
            <w:tcW w:w="65" w:type="dxa"/>
            <w:tcBorders/>
            <w:shd w:fill="FFFFFF" w:val="clear"/>
            <w:vAlign w:val="center"/>
          </w:tcPr>
          <w:p>
            <w:pPr>
              <w:pStyle w:val="TableContents"/>
              <w:bidi w:val="0"/>
              <w:spacing w:before="0" w:after="283"/>
              <w:jc w:val="left"/>
              <w:rPr/>
            </w:pPr>
            <w:r>
              <w:rPr/>
              <w:t> </w:t>
            </w:r>
          </w:p>
        </w:tc>
        <w:tc>
          <w:tcPr>
            <w:tcW w:w="614" w:type="dxa"/>
            <w:tcBorders/>
            <w:shd w:fill="FFFFFF" w:val="clear"/>
            <w:vAlign w:val="center"/>
          </w:tcPr>
          <w:p>
            <w:pPr>
              <w:pStyle w:val="TableContents"/>
              <w:bidi w:val="0"/>
              <w:spacing w:before="0" w:after="283"/>
              <w:jc w:val="right"/>
              <w:rPr/>
            </w:pPr>
            <w:r>
              <w:rPr/>
              <w:t>0.185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5" w:type="dxa"/>
            <w:tcBorders/>
            <w:shd w:fill="FFFFFF" w:val="clear"/>
            <w:vAlign w:val="center"/>
          </w:tcPr>
          <w:p>
            <w:pPr>
              <w:pStyle w:val="TableContents"/>
              <w:bidi w:val="0"/>
              <w:spacing w:before="0" w:after="283"/>
              <w:jc w:val="left"/>
              <w:rPr/>
            </w:pPr>
            <w:r>
              <w:rPr/>
              <w:t> </w:t>
            </w:r>
          </w:p>
        </w:tc>
        <w:tc>
          <w:tcPr>
            <w:tcW w:w="615" w:type="dxa"/>
            <w:tcBorders/>
            <w:shd w:fill="FFFFFF" w:val="clear"/>
            <w:vAlign w:val="center"/>
          </w:tcPr>
          <w:p>
            <w:pPr>
              <w:pStyle w:val="TableContents"/>
              <w:bidi w:val="0"/>
              <w:spacing w:before="0" w:after="283"/>
              <w:jc w:val="right"/>
              <w:rPr/>
            </w:pPr>
            <w:r>
              <w:rPr/>
              <w:t>0.214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5" w:type="dxa"/>
            <w:tcBorders/>
            <w:shd w:fill="FFFFFF" w:val="clear"/>
            <w:vAlign w:val="center"/>
          </w:tcPr>
          <w:p>
            <w:pPr>
              <w:pStyle w:val="TableContents"/>
              <w:bidi w:val="0"/>
              <w:spacing w:before="0" w:after="283"/>
              <w:jc w:val="left"/>
              <w:rPr/>
            </w:pPr>
            <w:r>
              <w:rPr/>
              <w:t> </w:t>
            </w:r>
          </w:p>
        </w:tc>
        <w:tc>
          <w:tcPr>
            <w:tcW w:w="615" w:type="dxa"/>
            <w:tcBorders/>
            <w:shd w:fill="FFFFFF" w:val="clear"/>
            <w:vAlign w:val="center"/>
          </w:tcPr>
          <w:p>
            <w:pPr>
              <w:pStyle w:val="TableContents"/>
              <w:bidi w:val="0"/>
              <w:spacing w:before="0" w:after="283"/>
              <w:jc w:val="right"/>
              <w:rPr/>
            </w:pPr>
            <w:r>
              <w:rPr/>
              <w:t>0.242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5" w:type="dxa"/>
            <w:tcBorders/>
            <w:shd w:fill="FFFFFF" w:val="clear"/>
            <w:vAlign w:val="center"/>
          </w:tcPr>
          <w:p>
            <w:pPr>
              <w:pStyle w:val="TableContents"/>
              <w:bidi w:val="0"/>
              <w:spacing w:before="0" w:after="283"/>
              <w:jc w:val="left"/>
              <w:rPr/>
            </w:pPr>
            <w:r>
              <w:rPr/>
              <w:t> </w:t>
            </w:r>
          </w:p>
        </w:tc>
        <w:tc>
          <w:tcPr>
            <w:tcW w:w="615" w:type="dxa"/>
            <w:tcBorders/>
            <w:shd w:fill="FFFFFF" w:val="clear"/>
            <w:vAlign w:val="center"/>
          </w:tcPr>
          <w:p>
            <w:pPr>
              <w:pStyle w:val="TableContents"/>
              <w:bidi w:val="0"/>
              <w:spacing w:before="0" w:after="283"/>
              <w:jc w:val="right"/>
              <w:rPr/>
            </w:pPr>
            <w:r>
              <w:rPr/>
              <w:t>0.268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5" w:type="dxa"/>
            <w:tcBorders/>
            <w:shd w:fill="FFFFFF" w:val="clear"/>
            <w:vAlign w:val="center"/>
          </w:tcPr>
          <w:p>
            <w:pPr>
              <w:pStyle w:val="TableContents"/>
              <w:bidi w:val="0"/>
              <w:spacing w:before="0" w:after="283"/>
              <w:jc w:val="left"/>
              <w:rPr/>
            </w:pPr>
            <w:r>
              <w:rPr/>
              <w:t> </w:t>
            </w:r>
          </w:p>
        </w:tc>
        <w:tc>
          <w:tcPr>
            <w:tcW w:w="615" w:type="dxa"/>
            <w:tcBorders/>
            <w:shd w:fill="FFFFFF" w:val="clear"/>
            <w:vAlign w:val="center"/>
          </w:tcPr>
          <w:p>
            <w:pPr>
              <w:pStyle w:val="TableContents"/>
              <w:bidi w:val="0"/>
              <w:spacing w:before="0" w:after="283"/>
              <w:jc w:val="right"/>
              <w:rPr/>
            </w:pPr>
            <w:r>
              <w:rPr/>
              <w:t>0.291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5" w:type="dxa"/>
            <w:tcBorders/>
            <w:shd w:fill="FFFFFF" w:val="clear"/>
            <w:vAlign w:val="center"/>
          </w:tcPr>
          <w:p>
            <w:pPr>
              <w:pStyle w:val="TableContents"/>
              <w:bidi w:val="0"/>
              <w:spacing w:before="0" w:after="283"/>
              <w:jc w:val="left"/>
              <w:rPr/>
            </w:pPr>
            <w:r>
              <w:rPr/>
              <w:t> </w:t>
            </w:r>
          </w:p>
        </w:tc>
        <w:tc>
          <w:tcPr>
            <w:tcW w:w="615" w:type="dxa"/>
            <w:tcBorders/>
            <w:shd w:fill="FFFFFF" w:val="clear"/>
            <w:vAlign w:val="center"/>
          </w:tcPr>
          <w:p>
            <w:pPr>
              <w:pStyle w:val="TableContents"/>
              <w:bidi w:val="0"/>
              <w:spacing w:before="0" w:after="283"/>
              <w:jc w:val="right"/>
              <w:rPr/>
            </w:pPr>
            <w:r>
              <w:rPr/>
              <w:t>0.313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5" w:type="dxa"/>
            <w:tcBorders/>
            <w:shd w:fill="FFFFFF" w:val="clear"/>
            <w:vAlign w:val="center"/>
          </w:tcPr>
          <w:p>
            <w:pPr>
              <w:pStyle w:val="TableContents"/>
              <w:bidi w:val="0"/>
              <w:spacing w:before="0" w:after="283"/>
              <w:jc w:val="left"/>
              <w:rPr/>
            </w:pPr>
            <w:r>
              <w:rPr/>
              <w:t> </w:t>
            </w:r>
          </w:p>
        </w:tc>
        <w:tc>
          <w:tcPr>
            <w:tcW w:w="615" w:type="dxa"/>
            <w:tcBorders/>
            <w:shd w:fill="FFFFFF" w:val="clear"/>
            <w:vAlign w:val="center"/>
          </w:tcPr>
          <w:p>
            <w:pPr>
              <w:pStyle w:val="TableContents"/>
              <w:bidi w:val="0"/>
              <w:spacing w:before="0" w:after="283"/>
              <w:jc w:val="right"/>
              <w:rPr/>
            </w:pPr>
            <w:r>
              <w:rPr/>
              <w:t>0.332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5" w:type="dxa"/>
            <w:tcBorders/>
            <w:shd w:fill="FFFFFF" w:val="clear"/>
            <w:vAlign w:val="center"/>
          </w:tcPr>
          <w:p>
            <w:pPr>
              <w:pStyle w:val="TableContents"/>
              <w:bidi w:val="0"/>
              <w:spacing w:before="0" w:after="283"/>
              <w:jc w:val="left"/>
              <w:rPr/>
            </w:pPr>
            <w:r>
              <w:rPr/>
              <w:t> </w:t>
            </w:r>
          </w:p>
        </w:tc>
        <w:tc>
          <w:tcPr>
            <w:tcW w:w="615" w:type="dxa"/>
            <w:tcBorders/>
            <w:shd w:fill="FFFFFF" w:val="clear"/>
            <w:vAlign w:val="center"/>
          </w:tcPr>
          <w:p>
            <w:pPr>
              <w:pStyle w:val="TableContents"/>
              <w:bidi w:val="0"/>
              <w:spacing w:before="0" w:after="283"/>
              <w:jc w:val="right"/>
              <w:rPr/>
            </w:pPr>
            <w:r>
              <w:rPr/>
              <w:t>0.350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5" w:type="dxa"/>
            <w:tcBorders/>
            <w:shd w:fill="FFFFFF" w:val="clear"/>
            <w:vAlign w:val="center"/>
          </w:tcPr>
          <w:p>
            <w:pPr>
              <w:pStyle w:val="TableContents"/>
              <w:bidi w:val="0"/>
              <w:spacing w:before="0" w:after="283"/>
              <w:jc w:val="left"/>
              <w:rPr/>
            </w:pPr>
            <w:r>
              <w:rPr/>
              <w:t> </w:t>
            </w:r>
          </w:p>
        </w:tc>
        <w:tc>
          <w:tcPr>
            <w:tcW w:w="614" w:type="dxa"/>
            <w:tcBorders/>
            <w:shd w:fill="FFFFFF" w:val="clear"/>
            <w:vAlign w:val="center"/>
          </w:tcPr>
          <w:p>
            <w:pPr>
              <w:pStyle w:val="TableContents"/>
              <w:bidi w:val="0"/>
              <w:spacing w:before="0" w:after="283"/>
              <w:jc w:val="right"/>
              <w:rPr/>
            </w:pPr>
            <w:r>
              <w:rPr/>
              <w:t>0.361</w:t>
            </w:r>
          </w:p>
        </w:tc>
        <w:tc>
          <w:tcPr>
            <w:tcW w:w="78" w:type="dxa"/>
            <w:tcBorders/>
            <w:shd w:fill="FFFFFF" w:val="clear"/>
            <w:vAlign w:val="center"/>
          </w:tcPr>
          <w:p>
            <w:pPr>
              <w:pStyle w:val="TableContents"/>
              <w:bidi w:val="0"/>
              <w:spacing w:before="0" w:after="283"/>
              <w:jc w:val="left"/>
              <w:rPr/>
            </w:pPr>
            <w:r>
              <w:rPr/>
              <w:t> </w:t>
            </w:r>
          </w:p>
        </w:tc>
      </w:tr>
      <w:tr>
        <w:trPr/>
        <w:tc>
          <w:tcPr>
            <w:tcW w:w="2989" w:type="dxa"/>
            <w:tcBorders/>
            <w:shd w:fill="CCEEFF" w:val="clear"/>
            <w:vAlign w:val="center"/>
          </w:tcPr>
          <w:p>
            <w:pPr>
              <w:pStyle w:val="TableContents"/>
              <w:bidi w:val="0"/>
              <w:spacing w:before="0" w:after="283"/>
              <w:jc w:val="left"/>
              <w:rPr/>
            </w:pPr>
            <w:r>
              <w:rPr/>
              <w:t>24 months</w:t>
            </w:r>
          </w:p>
        </w:tc>
        <w:tc>
          <w:tcPr>
            <w:tcW w:w="60"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jc w:val="left"/>
              <w:rPr/>
            </w:pPr>
            <w:r>
              <w:rPr/>
              <w:t> </w:t>
            </w:r>
          </w:p>
        </w:tc>
        <w:tc>
          <w:tcPr>
            <w:tcW w:w="614" w:type="dxa"/>
            <w:tcBorders/>
            <w:shd w:fill="CCEEFF" w:val="clear"/>
            <w:vAlign w:val="center"/>
          </w:tcPr>
          <w:p>
            <w:pPr>
              <w:pStyle w:val="TableContents"/>
              <w:bidi w:val="0"/>
              <w:spacing w:before="0" w:after="283"/>
              <w:jc w:val="right"/>
              <w:rPr/>
            </w:pPr>
            <w:r>
              <w:rPr/>
              <w:t>0.173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jc w:val="left"/>
              <w:rPr/>
            </w:pPr>
            <w:r>
              <w:rPr/>
              <w:t> </w:t>
            </w:r>
          </w:p>
        </w:tc>
        <w:tc>
          <w:tcPr>
            <w:tcW w:w="615" w:type="dxa"/>
            <w:tcBorders/>
            <w:shd w:fill="CCEEFF" w:val="clear"/>
            <w:vAlign w:val="center"/>
          </w:tcPr>
          <w:p>
            <w:pPr>
              <w:pStyle w:val="TableContents"/>
              <w:bidi w:val="0"/>
              <w:spacing w:before="0" w:after="283"/>
              <w:jc w:val="right"/>
              <w:rPr/>
            </w:pPr>
            <w:r>
              <w:rPr/>
              <w:t>0.204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jc w:val="left"/>
              <w:rPr/>
            </w:pPr>
            <w:r>
              <w:rPr/>
              <w:t> </w:t>
            </w:r>
          </w:p>
        </w:tc>
        <w:tc>
          <w:tcPr>
            <w:tcW w:w="615" w:type="dxa"/>
            <w:tcBorders/>
            <w:shd w:fill="CCEEFF" w:val="clear"/>
            <w:vAlign w:val="center"/>
          </w:tcPr>
          <w:p>
            <w:pPr>
              <w:pStyle w:val="TableContents"/>
              <w:bidi w:val="0"/>
              <w:spacing w:before="0" w:after="283"/>
              <w:jc w:val="right"/>
              <w:rPr/>
            </w:pPr>
            <w:r>
              <w:rPr/>
              <w:t>0.233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jc w:val="left"/>
              <w:rPr/>
            </w:pPr>
            <w:r>
              <w:rPr/>
              <w:t> </w:t>
            </w:r>
          </w:p>
        </w:tc>
        <w:tc>
          <w:tcPr>
            <w:tcW w:w="615" w:type="dxa"/>
            <w:tcBorders/>
            <w:shd w:fill="CCEEFF" w:val="clear"/>
            <w:vAlign w:val="center"/>
          </w:tcPr>
          <w:p>
            <w:pPr>
              <w:pStyle w:val="TableContents"/>
              <w:bidi w:val="0"/>
              <w:spacing w:before="0" w:after="283"/>
              <w:jc w:val="right"/>
              <w:rPr/>
            </w:pPr>
            <w:r>
              <w:rPr/>
              <w:t>0.260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jc w:val="left"/>
              <w:rPr/>
            </w:pPr>
            <w:r>
              <w:rPr/>
              <w:t> </w:t>
            </w:r>
          </w:p>
        </w:tc>
        <w:tc>
          <w:tcPr>
            <w:tcW w:w="615" w:type="dxa"/>
            <w:tcBorders/>
            <w:shd w:fill="CCEEFF" w:val="clear"/>
            <w:vAlign w:val="center"/>
          </w:tcPr>
          <w:p>
            <w:pPr>
              <w:pStyle w:val="TableContents"/>
              <w:bidi w:val="0"/>
              <w:spacing w:before="0" w:after="283"/>
              <w:jc w:val="right"/>
              <w:rPr/>
            </w:pPr>
            <w:r>
              <w:rPr/>
              <w:t>0.285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jc w:val="left"/>
              <w:rPr/>
            </w:pPr>
            <w:r>
              <w:rPr/>
              <w:t> </w:t>
            </w:r>
          </w:p>
        </w:tc>
        <w:tc>
          <w:tcPr>
            <w:tcW w:w="615" w:type="dxa"/>
            <w:tcBorders/>
            <w:shd w:fill="CCEEFF" w:val="clear"/>
            <w:vAlign w:val="center"/>
          </w:tcPr>
          <w:p>
            <w:pPr>
              <w:pStyle w:val="TableContents"/>
              <w:bidi w:val="0"/>
              <w:spacing w:before="0" w:after="283"/>
              <w:jc w:val="right"/>
              <w:rPr/>
            </w:pPr>
            <w:r>
              <w:rPr/>
              <w:t>0.308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jc w:val="left"/>
              <w:rPr/>
            </w:pPr>
            <w:r>
              <w:rPr/>
              <w:t> </w:t>
            </w:r>
          </w:p>
        </w:tc>
        <w:tc>
          <w:tcPr>
            <w:tcW w:w="615" w:type="dxa"/>
            <w:tcBorders/>
            <w:shd w:fill="CCEEFF" w:val="clear"/>
            <w:vAlign w:val="center"/>
          </w:tcPr>
          <w:p>
            <w:pPr>
              <w:pStyle w:val="TableContents"/>
              <w:bidi w:val="0"/>
              <w:spacing w:before="0" w:after="283"/>
              <w:jc w:val="right"/>
              <w:rPr/>
            </w:pPr>
            <w:r>
              <w:rPr/>
              <w:t>0.329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jc w:val="left"/>
              <w:rPr/>
            </w:pPr>
            <w:r>
              <w:rPr/>
              <w:t> </w:t>
            </w:r>
          </w:p>
        </w:tc>
        <w:tc>
          <w:tcPr>
            <w:tcW w:w="615" w:type="dxa"/>
            <w:tcBorders/>
            <w:shd w:fill="CCEEFF" w:val="clear"/>
            <w:vAlign w:val="center"/>
          </w:tcPr>
          <w:p>
            <w:pPr>
              <w:pStyle w:val="TableContents"/>
              <w:bidi w:val="0"/>
              <w:spacing w:before="0" w:after="283"/>
              <w:jc w:val="right"/>
              <w:rPr/>
            </w:pPr>
            <w:r>
              <w:rPr/>
              <w:t>0.348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jc w:val="left"/>
              <w:rPr/>
            </w:pPr>
            <w:r>
              <w:rPr/>
              <w:t> </w:t>
            </w:r>
          </w:p>
        </w:tc>
        <w:tc>
          <w:tcPr>
            <w:tcW w:w="614" w:type="dxa"/>
            <w:tcBorders/>
            <w:shd w:fill="CCEEFF" w:val="clear"/>
            <w:vAlign w:val="center"/>
          </w:tcPr>
          <w:p>
            <w:pPr>
              <w:pStyle w:val="TableContents"/>
              <w:bidi w:val="0"/>
              <w:spacing w:before="0" w:after="283"/>
              <w:jc w:val="right"/>
              <w:rPr/>
            </w:pPr>
            <w:r>
              <w:rPr/>
              <w:t>0.361</w:t>
            </w:r>
          </w:p>
        </w:tc>
        <w:tc>
          <w:tcPr>
            <w:tcW w:w="78" w:type="dxa"/>
            <w:tcBorders/>
            <w:shd w:fill="CCEEFF" w:val="clear"/>
            <w:vAlign w:val="center"/>
          </w:tcPr>
          <w:p>
            <w:pPr>
              <w:pStyle w:val="TableContents"/>
              <w:bidi w:val="0"/>
              <w:spacing w:before="0" w:after="283"/>
              <w:jc w:val="left"/>
              <w:rPr/>
            </w:pPr>
            <w:r>
              <w:rPr/>
              <w:t> </w:t>
            </w:r>
          </w:p>
        </w:tc>
      </w:tr>
      <w:tr>
        <w:trPr/>
        <w:tc>
          <w:tcPr>
            <w:tcW w:w="2989" w:type="dxa"/>
            <w:tcBorders/>
            <w:shd w:fill="FFFFFF" w:val="clear"/>
            <w:vAlign w:val="center"/>
          </w:tcPr>
          <w:p>
            <w:pPr>
              <w:pStyle w:val="TableContents"/>
              <w:bidi w:val="0"/>
              <w:spacing w:before="0" w:after="283"/>
              <w:jc w:val="left"/>
              <w:rPr/>
            </w:pPr>
            <w:r>
              <w:rPr/>
              <w:t>21 months</w:t>
            </w:r>
          </w:p>
        </w:tc>
        <w:tc>
          <w:tcPr>
            <w:tcW w:w="60" w:type="dxa"/>
            <w:tcBorders/>
            <w:shd w:fill="FFFFFF" w:val="clear"/>
            <w:vAlign w:val="center"/>
          </w:tcPr>
          <w:p>
            <w:pPr>
              <w:pStyle w:val="TableContents"/>
              <w:bidi w:val="0"/>
              <w:spacing w:before="0" w:after="283"/>
              <w:jc w:val="left"/>
              <w:rPr/>
            </w:pPr>
            <w:r>
              <w:rPr/>
              <w:t> </w:t>
            </w:r>
          </w:p>
        </w:tc>
        <w:tc>
          <w:tcPr>
            <w:tcW w:w="65" w:type="dxa"/>
            <w:tcBorders/>
            <w:shd w:fill="FFFFFF" w:val="clear"/>
            <w:vAlign w:val="center"/>
          </w:tcPr>
          <w:p>
            <w:pPr>
              <w:pStyle w:val="TableContents"/>
              <w:bidi w:val="0"/>
              <w:spacing w:before="0" w:after="283"/>
              <w:jc w:val="left"/>
              <w:rPr/>
            </w:pPr>
            <w:r>
              <w:rPr/>
              <w:t> </w:t>
            </w:r>
          </w:p>
        </w:tc>
        <w:tc>
          <w:tcPr>
            <w:tcW w:w="614" w:type="dxa"/>
            <w:tcBorders/>
            <w:shd w:fill="FFFFFF" w:val="clear"/>
            <w:vAlign w:val="center"/>
          </w:tcPr>
          <w:p>
            <w:pPr>
              <w:pStyle w:val="TableContents"/>
              <w:bidi w:val="0"/>
              <w:spacing w:before="0" w:after="283"/>
              <w:jc w:val="right"/>
              <w:rPr/>
            </w:pPr>
            <w:r>
              <w:rPr/>
              <w:t>0.161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5" w:type="dxa"/>
            <w:tcBorders/>
            <w:shd w:fill="FFFFFF" w:val="clear"/>
            <w:vAlign w:val="center"/>
          </w:tcPr>
          <w:p>
            <w:pPr>
              <w:pStyle w:val="TableContents"/>
              <w:bidi w:val="0"/>
              <w:spacing w:before="0" w:after="283"/>
              <w:jc w:val="left"/>
              <w:rPr/>
            </w:pPr>
            <w:r>
              <w:rPr/>
              <w:t> </w:t>
            </w:r>
          </w:p>
        </w:tc>
        <w:tc>
          <w:tcPr>
            <w:tcW w:w="615" w:type="dxa"/>
            <w:tcBorders/>
            <w:shd w:fill="FFFFFF" w:val="clear"/>
            <w:vAlign w:val="center"/>
          </w:tcPr>
          <w:p>
            <w:pPr>
              <w:pStyle w:val="TableContents"/>
              <w:bidi w:val="0"/>
              <w:spacing w:before="0" w:after="283"/>
              <w:jc w:val="right"/>
              <w:rPr/>
            </w:pPr>
            <w:r>
              <w:rPr/>
              <w:t>0.193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5" w:type="dxa"/>
            <w:tcBorders/>
            <w:shd w:fill="FFFFFF" w:val="clear"/>
            <w:vAlign w:val="center"/>
          </w:tcPr>
          <w:p>
            <w:pPr>
              <w:pStyle w:val="TableContents"/>
              <w:bidi w:val="0"/>
              <w:spacing w:before="0" w:after="283"/>
              <w:jc w:val="left"/>
              <w:rPr/>
            </w:pPr>
            <w:r>
              <w:rPr/>
              <w:t> </w:t>
            </w:r>
          </w:p>
        </w:tc>
        <w:tc>
          <w:tcPr>
            <w:tcW w:w="615" w:type="dxa"/>
            <w:tcBorders/>
            <w:shd w:fill="FFFFFF" w:val="clear"/>
            <w:vAlign w:val="center"/>
          </w:tcPr>
          <w:p>
            <w:pPr>
              <w:pStyle w:val="TableContents"/>
              <w:bidi w:val="0"/>
              <w:spacing w:before="0" w:after="283"/>
              <w:jc w:val="right"/>
              <w:rPr/>
            </w:pPr>
            <w:r>
              <w:rPr/>
              <w:t>0.223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5" w:type="dxa"/>
            <w:tcBorders/>
            <w:shd w:fill="FFFFFF" w:val="clear"/>
            <w:vAlign w:val="center"/>
          </w:tcPr>
          <w:p>
            <w:pPr>
              <w:pStyle w:val="TableContents"/>
              <w:bidi w:val="0"/>
              <w:spacing w:before="0" w:after="283"/>
              <w:jc w:val="left"/>
              <w:rPr/>
            </w:pPr>
            <w:r>
              <w:rPr/>
              <w:t> </w:t>
            </w:r>
          </w:p>
        </w:tc>
        <w:tc>
          <w:tcPr>
            <w:tcW w:w="615" w:type="dxa"/>
            <w:tcBorders/>
            <w:shd w:fill="FFFFFF" w:val="clear"/>
            <w:vAlign w:val="center"/>
          </w:tcPr>
          <w:p>
            <w:pPr>
              <w:pStyle w:val="TableContents"/>
              <w:bidi w:val="0"/>
              <w:spacing w:before="0" w:after="283"/>
              <w:jc w:val="right"/>
              <w:rPr/>
            </w:pPr>
            <w:r>
              <w:rPr/>
              <w:t>0.252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5" w:type="dxa"/>
            <w:tcBorders/>
            <w:shd w:fill="FFFFFF" w:val="clear"/>
            <w:vAlign w:val="center"/>
          </w:tcPr>
          <w:p>
            <w:pPr>
              <w:pStyle w:val="TableContents"/>
              <w:bidi w:val="0"/>
              <w:spacing w:before="0" w:after="283"/>
              <w:jc w:val="left"/>
              <w:rPr/>
            </w:pPr>
            <w:r>
              <w:rPr/>
              <w:t> </w:t>
            </w:r>
          </w:p>
        </w:tc>
        <w:tc>
          <w:tcPr>
            <w:tcW w:w="615" w:type="dxa"/>
            <w:tcBorders/>
            <w:shd w:fill="FFFFFF" w:val="clear"/>
            <w:vAlign w:val="center"/>
          </w:tcPr>
          <w:p>
            <w:pPr>
              <w:pStyle w:val="TableContents"/>
              <w:bidi w:val="0"/>
              <w:spacing w:before="0" w:after="283"/>
              <w:jc w:val="right"/>
              <w:rPr/>
            </w:pPr>
            <w:r>
              <w:rPr/>
              <w:t>0.279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5" w:type="dxa"/>
            <w:tcBorders/>
            <w:shd w:fill="FFFFFF" w:val="clear"/>
            <w:vAlign w:val="center"/>
          </w:tcPr>
          <w:p>
            <w:pPr>
              <w:pStyle w:val="TableContents"/>
              <w:bidi w:val="0"/>
              <w:spacing w:before="0" w:after="283"/>
              <w:jc w:val="left"/>
              <w:rPr/>
            </w:pPr>
            <w:r>
              <w:rPr/>
              <w:t> </w:t>
            </w:r>
          </w:p>
        </w:tc>
        <w:tc>
          <w:tcPr>
            <w:tcW w:w="615" w:type="dxa"/>
            <w:tcBorders/>
            <w:shd w:fill="FFFFFF" w:val="clear"/>
            <w:vAlign w:val="center"/>
          </w:tcPr>
          <w:p>
            <w:pPr>
              <w:pStyle w:val="TableContents"/>
              <w:bidi w:val="0"/>
              <w:spacing w:before="0" w:after="283"/>
              <w:jc w:val="right"/>
              <w:rPr/>
            </w:pPr>
            <w:r>
              <w:rPr/>
              <w:t>0.304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5" w:type="dxa"/>
            <w:tcBorders/>
            <w:shd w:fill="FFFFFF" w:val="clear"/>
            <w:vAlign w:val="center"/>
          </w:tcPr>
          <w:p>
            <w:pPr>
              <w:pStyle w:val="TableContents"/>
              <w:bidi w:val="0"/>
              <w:spacing w:before="0" w:after="283"/>
              <w:jc w:val="left"/>
              <w:rPr/>
            </w:pPr>
            <w:r>
              <w:rPr/>
              <w:t> </w:t>
            </w:r>
          </w:p>
        </w:tc>
        <w:tc>
          <w:tcPr>
            <w:tcW w:w="615" w:type="dxa"/>
            <w:tcBorders/>
            <w:shd w:fill="FFFFFF" w:val="clear"/>
            <w:vAlign w:val="center"/>
          </w:tcPr>
          <w:p>
            <w:pPr>
              <w:pStyle w:val="TableContents"/>
              <w:bidi w:val="0"/>
              <w:spacing w:before="0" w:after="283"/>
              <w:jc w:val="right"/>
              <w:rPr/>
            </w:pPr>
            <w:r>
              <w:rPr/>
              <w:t>0.326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5" w:type="dxa"/>
            <w:tcBorders/>
            <w:shd w:fill="FFFFFF" w:val="clear"/>
            <w:vAlign w:val="center"/>
          </w:tcPr>
          <w:p>
            <w:pPr>
              <w:pStyle w:val="TableContents"/>
              <w:bidi w:val="0"/>
              <w:spacing w:before="0" w:after="283"/>
              <w:jc w:val="left"/>
              <w:rPr/>
            </w:pPr>
            <w:r>
              <w:rPr/>
              <w:t> </w:t>
            </w:r>
          </w:p>
        </w:tc>
        <w:tc>
          <w:tcPr>
            <w:tcW w:w="615" w:type="dxa"/>
            <w:tcBorders/>
            <w:shd w:fill="FFFFFF" w:val="clear"/>
            <w:vAlign w:val="center"/>
          </w:tcPr>
          <w:p>
            <w:pPr>
              <w:pStyle w:val="TableContents"/>
              <w:bidi w:val="0"/>
              <w:spacing w:before="0" w:after="283"/>
              <w:jc w:val="right"/>
              <w:rPr/>
            </w:pPr>
            <w:r>
              <w:rPr/>
              <w:t>0.347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5" w:type="dxa"/>
            <w:tcBorders/>
            <w:shd w:fill="FFFFFF" w:val="clear"/>
            <w:vAlign w:val="center"/>
          </w:tcPr>
          <w:p>
            <w:pPr>
              <w:pStyle w:val="TableContents"/>
              <w:bidi w:val="0"/>
              <w:spacing w:before="0" w:after="283"/>
              <w:jc w:val="left"/>
              <w:rPr/>
            </w:pPr>
            <w:r>
              <w:rPr/>
              <w:t> </w:t>
            </w:r>
          </w:p>
        </w:tc>
        <w:tc>
          <w:tcPr>
            <w:tcW w:w="614" w:type="dxa"/>
            <w:tcBorders/>
            <w:shd w:fill="FFFFFF" w:val="clear"/>
            <w:vAlign w:val="center"/>
          </w:tcPr>
          <w:p>
            <w:pPr>
              <w:pStyle w:val="TableContents"/>
              <w:bidi w:val="0"/>
              <w:spacing w:before="0" w:after="283"/>
              <w:jc w:val="right"/>
              <w:rPr/>
            </w:pPr>
            <w:r>
              <w:rPr/>
              <w:t>0.361</w:t>
            </w:r>
          </w:p>
        </w:tc>
        <w:tc>
          <w:tcPr>
            <w:tcW w:w="78" w:type="dxa"/>
            <w:tcBorders/>
            <w:shd w:fill="FFFFFF" w:val="clear"/>
            <w:vAlign w:val="center"/>
          </w:tcPr>
          <w:p>
            <w:pPr>
              <w:pStyle w:val="TableContents"/>
              <w:bidi w:val="0"/>
              <w:spacing w:before="0" w:after="283"/>
              <w:jc w:val="left"/>
              <w:rPr/>
            </w:pPr>
            <w:r>
              <w:rPr/>
              <w:t> </w:t>
            </w:r>
          </w:p>
        </w:tc>
      </w:tr>
      <w:tr>
        <w:trPr/>
        <w:tc>
          <w:tcPr>
            <w:tcW w:w="2989" w:type="dxa"/>
            <w:tcBorders/>
            <w:shd w:fill="CCEEFF" w:val="clear"/>
            <w:vAlign w:val="center"/>
          </w:tcPr>
          <w:p>
            <w:pPr>
              <w:pStyle w:val="TableContents"/>
              <w:bidi w:val="0"/>
              <w:spacing w:before="0" w:after="283"/>
              <w:jc w:val="left"/>
              <w:rPr/>
            </w:pPr>
            <w:r>
              <w:rPr/>
              <w:t>18 months</w:t>
            </w:r>
          </w:p>
        </w:tc>
        <w:tc>
          <w:tcPr>
            <w:tcW w:w="60"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jc w:val="left"/>
              <w:rPr/>
            </w:pPr>
            <w:r>
              <w:rPr/>
              <w:t> </w:t>
            </w:r>
          </w:p>
        </w:tc>
        <w:tc>
          <w:tcPr>
            <w:tcW w:w="614" w:type="dxa"/>
            <w:tcBorders/>
            <w:shd w:fill="CCEEFF" w:val="clear"/>
            <w:vAlign w:val="center"/>
          </w:tcPr>
          <w:p>
            <w:pPr>
              <w:pStyle w:val="TableContents"/>
              <w:bidi w:val="0"/>
              <w:spacing w:before="0" w:after="283"/>
              <w:jc w:val="right"/>
              <w:rPr/>
            </w:pPr>
            <w:r>
              <w:rPr/>
              <w:t>0.146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jc w:val="left"/>
              <w:rPr/>
            </w:pPr>
            <w:r>
              <w:rPr/>
              <w:t> </w:t>
            </w:r>
          </w:p>
        </w:tc>
        <w:tc>
          <w:tcPr>
            <w:tcW w:w="615" w:type="dxa"/>
            <w:tcBorders/>
            <w:shd w:fill="CCEEFF" w:val="clear"/>
            <w:vAlign w:val="center"/>
          </w:tcPr>
          <w:p>
            <w:pPr>
              <w:pStyle w:val="TableContents"/>
              <w:bidi w:val="0"/>
              <w:spacing w:before="0" w:after="283"/>
              <w:jc w:val="right"/>
              <w:rPr/>
            </w:pPr>
            <w:r>
              <w:rPr/>
              <w:t>0.179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jc w:val="left"/>
              <w:rPr/>
            </w:pPr>
            <w:r>
              <w:rPr/>
              <w:t> </w:t>
            </w:r>
          </w:p>
        </w:tc>
        <w:tc>
          <w:tcPr>
            <w:tcW w:w="615" w:type="dxa"/>
            <w:tcBorders/>
            <w:shd w:fill="CCEEFF" w:val="clear"/>
            <w:vAlign w:val="center"/>
          </w:tcPr>
          <w:p>
            <w:pPr>
              <w:pStyle w:val="TableContents"/>
              <w:bidi w:val="0"/>
              <w:spacing w:before="0" w:after="283"/>
              <w:jc w:val="right"/>
              <w:rPr/>
            </w:pPr>
            <w:r>
              <w:rPr/>
              <w:t>0.211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jc w:val="left"/>
              <w:rPr/>
            </w:pPr>
            <w:r>
              <w:rPr/>
              <w:t> </w:t>
            </w:r>
          </w:p>
        </w:tc>
        <w:tc>
          <w:tcPr>
            <w:tcW w:w="615" w:type="dxa"/>
            <w:tcBorders/>
            <w:shd w:fill="CCEEFF" w:val="clear"/>
            <w:vAlign w:val="center"/>
          </w:tcPr>
          <w:p>
            <w:pPr>
              <w:pStyle w:val="TableContents"/>
              <w:bidi w:val="0"/>
              <w:spacing w:before="0" w:after="283"/>
              <w:jc w:val="right"/>
              <w:rPr/>
            </w:pPr>
            <w:r>
              <w:rPr/>
              <w:t>0.242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jc w:val="left"/>
              <w:rPr/>
            </w:pPr>
            <w:r>
              <w:rPr/>
              <w:t> </w:t>
            </w:r>
          </w:p>
        </w:tc>
        <w:tc>
          <w:tcPr>
            <w:tcW w:w="615" w:type="dxa"/>
            <w:tcBorders/>
            <w:shd w:fill="CCEEFF" w:val="clear"/>
            <w:vAlign w:val="center"/>
          </w:tcPr>
          <w:p>
            <w:pPr>
              <w:pStyle w:val="TableContents"/>
              <w:bidi w:val="0"/>
              <w:spacing w:before="0" w:after="283"/>
              <w:jc w:val="right"/>
              <w:rPr/>
            </w:pPr>
            <w:r>
              <w:rPr/>
              <w:t>0.271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jc w:val="left"/>
              <w:rPr/>
            </w:pPr>
            <w:r>
              <w:rPr/>
              <w:t> </w:t>
            </w:r>
          </w:p>
        </w:tc>
        <w:tc>
          <w:tcPr>
            <w:tcW w:w="615" w:type="dxa"/>
            <w:tcBorders/>
            <w:shd w:fill="CCEEFF" w:val="clear"/>
            <w:vAlign w:val="center"/>
          </w:tcPr>
          <w:p>
            <w:pPr>
              <w:pStyle w:val="TableContents"/>
              <w:bidi w:val="0"/>
              <w:spacing w:before="0" w:after="283"/>
              <w:jc w:val="right"/>
              <w:rPr/>
            </w:pPr>
            <w:r>
              <w:rPr/>
              <w:t>0.298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jc w:val="left"/>
              <w:rPr/>
            </w:pPr>
            <w:r>
              <w:rPr/>
              <w:t> </w:t>
            </w:r>
          </w:p>
        </w:tc>
        <w:tc>
          <w:tcPr>
            <w:tcW w:w="615" w:type="dxa"/>
            <w:tcBorders/>
            <w:shd w:fill="CCEEFF" w:val="clear"/>
            <w:vAlign w:val="center"/>
          </w:tcPr>
          <w:p>
            <w:pPr>
              <w:pStyle w:val="TableContents"/>
              <w:bidi w:val="0"/>
              <w:spacing w:before="0" w:after="283"/>
              <w:jc w:val="right"/>
              <w:rPr/>
            </w:pPr>
            <w:r>
              <w:rPr/>
              <w:t>0.322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jc w:val="left"/>
              <w:rPr/>
            </w:pPr>
            <w:r>
              <w:rPr/>
              <w:t> </w:t>
            </w:r>
          </w:p>
        </w:tc>
        <w:tc>
          <w:tcPr>
            <w:tcW w:w="615" w:type="dxa"/>
            <w:tcBorders/>
            <w:shd w:fill="CCEEFF" w:val="clear"/>
            <w:vAlign w:val="center"/>
          </w:tcPr>
          <w:p>
            <w:pPr>
              <w:pStyle w:val="TableContents"/>
              <w:bidi w:val="0"/>
              <w:spacing w:before="0" w:after="283"/>
              <w:jc w:val="right"/>
              <w:rPr/>
            </w:pPr>
            <w:r>
              <w:rPr/>
              <w:t>0.345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jc w:val="left"/>
              <w:rPr/>
            </w:pPr>
            <w:r>
              <w:rPr/>
              <w:t> </w:t>
            </w:r>
          </w:p>
        </w:tc>
        <w:tc>
          <w:tcPr>
            <w:tcW w:w="614" w:type="dxa"/>
            <w:tcBorders/>
            <w:shd w:fill="CCEEFF" w:val="clear"/>
            <w:vAlign w:val="center"/>
          </w:tcPr>
          <w:p>
            <w:pPr>
              <w:pStyle w:val="TableContents"/>
              <w:bidi w:val="0"/>
              <w:spacing w:before="0" w:after="283"/>
              <w:jc w:val="right"/>
              <w:rPr/>
            </w:pPr>
            <w:r>
              <w:rPr/>
              <w:t>0.361</w:t>
            </w:r>
          </w:p>
        </w:tc>
        <w:tc>
          <w:tcPr>
            <w:tcW w:w="78" w:type="dxa"/>
            <w:tcBorders/>
            <w:shd w:fill="CCEEFF" w:val="clear"/>
            <w:vAlign w:val="center"/>
          </w:tcPr>
          <w:p>
            <w:pPr>
              <w:pStyle w:val="TableContents"/>
              <w:bidi w:val="0"/>
              <w:spacing w:before="0" w:after="283"/>
              <w:jc w:val="left"/>
              <w:rPr/>
            </w:pPr>
            <w:r>
              <w:rPr/>
              <w:t> </w:t>
            </w:r>
          </w:p>
        </w:tc>
      </w:tr>
      <w:tr>
        <w:trPr/>
        <w:tc>
          <w:tcPr>
            <w:tcW w:w="2989" w:type="dxa"/>
            <w:tcBorders/>
            <w:shd w:fill="FFFFFF" w:val="clear"/>
            <w:vAlign w:val="center"/>
          </w:tcPr>
          <w:p>
            <w:pPr>
              <w:pStyle w:val="TableContents"/>
              <w:bidi w:val="0"/>
              <w:spacing w:before="0" w:after="283"/>
              <w:jc w:val="left"/>
              <w:rPr/>
            </w:pPr>
            <w:r>
              <w:rPr/>
              <w:t>15 months</w:t>
            </w:r>
          </w:p>
        </w:tc>
        <w:tc>
          <w:tcPr>
            <w:tcW w:w="60" w:type="dxa"/>
            <w:tcBorders/>
            <w:shd w:fill="FFFFFF" w:val="clear"/>
            <w:vAlign w:val="center"/>
          </w:tcPr>
          <w:p>
            <w:pPr>
              <w:pStyle w:val="TableContents"/>
              <w:bidi w:val="0"/>
              <w:spacing w:before="0" w:after="283"/>
              <w:jc w:val="left"/>
              <w:rPr/>
            </w:pPr>
            <w:r>
              <w:rPr/>
              <w:t> </w:t>
            </w:r>
          </w:p>
        </w:tc>
        <w:tc>
          <w:tcPr>
            <w:tcW w:w="65" w:type="dxa"/>
            <w:tcBorders/>
            <w:shd w:fill="FFFFFF" w:val="clear"/>
            <w:vAlign w:val="center"/>
          </w:tcPr>
          <w:p>
            <w:pPr>
              <w:pStyle w:val="TableContents"/>
              <w:bidi w:val="0"/>
              <w:spacing w:before="0" w:after="283"/>
              <w:jc w:val="left"/>
              <w:rPr/>
            </w:pPr>
            <w:r>
              <w:rPr/>
              <w:t> </w:t>
            </w:r>
          </w:p>
        </w:tc>
        <w:tc>
          <w:tcPr>
            <w:tcW w:w="614" w:type="dxa"/>
            <w:tcBorders/>
            <w:shd w:fill="FFFFFF" w:val="clear"/>
            <w:vAlign w:val="center"/>
          </w:tcPr>
          <w:p>
            <w:pPr>
              <w:pStyle w:val="TableContents"/>
              <w:bidi w:val="0"/>
              <w:spacing w:before="0" w:after="283"/>
              <w:jc w:val="right"/>
              <w:rPr/>
            </w:pPr>
            <w:r>
              <w:rPr/>
              <w:t>0.130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5" w:type="dxa"/>
            <w:tcBorders/>
            <w:shd w:fill="FFFFFF" w:val="clear"/>
            <w:vAlign w:val="center"/>
          </w:tcPr>
          <w:p>
            <w:pPr>
              <w:pStyle w:val="TableContents"/>
              <w:bidi w:val="0"/>
              <w:spacing w:before="0" w:after="283"/>
              <w:jc w:val="left"/>
              <w:rPr/>
            </w:pPr>
            <w:r>
              <w:rPr/>
              <w:t> </w:t>
            </w:r>
          </w:p>
        </w:tc>
        <w:tc>
          <w:tcPr>
            <w:tcW w:w="615" w:type="dxa"/>
            <w:tcBorders/>
            <w:shd w:fill="FFFFFF" w:val="clear"/>
            <w:vAlign w:val="center"/>
          </w:tcPr>
          <w:p>
            <w:pPr>
              <w:pStyle w:val="TableContents"/>
              <w:bidi w:val="0"/>
              <w:spacing w:before="0" w:after="283"/>
              <w:jc w:val="right"/>
              <w:rPr/>
            </w:pPr>
            <w:r>
              <w:rPr/>
              <w:t>0.164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5" w:type="dxa"/>
            <w:tcBorders/>
            <w:shd w:fill="FFFFFF" w:val="clear"/>
            <w:vAlign w:val="center"/>
          </w:tcPr>
          <w:p>
            <w:pPr>
              <w:pStyle w:val="TableContents"/>
              <w:bidi w:val="0"/>
              <w:spacing w:before="0" w:after="283"/>
              <w:jc w:val="left"/>
              <w:rPr/>
            </w:pPr>
            <w:r>
              <w:rPr/>
              <w:t> </w:t>
            </w:r>
          </w:p>
        </w:tc>
        <w:tc>
          <w:tcPr>
            <w:tcW w:w="615" w:type="dxa"/>
            <w:tcBorders/>
            <w:shd w:fill="FFFFFF" w:val="clear"/>
            <w:vAlign w:val="center"/>
          </w:tcPr>
          <w:p>
            <w:pPr>
              <w:pStyle w:val="TableContents"/>
              <w:bidi w:val="0"/>
              <w:spacing w:before="0" w:after="283"/>
              <w:jc w:val="right"/>
              <w:rPr/>
            </w:pPr>
            <w:r>
              <w:rPr/>
              <w:t>0.197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5" w:type="dxa"/>
            <w:tcBorders/>
            <w:shd w:fill="FFFFFF" w:val="clear"/>
            <w:vAlign w:val="center"/>
          </w:tcPr>
          <w:p>
            <w:pPr>
              <w:pStyle w:val="TableContents"/>
              <w:bidi w:val="0"/>
              <w:spacing w:before="0" w:after="283"/>
              <w:jc w:val="left"/>
              <w:rPr/>
            </w:pPr>
            <w:r>
              <w:rPr/>
              <w:t> </w:t>
            </w:r>
          </w:p>
        </w:tc>
        <w:tc>
          <w:tcPr>
            <w:tcW w:w="615" w:type="dxa"/>
            <w:tcBorders/>
            <w:shd w:fill="FFFFFF" w:val="clear"/>
            <w:vAlign w:val="center"/>
          </w:tcPr>
          <w:p>
            <w:pPr>
              <w:pStyle w:val="TableContents"/>
              <w:bidi w:val="0"/>
              <w:spacing w:before="0" w:after="283"/>
              <w:jc w:val="right"/>
              <w:rPr/>
            </w:pPr>
            <w:r>
              <w:rPr/>
              <w:t>0.230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5" w:type="dxa"/>
            <w:tcBorders/>
            <w:shd w:fill="FFFFFF" w:val="clear"/>
            <w:vAlign w:val="center"/>
          </w:tcPr>
          <w:p>
            <w:pPr>
              <w:pStyle w:val="TableContents"/>
              <w:bidi w:val="0"/>
              <w:spacing w:before="0" w:after="283"/>
              <w:jc w:val="left"/>
              <w:rPr/>
            </w:pPr>
            <w:r>
              <w:rPr/>
              <w:t> </w:t>
            </w:r>
          </w:p>
        </w:tc>
        <w:tc>
          <w:tcPr>
            <w:tcW w:w="615" w:type="dxa"/>
            <w:tcBorders/>
            <w:shd w:fill="FFFFFF" w:val="clear"/>
            <w:vAlign w:val="center"/>
          </w:tcPr>
          <w:p>
            <w:pPr>
              <w:pStyle w:val="TableContents"/>
              <w:bidi w:val="0"/>
              <w:spacing w:before="0" w:after="283"/>
              <w:jc w:val="right"/>
              <w:rPr/>
            </w:pPr>
            <w:r>
              <w:rPr/>
              <w:t>0.262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5" w:type="dxa"/>
            <w:tcBorders/>
            <w:shd w:fill="FFFFFF" w:val="clear"/>
            <w:vAlign w:val="center"/>
          </w:tcPr>
          <w:p>
            <w:pPr>
              <w:pStyle w:val="TableContents"/>
              <w:bidi w:val="0"/>
              <w:spacing w:before="0" w:after="283"/>
              <w:jc w:val="left"/>
              <w:rPr/>
            </w:pPr>
            <w:r>
              <w:rPr/>
              <w:t> </w:t>
            </w:r>
          </w:p>
        </w:tc>
        <w:tc>
          <w:tcPr>
            <w:tcW w:w="615" w:type="dxa"/>
            <w:tcBorders/>
            <w:shd w:fill="FFFFFF" w:val="clear"/>
            <w:vAlign w:val="center"/>
          </w:tcPr>
          <w:p>
            <w:pPr>
              <w:pStyle w:val="TableContents"/>
              <w:bidi w:val="0"/>
              <w:spacing w:before="0" w:after="283"/>
              <w:jc w:val="right"/>
              <w:rPr/>
            </w:pPr>
            <w:r>
              <w:rPr/>
              <w:t>0.291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5" w:type="dxa"/>
            <w:tcBorders/>
            <w:shd w:fill="FFFFFF" w:val="clear"/>
            <w:vAlign w:val="center"/>
          </w:tcPr>
          <w:p>
            <w:pPr>
              <w:pStyle w:val="TableContents"/>
              <w:bidi w:val="0"/>
              <w:spacing w:before="0" w:after="283"/>
              <w:jc w:val="left"/>
              <w:rPr/>
            </w:pPr>
            <w:r>
              <w:rPr/>
              <w:t> </w:t>
            </w:r>
          </w:p>
        </w:tc>
        <w:tc>
          <w:tcPr>
            <w:tcW w:w="615" w:type="dxa"/>
            <w:tcBorders/>
            <w:shd w:fill="FFFFFF" w:val="clear"/>
            <w:vAlign w:val="center"/>
          </w:tcPr>
          <w:p>
            <w:pPr>
              <w:pStyle w:val="TableContents"/>
              <w:bidi w:val="0"/>
              <w:spacing w:before="0" w:after="283"/>
              <w:jc w:val="right"/>
              <w:rPr/>
            </w:pPr>
            <w:r>
              <w:rPr/>
              <w:t>0.317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5" w:type="dxa"/>
            <w:tcBorders/>
            <w:shd w:fill="FFFFFF" w:val="clear"/>
            <w:vAlign w:val="center"/>
          </w:tcPr>
          <w:p>
            <w:pPr>
              <w:pStyle w:val="TableContents"/>
              <w:bidi w:val="0"/>
              <w:spacing w:before="0" w:after="283"/>
              <w:jc w:val="left"/>
              <w:rPr/>
            </w:pPr>
            <w:r>
              <w:rPr/>
              <w:t> </w:t>
            </w:r>
          </w:p>
        </w:tc>
        <w:tc>
          <w:tcPr>
            <w:tcW w:w="615" w:type="dxa"/>
            <w:tcBorders/>
            <w:shd w:fill="FFFFFF" w:val="clear"/>
            <w:vAlign w:val="center"/>
          </w:tcPr>
          <w:p>
            <w:pPr>
              <w:pStyle w:val="TableContents"/>
              <w:bidi w:val="0"/>
              <w:spacing w:before="0" w:after="283"/>
              <w:jc w:val="right"/>
              <w:rPr/>
            </w:pPr>
            <w:r>
              <w:rPr/>
              <w:t>0.342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5" w:type="dxa"/>
            <w:tcBorders/>
            <w:shd w:fill="FFFFFF" w:val="clear"/>
            <w:vAlign w:val="center"/>
          </w:tcPr>
          <w:p>
            <w:pPr>
              <w:pStyle w:val="TableContents"/>
              <w:bidi w:val="0"/>
              <w:spacing w:before="0" w:after="283"/>
              <w:jc w:val="left"/>
              <w:rPr/>
            </w:pPr>
            <w:r>
              <w:rPr/>
              <w:t> </w:t>
            </w:r>
          </w:p>
        </w:tc>
        <w:tc>
          <w:tcPr>
            <w:tcW w:w="614" w:type="dxa"/>
            <w:tcBorders/>
            <w:shd w:fill="FFFFFF" w:val="clear"/>
            <w:vAlign w:val="center"/>
          </w:tcPr>
          <w:p>
            <w:pPr>
              <w:pStyle w:val="TableContents"/>
              <w:bidi w:val="0"/>
              <w:spacing w:before="0" w:after="283"/>
              <w:jc w:val="right"/>
              <w:rPr/>
            </w:pPr>
            <w:r>
              <w:rPr/>
              <w:t>0.361</w:t>
            </w:r>
          </w:p>
        </w:tc>
        <w:tc>
          <w:tcPr>
            <w:tcW w:w="78" w:type="dxa"/>
            <w:tcBorders/>
            <w:shd w:fill="FFFFFF" w:val="clear"/>
            <w:vAlign w:val="center"/>
          </w:tcPr>
          <w:p>
            <w:pPr>
              <w:pStyle w:val="TableContents"/>
              <w:bidi w:val="0"/>
              <w:spacing w:before="0" w:after="283"/>
              <w:jc w:val="left"/>
              <w:rPr/>
            </w:pPr>
            <w:r>
              <w:rPr/>
              <w:t> </w:t>
            </w:r>
          </w:p>
        </w:tc>
      </w:tr>
      <w:tr>
        <w:trPr/>
        <w:tc>
          <w:tcPr>
            <w:tcW w:w="2989" w:type="dxa"/>
            <w:tcBorders/>
            <w:shd w:fill="CCEEFF" w:val="clear"/>
            <w:vAlign w:val="center"/>
          </w:tcPr>
          <w:p>
            <w:pPr>
              <w:pStyle w:val="TableContents"/>
              <w:bidi w:val="0"/>
              <w:spacing w:before="0" w:after="283"/>
              <w:jc w:val="left"/>
              <w:rPr/>
            </w:pPr>
            <w:r>
              <w:rPr/>
              <w:t>12 months</w:t>
            </w:r>
          </w:p>
        </w:tc>
        <w:tc>
          <w:tcPr>
            <w:tcW w:w="60"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jc w:val="left"/>
              <w:rPr/>
            </w:pPr>
            <w:r>
              <w:rPr/>
              <w:t> </w:t>
            </w:r>
          </w:p>
        </w:tc>
        <w:tc>
          <w:tcPr>
            <w:tcW w:w="614" w:type="dxa"/>
            <w:tcBorders/>
            <w:shd w:fill="CCEEFF" w:val="clear"/>
            <w:vAlign w:val="center"/>
          </w:tcPr>
          <w:p>
            <w:pPr>
              <w:pStyle w:val="TableContents"/>
              <w:bidi w:val="0"/>
              <w:spacing w:before="0" w:after="283"/>
              <w:jc w:val="right"/>
              <w:rPr/>
            </w:pPr>
            <w:r>
              <w:rPr/>
              <w:t>0.111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jc w:val="left"/>
              <w:rPr/>
            </w:pPr>
            <w:r>
              <w:rPr/>
              <w:t> </w:t>
            </w:r>
          </w:p>
        </w:tc>
        <w:tc>
          <w:tcPr>
            <w:tcW w:w="615" w:type="dxa"/>
            <w:tcBorders/>
            <w:shd w:fill="CCEEFF" w:val="clear"/>
            <w:vAlign w:val="center"/>
          </w:tcPr>
          <w:p>
            <w:pPr>
              <w:pStyle w:val="TableContents"/>
              <w:bidi w:val="0"/>
              <w:spacing w:before="0" w:after="283"/>
              <w:jc w:val="right"/>
              <w:rPr/>
            </w:pPr>
            <w:r>
              <w:rPr/>
              <w:t>0.146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jc w:val="left"/>
              <w:rPr/>
            </w:pPr>
            <w:r>
              <w:rPr/>
              <w:t> </w:t>
            </w:r>
          </w:p>
        </w:tc>
        <w:tc>
          <w:tcPr>
            <w:tcW w:w="615" w:type="dxa"/>
            <w:tcBorders/>
            <w:shd w:fill="CCEEFF" w:val="clear"/>
            <w:vAlign w:val="center"/>
          </w:tcPr>
          <w:p>
            <w:pPr>
              <w:pStyle w:val="TableContents"/>
              <w:bidi w:val="0"/>
              <w:spacing w:before="0" w:after="283"/>
              <w:jc w:val="right"/>
              <w:rPr/>
            </w:pPr>
            <w:r>
              <w:rPr/>
              <w:t>0.181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jc w:val="left"/>
              <w:rPr/>
            </w:pPr>
            <w:r>
              <w:rPr/>
              <w:t> </w:t>
            </w:r>
          </w:p>
        </w:tc>
        <w:tc>
          <w:tcPr>
            <w:tcW w:w="615" w:type="dxa"/>
            <w:tcBorders/>
            <w:shd w:fill="CCEEFF" w:val="clear"/>
            <w:vAlign w:val="center"/>
          </w:tcPr>
          <w:p>
            <w:pPr>
              <w:pStyle w:val="TableContents"/>
              <w:bidi w:val="0"/>
              <w:spacing w:before="0" w:after="283"/>
              <w:jc w:val="right"/>
              <w:rPr/>
            </w:pPr>
            <w:r>
              <w:rPr/>
              <w:t>0.216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jc w:val="left"/>
              <w:rPr/>
            </w:pPr>
            <w:r>
              <w:rPr/>
              <w:t> </w:t>
            </w:r>
          </w:p>
        </w:tc>
        <w:tc>
          <w:tcPr>
            <w:tcW w:w="615" w:type="dxa"/>
            <w:tcBorders/>
            <w:shd w:fill="CCEEFF" w:val="clear"/>
            <w:vAlign w:val="center"/>
          </w:tcPr>
          <w:p>
            <w:pPr>
              <w:pStyle w:val="TableContents"/>
              <w:bidi w:val="0"/>
              <w:spacing w:before="0" w:after="283"/>
              <w:jc w:val="right"/>
              <w:rPr/>
            </w:pPr>
            <w:r>
              <w:rPr/>
              <w:t>0.250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jc w:val="left"/>
              <w:rPr/>
            </w:pPr>
            <w:r>
              <w:rPr/>
              <w:t> </w:t>
            </w:r>
          </w:p>
        </w:tc>
        <w:tc>
          <w:tcPr>
            <w:tcW w:w="615" w:type="dxa"/>
            <w:tcBorders/>
            <w:shd w:fill="CCEEFF" w:val="clear"/>
            <w:vAlign w:val="center"/>
          </w:tcPr>
          <w:p>
            <w:pPr>
              <w:pStyle w:val="TableContents"/>
              <w:bidi w:val="0"/>
              <w:spacing w:before="0" w:after="283"/>
              <w:jc w:val="right"/>
              <w:rPr/>
            </w:pPr>
            <w:r>
              <w:rPr/>
              <w:t>0.282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jc w:val="left"/>
              <w:rPr/>
            </w:pPr>
            <w:r>
              <w:rPr/>
              <w:t> </w:t>
            </w:r>
          </w:p>
        </w:tc>
        <w:tc>
          <w:tcPr>
            <w:tcW w:w="615" w:type="dxa"/>
            <w:tcBorders/>
            <w:shd w:fill="CCEEFF" w:val="clear"/>
            <w:vAlign w:val="center"/>
          </w:tcPr>
          <w:p>
            <w:pPr>
              <w:pStyle w:val="TableContents"/>
              <w:bidi w:val="0"/>
              <w:spacing w:before="0" w:after="283"/>
              <w:jc w:val="right"/>
              <w:rPr/>
            </w:pPr>
            <w:r>
              <w:rPr/>
              <w:t>0.312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jc w:val="left"/>
              <w:rPr/>
            </w:pPr>
            <w:r>
              <w:rPr/>
              <w:t> </w:t>
            </w:r>
          </w:p>
        </w:tc>
        <w:tc>
          <w:tcPr>
            <w:tcW w:w="615" w:type="dxa"/>
            <w:tcBorders/>
            <w:shd w:fill="CCEEFF" w:val="clear"/>
            <w:vAlign w:val="center"/>
          </w:tcPr>
          <w:p>
            <w:pPr>
              <w:pStyle w:val="TableContents"/>
              <w:bidi w:val="0"/>
              <w:spacing w:before="0" w:after="283"/>
              <w:jc w:val="right"/>
              <w:rPr/>
            </w:pPr>
            <w:r>
              <w:rPr/>
              <w:t>0.339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jc w:val="left"/>
              <w:rPr/>
            </w:pPr>
            <w:r>
              <w:rPr/>
              <w:t> </w:t>
            </w:r>
          </w:p>
        </w:tc>
        <w:tc>
          <w:tcPr>
            <w:tcW w:w="614" w:type="dxa"/>
            <w:tcBorders/>
            <w:shd w:fill="CCEEFF" w:val="clear"/>
            <w:vAlign w:val="center"/>
          </w:tcPr>
          <w:p>
            <w:pPr>
              <w:pStyle w:val="TableContents"/>
              <w:bidi w:val="0"/>
              <w:spacing w:before="0" w:after="283"/>
              <w:jc w:val="right"/>
              <w:rPr/>
            </w:pPr>
            <w:r>
              <w:rPr/>
              <w:t>0.361</w:t>
            </w:r>
          </w:p>
        </w:tc>
        <w:tc>
          <w:tcPr>
            <w:tcW w:w="78" w:type="dxa"/>
            <w:tcBorders/>
            <w:shd w:fill="CCEEFF" w:val="clear"/>
            <w:vAlign w:val="center"/>
          </w:tcPr>
          <w:p>
            <w:pPr>
              <w:pStyle w:val="TableContents"/>
              <w:bidi w:val="0"/>
              <w:spacing w:before="0" w:after="283"/>
              <w:jc w:val="left"/>
              <w:rPr/>
            </w:pPr>
            <w:r>
              <w:rPr/>
              <w:t> </w:t>
            </w:r>
          </w:p>
        </w:tc>
      </w:tr>
      <w:tr>
        <w:trPr/>
        <w:tc>
          <w:tcPr>
            <w:tcW w:w="2989" w:type="dxa"/>
            <w:tcBorders/>
            <w:shd w:fill="FFFFFF" w:val="clear"/>
            <w:vAlign w:val="center"/>
          </w:tcPr>
          <w:p>
            <w:pPr>
              <w:pStyle w:val="TableContents"/>
              <w:bidi w:val="0"/>
              <w:spacing w:before="0" w:after="283"/>
              <w:jc w:val="left"/>
              <w:rPr/>
            </w:pPr>
            <w:r>
              <w:rPr/>
              <w:t>9 months</w:t>
            </w:r>
          </w:p>
        </w:tc>
        <w:tc>
          <w:tcPr>
            <w:tcW w:w="60" w:type="dxa"/>
            <w:tcBorders/>
            <w:shd w:fill="FFFFFF" w:val="clear"/>
            <w:vAlign w:val="center"/>
          </w:tcPr>
          <w:p>
            <w:pPr>
              <w:pStyle w:val="TableContents"/>
              <w:bidi w:val="0"/>
              <w:spacing w:before="0" w:after="283"/>
              <w:jc w:val="left"/>
              <w:rPr/>
            </w:pPr>
            <w:r>
              <w:rPr/>
              <w:t> </w:t>
            </w:r>
          </w:p>
        </w:tc>
        <w:tc>
          <w:tcPr>
            <w:tcW w:w="65" w:type="dxa"/>
            <w:tcBorders/>
            <w:shd w:fill="FFFFFF" w:val="clear"/>
            <w:vAlign w:val="center"/>
          </w:tcPr>
          <w:p>
            <w:pPr>
              <w:pStyle w:val="TableContents"/>
              <w:bidi w:val="0"/>
              <w:spacing w:before="0" w:after="283"/>
              <w:jc w:val="left"/>
              <w:rPr/>
            </w:pPr>
            <w:r>
              <w:rPr/>
              <w:t> </w:t>
            </w:r>
          </w:p>
        </w:tc>
        <w:tc>
          <w:tcPr>
            <w:tcW w:w="614" w:type="dxa"/>
            <w:tcBorders/>
            <w:shd w:fill="FFFFFF" w:val="clear"/>
            <w:vAlign w:val="center"/>
          </w:tcPr>
          <w:p>
            <w:pPr>
              <w:pStyle w:val="TableContents"/>
              <w:bidi w:val="0"/>
              <w:spacing w:before="0" w:after="283"/>
              <w:jc w:val="right"/>
              <w:rPr/>
            </w:pPr>
            <w:r>
              <w:rPr/>
              <w:t>0.090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5" w:type="dxa"/>
            <w:tcBorders/>
            <w:shd w:fill="FFFFFF" w:val="clear"/>
            <w:vAlign w:val="center"/>
          </w:tcPr>
          <w:p>
            <w:pPr>
              <w:pStyle w:val="TableContents"/>
              <w:bidi w:val="0"/>
              <w:spacing w:before="0" w:after="283"/>
              <w:jc w:val="left"/>
              <w:rPr/>
            </w:pPr>
            <w:r>
              <w:rPr/>
              <w:t> </w:t>
            </w:r>
          </w:p>
        </w:tc>
        <w:tc>
          <w:tcPr>
            <w:tcW w:w="615" w:type="dxa"/>
            <w:tcBorders/>
            <w:shd w:fill="FFFFFF" w:val="clear"/>
            <w:vAlign w:val="center"/>
          </w:tcPr>
          <w:p>
            <w:pPr>
              <w:pStyle w:val="TableContents"/>
              <w:bidi w:val="0"/>
              <w:spacing w:before="0" w:after="283"/>
              <w:jc w:val="right"/>
              <w:rPr/>
            </w:pPr>
            <w:r>
              <w:rPr/>
              <w:t>0.125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5" w:type="dxa"/>
            <w:tcBorders/>
            <w:shd w:fill="FFFFFF" w:val="clear"/>
            <w:vAlign w:val="center"/>
          </w:tcPr>
          <w:p>
            <w:pPr>
              <w:pStyle w:val="TableContents"/>
              <w:bidi w:val="0"/>
              <w:spacing w:before="0" w:after="283"/>
              <w:jc w:val="left"/>
              <w:rPr/>
            </w:pPr>
            <w:r>
              <w:rPr/>
              <w:t> </w:t>
            </w:r>
          </w:p>
        </w:tc>
        <w:tc>
          <w:tcPr>
            <w:tcW w:w="615" w:type="dxa"/>
            <w:tcBorders/>
            <w:shd w:fill="FFFFFF" w:val="clear"/>
            <w:vAlign w:val="center"/>
          </w:tcPr>
          <w:p>
            <w:pPr>
              <w:pStyle w:val="TableContents"/>
              <w:bidi w:val="0"/>
              <w:spacing w:before="0" w:after="283"/>
              <w:jc w:val="right"/>
              <w:rPr/>
            </w:pPr>
            <w:r>
              <w:rPr/>
              <w:t>0.162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5" w:type="dxa"/>
            <w:tcBorders/>
            <w:shd w:fill="FFFFFF" w:val="clear"/>
            <w:vAlign w:val="center"/>
          </w:tcPr>
          <w:p>
            <w:pPr>
              <w:pStyle w:val="TableContents"/>
              <w:bidi w:val="0"/>
              <w:spacing w:before="0" w:after="283"/>
              <w:jc w:val="left"/>
              <w:rPr/>
            </w:pPr>
            <w:r>
              <w:rPr/>
              <w:t> </w:t>
            </w:r>
          </w:p>
        </w:tc>
        <w:tc>
          <w:tcPr>
            <w:tcW w:w="615" w:type="dxa"/>
            <w:tcBorders/>
            <w:shd w:fill="FFFFFF" w:val="clear"/>
            <w:vAlign w:val="center"/>
          </w:tcPr>
          <w:p>
            <w:pPr>
              <w:pStyle w:val="TableContents"/>
              <w:bidi w:val="0"/>
              <w:spacing w:before="0" w:after="283"/>
              <w:jc w:val="right"/>
              <w:rPr/>
            </w:pPr>
            <w:r>
              <w:rPr/>
              <w:t>0.199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5" w:type="dxa"/>
            <w:tcBorders/>
            <w:shd w:fill="FFFFFF" w:val="clear"/>
            <w:vAlign w:val="center"/>
          </w:tcPr>
          <w:p>
            <w:pPr>
              <w:pStyle w:val="TableContents"/>
              <w:bidi w:val="0"/>
              <w:spacing w:before="0" w:after="283"/>
              <w:jc w:val="left"/>
              <w:rPr/>
            </w:pPr>
            <w:r>
              <w:rPr/>
              <w:t> </w:t>
            </w:r>
          </w:p>
        </w:tc>
        <w:tc>
          <w:tcPr>
            <w:tcW w:w="615" w:type="dxa"/>
            <w:tcBorders/>
            <w:shd w:fill="FFFFFF" w:val="clear"/>
            <w:vAlign w:val="center"/>
          </w:tcPr>
          <w:p>
            <w:pPr>
              <w:pStyle w:val="TableContents"/>
              <w:bidi w:val="0"/>
              <w:spacing w:before="0" w:after="283"/>
              <w:jc w:val="right"/>
              <w:rPr/>
            </w:pPr>
            <w:r>
              <w:rPr/>
              <w:t>0.237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5" w:type="dxa"/>
            <w:tcBorders/>
            <w:shd w:fill="FFFFFF" w:val="clear"/>
            <w:vAlign w:val="center"/>
          </w:tcPr>
          <w:p>
            <w:pPr>
              <w:pStyle w:val="TableContents"/>
              <w:bidi w:val="0"/>
              <w:spacing w:before="0" w:after="283"/>
              <w:jc w:val="left"/>
              <w:rPr/>
            </w:pPr>
            <w:r>
              <w:rPr/>
              <w:t> </w:t>
            </w:r>
          </w:p>
        </w:tc>
        <w:tc>
          <w:tcPr>
            <w:tcW w:w="615" w:type="dxa"/>
            <w:tcBorders/>
            <w:shd w:fill="FFFFFF" w:val="clear"/>
            <w:vAlign w:val="center"/>
          </w:tcPr>
          <w:p>
            <w:pPr>
              <w:pStyle w:val="TableContents"/>
              <w:bidi w:val="0"/>
              <w:spacing w:before="0" w:after="283"/>
              <w:jc w:val="right"/>
              <w:rPr/>
            </w:pPr>
            <w:r>
              <w:rPr/>
              <w:t>0.272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5" w:type="dxa"/>
            <w:tcBorders/>
            <w:shd w:fill="FFFFFF" w:val="clear"/>
            <w:vAlign w:val="center"/>
          </w:tcPr>
          <w:p>
            <w:pPr>
              <w:pStyle w:val="TableContents"/>
              <w:bidi w:val="0"/>
              <w:spacing w:before="0" w:after="283"/>
              <w:jc w:val="left"/>
              <w:rPr/>
            </w:pPr>
            <w:r>
              <w:rPr/>
              <w:t> </w:t>
            </w:r>
          </w:p>
        </w:tc>
        <w:tc>
          <w:tcPr>
            <w:tcW w:w="615" w:type="dxa"/>
            <w:tcBorders/>
            <w:shd w:fill="FFFFFF" w:val="clear"/>
            <w:vAlign w:val="center"/>
          </w:tcPr>
          <w:p>
            <w:pPr>
              <w:pStyle w:val="TableContents"/>
              <w:bidi w:val="0"/>
              <w:spacing w:before="0" w:after="283"/>
              <w:jc w:val="right"/>
              <w:rPr/>
            </w:pPr>
            <w:r>
              <w:rPr/>
              <w:t>0.305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5" w:type="dxa"/>
            <w:tcBorders/>
            <w:shd w:fill="FFFFFF" w:val="clear"/>
            <w:vAlign w:val="center"/>
          </w:tcPr>
          <w:p>
            <w:pPr>
              <w:pStyle w:val="TableContents"/>
              <w:bidi w:val="0"/>
              <w:spacing w:before="0" w:after="283"/>
              <w:jc w:val="left"/>
              <w:rPr/>
            </w:pPr>
            <w:r>
              <w:rPr/>
              <w:t> </w:t>
            </w:r>
          </w:p>
        </w:tc>
        <w:tc>
          <w:tcPr>
            <w:tcW w:w="615" w:type="dxa"/>
            <w:tcBorders/>
            <w:shd w:fill="FFFFFF" w:val="clear"/>
            <w:vAlign w:val="center"/>
          </w:tcPr>
          <w:p>
            <w:pPr>
              <w:pStyle w:val="TableContents"/>
              <w:bidi w:val="0"/>
              <w:spacing w:before="0" w:after="283"/>
              <w:jc w:val="right"/>
              <w:rPr/>
            </w:pPr>
            <w:r>
              <w:rPr/>
              <w:t>0.336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5" w:type="dxa"/>
            <w:tcBorders/>
            <w:shd w:fill="FFFFFF" w:val="clear"/>
            <w:vAlign w:val="center"/>
          </w:tcPr>
          <w:p>
            <w:pPr>
              <w:pStyle w:val="TableContents"/>
              <w:bidi w:val="0"/>
              <w:spacing w:before="0" w:after="283"/>
              <w:jc w:val="left"/>
              <w:rPr/>
            </w:pPr>
            <w:r>
              <w:rPr/>
              <w:t> </w:t>
            </w:r>
          </w:p>
        </w:tc>
        <w:tc>
          <w:tcPr>
            <w:tcW w:w="614" w:type="dxa"/>
            <w:tcBorders/>
            <w:shd w:fill="FFFFFF" w:val="clear"/>
            <w:vAlign w:val="center"/>
          </w:tcPr>
          <w:p>
            <w:pPr>
              <w:pStyle w:val="TableContents"/>
              <w:bidi w:val="0"/>
              <w:spacing w:before="0" w:after="283"/>
              <w:jc w:val="right"/>
              <w:rPr/>
            </w:pPr>
            <w:r>
              <w:rPr/>
              <w:t>0.361</w:t>
            </w:r>
          </w:p>
        </w:tc>
        <w:tc>
          <w:tcPr>
            <w:tcW w:w="78" w:type="dxa"/>
            <w:tcBorders/>
            <w:shd w:fill="FFFFFF" w:val="clear"/>
            <w:vAlign w:val="center"/>
          </w:tcPr>
          <w:p>
            <w:pPr>
              <w:pStyle w:val="TableContents"/>
              <w:bidi w:val="0"/>
              <w:spacing w:before="0" w:after="283"/>
              <w:jc w:val="left"/>
              <w:rPr/>
            </w:pPr>
            <w:r>
              <w:rPr/>
              <w:t> </w:t>
            </w:r>
          </w:p>
        </w:tc>
      </w:tr>
      <w:tr>
        <w:trPr/>
        <w:tc>
          <w:tcPr>
            <w:tcW w:w="2989" w:type="dxa"/>
            <w:tcBorders/>
            <w:shd w:fill="CCEEFF" w:val="clear"/>
            <w:vAlign w:val="center"/>
          </w:tcPr>
          <w:p>
            <w:pPr>
              <w:pStyle w:val="TableContents"/>
              <w:bidi w:val="0"/>
              <w:spacing w:before="0" w:after="283"/>
              <w:jc w:val="left"/>
              <w:rPr/>
            </w:pPr>
            <w:r>
              <w:rPr/>
              <w:t>6 months</w:t>
            </w:r>
          </w:p>
        </w:tc>
        <w:tc>
          <w:tcPr>
            <w:tcW w:w="60"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jc w:val="left"/>
              <w:rPr/>
            </w:pPr>
            <w:r>
              <w:rPr/>
              <w:t> </w:t>
            </w:r>
          </w:p>
        </w:tc>
        <w:tc>
          <w:tcPr>
            <w:tcW w:w="614" w:type="dxa"/>
            <w:tcBorders/>
            <w:shd w:fill="CCEEFF" w:val="clear"/>
            <w:vAlign w:val="center"/>
          </w:tcPr>
          <w:p>
            <w:pPr>
              <w:pStyle w:val="TableContents"/>
              <w:bidi w:val="0"/>
              <w:spacing w:before="0" w:after="283"/>
              <w:jc w:val="right"/>
              <w:rPr/>
            </w:pPr>
            <w:r>
              <w:rPr/>
              <w:t>0.065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jc w:val="left"/>
              <w:rPr/>
            </w:pPr>
            <w:r>
              <w:rPr/>
              <w:t> </w:t>
            </w:r>
          </w:p>
        </w:tc>
        <w:tc>
          <w:tcPr>
            <w:tcW w:w="615" w:type="dxa"/>
            <w:tcBorders/>
            <w:shd w:fill="CCEEFF" w:val="clear"/>
            <w:vAlign w:val="center"/>
          </w:tcPr>
          <w:p>
            <w:pPr>
              <w:pStyle w:val="TableContents"/>
              <w:bidi w:val="0"/>
              <w:spacing w:before="0" w:after="283"/>
              <w:jc w:val="right"/>
              <w:rPr/>
            </w:pPr>
            <w:r>
              <w:rPr/>
              <w:t>0.099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jc w:val="left"/>
              <w:rPr/>
            </w:pPr>
            <w:r>
              <w:rPr/>
              <w:t> </w:t>
            </w:r>
          </w:p>
        </w:tc>
        <w:tc>
          <w:tcPr>
            <w:tcW w:w="615" w:type="dxa"/>
            <w:tcBorders/>
            <w:shd w:fill="CCEEFF" w:val="clear"/>
            <w:vAlign w:val="center"/>
          </w:tcPr>
          <w:p>
            <w:pPr>
              <w:pStyle w:val="TableContents"/>
              <w:bidi w:val="0"/>
              <w:spacing w:before="0" w:after="283"/>
              <w:jc w:val="right"/>
              <w:rPr/>
            </w:pPr>
            <w:r>
              <w:rPr/>
              <w:t>0.137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jc w:val="left"/>
              <w:rPr/>
            </w:pPr>
            <w:r>
              <w:rPr/>
              <w:t> </w:t>
            </w:r>
          </w:p>
        </w:tc>
        <w:tc>
          <w:tcPr>
            <w:tcW w:w="615" w:type="dxa"/>
            <w:tcBorders/>
            <w:shd w:fill="CCEEFF" w:val="clear"/>
            <w:vAlign w:val="center"/>
          </w:tcPr>
          <w:p>
            <w:pPr>
              <w:pStyle w:val="TableContents"/>
              <w:bidi w:val="0"/>
              <w:spacing w:before="0" w:after="283"/>
              <w:jc w:val="right"/>
              <w:rPr/>
            </w:pPr>
            <w:r>
              <w:rPr/>
              <w:t>0.178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jc w:val="left"/>
              <w:rPr/>
            </w:pPr>
            <w:r>
              <w:rPr/>
              <w:t> </w:t>
            </w:r>
          </w:p>
        </w:tc>
        <w:tc>
          <w:tcPr>
            <w:tcW w:w="615" w:type="dxa"/>
            <w:tcBorders/>
            <w:shd w:fill="CCEEFF" w:val="clear"/>
            <w:vAlign w:val="center"/>
          </w:tcPr>
          <w:p>
            <w:pPr>
              <w:pStyle w:val="TableContents"/>
              <w:bidi w:val="0"/>
              <w:spacing w:before="0" w:after="283"/>
              <w:jc w:val="right"/>
              <w:rPr/>
            </w:pPr>
            <w:r>
              <w:rPr/>
              <w:t>0.219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jc w:val="left"/>
              <w:rPr/>
            </w:pPr>
            <w:r>
              <w:rPr/>
              <w:t> </w:t>
            </w:r>
          </w:p>
        </w:tc>
        <w:tc>
          <w:tcPr>
            <w:tcW w:w="615" w:type="dxa"/>
            <w:tcBorders/>
            <w:shd w:fill="CCEEFF" w:val="clear"/>
            <w:vAlign w:val="center"/>
          </w:tcPr>
          <w:p>
            <w:pPr>
              <w:pStyle w:val="TableContents"/>
              <w:bidi w:val="0"/>
              <w:spacing w:before="0" w:after="283"/>
              <w:jc w:val="right"/>
              <w:rPr/>
            </w:pPr>
            <w:r>
              <w:rPr/>
              <w:t>0.259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jc w:val="left"/>
              <w:rPr/>
            </w:pPr>
            <w:r>
              <w:rPr/>
              <w:t> </w:t>
            </w:r>
          </w:p>
        </w:tc>
        <w:tc>
          <w:tcPr>
            <w:tcW w:w="615" w:type="dxa"/>
            <w:tcBorders/>
            <w:shd w:fill="CCEEFF" w:val="clear"/>
            <w:vAlign w:val="center"/>
          </w:tcPr>
          <w:p>
            <w:pPr>
              <w:pStyle w:val="TableContents"/>
              <w:bidi w:val="0"/>
              <w:spacing w:before="0" w:after="283"/>
              <w:jc w:val="right"/>
              <w:rPr/>
            </w:pPr>
            <w:r>
              <w:rPr/>
              <w:t>0.296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jc w:val="left"/>
              <w:rPr/>
            </w:pPr>
            <w:r>
              <w:rPr/>
              <w:t> </w:t>
            </w:r>
          </w:p>
        </w:tc>
        <w:tc>
          <w:tcPr>
            <w:tcW w:w="615" w:type="dxa"/>
            <w:tcBorders/>
            <w:shd w:fill="CCEEFF" w:val="clear"/>
            <w:vAlign w:val="center"/>
          </w:tcPr>
          <w:p>
            <w:pPr>
              <w:pStyle w:val="TableContents"/>
              <w:bidi w:val="0"/>
              <w:spacing w:before="0" w:after="283"/>
              <w:jc w:val="right"/>
              <w:rPr/>
            </w:pPr>
            <w:r>
              <w:rPr/>
              <w:t>0.331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jc w:val="left"/>
              <w:rPr/>
            </w:pPr>
            <w:r>
              <w:rPr/>
              <w:t> </w:t>
            </w:r>
          </w:p>
        </w:tc>
        <w:tc>
          <w:tcPr>
            <w:tcW w:w="614" w:type="dxa"/>
            <w:tcBorders/>
            <w:shd w:fill="CCEEFF" w:val="clear"/>
            <w:vAlign w:val="center"/>
          </w:tcPr>
          <w:p>
            <w:pPr>
              <w:pStyle w:val="TableContents"/>
              <w:bidi w:val="0"/>
              <w:spacing w:before="0" w:after="283"/>
              <w:jc w:val="right"/>
              <w:rPr/>
            </w:pPr>
            <w:r>
              <w:rPr/>
              <w:t>0.361</w:t>
            </w:r>
          </w:p>
        </w:tc>
        <w:tc>
          <w:tcPr>
            <w:tcW w:w="78" w:type="dxa"/>
            <w:tcBorders/>
            <w:shd w:fill="CCEEFF" w:val="clear"/>
            <w:vAlign w:val="center"/>
          </w:tcPr>
          <w:p>
            <w:pPr>
              <w:pStyle w:val="TableContents"/>
              <w:bidi w:val="0"/>
              <w:spacing w:before="0" w:after="283"/>
              <w:jc w:val="left"/>
              <w:rPr/>
            </w:pPr>
            <w:r>
              <w:rPr/>
              <w:t> </w:t>
            </w:r>
          </w:p>
        </w:tc>
      </w:tr>
      <w:tr>
        <w:trPr/>
        <w:tc>
          <w:tcPr>
            <w:tcW w:w="2989" w:type="dxa"/>
            <w:tcBorders/>
            <w:shd w:fill="FFFFFF" w:val="clear"/>
            <w:vAlign w:val="center"/>
          </w:tcPr>
          <w:p>
            <w:pPr>
              <w:pStyle w:val="TableContents"/>
              <w:bidi w:val="0"/>
              <w:spacing w:before="0" w:after="283"/>
              <w:jc w:val="left"/>
              <w:rPr/>
            </w:pPr>
            <w:r>
              <w:rPr/>
              <w:t>3 months</w:t>
            </w:r>
          </w:p>
        </w:tc>
        <w:tc>
          <w:tcPr>
            <w:tcW w:w="60" w:type="dxa"/>
            <w:tcBorders/>
            <w:shd w:fill="FFFFFF" w:val="clear"/>
            <w:vAlign w:val="center"/>
          </w:tcPr>
          <w:p>
            <w:pPr>
              <w:pStyle w:val="TableContents"/>
              <w:bidi w:val="0"/>
              <w:spacing w:before="0" w:after="283"/>
              <w:jc w:val="left"/>
              <w:rPr/>
            </w:pPr>
            <w:r>
              <w:rPr/>
              <w:t> </w:t>
            </w:r>
          </w:p>
        </w:tc>
        <w:tc>
          <w:tcPr>
            <w:tcW w:w="65" w:type="dxa"/>
            <w:tcBorders/>
            <w:shd w:fill="FFFFFF" w:val="clear"/>
            <w:vAlign w:val="center"/>
          </w:tcPr>
          <w:p>
            <w:pPr>
              <w:pStyle w:val="TableContents"/>
              <w:bidi w:val="0"/>
              <w:spacing w:before="0" w:after="283"/>
              <w:jc w:val="left"/>
              <w:rPr/>
            </w:pPr>
            <w:r>
              <w:rPr/>
              <w:t> </w:t>
            </w:r>
          </w:p>
        </w:tc>
        <w:tc>
          <w:tcPr>
            <w:tcW w:w="614" w:type="dxa"/>
            <w:tcBorders/>
            <w:shd w:fill="FFFFFF" w:val="clear"/>
            <w:vAlign w:val="center"/>
          </w:tcPr>
          <w:p>
            <w:pPr>
              <w:pStyle w:val="TableContents"/>
              <w:bidi w:val="0"/>
              <w:spacing w:before="0" w:after="283"/>
              <w:jc w:val="right"/>
              <w:rPr/>
            </w:pPr>
            <w:r>
              <w:rPr/>
              <w:t>0.034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5" w:type="dxa"/>
            <w:tcBorders/>
            <w:shd w:fill="FFFFFF" w:val="clear"/>
            <w:vAlign w:val="center"/>
          </w:tcPr>
          <w:p>
            <w:pPr>
              <w:pStyle w:val="TableContents"/>
              <w:bidi w:val="0"/>
              <w:spacing w:before="0" w:after="283"/>
              <w:jc w:val="left"/>
              <w:rPr/>
            </w:pPr>
            <w:r>
              <w:rPr/>
              <w:t> </w:t>
            </w:r>
          </w:p>
        </w:tc>
        <w:tc>
          <w:tcPr>
            <w:tcW w:w="615" w:type="dxa"/>
            <w:tcBorders/>
            <w:shd w:fill="FFFFFF" w:val="clear"/>
            <w:vAlign w:val="center"/>
          </w:tcPr>
          <w:p>
            <w:pPr>
              <w:pStyle w:val="TableContents"/>
              <w:bidi w:val="0"/>
              <w:spacing w:before="0" w:after="283"/>
              <w:jc w:val="right"/>
              <w:rPr/>
            </w:pPr>
            <w:r>
              <w:rPr/>
              <w:t>0.065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5" w:type="dxa"/>
            <w:tcBorders/>
            <w:shd w:fill="FFFFFF" w:val="clear"/>
            <w:vAlign w:val="center"/>
          </w:tcPr>
          <w:p>
            <w:pPr>
              <w:pStyle w:val="TableContents"/>
              <w:bidi w:val="0"/>
              <w:spacing w:before="0" w:after="283"/>
              <w:jc w:val="left"/>
              <w:rPr/>
            </w:pPr>
            <w:r>
              <w:rPr/>
              <w:t> </w:t>
            </w:r>
          </w:p>
        </w:tc>
        <w:tc>
          <w:tcPr>
            <w:tcW w:w="615" w:type="dxa"/>
            <w:tcBorders/>
            <w:shd w:fill="FFFFFF" w:val="clear"/>
            <w:vAlign w:val="center"/>
          </w:tcPr>
          <w:p>
            <w:pPr>
              <w:pStyle w:val="TableContents"/>
              <w:bidi w:val="0"/>
              <w:spacing w:before="0" w:after="283"/>
              <w:jc w:val="right"/>
              <w:rPr/>
            </w:pPr>
            <w:r>
              <w:rPr/>
              <w:t>0.104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5" w:type="dxa"/>
            <w:tcBorders/>
            <w:shd w:fill="FFFFFF" w:val="clear"/>
            <w:vAlign w:val="center"/>
          </w:tcPr>
          <w:p>
            <w:pPr>
              <w:pStyle w:val="TableContents"/>
              <w:bidi w:val="0"/>
              <w:spacing w:before="0" w:after="283"/>
              <w:jc w:val="left"/>
              <w:rPr/>
            </w:pPr>
            <w:r>
              <w:rPr/>
              <w:t> </w:t>
            </w:r>
          </w:p>
        </w:tc>
        <w:tc>
          <w:tcPr>
            <w:tcW w:w="615" w:type="dxa"/>
            <w:tcBorders/>
            <w:shd w:fill="FFFFFF" w:val="clear"/>
            <w:vAlign w:val="center"/>
          </w:tcPr>
          <w:p>
            <w:pPr>
              <w:pStyle w:val="TableContents"/>
              <w:bidi w:val="0"/>
              <w:spacing w:before="0" w:after="283"/>
              <w:jc w:val="right"/>
              <w:rPr/>
            </w:pPr>
            <w:r>
              <w:rPr/>
              <w:t>0.150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5" w:type="dxa"/>
            <w:tcBorders/>
            <w:shd w:fill="FFFFFF" w:val="clear"/>
            <w:vAlign w:val="center"/>
          </w:tcPr>
          <w:p>
            <w:pPr>
              <w:pStyle w:val="TableContents"/>
              <w:bidi w:val="0"/>
              <w:spacing w:before="0" w:after="283"/>
              <w:jc w:val="left"/>
              <w:rPr/>
            </w:pPr>
            <w:r>
              <w:rPr/>
              <w:t> </w:t>
            </w:r>
          </w:p>
        </w:tc>
        <w:tc>
          <w:tcPr>
            <w:tcW w:w="615" w:type="dxa"/>
            <w:tcBorders/>
            <w:shd w:fill="FFFFFF" w:val="clear"/>
            <w:vAlign w:val="center"/>
          </w:tcPr>
          <w:p>
            <w:pPr>
              <w:pStyle w:val="TableContents"/>
              <w:bidi w:val="0"/>
              <w:spacing w:before="0" w:after="283"/>
              <w:jc w:val="right"/>
              <w:rPr/>
            </w:pPr>
            <w:r>
              <w:rPr/>
              <w:t>0.197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5" w:type="dxa"/>
            <w:tcBorders/>
            <w:shd w:fill="FFFFFF" w:val="clear"/>
            <w:vAlign w:val="center"/>
          </w:tcPr>
          <w:p>
            <w:pPr>
              <w:pStyle w:val="TableContents"/>
              <w:bidi w:val="0"/>
              <w:spacing w:before="0" w:after="283"/>
              <w:jc w:val="left"/>
              <w:rPr/>
            </w:pPr>
            <w:r>
              <w:rPr/>
              <w:t> </w:t>
            </w:r>
          </w:p>
        </w:tc>
        <w:tc>
          <w:tcPr>
            <w:tcW w:w="615" w:type="dxa"/>
            <w:tcBorders/>
            <w:shd w:fill="FFFFFF" w:val="clear"/>
            <w:vAlign w:val="center"/>
          </w:tcPr>
          <w:p>
            <w:pPr>
              <w:pStyle w:val="TableContents"/>
              <w:bidi w:val="0"/>
              <w:spacing w:before="0" w:after="283"/>
              <w:jc w:val="right"/>
              <w:rPr/>
            </w:pPr>
            <w:r>
              <w:rPr/>
              <w:t>0.243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5" w:type="dxa"/>
            <w:tcBorders/>
            <w:shd w:fill="FFFFFF" w:val="clear"/>
            <w:vAlign w:val="center"/>
          </w:tcPr>
          <w:p>
            <w:pPr>
              <w:pStyle w:val="TableContents"/>
              <w:bidi w:val="0"/>
              <w:spacing w:before="0" w:after="283"/>
              <w:jc w:val="left"/>
              <w:rPr/>
            </w:pPr>
            <w:r>
              <w:rPr/>
              <w:t> </w:t>
            </w:r>
          </w:p>
        </w:tc>
        <w:tc>
          <w:tcPr>
            <w:tcW w:w="615" w:type="dxa"/>
            <w:tcBorders/>
            <w:shd w:fill="FFFFFF" w:val="clear"/>
            <w:vAlign w:val="center"/>
          </w:tcPr>
          <w:p>
            <w:pPr>
              <w:pStyle w:val="TableContents"/>
              <w:bidi w:val="0"/>
              <w:spacing w:before="0" w:after="283"/>
              <w:jc w:val="right"/>
              <w:rPr/>
            </w:pPr>
            <w:r>
              <w:rPr/>
              <w:t>0.286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5" w:type="dxa"/>
            <w:tcBorders/>
            <w:shd w:fill="FFFFFF" w:val="clear"/>
            <w:vAlign w:val="center"/>
          </w:tcPr>
          <w:p>
            <w:pPr>
              <w:pStyle w:val="TableContents"/>
              <w:bidi w:val="0"/>
              <w:spacing w:before="0" w:after="283"/>
              <w:jc w:val="left"/>
              <w:rPr/>
            </w:pPr>
            <w:r>
              <w:rPr/>
              <w:t> </w:t>
            </w:r>
          </w:p>
        </w:tc>
        <w:tc>
          <w:tcPr>
            <w:tcW w:w="615" w:type="dxa"/>
            <w:tcBorders/>
            <w:shd w:fill="FFFFFF" w:val="clear"/>
            <w:vAlign w:val="center"/>
          </w:tcPr>
          <w:p>
            <w:pPr>
              <w:pStyle w:val="TableContents"/>
              <w:bidi w:val="0"/>
              <w:spacing w:before="0" w:after="283"/>
              <w:jc w:val="right"/>
              <w:rPr/>
            </w:pPr>
            <w:r>
              <w:rPr/>
              <w:t>0.326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5" w:type="dxa"/>
            <w:tcBorders/>
            <w:shd w:fill="FFFFFF" w:val="clear"/>
            <w:vAlign w:val="center"/>
          </w:tcPr>
          <w:p>
            <w:pPr>
              <w:pStyle w:val="TableContents"/>
              <w:bidi w:val="0"/>
              <w:spacing w:before="0" w:after="283"/>
              <w:jc w:val="left"/>
              <w:rPr/>
            </w:pPr>
            <w:r>
              <w:rPr/>
              <w:t> </w:t>
            </w:r>
          </w:p>
        </w:tc>
        <w:tc>
          <w:tcPr>
            <w:tcW w:w="614" w:type="dxa"/>
            <w:tcBorders/>
            <w:shd w:fill="FFFFFF" w:val="clear"/>
            <w:vAlign w:val="center"/>
          </w:tcPr>
          <w:p>
            <w:pPr>
              <w:pStyle w:val="TableContents"/>
              <w:bidi w:val="0"/>
              <w:spacing w:before="0" w:after="283"/>
              <w:jc w:val="right"/>
              <w:rPr/>
            </w:pPr>
            <w:r>
              <w:rPr/>
              <w:t>0.361</w:t>
            </w:r>
          </w:p>
        </w:tc>
        <w:tc>
          <w:tcPr>
            <w:tcW w:w="78" w:type="dxa"/>
            <w:tcBorders/>
            <w:shd w:fill="FFFFFF" w:val="clear"/>
            <w:vAlign w:val="center"/>
          </w:tcPr>
          <w:p>
            <w:pPr>
              <w:pStyle w:val="TableContents"/>
              <w:bidi w:val="0"/>
              <w:spacing w:before="0" w:after="283"/>
              <w:jc w:val="left"/>
              <w:rPr/>
            </w:pPr>
            <w:r>
              <w:rPr/>
              <w:t> </w:t>
            </w:r>
          </w:p>
        </w:tc>
      </w:tr>
      <w:tr>
        <w:trPr/>
        <w:tc>
          <w:tcPr>
            <w:tcW w:w="2989" w:type="dxa"/>
            <w:tcBorders/>
            <w:shd w:fill="CCEEFF" w:val="clear"/>
            <w:vAlign w:val="center"/>
          </w:tcPr>
          <w:p>
            <w:pPr>
              <w:pStyle w:val="TableContents"/>
              <w:bidi w:val="0"/>
              <w:spacing w:before="0" w:after="283"/>
              <w:jc w:val="left"/>
              <w:rPr/>
            </w:pPr>
            <w:r>
              <w:rPr/>
              <w:t>0 months</w:t>
            </w:r>
          </w:p>
        </w:tc>
        <w:tc>
          <w:tcPr>
            <w:tcW w:w="60"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jc w:val="left"/>
              <w:rPr/>
            </w:pPr>
            <w:r>
              <w:rPr/>
              <w:t> </w:t>
            </w:r>
          </w:p>
        </w:tc>
        <w:tc>
          <w:tcPr>
            <w:tcW w:w="614"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jc w:val="left"/>
              <w:rPr/>
            </w:pPr>
            <w:r>
              <w:rPr/>
              <w:t> </w:t>
            </w:r>
          </w:p>
        </w:tc>
        <w:tc>
          <w:tcPr>
            <w:tcW w:w="615"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jc w:val="left"/>
              <w:rPr/>
            </w:pPr>
            <w:r>
              <w:rPr/>
              <w:t> </w:t>
            </w:r>
          </w:p>
        </w:tc>
        <w:tc>
          <w:tcPr>
            <w:tcW w:w="615" w:type="dxa"/>
            <w:tcBorders/>
            <w:shd w:fill="CCEEFF" w:val="clear"/>
            <w:vAlign w:val="center"/>
          </w:tcPr>
          <w:p>
            <w:pPr>
              <w:pStyle w:val="TableContents"/>
              <w:bidi w:val="0"/>
              <w:spacing w:before="0" w:after="283"/>
              <w:jc w:val="right"/>
              <w:rPr/>
            </w:pPr>
            <w:r>
              <w:rPr/>
              <w:t>0.042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jc w:val="left"/>
              <w:rPr/>
            </w:pPr>
            <w:r>
              <w:rPr/>
              <w:t> </w:t>
            </w:r>
          </w:p>
        </w:tc>
        <w:tc>
          <w:tcPr>
            <w:tcW w:w="615" w:type="dxa"/>
            <w:tcBorders/>
            <w:shd w:fill="CCEEFF" w:val="clear"/>
            <w:vAlign w:val="center"/>
          </w:tcPr>
          <w:p>
            <w:pPr>
              <w:pStyle w:val="TableContents"/>
              <w:bidi w:val="0"/>
              <w:spacing w:before="0" w:after="283"/>
              <w:jc w:val="right"/>
              <w:rPr/>
            </w:pPr>
            <w:r>
              <w:rPr/>
              <w:t>0.115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jc w:val="left"/>
              <w:rPr/>
            </w:pPr>
            <w:r>
              <w:rPr/>
              <w:t> </w:t>
            </w:r>
          </w:p>
        </w:tc>
        <w:tc>
          <w:tcPr>
            <w:tcW w:w="615" w:type="dxa"/>
            <w:tcBorders/>
            <w:shd w:fill="CCEEFF" w:val="clear"/>
            <w:vAlign w:val="center"/>
          </w:tcPr>
          <w:p>
            <w:pPr>
              <w:pStyle w:val="TableContents"/>
              <w:bidi w:val="0"/>
              <w:spacing w:before="0" w:after="283"/>
              <w:jc w:val="right"/>
              <w:rPr/>
            </w:pPr>
            <w:r>
              <w:rPr/>
              <w:t>0.179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jc w:val="left"/>
              <w:rPr/>
            </w:pPr>
            <w:r>
              <w:rPr/>
              <w:t> </w:t>
            </w:r>
          </w:p>
        </w:tc>
        <w:tc>
          <w:tcPr>
            <w:tcW w:w="615" w:type="dxa"/>
            <w:tcBorders/>
            <w:shd w:fill="CCEEFF" w:val="clear"/>
            <w:vAlign w:val="center"/>
          </w:tcPr>
          <w:p>
            <w:pPr>
              <w:pStyle w:val="TableContents"/>
              <w:bidi w:val="0"/>
              <w:spacing w:before="0" w:after="283"/>
              <w:jc w:val="right"/>
              <w:rPr/>
            </w:pPr>
            <w:r>
              <w:rPr/>
              <w:t>0.233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jc w:val="left"/>
              <w:rPr/>
            </w:pPr>
            <w:r>
              <w:rPr/>
              <w:t> </w:t>
            </w:r>
          </w:p>
        </w:tc>
        <w:tc>
          <w:tcPr>
            <w:tcW w:w="615" w:type="dxa"/>
            <w:tcBorders/>
            <w:shd w:fill="CCEEFF" w:val="clear"/>
            <w:vAlign w:val="center"/>
          </w:tcPr>
          <w:p>
            <w:pPr>
              <w:pStyle w:val="TableContents"/>
              <w:bidi w:val="0"/>
              <w:spacing w:before="0" w:after="283"/>
              <w:jc w:val="right"/>
              <w:rPr/>
            </w:pPr>
            <w:r>
              <w:rPr/>
              <w:t>0.281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jc w:val="left"/>
              <w:rPr/>
            </w:pPr>
            <w:r>
              <w:rPr/>
              <w:t> </w:t>
            </w:r>
          </w:p>
        </w:tc>
        <w:tc>
          <w:tcPr>
            <w:tcW w:w="615" w:type="dxa"/>
            <w:tcBorders/>
            <w:shd w:fill="CCEEFF" w:val="clear"/>
            <w:vAlign w:val="center"/>
          </w:tcPr>
          <w:p>
            <w:pPr>
              <w:pStyle w:val="TableContents"/>
              <w:bidi w:val="0"/>
              <w:spacing w:before="0" w:after="283"/>
              <w:jc w:val="right"/>
              <w:rPr/>
            </w:pPr>
            <w:r>
              <w:rPr/>
              <w:t>0.323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jc w:val="left"/>
              <w:rPr/>
            </w:pPr>
            <w:r>
              <w:rPr/>
              <w:t> </w:t>
            </w:r>
          </w:p>
        </w:tc>
        <w:tc>
          <w:tcPr>
            <w:tcW w:w="614" w:type="dxa"/>
            <w:tcBorders/>
            <w:shd w:fill="CCEEFF" w:val="clear"/>
            <w:vAlign w:val="center"/>
          </w:tcPr>
          <w:p>
            <w:pPr>
              <w:pStyle w:val="TableContents"/>
              <w:bidi w:val="0"/>
              <w:spacing w:before="0" w:after="283"/>
              <w:jc w:val="right"/>
              <w:rPr/>
            </w:pPr>
            <w:r>
              <w:rPr/>
              <w:t>0.361</w:t>
            </w:r>
          </w:p>
        </w:tc>
        <w:tc>
          <w:tcPr>
            <w:tcW w:w="78"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holder of a warrant may notify us in writing in the event it elects to be subject to a requirement that such holder will not have the right to exercise such warrant, to the extent that after giving effect to such exercise, such person (together with such person’s affiliates), to the warrant agent’s actual knowledge, would beneficially own in excess of 4.9% or 9.8% (as specified by the holder) of our shares outstanding immediately after giving effect to such exercise.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Registration Rights</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Warrant Agreement dated February 25, 2021 between us and our Transfer Agent (the “</w:t>
      </w:r>
      <w:r>
        <w:rPr>
          <w:rFonts w:ascii="Times New Roman;Times;Serif" w:hAnsi="Times New Roman;Times;Serif"/>
          <w:b/>
          <w:i w:val="false"/>
          <w:caps w:val="false"/>
          <w:smallCaps w:val="false"/>
          <w:sz w:val="20"/>
        </w:rPr>
        <w:t>Warrant Agreement</w:t>
      </w:r>
      <w:r>
        <w:rPr>
          <w:rFonts w:ascii="Times New Roman;Times;Serif" w:hAnsi="Times New Roman;Times;Serif"/>
          <w:b w:val="false"/>
          <w:i w:val="false"/>
          <w:caps w:val="false"/>
          <w:smallCaps w:val="false"/>
          <w:sz w:val="20"/>
        </w:rPr>
        <w:t>”), we agreed to register the shares issuable upon exercise of the Warrants following the Closing of the Business Combination.</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Freedom Acquisition I LLC, certain of our equity holders and certain of their respective affiliates, as applicable, and the other parties thereto, are party to an Amended and Restated Registration Rights Agreement, dated July 17, 2023 (the “</w:t>
      </w:r>
      <w:r>
        <w:rPr>
          <w:rFonts w:ascii="Times New Roman;Times;Serif" w:hAnsi="Times New Roman;Times;Serif"/>
          <w:b/>
          <w:i w:val="false"/>
          <w:caps w:val="false"/>
          <w:smallCaps w:val="false"/>
          <w:sz w:val="20"/>
        </w:rPr>
        <w:t>A&amp;R Registration Rights Agreement</w:t>
      </w:r>
      <w:r>
        <w:rPr>
          <w:rFonts w:ascii="Times New Roman;Times;Serif" w:hAnsi="Times New Roman;Times;Serif"/>
          <w:b w:val="false"/>
          <w:i w:val="false"/>
          <w:caps w:val="false"/>
          <w:smallCaps w:val="false"/>
          <w:sz w:val="20"/>
        </w:rPr>
        <w:t>”), pursuant to which we granted customary registration rights to the parties thereto, including to register for resale, pursuant to Rule 415 under the Securities Act, certain of our securities held by the parties thereto.</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107</w:t>
      </w:r>
    </w:p>
    <w:p>
      <w:pPr>
        <w:pStyle w:val="TextBody"/>
        <w:bidi w:val="0"/>
        <w:spacing w:before="0" w:after="0"/>
        <w:ind w:left="0" w:right="0" w:hanging="0"/>
        <w:jc w:val="left"/>
        <w:rPr/>
      </w:pPr>
      <w:r>
        <w:rPr/>
        <w:t>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Sponsor and certain payees under certain of our outstanding indebtedness are entitled to certain registration rights relating to the Working Capital Warrants.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Demand Registration Rights under Forward Purchase Agreements and PIPE Subscription Agreements</w:t>
      </w:r>
      <w:r>
        <w:rPr>
          <w:rFonts w:ascii="Times New Roman;Times;Serif" w:hAnsi="Times New Roman;Times;Serif"/>
          <w:b w:val="false"/>
          <w:i w:val="false"/>
          <w:caps w:val="false"/>
          <w:smallCaps w:val="false"/>
          <w:sz w:val="20"/>
        </w:rPr>
        <w:t>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Forward Purchase Agreements, dated July 13, 2023, between the Company and the FPA Sellers, within 30 days after receipt of a written request from an FPA Seller, we are required to file a registration statement with the SEC registering the resale of all shares held by the applicable FPA Seller and to cause such registration statement to be declared effective. No FPA Seller has requested a registration statement to date under their Forward Purchase Agreements. The FPA Sellers are also parties to Subscription Agreements dated July 13, 2023 with FACT that provided registration rights with respect to the subscribed shares.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Registration Rights Under Ayna Warrants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warrant to purchase up to 6,000,000 shares of common stock (the “</w:t>
      </w:r>
      <w:r>
        <w:rPr>
          <w:rFonts w:ascii="Times New Roman;Times;Serif" w:hAnsi="Times New Roman;Times;Serif"/>
          <w:b/>
          <w:i w:val="false"/>
          <w:caps w:val="false"/>
          <w:smallCaps w:val="false"/>
          <w:sz w:val="20"/>
        </w:rPr>
        <w:t>Ayna Warrant</w:t>
      </w:r>
      <w:r>
        <w:rPr>
          <w:rFonts w:ascii="Times New Roman;Times;Serif" w:hAnsi="Times New Roman;Times;Serif"/>
          <w:b w:val="false"/>
          <w:i w:val="false"/>
          <w:caps w:val="false"/>
          <w:smallCaps w:val="false"/>
          <w:sz w:val="20"/>
        </w:rPr>
        <w:t>”) issued to Ayna.AI LLC (“</w:t>
      </w:r>
      <w:r>
        <w:rPr>
          <w:rFonts w:ascii="Times New Roman;Times;Serif" w:hAnsi="Times New Roman;Times;Serif"/>
          <w:b/>
          <w:i w:val="false"/>
          <w:caps w:val="false"/>
          <w:smallCaps w:val="false"/>
          <w:sz w:val="20"/>
        </w:rPr>
        <w:t>Ayna</w:t>
      </w:r>
      <w:r>
        <w:rPr>
          <w:rFonts w:ascii="Times New Roman;Times;Serif" w:hAnsi="Times New Roman;Times;Serif"/>
          <w:b w:val="false"/>
          <w:i w:val="false"/>
          <w:caps w:val="false"/>
          <w:smallCaps w:val="false"/>
          <w:sz w:val="20"/>
        </w:rPr>
        <w:t>”) on June 17, 2024, Ayna has piggy-back registration rights if we propose to register any of our common stock under the Securities Act in connection with a public offering of such securities solely for cash. Additionally, Ayna has Form S-3 demand registration rights if the Ayna Warrant has been exercised in full, we are eligible to use Form S-3, and Ayna requests that we file a Form S-3 registration statement with respect to all of the shares of common stock then held by Ayna. We filed such Form S-3 registration statement on December 30, 2024.</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Ayna 2026 Warrant, Ayna has demand and piggy-back registration rights with respect to the common stock issuable upon exercise of the Ayan 2026 Warrant.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Registration Rights Under Exchange Agreement</w:t>
      </w:r>
      <w:r>
        <w:rPr>
          <w:rFonts w:ascii="Times New Roman;Times;Serif" w:hAnsi="Times New Roman;Times;Serif"/>
          <w:b w:val="false"/>
          <w:i w:val="false"/>
          <w:caps w:val="false"/>
          <w:smallCaps w:val="false"/>
          <w:sz w:val="20"/>
        </w:rPr>
        <w:t>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Exchange Agreement, we agreed to file a registration statement with respect to resale of 1,500,000 shares of common stock issued to Kline Hill and with respect to the shares of common stock issuable upon conversion of 12.00% Notes due 2029 issued to Kline Hill and Carlyle. We filed such Form S-3 registration statement with respect to the securities held by Kline Hill on December 30, 2024.</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The White Lion Transaction Registration Rights Agreement</w:t>
      </w:r>
      <w:r>
        <w:rPr>
          <w:rFonts w:ascii="Times New Roman;Times;Serif" w:hAnsi="Times New Roman;Times;Serif"/>
          <w:b w:val="false"/>
          <w:i w:val="false"/>
          <w:caps w:val="false"/>
          <w:smallCaps w:val="false"/>
          <w:sz w:val="20"/>
        </w:rPr>
        <w:t>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July 16, 2024, we entered into the White Lion Purchase Agreement with White Lion (the “</w:t>
      </w:r>
      <w:r>
        <w:rPr>
          <w:rFonts w:ascii="Times New Roman;Times;Serif" w:hAnsi="Times New Roman;Times;Serif"/>
          <w:b/>
          <w:i w:val="false"/>
          <w:caps w:val="false"/>
          <w:smallCaps w:val="false"/>
          <w:sz w:val="20"/>
        </w:rPr>
        <w:t>White Lion Purchase Agreement</w:t>
      </w:r>
      <w:r>
        <w:rPr>
          <w:rFonts w:ascii="Times New Roman;Times;Serif" w:hAnsi="Times New Roman;Times;Serif"/>
          <w:b w:val="false"/>
          <w:i w:val="false"/>
          <w:caps w:val="false"/>
          <w:smallCaps w:val="false"/>
          <w:sz w:val="20"/>
        </w:rPr>
        <w:t>”). In connection with the White Lion Purchase Agreement, we entered into a registration rights agreement with White Lion providing for the resale of the shares purchased by White Lion under the White Lion Purchase Agreement. We completed the initial filing of such registration statement on July 24, 2024.</w:t>
      </w:r>
    </w:p>
    <w:p>
      <w:pPr>
        <w:pStyle w:val="TextBody"/>
        <w:bidi w:val="0"/>
        <w:spacing w:before="0" w:after="0"/>
        <w:ind w:left="0" w:right="0" w:firstLine="40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The Yorkville Registration Rights Agreements</w:t>
      </w:r>
      <w:r>
        <w:rPr>
          <w:rFonts w:ascii="Times New Roman;Times;Serif" w:hAnsi="Times New Roman;Times;Serif"/>
          <w:b w:val="false"/>
          <w:i w:val="false"/>
          <w:caps w:val="false"/>
          <w:smallCaps w:val="false"/>
          <w:sz w:val="20"/>
        </w:rPr>
        <w:t>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January 27, 2026, we entered into the SEPA with Yorkville. In connection with the SEPA, we entered into the RRA with Yorkville providing for the resale of the shares purchased by Yorkville under the SEPA and the Commitment Shares and the Conversion Shares. On March 6, 2026, we entered into the March 2026 YA RRA with Yorkville providing for the resale of the shares of our common stock issuable upon the exercise of the YA Debenture.</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Registration Rights Under Note Purchase Agreements for 7.00% Notes due 2029</w:t>
      </w:r>
      <w:r>
        <w:rPr>
          <w:rFonts w:ascii="Times New Roman;Times;Serif" w:hAnsi="Times New Roman;Times;Serif"/>
          <w:b w:val="false"/>
          <w:i w:val="false"/>
          <w:caps w:val="false"/>
          <w:smallCaps w:val="false"/>
          <w:sz w:val="20"/>
        </w:rPr>
        <w:t>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note purchase agreements entered into by SunPower and certain purchasers of the 7.00% Notes require SunPower to file a registration statement with the SEC to register the resale of the maximum number of shares of common stock issuable upon conversion of the 7.00% Notes due 2029 and to use commercially reasonable efforts to have such registration statement declared effective as soon as practicable after filing.</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Registration Rights Under Note Purchase Agreements for 10.00% Convertible Senior Secured Notes due 2029; Registration Rights Under Exchange Agreements </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note purchase agreements entered into by SunPower and certain purchasers of the 10.00% Notes require SunPower to file a registration statement with the SEC to register the resale of the maximum number of shares of common stock issuable upon conversion of the 10% Notes and to use commercially reasonable efforts to have such registration statement declared effective as soon as practicable after filing. Additionally, the exchange agreements entered into by SunPower and certain holders of its 7.00% Notes require SunPower to file a registration statement with the SEC to register the resale of the common stock issued pursuant to the exchange agreements and to use commercially reasonable efforts to have such registration statement declared effective as soon as practicable after filing.</w:t>
      </w:r>
    </w:p>
    <w:p>
      <w:pPr>
        <w:pStyle w:val="TextBody"/>
        <w:bidi w:val="0"/>
        <w:spacing w:before="0" w:after="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108</w:t>
      </w:r>
    </w:p>
    <w:p>
      <w:pPr>
        <w:pStyle w:val="TextBody"/>
        <w:bidi w:val="0"/>
        <w:spacing w:before="0" w:after="0"/>
        <w:ind w:left="0" w:right="0" w:hanging="0"/>
        <w:jc w:val="left"/>
        <w:rPr/>
      </w:pPr>
      <w:r>
        <w:rPr/>
        <w:t> </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Registration Rights under Membership Interest Purchase Agreements</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Membership Interest Purchase Agreement that we entered into on September 21, 2025 with the Company, Chicken Parm Pizza LLC and Sunder Energy LLC provides that we are required to file an initial registration statement on Form S-1 with the SEC with respect to the shares of our common stock issued and issuable as consideration for the acquisition of Sunder Energy on or before the six month anniversary of the closing date of the transactions under such Membership Interest Purchase Agreement.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Membership Interest Purchase Agreement that we entered into on November 21, 2025 with Ambia Holdings, Inc. and Ambia Energy, LLC provides that we are required to file an initial registration statement on Form S-1 with the SEC with respect to the shares of our common stock issued and issuable as consideration for the acquisition of Ambia Energy within 10 calendar days after we file an amendment to our Current Report on Form 8-K to file the financial statements required to be filed by SunPower pursuant to Item 9.01(a)(3) of Current Report Form 8-K in respect of the transactions contemplated by the Ambia Membership Interest Purchase Agreement.</w:t>
      </w:r>
    </w:p>
    <w:p>
      <w:pPr>
        <w:pStyle w:val="TextBody"/>
        <w:bidi w:val="0"/>
        <w:spacing w:before="0" w:after="0"/>
        <w:ind w:left="0" w:right="0" w:firstLine="40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Anti-Takeover Provisions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Certificate of Incorporation and Bylaws</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Among other things, the Governing Documents:</w:t>
      </w:r>
    </w:p>
    <w:p>
      <w:pPr>
        <w:pStyle w:val="TextBody"/>
        <w:bidi w:val="0"/>
        <w:spacing w:before="0" w:after="0"/>
        <w:ind w:left="0" w:right="0" w:firstLine="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authorize our Board to issue up to 10,000,000 shares of preferred stock, with any rights, preferences and privileges as they may designate, including the right to approve an acquisition or other change of control;</w:t>
            </w:r>
          </w:p>
        </w:tc>
      </w:tr>
    </w:tbl>
    <w:p>
      <w:pPr>
        <w:pStyle w:val="TextBody"/>
        <w:bidi w:val="0"/>
        <w:spacing w:before="0" w:after="0"/>
        <w:ind w:left="720" w:right="0" w:hanging="360"/>
        <w:jc w:val="both"/>
        <w:rPr>
          <w:caps w:val="false"/>
          <w:smallCaps w:val="false"/>
        </w:rPr>
      </w:pPr>
      <w:r>
        <w:rPr>
          <w:caps w:val="false"/>
          <w:smallCaps w:val="false"/>
        </w:rPr>
        <w:t> </w:t>
      </w:r>
    </w:p>
    <w:tbl>
      <w:tblPr>
        <w:tblW w:w="8140" w:type="dxa"/>
        <w:jc w:val="left"/>
        <w:tblInd w:w="0" w:type="dxa"/>
        <w:tblLayout w:type="fixed"/>
        <w:tblCellMar>
          <w:top w:w="0" w:type="dxa"/>
          <w:left w:w="0" w:type="dxa"/>
          <w:bottom w:w="0" w:type="dxa"/>
          <w:right w:w="0" w:type="dxa"/>
        </w:tblCellMar>
      </w:tblPr>
      <w:tblGrid>
        <w:gridCol w:w="75"/>
        <w:gridCol w:w="170"/>
        <w:gridCol w:w="789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789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provide that the authorized number of directors may be changed only by resolution of our Board;</w:t>
            </w:r>
          </w:p>
        </w:tc>
      </w:tr>
    </w:tbl>
    <w:p>
      <w:pPr>
        <w:pStyle w:val="TextBody"/>
        <w:bidi w:val="0"/>
        <w:spacing w:before="0" w:after="0"/>
        <w:ind w:left="72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provide that all vacancies, including newly created directorships, may, except as otherwise required by law, be filled by the affirmative vote of a majority of directors then in office, even if less than a quorum;</w:t>
            </w:r>
          </w:p>
        </w:tc>
      </w:tr>
    </w:tbl>
    <w:p>
      <w:pPr>
        <w:pStyle w:val="TextBody"/>
        <w:bidi w:val="0"/>
        <w:spacing w:before="0" w:after="0"/>
        <w:ind w:left="72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provide that stockholders seeking to present proposals before a meeting of stockholders or to nominate candidates for election as directors at a meeting of stockholders must provide advance notice in writing, and also specify requirements as to the form and content of a stockholder’s notice;</w:t>
            </w:r>
          </w:p>
        </w:tc>
      </w:tr>
    </w:tbl>
    <w:p>
      <w:pPr>
        <w:pStyle w:val="TextBody"/>
        <w:bidi w:val="0"/>
        <w:spacing w:before="0" w:after="0"/>
        <w:ind w:left="72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provide that Special Meetings of SunPower’s stockholders may be called by the chairperson of our Board, the chief executive officer or by our Board pursuant to a resolution adopted by a majority of the total number of authorized directors; and</w:t>
            </w:r>
          </w:p>
        </w:tc>
      </w:tr>
    </w:tbl>
    <w:p>
      <w:pPr>
        <w:pStyle w:val="TextBody"/>
        <w:bidi w:val="0"/>
        <w:spacing w:before="0" w:after="0"/>
        <w:ind w:left="72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not provide for cumulative voting rights, therefore allowing the holders of a majority of the shares of common stock entitled to vote in any election of directors to elect all of the directors standing for election, if they should so choose.</w:t>
            </w:r>
          </w:p>
        </w:tc>
      </w:tr>
    </w:tbl>
    <w:p>
      <w:pPr>
        <w:pStyle w:val="TextBody"/>
        <w:bidi w:val="0"/>
        <w:spacing w:before="0" w:after="0"/>
        <w:ind w:left="720" w:right="0" w:hanging="360"/>
        <w:jc w:val="both"/>
        <w:rPr>
          <w:caps w:val="false"/>
          <w:smallCaps w:val="false"/>
        </w:rPr>
      </w:pPr>
      <w:r>
        <w:rPr>
          <w:caps w:val="false"/>
          <w:smallCaps w:val="false"/>
        </w:rPr>
        <w:t> </w:t>
      </w:r>
    </w:p>
    <w:p>
      <w:pPr>
        <w:pStyle w:val="TextBody"/>
        <w:bidi w:val="0"/>
        <w:spacing w:before="0" w:after="0"/>
        <w:ind w:left="720" w:right="0" w:hanging="36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109</w:t>
      </w:r>
    </w:p>
    <w:p>
      <w:pPr>
        <w:pStyle w:val="TextBody"/>
        <w:bidi w:val="0"/>
        <w:spacing w:before="0" w:after="0"/>
        <w:ind w:left="0" w:right="0" w:hanging="0"/>
        <w:jc w:val="left"/>
        <w:rPr/>
      </w:pPr>
      <w:r>
        <w:rPr/>
        <w:t> </w:t>
      </w:r>
    </w:p>
    <w:p>
      <w:pPr>
        <w:pStyle w:val="TextBody"/>
        <w:bidi w:val="0"/>
        <w:spacing w:before="0" w:after="0"/>
        <w:ind w:left="720" w:right="0" w:hanging="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amendment of any of these provisions would require approval by the holders of at least 66 2/3% of all of the then-outstanding capital stock entitled to vote generally in the election of directors. The combination of these provisions will make it more difficult for the existing stockholders to replace our Board as well as for another party to obtain control of SunPower by replacing our Board. Because the our Board has the power to retain and discharge its officers, these provisions could also make it more difficult for existing stockholders or another party to effect a change in management. In addition, the authorization of undesignated preferred stock makes it possible for our Board to issue preferred stock with voting or other rights or preferences that could impede the success of any attempt to change our control.</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These provisions are intended to enhance the likelihood of continued stability in the composition of our Board and its policies and to discourage coercive takeover practices and inadequate takeover bids. These provisions are also designed to reduce SunPower’s vulnerability to hostile takeovers and to discourage certain tactics that may be used in proxy fights. However, such provisions could have the effect of discouraging others from making tender offers for SunPower’s shares and may have the effect of delaying changes in our control or management. As a consequence, these provisions may also inhibit fluctuations in the market price of common stock.</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Delaware Anti-Takeover Law</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SunPower opted out of Section 203 of the DGCL. However, the Certificate of Incorporation contains similar provisions providing that we may not engage in certain “business combinations” with any “interested stockholder” for a three-year period following the time that the stockholder became an interested stockholder, unless:</w:t>
      </w:r>
    </w:p>
    <w:p>
      <w:pPr>
        <w:pStyle w:val="TextBody"/>
        <w:bidi w:val="0"/>
        <w:spacing w:before="0" w:after="0"/>
        <w:ind w:left="0" w:right="0" w:firstLine="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prior to the date of the transaction, our Board approved either the business combination or the transaction which resulted in the stockholder becoming an interested stockholder;</w:t>
            </w:r>
          </w:p>
        </w:tc>
      </w:tr>
    </w:tbl>
    <w:p>
      <w:pPr>
        <w:pStyle w:val="TextBody"/>
        <w:bidi w:val="0"/>
        <w:spacing w:before="0" w:after="0"/>
        <w:ind w:left="72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interested stockholder owned at least 85% of our voting stock outstanding upon consummation of the transaction, excluding for purposes of determining the number of shares outstanding (1) shares owned by persons who are directors and also officers and (2) shares owned by employee stock plans in which employee participants do not have the right to determine confidentially whether shares held subject to the plan will be tendered in a tender or exchange offer; or</w:t>
            </w:r>
          </w:p>
        </w:tc>
      </w:tr>
    </w:tbl>
    <w:p>
      <w:pPr>
        <w:pStyle w:val="TextBody"/>
        <w:bidi w:val="0"/>
        <w:spacing w:before="0" w:after="0"/>
        <w:ind w:left="72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on or subsequent to the consummation of the transaction, the business combination is approved by our Board and authorized at an annual or special meeting of stockholders, and not by written consent, by the affirmative vote of at least 66 2/3% of the outstanding voting stock which is not owned by the interested stockholder.</w:t>
            </w:r>
          </w:p>
        </w:tc>
      </w:tr>
    </w:tbl>
    <w:p>
      <w:pPr>
        <w:pStyle w:val="TextBody"/>
        <w:bidi w:val="0"/>
        <w:spacing w:before="0" w:after="0"/>
        <w:ind w:left="720" w:right="0" w:hanging="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Generally, a “business combination” includes a merger, asset or stock sale or other transaction resulting in a financial benefit to the interested stockholder. An interested stockholder is a person who, together with its affiliates and associates, owns or, within three years prior to the determination of interested stockholder status, did own 20% or more of our outstanding voting stock. These provisions may encourage companies interested in acquiring SunPower to negotiate in advance with our Board because the stockholder approval requirement would be avoided if the board of directors approves either the business combination or the transaction which results in the stockholder becoming an interested stockholder. These provisions also may have the effect of preventing changes in the SunPower Board and may make it more difficult to accomplish transactions which stockholders may otherwise deem to be in their best interests.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110</w:t>
      </w:r>
    </w:p>
    <w:p>
      <w:pPr>
        <w:pStyle w:val="TextBody"/>
        <w:bidi w:val="0"/>
        <w:spacing w:before="0" w:after="0"/>
        <w:ind w:left="0" w:right="0" w:hanging="0"/>
        <w:jc w:val="left"/>
        <w:rPr/>
      </w:pPr>
      <w:r>
        <w:rPr/>
        <w:t>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Choice of Forum</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Certificate of Incorporation provides that the Court of Chancery of the State of Delaware (or, if and only if the Court of Chancery of the State of Delaware lacks subject matter jurisdiction, any state court located within the State of Delaware or, if and only if all such state courts lack subject matter jurisdiction, the federal district court for the District of Delaware) is the sole and exclusive forum for the following types of actions or proceedings under Delaware statutory or common law:</w:t>
      </w:r>
    </w:p>
    <w:p>
      <w:pPr>
        <w:pStyle w:val="TextBody"/>
        <w:bidi w:val="0"/>
        <w:spacing w:before="0" w:after="0"/>
        <w:ind w:left="0" w:right="0" w:firstLine="360"/>
        <w:jc w:val="both"/>
        <w:rPr>
          <w:caps w:val="false"/>
          <w:smallCaps w:val="false"/>
        </w:rPr>
      </w:pPr>
      <w:r>
        <w:rPr>
          <w:caps w:val="false"/>
          <w:smallCaps w:val="false"/>
        </w:rPr>
        <w:t> </w:t>
      </w:r>
    </w:p>
    <w:tbl>
      <w:tblPr>
        <w:tblW w:w="5725" w:type="dxa"/>
        <w:jc w:val="left"/>
        <w:tblInd w:w="0" w:type="dxa"/>
        <w:tblLayout w:type="fixed"/>
        <w:tblCellMar>
          <w:top w:w="0" w:type="dxa"/>
          <w:left w:w="0" w:type="dxa"/>
          <w:bottom w:w="0" w:type="dxa"/>
          <w:right w:w="0" w:type="dxa"/>
        </w:tblCellMar>
      </w:tblPr>
      <w:tblGrid>
        <w:gridCol w:w="75"/>
        <w:gridCol w:w="170"/>
        <w:gridCol w:w="548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548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any derivative action or proceeding brought on SunPower’s behalf;</w:t>
            </w:r>
          </w:p>
        </w:tc>
      </w:tr>
    </w:tbl>
    <w:p>
      <w:pPr>
        <w:pStyle w:val="TextBody"/>
        <w:bidi w:val="0"/>
        <w:spacing w:before="0" w:after="0"/>
        <w:ind w:left="72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any action or proceeding asserting a claim of breach of a fiduciary duty owed by any of SunPower’s directors, officers, or other employees to SunPower or our stockholders;</w:t>
            </w:r>
          </w:p>
        </w:tc>
      </w:tr>
    </w:tbl>
    <w:p>
      <w:pPr>
        <w:pStyle w:val="TextBody"/>
        <w:bidi w:val="0"/>
        <w:spacing w:before="0" w:after="0"/>
        <w:ind w:left="72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any action or proceeding asserting a claim against SunPower or any of our directors, officers or other employees arising out of or pursuant to any provision of the DGCL, the Certificate of Incorporation or the Bylaws;</w:t>
            </w:r>
          </w:p>
        </w:tc>
      </w:tr>
    </w:tbl>
    <w:p>
      <w:pPr>
        <w:pStyle w:val="TextBody"/>
        <w:bidi w:val="0"/>
        <w:spacing w:before="0" w:after="0"/>
        <w:ind w:left="72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any action or proceeding to interpret, apply, enforce or determine the validity of the Certificate of Incorporation or the Bylaws (including any right, obligation, or remedy thereunder);</w:t>
            </w:r>
          </w:p>
        </w:tc>
      </w:tr>
    </w:tbl>
    <w:p>
      <w:pPr>
        <w:pStyle w:val="TextBody"/>
        <w:bidi w:val="0"/>
        <w:spacing w:before="0" w:after="0"/>
        <w:ind w:left="720" w:right="0" w:hanging="360"/>
        <w:jc w:val="both"/>
        <w:rPr>
          <w:caps w:val="false"/>
          <w:smallCaps w:val="false"/>
        </w:rPr>
      </w:pPr>
      <w:r>
        <w:rPr>
          <w:caps w:val="false"/>
          <w:smallCaps w:val="false"/>
        </w:rPr>
        <w:t> </w:t>
      </w:r>
    </w:p>
    <w:tbl>
      <w:tblPr>
        <w:tblW w:w="10180" w:type="dxa"/>
        <w:jc w:val="left"/>
        <w:tblInd w:w="0" w:type="dxa"/>
        <w:tblLayout w:type="fixed"/>
        <w:tblCellMar>
          <w:top w:w="0" w:type="dxa"/>
          <w:left w:w="0" w:type="dxa"/>
          <w:bottom w:w="0" w:type="dxa"/>
          <w:right w:w="0" w:type="dxa"/>
        </w:tblCellMar>
      </w:tblPr>
      <w:tblGrid>
        <w:gridCol w:w="75"/>
        <w:gridCol w:w="170"/>
        <w:gridCol w:w="993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3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any action or proceeding as to which the DGCL confers jurisdiction to the Court of Chancery of the State of Delaware; and</w:t>
            </w:r>
          </w:p>
        </w:tc>
      </w:tr>
    </w:tbl>
    <w:p>
      <w:pPr>
        <w:pStyle w:val="TextBody"/>
        <w:bidi w:val="0"/>
        <w:spacing w:before="0" w:after="0"/>
        <w:ind w:left="72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any action or proceeding asserting a claim against SunPower or any of our directors, officers, or other employees that is governed by the internal affairs doctrine, in all cases to the fullest extent permitted by law and subject to the court’s having personal jurisdiction over the indispensable parties named as defendants.</w:t>
            </w:r>
          </w:p>
        </w:tc>
      </w:tr>
    </w:tbl>
    <w:p>
      <w:pPr>
        <w:pStyle w:val="TextBody"/>
        <w:bidi w:val="0"/>
        <w:spacing w:before="0" w:after="0"/>
        <w:ind w:left="720" w:right="0" w:hanging="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choice of forum provision would not apply to suits brought to enforce a duty or liability created by the Exchange Act or any other claim for which the federal courts have exclusive jurisdiction, or the Securities Act. The Certificate of Incorporation further provides that, unless SunPower consents in writing to the selection of an alternative forum, to the fullest extent permitted by law, the federal district courts of the United States of America will be the exclusive forum for resolving any complaint asserting a cause of action arising under the Securities Act. However, Section 22 of the Securities Act creates concurrent jurisdiction for federal and state courts over all suits brought to enforce any duty or liability created by the Securities Act or the rules and regulations thereunder. Accordingly, both state and federal courts have jurisdiction to entertain such claims. As noted above, the Certificate of Incorporation provides that the federal district courts of the United States will be the exclusive forum for the resolution of any complaint asserting a cause of action under the Securities Act. Due to the concurrent jurisdiction for federal and state courts created by Section 22 of the Securities Act over all suits brought to enforce any duty or liability created by the Securities Act or the rules and regulations thereunder, there is uncertainty as to whether a court would enforce the exclusive form provision. Additionally, the Certificate of Incorporation provides that any person or entity holding, owning or otherwise acquiring any interest in any of our securities shall be deemed to have notice of and consented to these provisions. Investors also cannot waive compliance with the federal securities laws and the rules and regulations thereunder.</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Transfer Agent</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Continental Stock Transfer &amp; Trust Company is the transfer agent for common stock and the warrant agent for the Warrants.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Listing of Common Stock and Warrants</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common stock and Public Warrants are listed on Nasdaq under the symbols “SPWR” and “SPWRW,” respectively.</w:t>
      </w:r>
    </w:p>
    <w:p>
      <w:pPr>
        <w:pStyle w:val="TextBody"/>
        <w:bidi w:val="0"/>
        <w:spacing w:before="0" w:after="0"/>
        <w:jc w:val="center"/>
        <w:rPr>
          <w:caps/>
        </w:rPr>
      </w:pPr>
      <w:r>
        <w:rPr>
          <w:caps/>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111</w:t>
      </w:r>
    </w:p>
    <w:p>
      <w:pPr>
        <w:pStyle w:val="TextBody"/>
        <w:bidi w:val="0"/>
        <w:spacing w:before="0" w:after="0"/>
        <w:ind w:left="0" w:right="0" w:hanging="0"/>
        <w:jc w:val="left"/>
        <w:rPr/>
      </w:pPr>
      <w:r>
        <w:rPr/>
        <w:t> </w:t>
      </w:r>
    </w:p>
    <w:p>
      <w:pPr>
        <w:pStyle w:val="TextBody"/>
        <w:bidi w:val="0"/>
        <w:spacing w:before="0" w:after="0"/>
        <w:jc w:val="center"/>
        <w:rPr>
          <w:caps/>
        </w:rPr>
      </w:pPr>
      <w:r>
        <w:rPr>
          <w:caps/>
        </w:rPr>
        <w:t> </w:t>
      </w:r>
    </w:p>
    <w:p>
      <w:pPr>
        <w:pStyle w:val="TextBody"/>
        <w:bidi w:val="0"/>
        <w:spacing w:before="0" w:after="0"/>
        <w:jc w:val="center"/>
        <w:rPr>
          <w:rFonts w:ascii="Times New Roman;Times;Serif" w:hAnsi="Times New Roman;Times;Serif"/>
          <w:b/>
          <w:i w:val="false"/>
          <w:caps/>
          <w:sz w:val="20"/>
        </w:rPr>
      </w:pPr>
      <w:bookmarkStart w:id="16" w:name="a_015"/>
      <w:bookmarkEnd w:id="16"/>
      <w:r>
        <w:rPr>
          <w:rFonts w:ascii="Times New Roman;Times;Serif" w:hAnsi="Times New Roman;Times;Serif"/>
          <w:b/>
          <w:i w:val="false"/>
          <w:caps/>
          <w:sz w:val="20"/>
        </w:rPr>
        <w:t>Material U.S. Federal Income Tax Consequences</w:t>
      </w:r>
    </w:p>
    <w:p>
      <w:pPr>
        <w:pStyle w:val="TextBody"/>
        <w:bidi w:val="0"/>
        <w:spacing w:before="0" w:after="0"/>
        <w:jc w:val="center"/>
        <w:rPr>
          <w:caps/>
        </w:rPr>
      </w:pPr>
      <w:r>
        <w:rPr>
          <w:caps/>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discussion is a summary of certain material U.S. federal income tax considerations generally applicable to the ownership and disposition of our common stock and the exercise, disposition and lapse of our Warrants. The common stock and the Warrants are referred to collectively herein as our securities. All prospective holders of our securities should consult their tax advisors with respect to the U.S. federal, state, local and non-U.S. tax consequences of the ownership and disposition of our securities.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discussion is not a complete analysis of all potential U.S. federal income tax consequences relating to the ownership and disposition of our securities. This summary is based upon current provisions of the Code, existing U.S. Treasury Regulations promulgated thereunder, published administrative pronouncements and rulings of the U.S. Internal Revenue Service (the “</w:t>
      </w:r>
      <w:r>
        <w:rPr>
          <w:rFonts w:ascii="Times New Roman;Times;Serif" w:hAnsi="Times New Roman;Times;Serif"/>
          <w:b/>
          <w:i w:val="false"/>
          <w:caps w:val="false"/>
          <w:smallCaps w:val="false"/>
          <w:sz w:val="20"/>
        </w:rPr>
        <w:t>IRS</w:t>
      </w:r>
      <w:r>
        <w:rPr>
          <w:rFonts w:ascii="Times New Roman;Times;Serif" w:hAnsi="Times New Roman;Times;Serif"/>
          <w:b w:val="false"/>
          <w:i w:val="false"/>
          <w:caps w:val="false"/>
          <w:smallCaps w:val="false"/>
          <w:sz w:val="20"/>
        </w:rPr>
        <w:t>”), and judicial decisions, all as in effect as of the date of this prospectus. These authorities are subject to change and differing interpretation, possibly with retroactive effect. Any change or differing interpretation could alter the tax consequences to holders described in this discussion. There can be no assurance that a court or the IRS will not challenge one or more of the tax consequences described herein, and we have not obtained, nor do we intend to obtain, a ruling with respect to the U.S. federal income tax consequences to a holder of the ownership or disposition of our securities.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assume in this discussion that a holder holds our securities as a “capital asset” within the meaning of Section 1221 of the Code (generally, property held for investment). This discussion does not address all aspects of U.S. federal income taxation that may be relevant to a particular holder in light of that holder’s individual circumstances, nor does it address the special tax accounting rules under Section 451(b) of the Code, any alternative minimum, Medicare contribution, estate or gift tax consequences, or any aspects of U.S. state, local or non-U.S. taxes or any non-income U.S. tax laws. This discussion also does not address consequences relevant to holders subject to special tax rules, such as holders that own, or are deemed to own, more than 5% of our capital stock (except to the extent specifically set forth below), corporations that accumulate earnings to avoid U.S. federal income tax, tax-exempt organizations, governmental organizations, banks, financial institutions, investment funds, insurance companies, brokers, dealers or traders in securities, commodities or currencies, regulated investment companies or real estate investment trusts, persons that have a “functional currency” other than the U.S. dollar, tax-qualified retirement plans, holders who hold or receive our securities pursuant to the exercise of employee stock options or otherwise as compensation, holders holding our securities as part of a hedge, straddle or other risk reduction strategy, conversion transaction or other integrated investment, holders deemed to sell our securities under the constructive sale provisions of the Code, passive foreign investment companies, controlled foreign corporations, S corporations, and certain former U.S. citizens or long-term residents.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this discussion does not address the tax treatment of partnerships (or entities or arrangements that are treated as partnerships for U.S. federal income tax purposes) or persons that hold our securities through such partnerships. If a partnership, including any entity or arrangement treated as a partnership for U.S. federal income tax purposes, holds our securities, the U.S. federal income tax treatment of a partner in such partnership generally will depend upon the status of the partner and the activities of the partnership. Such partners and partnerships should consult their tax advisors regarding the tax consequences of the ownership and disposition of our securities.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purposes of this discussion, a “U.S. Holder” means a beneficial owner of our securities (other than a partnership or an entity or arrangement treated as a partnership for U.S. federal income tax purposes) that is, for U.S. federal income tax purposes:</w:t>
      </w:r>
    </w:p>
    <w:p>
      <w:pPr>
        <w:pStyle w:val="TextBody"/>
        <w:bidi w:val="0"/>
        <w:spacing w:before="0" w:after="0"/>
        <w:ind w:left="0" w:right="0" w:firstLine="360"/>
        <w:jc w:val="both"/>
        <w:rPr>
          <w:caps w:val="false"/>
          <w:smallCaps w:val="false"/>
        </w:rPr>
      </w:pPr>
      <w:r>
        <w:rPr>
          <w:caps w:val="false"/>
          <w:smallCaps w:val="false"/>
        </w:rPr>
        <w:t> </w:t>
      </w:r>
    </w:p>
    <w:tbl>
      <w:tblPr>
        <w:tblW w:w="5275" w:type="dxa"/>
        <w:jc w:val="left"/>
        <w:tblInd w:w="0" w:type="dxa"/>
        <w:tblLayout w:type="fixed"/>
        <w:tblCellMar>
          <w:top w:w="0" w:type="dxa"/>
          <w:left w:w="0" w:type="dxa"/>
          <w:bottom w:w="0" w:type="dxa"/>
          <w:right w:w="0" w:type="dxa"/>
        </w:tblCellMar>
      </w:tblPr>
      <w:tblGrid>
        <w:gridCol w:w="75"/>
        <w:gridCol w:w="170"/>
        <w:gridCol w:w="503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503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an individual who is a citizen or resident of the United States;</w:t>
            </w:r>
          </w:p>
        </w:tc>
      </w:tr>
    </w:tbl>
    <w:p>
      <w:pPr>
        <w:pStyle w:val="TextBody"/>
        <w:bidi w:val="0"/>
        <w:spacing w:before="0" w:after="0"/>
        <w:ind w:left="72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 corporation, or an entity treated as a corporation for U.S. federal income tax purposes, created or organized in the United States or under the laws of the United States or of any state thereof or the District of Columbia;</w:t>
            </w:r>
          </w:p>
        </w:tc>
      </w:tr>
    </w:tbl>
    <w:p>
      <w:pPr>
        <w:pStyle w:val="TextBody"/>
        <w:bidi w:val="0"/>
        <w:spacing w:before="0" w:after="0"/>
        <w:ind w:left="720" w:right="0" w:hanging="360"/>
        <w:jc w:val="both"/>
        <w:rPr>
          <w:caps w:val="false"/>
          <w:smallCaps w:val="false"/>
        </w:rPr>
      </w:pPr>
      <w:r>
        <w:rPr>
          <w:caps w:val="false"/>
          <w:smallCaps w:val="false"/>
        </w:rPr>
        <w:t> </w:t>
      </w:r>
    </w:p>
    <w:tbl>
      <w:tblPr>
        <w:tblW w:w="7810" w:type="dxa"/>
        <w:jc w:val="left"/>
        <w:tblInd w:w="0" w:type="dxa"/>
        <w:tblLayout w:type="fixed"/>
        <w:tblCellMar>
          <w:top w:w="0" w:type="dxa"/>
          <w:left w:w="0" w:type="dxa"/>
          <w:bottom w:w="0" w:type="dxa"/>
          <w:right w:w="0" w:type="dxa"/>
        </w:tblCellMar>
      </w:tblPr>
      <w:tblGrid>
        <w:gridCol w:w="75"/>
        <w:gridCol w:w="170"/>
        <w:gridCol w:w="756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756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an estate, the income of which is subject to U.S. federal income tax regardless of its source; or</w:t>
            </w:r>
          </w:p>
        </w:tc>
      </w:tr>
    </w:tbl>
    <w:p>
      <w:pPr>
        <w:pStyle w:val="TextBody"/>
        <w:bidi w:val="0"/>
        <w:spacing w:before="0" w:after="0"/>
        <w:ind w:left="72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 trust if (a) a U.S. court can exercise primary supervision over the trust’s administration and one or more U.S. persons have the authority to control all of the trust’s substantial decisions or (b) the trust has a valid election in effect under applicable U.S. Treasury Regulations to be treated as a U.S. person.</w:t>
            </w:r>
          </w:p>
        </w:tc>
      </w:tr>
    </w:tbl>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purposes of this discussion, a “non-U.S. Holder” is a beneficial owner of our securities that is neither a U.S. Holder nor a partnership or an entity or arrangement treated as a partnership for U.S. federal income tax purposes.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112</w:t>
      </w:r>
    </w:p>
    <w:p>
      <w:pPr>
        <w:pStyle w:val="TextBody"/>
        <w:bidi w:val="0"/>
        <w:spacing w:before="0" w:after="0"/>
        <w:ind w:left="0" w:right="0" w:hanging="0"/>
        <w:jc w:val="left"/>
        <w:rPr/>
      </w:pPr>
      <w:r>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Tax Considerations Applicable to U.S. Holders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Taxation of Distributions</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If we pay distributions or make constructive distributions (other than certain distributions of our stock or rights to acquire our stock) to U.S. Holders of shares of our common stock, such distributions generally will constitute dividends for U.S. federal income tax purposes to the extent paid or deemed paid from our current or accumulated earnings and profits, as determined under U.S. federal income tax principles. Distributions in excess of our current and accumulated earnings and profits will constitute a return of capital that will be applied against and reduce (but not below zero) the U.S. Holder’s adjusted tax basis in our common stock. Any remaining excess will be treated as gain realized on the sale or other disposition of the common stock and will be treated as described under “ </w:t>
      </w:r>
      <w:r>
        <w:rPr>
          <w:rFonts w:ascii="Times New Roman;Times;Serif" w:hAnsi="Times New Roman;Times;Serif"/>
          <w:b w:val="false"/>
          <w:i/>
          <w:caps w:val="false"/>
          <w:smallCaps w:val="false"/>
          <w:sz w:val="20"/>
        </w:rPr>
        <w:t>- Tax Considerations Applicable to U.S. Holders - Gain or Loss on Sale, Taxable Exchange or Other Taxable Disposition of Common Stock</w:t>
      </w:r>
      <w:r>
        <w:rPr>
          <w:rFonts w:ascii="Times New Roman;Times;Serif" w:hAnsi="Times New Roman;Times;Serif"/>
          <w:b w:val="false"/>
          <w:i w:val="false"/>
          <w:caps w:val="false"/>
          <w:smallCaps w:val="false"/>
          <w:sz w:val="20"/>
        </w:rPr>
        <w:t>” below.</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Dividends we pay to a U.S. Holder that is a taxable corporation generally will qualify for the dividends received deduction if the requisite holding period is satisfied. Provided certain holding period requirements are met, dividends we pay to a non-corporate U.S. Holder generally will constitute “qualified dividends” that under current law will be subject to tax at long-term capital gains rates. If the holding period requirements are not satisfied, a corporation may not be able to qualify for the dividends received deduction and would have taxable income equal to the entire dividend amount, and non-corporate holders may be subject to tax on such dividend at ordinary income tax rates instead of the preferential rates that apply to qualified dividend income.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Gain or Loss on Sale, Taxable Exchange or Other Taxable Disposition of Common Stock</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U.S. Holder generally will recognize gain or loss on the sale, taxable exchange or other taxable disposition of our common stock. Any such gain or loss will be capital gain or loss, and will be long-term capital gain or loss if the U.S. Holder’s holding period for the common stock disposed of exceeds one year at the time of disposition. The amount of gain or loss recognized generally will be equal to the difference between (1) the sum of the amount of cash and the fair market value of any property received in such disposition and (2) the U.S. Holder’s adjusted tax basis in its common stock disposed of. A U.S. Holder’s adjusted tax basis in its common stock generally will equal the U.S. Holder’s acquisition cost for such common stock (or, in the case of common stock received upon exercise of a Warrant, the U.S. Holder’s initial basis for such common stock, as discussed below), less any prior distributions treated as a return of capital. Long-term capital gains recognized by non-corporate U.S. Holders generally are eligible under current law for reduced rates of tax. If the U.S. Holder’s holding period for the common stock disposed of is one year or less at the time of disposition, any gain on a taxable disposition of our common stock would be subject to short-term capital gain treatment and would be taxed at ordinary income tax rates. The deductibility of capital losses is subject to limitations.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Exercise of a Warrant</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Except as discussed below with respect to the cashless exercise of a Warrant, a U.S. Holder generally will not recognize taxable gain or loss upon the exercise of a Warrant for cash. The U.S. Holder’s initial tax basis in the shares of our common stock received upon exercise of the Warrant generally will be an amount equal to the sum of the U.S. Holder’s acquisition cost of the Warrant and the exercise price of such Warrant. It is unclear whether a U.S. Holder’s holding period for the common stock received upon exercise of the Warrant would commence on the date of exercise of the Warrant or the day following the date of exercise of the Warrant; however, in either case the holding period will not include the period during which the U.S. Holder held the Warrants.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certain circumstances, the Warrants may be exercised on a cashless basis. The U.S. federal income tax treatment of an exercise of a warrant on a cashless basis is not clear, and could differ from the consequences described above. It is possible that a cashless exercise could be a taxable event, a non-realization event, or a tax-free recapitalization. U.S. holders are urged to consult their tax advisors as to the consequences of an exercise of a Warrant on a cashless basis, including with respect to their holding period and tax basis in the common stock received upon exercise of the Warrant.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Sale, Exchange, Redemption or Expiration of a Warrant</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Upon a sale, exchange (other than by exercise), redemption, or expiration of a Warrant, a U.S. Holder will recognize taxable gain or loss in an amount equal to the difference between (1) the amount realized upon such disposition and (2) the U.S. Holder’s adjusted tax basis in the Warrant. A U.S. Holder’s adjusted tax basis in its Warrants generally will equal the U.S. Holder’s acquisition cost of the Warrant, increased by the amount of any constructive distributions included in income by such U.S. Holder (as described below under “</w:t>
      </w:r>
      <w:r>
        <w:rPr>
          <w:rFonts w:ascii="Times New Roman;Times;Serif" w:hAnsi="Times New Roman;Times;Serif"/>
          <w:b w:val="false"/>
          <w:i/>
          <w:caps w:val="false"/>
          <w:smallCaps w:val="false"/>
          <w:sz w:val="20"/>
        </w:rPr>
        <w:t>Tax Considerations Applicable to U.S. Holders - Possible Constructive Distributions</w:t>
      </w:r>
      <w:r>
        <w:rPr>
          <w:rFonts w:ascii="Times New Roman;Times;Serif" w:hAnsi="Times New Roman;Times;Serif"/>
          <w:b w:val="false"/>
          <w:i w:val="false"/>
          <w:caps w:val="false"/>
          <w:smallCaps w:val="false"/>
          <w:sz w:val="20"/>
        </w:rPr>
        <w:t>”). Such gain or loss generally will be treated as long-term capital gain or loss if the Warrant is held by the U.S. Holder for more than one year at the time of such disposition or expiration.</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113</w:t>
      </w:r>
    </w:p>
    <w:p>
      <w:pPr>
        <w:pStyle w:val="TextBody"/>
        <w:bidi w:val="0"/>
        <w:spacing w:before="0" w:after="0"/>
        <w:ind w:left="0" w:right="0" w:hanging="0"/>
        <w:jc w:val="left"/>
        <w:rPr/>
      </w:pPr>
      <w:r>
        <w:rPr/>
        <w:t>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 Warrant expires unexercised, a U.S. Holder generally will recognize a capital loss equal to such holder’s adjusted tax basis in the Warrant. Any such loss generally will be a capital loss and will be long-term capital loss if the Warrant is held for more than one year. The deductibility of capital losses is subject to certain limitations.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Possible Constructive Distributions</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terms of each Warrant provide for an adjustment to the number of shares of common stock for which the Warrant may be exercised or to the exercise price of the Warrant in certain events, as discussed in the section of this prospectus captioned “</w:t>
      </w:r>
      <w:r>
        <w:rPr>
          <w:rFonts w:ascii="Times New Roman;Times;Serif" w:hAnsi="Times New Roman;Times;Serif"/>
          <w:b w:val="false"/>
          <w:i/>
          <w:caps w:val="false"/>
          <w:smallCaps w:val="false"/>
          <w:sz w:val="20"/>
        </w:rPr>
        <w:t>Description of Capital Stock - Warrants</w:t>
      </w:r>
      <w:r>
        <w:rPr>
          <w:rFonts w:ascii="Times New Roman;Times;Serif" w:hAnsi="Times New Roman;Times;Serif"/>
          <w:b w:val="false"/>
          <w:i w:val="false"/>
          <w:caps w:val="false"/>
          <w:smallCaps w:val="false"/>
          <w:sz w:val="20"/>
        </w:rPr>
        <w:t>.” An adjustment which has the effect of preventing dilution generally should not be a taxable event. Nevertheless, a U.S. Holder of Warrants would be treated as receiving a constructive distribution from us if, for example, the adjustment increases the holder’s proportionate interest in our assets or earnings and profits (e.g., through an increase in the number of shares of common stock that would be obtained upon exercise or an adjustment to the exercise price of the Warrant) as a result of a distribution of cash to the holders of shares of our common stock that is taxable to such holders as a distribution. Such constructive distribution would be subject to tax as described above under “</w:t>
      </w:r>
      <w:r>
        <w:rPr>
          <w:rFonts w:ascii="Times New Roman;Times;Serif" w:hAnsi="Times New Roman;Times;Serif"/>
          <w:b w:val="false"/>
          <w:i/>
          <w:caps w:val="false"/>
          <w:smallCaps w:val="false"/>
          <w:sz w:val="20"/>
        </w:rPr>
        <w:t>Tax Considerations Applicable to U.S. Holders - Taxation of Distributions</w:t>
      </w:r>
      <w:r>
        <w:rPr>
          <w:rFonts w:ascii="Times New Roman;Times;Serif" w:hAnsi="Times New Roman;Times;Serif"/>
          <w:b w:val="false"/>
          <w:i w:val="false"/>
          <w:caps w:val="false"/>
          <w:smallCaps w:val="false"/>
          <w:sz w:val="20"/>
        </w:rPr>
        <w:t>” in the same manner as if such U.S. Holder received a cash distribution from us on common stock equal to the fair market value of such increased interest.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Information Reporting and Backup Withholding</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general, information reporting requirements may apply to distributions paid to a U.S. Holder and to the proceeds of the sale or other disposition of our securities, unless the U.S. Holder is an exempt recipient. Backup withholding may apply to such payments if the U.S. Holder fails to provide a taxpayer identification number (or furnishes an incorrect taxpayer identification number) or a certification of exempt status or has been notified by the IRS that such U.S. Holder is subject to backup withholding (and such notification has not been withdrawn). Backup withholding is not an additional tax. Any amounts withheld under the backup withholding rules will be allowed as a credit against a U.S. Holder’s U.S. federal income tax liability and may entitle such holder to a refund, provided the required information is timely furnished to the IRS. Taxpayers should consult their tax advisors regarding their qualification for an exemption from backup withholding and the procedures for obtaining such an exemption.</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Tax Considerations Applicable to Non-U.S. Holders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Taxation of Distributions</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 general, any distributions (including constructive distributions) we make to a non-U.S. Holder of shares on our common stock, to the extent paid or deemed paid out of our current or accumulated earnings and profits (as determined under U.S. federal income tax principles), will constitute dividends for U.S. federal income tax purposes and, provided such dividends are not effectively connected with the non-U.S. Holder’s conduct of a trade or business within the United States, we will be required to withhold tax from the gross amount of the dividend at a rate of 30%, unless such non-U.S. Holder is eligible for a reduced rate of withholding tax under an applicable income tax treaty and provides proper certification of its eligibility for such reduced rate (usually on an IRS Form W-8BEN or W-8BEN-E, as applicable). In the case of any constructive dividend (as described below under “ </w:t>
      </w:r>
      <w:r>
        <w:rPr>
          <w:rFonts w:ascii="Times New Roman;Times;Serif" w:hAnsi="Times New Roman;Times;Serif"/>
          <w:b w:val="false"/>
          <w:i/>
          <w:caps w:val="false"/>
          <w:smallCaps w:val="false"/>
          <w:sz w:val="20"/>
        </w:rPr>
        <w:t>- Tax Considerations Applicable to Non-U.S. Holders - Possible Constructive Distributions</w:t>
      </w:r>
      <w:r>
        <w:rPr>
          <w:rFonts w:ascii="Times New Roman;Times;Serif" w:hAnsi="Times New Roman;Times;Serif"/>
          <w:b w:val="false"/>
          <w:i w:val="false"/>
          <w:caps w:val="false"/>
          <w:smallCaps w:val="false"/>
          <w:sz w:val="20"/>
        </w:rPr>
        <w:t>”), it is possible that this tax would be withheld from any amount owed to a non-U.S. Holder by the applicable withholding agent, including cash distributions on other property or sale proceeds from Warrants or other property subsequently paid or credited to such holder. Any distribution not constituting a dividend will be treated first as reducing (but not below zero) the non-U.S. Holder’s adjusted tax basis in its shares of our common stock and, to the extent such distribution exceeds the non-U.S. Holder’s adjusted tax basis, as gain realized from the sale or other disposition of the common stock, which will be treated as described under “</w:t>
      </w:r>
      <w:r>
        <w:rPr>
          <w:rFonts w:ascii="Times New Roman;Times;Serif" w:hAnsi="Times New Roman;Times;Serif"/>
          <w:b w:val="false"/>
          <w:i/>
          <w:caps w:val="false"/>
          <w:smallCaps w:val="false"/>
          <w:sz w:val="20"/>
        </w:rPr>
        <w:t>-Tax Considerations Applicable to Non-U.S. Holders - Gain on Sale, Exchange or Other Taxable Disposition of Common Stock and Warrants</w:t>
      </w:r>
      <w:r>
        <w:rPr>
          <w:rFonts w:ascii="Times New Roman;Times;Serif" w:hAnsi="Times New Roman;Times;Serif"/>
          <w:b w:val="false"/>
          <w:i w:val="false"/>
          <w:caps w:val="false"/>
          <w:smallCaps w:val="false"/>
          <w:sz w:val="20"/>
        </w:rPr>
        <w:t>” below. In addition, if we determine that we are likely to be classified as a “United States real property holding corporation” (see the section entitled “-</w:t>
      </w:r>
      <w:r>
        <w:rPr>
          <w:rFonts w:ascii="Times New Roman;Times;Serif" w:hAnsi="Times New Roman;Times;Serif"/>
          <w:b w:val="false"/>
          <w:i/>
          <w:caps w:val="false"/>
          <w:smallCaps w:val="false"/>
          <w:sz w:val="20"/>
        </w:rPr>
        <w:t>Tax Considerations Applicable to Non-U.S. Holders - Gain on Sale, Exchange or Other Taxable Disposition of Common Stock and Warrants</w:t>
      </w:r>
      <w:r>
        <w:rPr>
          <w:rFonts w:ascii="Times New Roman;Times;Serif" w:hAnsi="Times New Roman;Times;Serif"/>
          <w:b w:val="false"/>
          <w:i w:val="false"/>
          <w:caps w:val="false"/>
          <w:smallCaps w:val="false"/>
          <w:sz w:val="20"/>
        </w:rPr>
        <w:t>” below), we will withhold 15% of any distribution that exceeds our current and accumulated earnings and profits.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Dividends we pay to a non-U.S. Holder that are effectively connected with such non-U.S. Holder’s conduct of a trade or business within the United States (and, if a tax treaty applies, are attributable to a U.S. permanent establishment or fixed base maintained by the non-U.S. Holder) generally will not be subject to U.S. withholding tax, provided such non-U.S. Holder complies with certain certification and disclosure requirements (generally by providing an IRS Form W-8ECI). Instead, such dividends generally will be subject to U.S. federal income tax, net of certain deductions, at the same individual or corporate rates applicable to U.S. Holders. If the non-U.S. Holder is a corporation, dividends that are effectively connected income may also be subject to a “branch profits tax” at a rate of 30% (or such lower rate as may be specified by an applicable income tax treaty).</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114</w:t>
      </w:r>
    </w:p>
    <w:p>
      <w:pPr>
        <w:pStyle w:val="TextBody"/>
        <w:bidi w:val="0"/>
        <w:spacing w:before="0" w:after="0"/>
        <w:ind w:left="0" w:right="0" w:hanging="0"/>
        <w:jc w:val="left"/>
        <w:rPr/>
      </w:pPr>
      <w:r>
        <w:rPr/>
        <w:t>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Exercise of a Warrant</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U.S. federal income tax treatment of a non-U.S. Holder’s exercise of a Warrant generally will correspond to the U.S. federal income tax treatment of the exercise of a Warrant by a U.S. Holder, as described under “ </w:t>
      </w:r>
      <w:r>
        <w:rPr>
          <w:rFonts w:ascii="Times New Roman;Times;Serif" w:hAnsi="Times New Roman;Times;Serif"/>
          <w:b w:val="false"/>
          <w:i/>
          <w:caps w:val="false"/>
          <w:smallCaps w:val="false"/>
          <w:sz w:val="20"/>
        </w:rPr>
        <w:t>- Tax Considerations Applicable to U.S. Holders - Exercise of a Warrant</w:t>
      </w:r>
      <w:r>
        <w:rPr>
          <w:rFonts w:ascii="Times New Roman;Times;Serif" w:hAnsi="Times New Roman;Times;Serif"/>
          <w:b w:val="false"/>
          <w:i w:val="false"/>
          <w:caps w:val="false"/>
          <w:smallCaps w:val="false"/>
          <w:sz w:val="20"/>
        </w:rPr>
        <w:t xml:space="preserve">” above, although to the extent a cashless exercise results in a taxable exchange, the tax consequences to the non-U.S. Holder would be the same as those described below in “ </w:t>
      </w:r>
      <w:r>
        <w:rPr>
          <w:rFonts w:ascii="Times New Roman;Times;Serif" w:hAnsi="Times New Roman;Times;Serif"/>
          <w:b w:val="false"/>
          <w:i/>
          <w:caps w:val="false"/>
          <w:smallCaps w:val="false"/>
          <w:sz w:val="20"/>
        </w:rPr>
        <w:t>- Tax Considerations Applicable to Non-U.S. Holders - Gain on Sale, Exchange or Other Taxable Disposition of Common Stock and Warrants</w:t>
      </w:r>
      <w:r>
        <w:rPr>
          <w:rFonts w:ascii="Times New Roman;Times;Serif" w:hAnsi="Times New Roman;Times;Serif"/>
          <w:b w:val="false"/>
          <w:i w:val="false"/>
          <w:caps w:val="false"/>
          <w:smallCaps w:val="false"/>
          <w:sz w:val="20"/>
        </w:rPr>
        <w: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Gain on Sale, Exchange or Other Taxable Disposition of Common Stock and Warrants</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non-U.S. Holder generally will not be subject to U.S. federal income or withholding tax in respect of gain recognized on a sale, taxable exchange or other taxable disposition of our common stock or Warrants or an expiration or redemption of our Warrants, unless:</w:t>
      </w:r>
    </w:p>
    <w:p>
      <w:pPr>
        <w:pStyle w:val="TextBody"/>
        <w:bidi w:val="0"/>
        <w:spacing w:before="0" w:after="0"/>
        <w:ind w:left="0" w:right="0" w:firstLine="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gain is effectively connected with the conduct of a trade or business by the non-U.S. Holder within the United States (and, if an applicable tax treaty so requires, is attributable to a U.S. permanent establishment or fixed base maintained by the non-U.S. Holder);</w:t>
            </w:r>
          </w:p>
        </w:tc>
      </w:tr>
    </w:tbl>
    <w:p>
      <w:pPr>
        <w:pStyle w:val="TextBody"/>
        <w:bidi w:val="0"/>
        <w:spacing w:before="0" w:after="0"/>
        <w:ind w:left="72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non-U.S. Holder is an individual who is present in the United States for 183 days or more in the taxable year of disposition and certain other conditions are met; or</w:t>
            </w:r>
          </w:p>
        </w:tc>
      </w:tr>
    </w:tbl>
    <w:p>
      <w:pPr>
        <w:pStyle w:val="TextBody"/>
        <w:bidi w:val="0"/>
        <w:spacing w:before="0" w:after="0"/>
        <w:ind w:left="72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we are or have been a “United States real property holding corporation” for U.S. federal income tax purposes at any time during the shorter of the five-year period ending on the date of disposition or the period that the non-U.S. Holder held our common stock or Warrants and, in the case where shares of our common stock are regularly traded on an established securities market, (i) the non-U.S. Holder has owned, actually or constructively, more than 5% of our common stock at any time within the relevant period or (ii) provided that our Warrants are regularly traded on an established securities market, the non-U.S. Holder has owned, actually or constructively, more than 5% of our Warrants at any time within the within the relevant period. It is unclear how a non-U.S. Holder’s ownership of Warrants will affect the determination of whether the non-U.S. Holder owns more than 5% of our common stock. In addition, special rules may apply in the case of a disposition of warrants if our common stock is considered to be regularly traded, but our Warrants are not considered to be regularly traded. There can be no assurance that our common stock or Warrants will or will not be treated as regularly traded on an established securities market for this purpose.</w:t>
            </w:r>
          </w:p>
        </w:tc>
      </w:tr>
    </w:tbl>
    <w:p>
      <w:pPr>
        <w:pStyle w:val="TextBody"/>
        <w:bidi w:val="0"/>
        <w:spacing w:before="0" w:after="0"/>
        <w:ind w:left="720" w:right="0" w:hanging="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Gain described in the first bullet point above will be subject to tax at generally applicable U.S. federal income tax rates as if the non-U.S. Holder were a U.S. resident. Any gains described in the first bullet point above of a non-U.S. Holder that is a foreign corporation may also be subject to an additional “branch profits tax” at a 30% rate (or lower applicable treaty rate). Gain described in the second bullet point above generally will be subject to a flat 30% U.S. federal income tax. Non-U.S. Holders are urged to consult their tax advisors regarding possible eligibility for benefits under income tax treaties.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third bullet point above applies to a non-U.S. Holder and applicable exceptions are not available, gain recognized by such holder on the sale, exchange or other disposition of our common stock or Warrants, as applicable, will be subject to tax at generally applicable U.S. federal income tax rates. In addition, a buyer of our common stock or Warrants may be required to withhold U.S. income tax at a rate of 15% of the amount realized upon such disposition. We will be classified as a United States real property holding corporation if the fair market value of our “United States real property interests” equals or exceeds 50% of the sum of the fair market value of our worldwide real property interests plus our other assets used or held for use in a trade or business, as determined for U.S. federal income tax purposes. We do not believe we currently are or will become a United States real property holding corporation; however, there can be no assurance in this regard. Non-U.S. Holders are urged to consult their tax advisors regarding the application of these rules.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115</w:t>
      </w:r>
    </w:p>
    <w:p>
      <w:pPr>
        <w:pStyle w:val="TextBody"/>
        <w:bidi w:val="0"/>
        <w:spacing w:before="0" w:after="0"/>
        <w:ind w:left="0" w:right="0" w:hanging="0"/>
        <w:jc w:val="left"/>
        <w:rPr/>
      </w:pPr>
      <w:r>
        <w:rPr/>
        <w:t>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Possible Constructive Distributions</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terms of each Warrant provide for an adjustment to the number of shares of common stock for which the Warrant may be exercised or to the exercise price of the Warrant in certain events, as discussed in the section of this prospectus captioned “</w:t>
      </w:r>
      <w:r>
        <w:rPr>
          <w:rFonts w:ascii="Times New Roman;Times;Serif" w:hAnsi="Times New Roman;Times;Serif"/>
          <w:b w:val="false"/>
          <w:i/>
          <w:caps w:val="false"/>
          <w:smallCaps w:val="false"/>
          <w:sz w:val="20"/>
        </w:rPr>
        <w:t>Description of Capital Stock - Warrants</w:t>
      </w:r>
      <w:r>
        <w:rPr>
          <w:rFonts w:ascii="Times New Roman;Times;Serif" w:hAnsi="Times New Roman;Times;Serif"/>
          <w:b w:val="false"/>
          <w:i w:val="false"/>
          <w:caps w:val="false"/>
          <w:smallCaps w:val="false"/>
          <w:sz w:val="20"/>
        </w:rPr>
        <w:t>.” An adjustment that has the effect of preventing dilution generally should not be a taxable event. Nevertheless, a non-U.S. Holder of Warrants would be treated as receiving a constructive distribution from us if, for example, the adjustment increases the holder’s proportionate interest in our assets or earnings and profits (e.g., through an increase in the number of shares of common stock that would be obtained upon exercise or an adjustment to the exercise price of the Warrant) as a result of a distribution of cash to the holders of shares of our common stock that is taxable to such holders as a distribution. A non-U.S. Holder would be subject to U.S. federal income tax withholding as described above under “</w:t>
      </w:r>
      <w:r>
        <w:rPr>
          <w:rFonts w:ascii="Times New Roman;Times;Serif" w:hAnsi="Times New Roman;Times;Serif"/>
          <w:b w:val="false"/>
          <w:i/>
          <w:caps w:val="false"/>
          <w:smallCaps w:val="false"/>
          <w:sz w:val="20"/>
        </w:rPr>
        <w:t>Tax Considerations Applicable to Non-U.S. Holders - Taxation of Distributions</w:t>
      </w:r>
      <w:r>
        <w:rPr>
          <w:rFonts w:ascii="Times New Roman;Times;Serif" w:hAnsi="Times New Roman;Times;Serif"/>
          <w:b w:val="false"/>
          <w:i w:val="false"/>
          <w:caps w:val="false"/>
          <w:smallCaps w:val="false"/>
          <w:sz w:val="20"/>
        </w:rPr>
        <w:t>” under that section in the same manner as if such non-U.S. Holder received a cash distribution from us on common stock equal to the fair market value of such increased interest.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Foreign Account Tax Compliance Act</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Sections 1471 through 1474 of the Code (commonly referred to as the “</w:t>
      </w:r>
      <w:r>
        <w:rPr>
          <w:rFonts w:ascii="Times New Roman;Times;Serif" w:hAnsi="Times New Roman;Times;Serif"/>
          <w:b/>
          <w:i w:val="false"/>
          <w:caps w:val="false"/>
          <w:smallCaps w:val="false"/>
          <w:sz w:val="20"/>
        </w:rPr>
        <w:t>Foreign Account Tax Compliance Act</w:t>
      </w:r>
      <w:r>
        <w:rPr>
          <w:rFonts w:ascii="Times New Roman;Times;Serif" w:hAnsi="Times New Roman;Times;Serif"/>
          <w:b w:val="false"/>
          <w:i w:val="false"/>
          <w:caps w:val="false"/>
          <w:smallCaps w:val="false"/>
          <w:sz w:val="20"/>
        </w:rPr>
        <w:t>” or “</w:t>
      </w:r>
      <w:r>
        <w:rPr>
          <w:rFonts w:ascii="Times New Roman;Times;Serif" w:hAnsi="Times New Roman;Times;Serif"/>
          <w:b/>
          <w:i w:val="false"/>
          <w:caps w:val="false"/>
          <w:smallCaps w:val="false"/>
          <w:sz w:val="20"/>
        </w:rPr>
        <w:t>FATCA</w:t>
      </w:r>
      <w:r>
        <w:rPr>
          <w:rFonts w:ascii="Times New Roman;Times;Serif" w:hAnsi="Times New Roman;Times;Serif"/>
          <w:b w:val="false"/>
          <w:i w:val="false"/>
          <w:caps w:val="false"/>
          <w:smallCaps w:val="false"/>
          <w:sz w:val="20"/>
        </w:rPr>
        <w:t>”) and Treasury Regulations and administrative guidance promulgated thereunder impose a U.S. federal withholding tax of 30% on certain payments paid to a foreign financial institution (as specifically defined by applicable rules) unless such institution enters into an agreement with the U.S. government to withhold on certain payments and to collect and provide to the U.S. tax authorities substantial information regarding U.S. account holders of such institution (which includes certain equity holders of such institution, as well as certain account holders that are foreign entities with U.S. owners). FATCA also generally imposes a federal withholding tax of 30% on certain payments to a non-financial foreign entity unless such entity provides the withholding agent with either a certification that it does not have any substantial direct or indirect U.S. owners or provides information regarding substantial direct and indirect U.S. owners of the entity. An intergovernmental agreement between the United States and an applicable foreign country may modify these requirements. The withholding tax described above will not apply if the foreign financial institution or non-financial foreign entity otherwise qualifies for an exemption from the rules.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FATCA withholding currently applies to payments of dividends. The U.S. Treasury Department has released proposed regulations which, if finalized in their present form, would eliminate the federal withholding tax of 30% applicable to the gross proceeds of a disposition of our securities. In its preamble to such proposed regulations, the U.S. Treasury Department stated that taxpayers may generally rely on the proposed regulations until final regulations are issued. Non-U.S. Holders are encouraged to consult with their own tax advisors regarding the possible implications of FATCA on their investment in our securities.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Information Reporting and Backup Withholding.</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Information returns will be filed with the IRS in connection with payments of distributions and the proceeds from a sale or other disposition of our securities. A non-U.S. Holder may have to comply with certification procedures to establish that it is not a United States person in order to avoid information reporting and backup withholding requirements. The certification procedures required to claim a reduced rate of withholding under a treaty generally will satisfy the certification requirements necessary to avoid the backup withholding as well. Backup withholding is not an additional tax. The amount of any backup withholding from a payment to a non-U.S. Holder will be allowed as a credit against such holder’s U.S. federal income tax liability and may entitle such holder to a refund, provided that the required information is timely furnished to the IRS.</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116</w:t>
      </w:r>
    </w:p>
    <w:p>
      <w:pPr>
        <w:pStyle w:val="TextBody"/>
        <w:bidi w:val="0"/>
        <w:spacing w:before="0" w:after="0"/>
        <w:ind w:left="0" w:right="0" w:hanging="0"/>
        <w:jc w:val="left"/>
        <w:rPr/>
      </w:pPr>
      <w:r>
        <w:rPr/>
        <w:t> </w:t>
      </w:r>
    </w:p>
    <w:p>
      <w:pPr>
        <w:pStyle w:val="TextBody"/>
        <w:bidi w:val="0"/>
        <w:spacing w:before="0" w:after="0"/>
        <w:jc w:val="center"/>
        <w:rPr>
          <w:caps/>
        </w:rPr>
      </w:pPr>
      <w:r>
        <w:rPr>
          <w:caps/>
        </w:rPr>
        <w:t> </w:t>
      </w:r>
    </w:p>
    <w:p>
      <w:pPr>
        <w:pStyle w:val="TextBody"/>
        <w:bidi w:val="0"/>
        <w:spacing w:before="0" w:after="0"/>
        <w:jc w:val="center"/>
        <w:rPr>
          <w:rFonts w:ascii="Times New Roman;Times;Serif" w:hAnsi="Times New Roman;Times;Serif"/>
          <w:b/>
          <w:i w:val="false"/>
          <w:caps/>
          <w:sz w:val="20"/>
        </w:rPr>
      </w:pPr>
      <w:bookmarkStart w:id="17" w:name="a_016"/>
      <w:bookmarkEnd w:id="17"/>
      <w:r>
        <w:rPr>
          <w:rFonts w:ascii="Times New Roman;Times;Serif" w:hAnsi="Times New Roman;Times;Serif"/>
          <w:b/>
          <w:i w:val="false"/>
          <w:caps/>
          <w:sz w:val="20"/>
        </w:rPr>
        <w:t>Plan of Distribution</w:t>
      </w:r>
    </w:p>
    <w:p>
      <w:pPr>
        <w:pStyle w:val="TextBody"/>
        <w:bidi w:val="0"/>
        <w:spacing w:before="0" w:after="0"/>
        <w:jc w:val="center"/>
        <w:rPr>
          <w:caps/>
        </w:rPr>
      </w:pPr>
      <w:r>
        <w:rPr>
          <w:caps/>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registering the resale by the Selling Securityholders named in this prospectus, or their permitted transferees, of up to 13,277,150 shares of common stock, consisting of (i) 6,666,666 shares of common stock previously issued by us pursuant to the Sunder Purchase Agreement, (iii) 1,805,705 shares of common stock previously issued by us pursuant to the Cobalt Purchase Agreement, (iv) up to 380,000 shares of common stock issuable upon exercise of the Ayna 2026 Warrant, and (iii) up to 4,424,779 shares of common stock issuable upon conversion of the 10.0% Notes. The shares of common stock offered by this prospectus are being offered by the Selling Securityholders. The term “Selling Securityholders” includes donees, pledgees, transferees or other successors in interest selling securities received after the date of this prospectus from a selling securityholder as a gift, pledge, partnership distribution or other transfer. The selling securityholders will act independently of us in making decisions with respect to the timing, manner and size of each sale. The shares may be sold or distributed from time to time by the Selling Securityholders directly to one or more purchasers or through brokers, dealers, or underwriters who may act solely as agents at market prices prevailing at the time of sale, at prices related to the prevailing market prices, at negotiated prices, or at fixed prices, which may be changed.</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sale of the shares of our common stock offered by this prospectus could be effected in one or more of the following methods:</w:t>
      </w:r>
    </w:p>
    <w:p>
      <w:pPr>
        <w:pStyle w:val="TextBody"/>
        <w:bidi w:val="0"/>
        <w:spacing w:before="0" w:after="0"/>
        <w:jc w:val="both"/>
        <w:rPr>
          <w:caps w:val="false"/>
          <w:smallCaps w:val="false"/>
        </w:rPr>
      </w:pPr>
      <w:r>
        <w:rPr>
          <w:caps w:val="false"/>
          <w:smallCaps w:val="false"/>
        </w:rPr>
        <w:t> </w:t>
      </w:r>
    </w:p>
    <w:tbl>
      <w:tblPr>
        <w:tblW w:w="2755" w:type="dxa"/>
        <w:jc w:val="left"/>
        <w:tblInd w:w="0" w:type="dxa"/>
        <w:tblLayout w:type="fixed"/>
        <w:tblCellMar>
          <w:top w:w="0" w:type="dxa"/>
          <w:left w:w="0" w:type="dxa"/>
          <w:bottom w:w="0" w:type="dxa"/>
          <w:right w:w="0" w:type="dxa"/>
        </w:tblCellMar>
      </w:tblPr>
      <w:tblGrid>
        <w:gridCol w:w="75"/>
        <w:gridCol w:w="170"/>
        <w:gridCol w:w="251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251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ordinary brokers’ transactions;</w:t>
            </w:r>
          </w:p>
        </w:tc>
      </w:tr>
    </w:tbl>
    <w:p>
      <w:pPr>
        <w:pStyle w:val="TextBody"/>
        <w:bidi w:val="0"/>
        <w:spacing w:before="0" w:after="0"/>
        <w:jc w:val="both"/>
        <w:rPr>
          <w:caps w:val="false"/>
          <w:smallCaps w:val="false"/>
        </w:rPr>
      </w:pPr>
      <w:r>
        <w:rPr>
          <w:caps w:val="false"/>
          <w:smallCaps w:val="false"/>
        </w:rPr>
        <w:t> </w:t>
      </w:r>
    </w:p>
    <w:tbl>
      <w:tblPr>
        <w:tblW w:w="3865" w:type="dxa"/>
        <w:jc w:val="left"/>
        <w:tblInd w:w="0" w:type="dxa"/>
        <w:tblLayout w:type="fixed"/>
        <w:tblCellMar>
          <w:top w:w="0" w:type="dxa"/>
          <w:left w:w="0" w:type="dxa"/>
          <w:bottom w:w="0" w:type="dxa"/>
          <w:right w:w="0" w:type="dxa"/>
        </w:tblCellMar>
      </w:tblPr>
      <w:tblGrid>
        <w:gridCol w:w="75"/>
        <w:gridCol w:w="170"/>
        <w:gridCol w:w="362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362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transactions involving cross or block trades;</w:t>
            </w:r>
          </w:p>
        </w:tc>
      </w:tr>
    </w:tbl>
    <w:p>
      <w:pPr>
        <w:pStyle w:val="TextBody"/>
        <w:bidi w:val="0"/>
        <w:spacing w:before="0" w:after="0"/>
        <w:jc w:val="both"/>
        <w:rPr>
          <w:caps w:val="false"/>
          <w:smallCaps w:val="false"/>
        </w:rPr>
      </w:pPr>
      <w:r>
        <w:rPr>
          <w:caps w:val="false"/>
          <w:smallCaps w:val="false"/>
        </w:rPr>
        <w:t> </w:t>
      </w:r>
    </w:p>
    <w:tbl>
      <w:tblPr>
        <w:tblW w:w="5980" w:type="dxa"/>
        <w:jc w:val="left"/>
        <w:tblInd w:w="0" w:type="dxa"/>
        <w:tblLayout w:type="fixed"/>
        <w:tblCellMar>
          <w:top w:w="0" w:type="dxa"/>
          <w:left w:w="0" w:type="dxa"/>
          <w:bottom w:w="0" w:type="dxa"/>
          <w:right w:w="0" w:type="dxa"/>
        </w:tblCellMar>
      </w:tblPr>
      <w:tblGrid>
        <w:gridCol w:w="75"/>
        <w:gridCol w:w="170"/>
        <w:gridCol w:w="573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573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through brokers, dealers, or underwriters who may act solely as agents;</w:t>
            </w:r>
          </w:p>
        </w:tc>
      </w:tr>
    </w:tbl>
    <w:p>
      <w:pPr>
        <w:pStyle w:val="TextBody"/>
        <w:bidi w:val="0"/>
        <w:spacing w:before="0" w:after="0"/>
        <w:jc w:val="both"/>
        <w:rPr>
          <w:caps w:val="false"/>
          <w:smallCaps w:val="false"/>
        </w:rPr>
      </w:pPr>
      <w:r>
        <w:rPr>
          <w:caps w:val="false"/>
          <w:smallCaps w:val="false"/>
        </w:rPr>
        <w:t> </w:t>
      </w:r>
    </w:p>
    <w:tbl>
      <w:tblPr>
        <w:tblW w:w="5320" w:type="dxa"/>
        <w:jc w:val="left"/>
        <w:tblInd w:w="0" w:type="dxa"/>
        <w:tblLayout w:type="fixed"/>
        <w:tblCellMar>
          <w:top w:w="0" w:type="dxa"/>
          <w:left w:w="0" w:type="dxa"/>
          <w:bottom w:w="0" w:type="dxa"/>
          <w:right w:w="0" w:type="dxa"/>
        </w:tblCellMar>
      </w:tblPr>
      <w:tblGrid>
        <w:gridCol w:w="75"/>
        <w:gridCol w:w="170"/>
        <w:gridCol w:w="507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5075" w:type="dxa"/>
            <w:tcBorders/>
            <w:vAlign w:val="center"/>
          </w:tcPr>
          <w:p>
            <w:pPr>
              <w:pStyle w:val="TableContents"/>
              <w:bidi w:val="0"/>
              <w:spacing w:before="0" w:after="283"/>
              <w:jc w:val="both"/>
              <w:rPr/>
            </w:pPr>
            <w:r>
              <w:rPr/>
              <w:t>“</w:t>
            </w:r>
            <w:r>
              <w:rPr>
                <w:rFonts w:ascii="Times New Roman;Times;Serif" w:hAnsi="Times New Roman;Times;Serif"/>
                <w:sz w:val="20"/>
              </w:rPr>
              <w:t>at the market” into an existing market for our common stock;</w:t>
            </w:r>
          </w:p>
        </w:tc>
      </w:tr>
    </w:tbl>
    <w:p>
      <w:pPr>
        <w:pStyle w:val="TextBody"/>
        <w:bidi w:val="0"/>
        <w:spacing w:before="0" w:after="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in other ways not involving market makers or established business markets, including direct sales to purchasers or sales effected through agents;</w:t>
            </w:r>
          </w:p>
        </w:tc>
      </w:tr>
    </w:tbl>
    <w:p>
      <w:pPr>
        <w:pStyle w:val="TextBody"/>
        <w:bidi w:val="0"/>
        <w:spacing w:before="0" w:after="0"/>
        <w:jc w:val="both"/>
        <w:rPr>
          <w:caps w:val="false"/>
          <w:smallCaps w:val="false"/>
        </w:rPr>
      </w:pPr>
      <w:r>
        <w:rPr>
          <w:caps w:val="false"/>
          <w:smallCaps w:val="false"/>
        </w:rPr>
        <w:t> </w:t>
      </w:r>
    </w:p>
    <w:tbl>
      <w:tblPr>
        <w:tblW w:w="3430" w:type="dxa"/>
        <w:jc w:val="left"/>
        <w:tblInd w:w="0" w:type="dxa"/>
        <w:tblLayout w:type="fixed"/>
        <w:tblCellMar>
          <w:top w:w="0" w:type="dxa"/>
          <w:left w:w="0" w:type="dxa"/>
          <w:bottom w:w="0" w:type="dxa"/>
          <w:right w:w="0" w:type="dxa"/>
        </w:tblCellMar>
      </w:tblPr>
      <w:tblGrid>
        <w:gridCol w:w="75"/>
        <w:gridCol w:w="170"/>
        <w:gridCol w:w="318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318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in privately negotiated transactions; or</w:t>
            </w:r>
          </w:p>
        </w:tc>
      </w:tr>
    </w:tbl>
    <w:p>
      <w:pPr>
        <w:pStyle w:val="TextBody"/>
        <w:bidi w:val="0"/>
        <w:spacing w:before="0" w:after="0"/>
        <w:jc w:val="both"/>
        <w:rPr>
          <w:caps w:val="false"/>
          <w:smallCaps w:val="false"/>
        </w:rPr>
      </w:pPr>
      <w:r>
        <w:rPr>
          <w:caps w:val="false"/>
          <w:smallCaps w:val="false"/>
        </w:rPr>
        <w:t> </w:t>
      </w:r>
    </w:p>
    <w:tbl>
      <w:tblPr>
        <w:tblW w:w="3055" w:type="dxa"/>
        <w:jc w:val="left"/>
        <w:tblInd w:w="0" w:type="dxa"/>
        <w:tblLayout w:type="fixed"/>
        <w:tblCellMar>
          <w:top w:w="0" w:type="dxa"/>
          <w:left w:w="0" w:type="dxa"/>
          <w:bottom w:w="0" w:type="dxa"/>
          <w:right w:w="0" w:type="dxa"/>
        </w:tblCellMar>
      </w:tblPr>
      <w:tblGrid>
        <w:gridCol w:w="75"/>
        <w:gridCol w:w="170"/>
        <w:gridCol w:w="281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281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any combination of the foregoing.</w:t>
            </w:r>
          </w:p>
        </w:tc>
      </w:tr>
    </w:tbl>
    <w:p>
      <w:pPr>
        <w:pStyle w:val="TextBody"/>
        <w:bidi w:val="0"/>
        <w:spacing w:before="0" w:after="0"/>
        <w:ind w:left="0" w:right="0" w:firstLine="49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any securities that qualify for sale pursuant to Rule 144 may be sold under Rule 144 rather than pursuant to this prospectus.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a Selling Securityholder that is an entity may elect to make a </w:t>
      </w:r>
      <w:r>
        <w:rPr>
          <w:rFonts w:ascii="Times New Roman;Times;Serif" w:hAnsi="Times New Roman;Times;Serif"/>
          <w:b w:val="false"/>
          <w:i/>
          <w:caps w:val="false"/>
          <w:smallCaps w:val="false"/>
          <w:sz w:val="20"/>
        </w:rPr>
        <w:t>pro rata </w:t>
      </w:r>
      <w:r>
        <w:rPr>
          <w:rFonts w:ascii="Times New Roman;Times;Serif" w:hAnsi="Times New Roman;Times;Serif"/>
          <w:b w:val="false"/>
          <w:i w:val="false"/>
          <w:caps w:val="false"/>
          <w:smallCaps w:val="false"/>
          <w:sz w:val="20"/>
        </w:rPr>
        <w:t>in-kind distribution of securities to its members, partners or stockholders pursuant to the registration statement of which this prospectus is a part by delivering a prospectus with a plan of distribution. Such members, partners or stockholders would thereby receive freely tradeable securities pursuant to the distribution through a registration statement. To the extent a distributee is an affiliate of ours (or to the extent otherwise required by law), we may, at our option, file a prospectus supplement in order to permit the distributees to use the prospectus to resell the securities acquired in the distribution.</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order to comply with the securities laws of certain states, if applicable, the shares may be sold only through registered or licensed brokers or dealers. In addition, in certain states, the shares may not be sold unless they have been registered or qualified for sale in the state or an exemption from the state’s registration or qualification requirement is available and complied with.</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117</w:t>
      </w:r>
    </w:p>
    <w:p>
      <w:pPr>
        <w:pStyle w:val="TextBody"/>
        <w:bidi w:val="0"/>
        <w:spacing w:before="0" w:after="0"/>
        <w:ind w:left="0" w:right="0" w:hanging="0"/>
        <w:jc w:val="left"/>
        <w:rPr/>
      </w:pPr>
      <w:r>
        <w:rPr/>
        <w:t>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Brokers, dealers, underwriters or agents participating in the distribution of the shares of our common stock offered by this prospectus may receive compensation in the form of commissions, discounts, or concessions from the purchasers, for whom the broker-dealers may act as agent, of the shares sold by the Selling Securityholders through this prospectus. The compensation paid to any such particular broker-dealer by any such purchasers of shares of our common stock sold by the Selling Securityholders may be less than or in excess of customary commissions. Neither we nor the Selling Securityholders can presently estimate the amount of compensation that any agent will receive from any purchasers of shares of our common stock sold by the Selling Securityholders.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know of no existing arrangements between any of the Selling Securityholders or any other stockholder, broker, dealer, underwriter or agent relating to the sale or distribution of the shares of our common stock offered by this prospectus.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from time to time file with the SEC one or more supplements to this prospectus or amendments to the registration statement of which this prospectus forms a part to amend, supplement or update information contained in this prospectus, including, if and when required under the Securities Act, to disclose certain information relating to a particular sale of shares offered by this prospectus by the Selling Securityholders, including the names of any brokers, dealers, underwriters or agents participating in the distribution of such shares by the Selling Securityholders, any compensation paid by the Selling Securityholders to any such brokers, dealers, underwriters or agents, and any other required information.</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agreed to indemnify the Selling Securityholders against certain liabilities, including liabilities under the Securities Act and state securities laws, relating to the registration of the Offered Securities by this prospectus. Insofar as indemnification for liabilities arising under the Securities Act may be permitted to our directors, officers, and controlling persons, we have been advised that in the opinion of the SEC this indemnification is against public policy as expressed in the Securities Act and is therefore, unenforceable.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advised the Selling Securityholders that the anti-manipulation rules of Regulation M under the Exchange Act may apply to sales of securities in the market and to the activities of the Selling Securityholders and their affiliates. In addition, we will make copies of this prospectus available to the Selling Securityholders for the purpose of satisfying the prospectus delivery requirements of the Securities Act. The Selling Securityholders may indemnify any broker-dealer that participates in transactions involving the sale of the securities against certain liabilities, including liabilities arising under the Securities Act.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offering will terminate on the date that all shares of our common stock offered by this prospectus have been sold by the Selling Securityholders.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common stock is currently listed on The Nasdaq Global Market under the symbol “SPWR”.</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118</w:t>
      </w:r>
    </w:p>
    <w:p>
      <w:pPr>
        <w:pStyle w:val="TextBody"/>
        <w:bidi w:val="0"/>
        <w:spacing w:before="0" w:after="0"/>
        <w:ind w:left="0" w:right="0" w:hanging="0"/>
        <w:jc w:val="left"/>
        <w:rPr/>
      </w:pPr>
      <w:r>
        <w:rPr/>
        <w:t> </w:t>
      </w:r>
    </w:p>
    <w:p>
      <w:pPr>
        <w:pStyle w:val="TextBody"/>
        <w:bidi w:val="0"/>
        <w:spacing w:before="0" w:after="0"/>
        <w:jc w:val="center"/>
        <w:rPr>
          <w:caps/>
        </w:rPr>
      </w:pPr>
      <w:r>
        <w:rPr>
          <w:caps/>
        </w:rPr>
        <w:t> </w:t>
      </w:r>
    </w:p>
    <w:p>
      <w:pPr>
        <w:pStyle w:val="TextBody"/>
        <w:bidi w:val="0"/>
        <w:spacing w:before="0" w:after="0"/>
        <w:jc w:val="center"/>
        <w:rPr>
          <w:rFonts w:ascii="Times New Roman;Times;Serif" w:hAnsi="Times New Roman;Times;Serif"/>
          <w:b/>
          <w:i w:val="false"/>
          <w:caps/>
          <w:sz w:val="20"/>
        </w:rPr>
      </w:pPr>
      <w:bookmarkStart w:id="18" w:name="a_017"/>
      <w:bookmarkEnd w:id="18"/>
      <w:r>
        <w:rPr>
          <w:rFonts w:ascii="Times New Roman;Times;Serif" w:hAnsi="Times New Roman;Times;Serif"/>
          <w:b/>
          <w:i w:val="false"/>
          <w:caps/>
          <w:sz w:val="20"/>
        </w:rPr>
        <w:t>Legal Matters</w:t>
      </w:r>
    </w:p>
    <w:p>
      <w:pPr>
        <w:pStyle w:val="TextBody"/>
        <w:bidi w:val="0"/>
        <w:spacing w:before="0" w:after="0"/>
        <w:jc w:val="center"/>
        <w:rPr>
          <w:caps/>
        </w:rPr>
      </w:pPr>
      <w:r>
        <w:rPr>
          <w:caps/>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validity of the securities offered hereby will be passed upon for us by Arnold &amp; Porter Kaye Scholer LLP, New York, New York.</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sz w:val="20"/>
        </w:rPr>
      </w:pPr>
      <w:bookmarkStart w:id="19" w:name="a_018"/>
      <w:bookmarkEnd w:id="19"/>
      <w:r>
        <w:rPr>
          <w:rFonts w:ascii="Times New Roman;Times;Serif" w:hAnsi="Times New Roman;Times;Serif"/>
          <w:b/>
          <w:i w:val="false"/>
          <w:caps/>
          <w:sz w:val="20"/>
        </w:rPr>
        <w:t>Experts</w:t>
      </w:r>
    </w:p>
    <w:p>
      <w:pPr>
        <w:pStyle w:val="TextBody"/>
        <w:bidi w:val="0"/>
        <w:spacing w:before="0" w:after="0"/>
        <w:jc w:val="center"/>
        <w:rPr>
          <w:caps/>
        </w:rPr>
      </w:pPr>
      <w:r>
        <w:rPr>
          <w:caps/>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consolidated financial statements of SunPower Inc. (the “Company”) as of December 28, 2025 and December 29, 2024 and for the fiscal years then ended included in this Prospectus and in the Registration Statement have been so included in reliance on the report of BDO USA, P.C., an independent registered public accounting firm, given on the authority of said firm as experts in auditing and accounting. The report on the consolidated financial statements contains an explanatory paragraph regarding the Company’s ability to continue as a going concern.</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financial statements of Sunder Energy LLC as of and for the years ended December 31, 2024 and 2023 included in this prospectus and in the Registration Statement have been so included in reliance on the report of BDO USA, P.C., independent auditors, given on the authority of said firm as experts in auditing and accounting. The report on the financial statements contains an explanatory paragraph regarding Sunder Energy LLC’s ability to continue as a going concern.</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audited financial statements of Ambia Energy, LLC as of and for the fiscal year ended December 31, 2024 included in this prospectus and in the Registration Statement have been so included in reliance upon the report of Tanner LLP, given on the authority of said firm as experts in accounting and auditing.</w:t>
      </w:r>
    </w:p>
    <w:p>
      <w:pPr>
        <w:pStyle w:val="TextBody"/>
        <w:bidi w:val="0"/>
        <w:spacing w:before="0" w:after="0"/>
        <w:jc w:val="both"/>
        <w:rPr>
          <w:caps/>
        </w:rPr>
      </w:pPr>
      <w:r>
        <w:rPr>
          <w:caps/>
        </w:rPr>
        <w:t> </w:t>
      </w:r>
    </w:p>
    <w:p>
      <w:pPr>
        <w:pStyle w:val="TextBody"/>
        <w:bidi w:val="0"/>
        <w:spacing w:before="0" w:after="0"/>
        <w:jc w:val="center"/>
        <w:rPr>
          <w:rFonts w:ascii="Times New Roman;Times;Serif" w:hAnsi="Times New Roman;Times;Serif"/>
          <w:b/>
          <w:i w:val="false"/>
          <w:caps/>
          <w:sz w:val="20"/>
        </w:rPr>
      </w:pPr>
      <w:bookmarkStart w:id="20" w:name="a_019"/>
      <w:bookmarkEnd w:id="20"/>
      <w:r>
        <w:rPr>
          <w:rFonts w:ascii="Times New Roman;Times;Serif" w:hAnsi="Times New Roman;Times;Serif"/>
          <w:b/>
          <w:i w:val="false"/>
          <w:caps/>
          <w:sz w:val="20"/>
        </w:rPr>
        <w:t>Where You Can Find More Information</w:t>
      </w:r>
    </w:p>
    <w:p>
      <w:pPr>
        <w:pStyle w:val="TextBody"/>
        <w:bidi w:val="0"/>
        <w:spacing w:before="0" w:after="0"/>
        <w:jc w:val="center"/>
        <w:rPr>
          <w:caps/>
        </w:rPr>
      </w:pPr>
      <w:r>
        <w:rPr>
          <w:caps/>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We have filed with the SEC a registration statement on Form S-1 under the Securities Act, with respect to the securities being offered by this prospectus. This prospectus, which constitutes part of the registration statement, does not contain all of the information in the registration statement and its exhibits. For further information with respect to SunPower and the securities offered by this prospectus, we refer you to the registration statement and its exhibits. Statements contained in this prospectus as to the contents of any contract or any other document referred to are not necessarily complete, and in each instance, we refer you to the copy of the contract or other document filed as an exhibit to the registration statement. Each of these statements is qualified in all respects by this reference. You can read our SEC filings, including the registration statement, over the internet at the SEC’s website at </w:t>
      </w:r>
      <w:r>
        <w:rPr>
          <w:rFonts w:ascii="Times New Roman;Times;Serif" w:hAnsi="Times New Roman;Times;Serif"/>
          <w:b w:val="false"/>
          <w:i/>
          <w:caps w:val="false"/>
          <w:smallCaps w:val="false"/>
          <w:sz w:val="20"/>
        </w:rPr>
        <w:t>www.sec.gov</w:t>
      </w:r>
      <w:r>
        <w:rPr>
          <w:rFonts w:ascii="Times New Roman;Times;Serif" w:hAnsi="Times New Roman;Times;Serif"/>
          <w:b w:val="false"/>
          <w:i w:val="false"/>
          <w:caps w:val="false"/>
          <w:smallCaps w:val="false"/>
          <w:sz w:val="20"/>
        </w:rPr>
        <w: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subject to the information reporting requirements of the Exchange Act, and we file reports, proxy statements and other information with the SEC. These reports, proxy statements and other information will be available for review at the SEC’s website at www.sec.gov. We also maintain a website at https://www.sunpower.com/, at which you may access these materials free of charge as soon as reasonably practicable after they are electronically filed with, or furnished to, the SEC. The information contained in, or that can be accessed through, our website is not part of this prospectus.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119</w:t>
      </w:r>
    </w:p>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21" w:name="a_020"/>
      <w:bookmarkEnd w:id="21"/>
      <w:r>
        <w:rPr>
          <w:rFonts w:ascii="Times New Roman;Times;Serif" w:hAnsi="Times New Roman;Times;Serif"/>
          <w:b/>
          <w:i w:val="false"/>
          <w:caps w:val="false"/>
          <w:smallCaps w:val="false"/>
          <w:sz w:val="20"/>
        </w:rPr>
        <w:t>INDEX TO CONSOLIDATED FINANCIAL STATEMENTS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SUNPOWER INC.</w:t>
      </w:r>
    </w:p>
    <w:p>
      <w:pPr>
        <w:pStyle w:val="TextBody"/>
        <w:bidi w:val="0"/>
        <w:spacing w:before="0" w:after="0"/>
        <w:ind w:left="0" w:right="0" w:hanging="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9719"/>
        <w:gridCol w:w="60"/>
        <w:gridCol w:w="426"/>
      </w:tblGrid>
      <w:tr>
        <w:trPr/>
        <w:tc>
          <w:tcPr>
            <w:tcW w:w="9719" w:type="dxa"/>
            <w:tcBorders/>
            <w:vAlign w:val="center"/>
          </w:tcPr>
          <w:p>
            <w:pPr>
              <w:pStyle w:val="TableContents"/>
              <w:bidi w:val="0"/>
              <w:spacing w:before="0" w:after="283"/>
              <w:ind w:left="0" w:right="0" w:hanging="180"/>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426" w:type="dxa"/>
            <w:tcBorders>
              <w:bottom w:val="single" w:sz="12" w:space="0" w:color="000000"/>
            </w:tcBorders>
            <w:tcMar>
              <w:bottom w:w="28" w:type="dxa"/>
            </w:tcMar>
            <w:vAlign w:val="center"/>
          </w:tcPr>
          <w:p>
            <w:pPr>
              <w:pStyle w:val="TableContents"/>
              <w:bidi w:val="0"/>
              <w:spacing w:before="0" w:after="283"/>
              <w:ind w:left="0" w:right="0" w:hanging="18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Page</w:t>
            </w:r>
          </w:p>
        </w:tc>
      </w:tr>
      <w:tr>
        <w:trPr/>
        <w:tc>
          <w:tcPr>
            <w:tcW w:w="9719"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Unaudited Consolidated Financial Statements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26" w:type="dxa"/>
            <w:tcBorders/>
            <w:shd w:fill="CCEEFF" w:val="clear"/>
            <w:vAlign w:val="center"/>
          </w:tcPr>
          <w:p>
            <w:pPr>
              <w:pStyle w:val="TableContents"/>
              <w:bidi w:val="0"/>
              <w:spacing w:before="0" w:after="283"/>
              <w:ind w:left="0" w:right="0" w:hanging="180"/>
              <w:jc w:val="center"/>
              <w:rPr>
                <w:caps w:val="false"/>
                <w:smallCaps w:val="false"/>
              </w:rPr>
            </w:pPr>
            <w:r>
              <w:rPr>
                <w:caps w:val="false"/>
                <w:smallCaps w:val="false"/>
              </w:rPr>
              <w:t> </w:t>
            </w:r>
          </w:p>
        </w:tc>
      </w:tr>
      <w:tr>
        <w:trPr/>
        <w:tc>
          <w:tcPr>
            <w:tcW w:w="971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26" w:type="dxa"/>
            <w:tcBorders/>
            <w:shd w:fill="FFFFFF" w:val="clear"/>
            <w:vAlign w:val="center"/>
          </w:tcPr>
          <w:p>
            <w:pPr>
              <w:pStyle w:val="TableContents"/>
              <w:bidi w:val="0"/>
              <w:spacing w:before="0" w:after="283"/>
              <w:ind w:left="0" w:right="0" w:hanging="180"/>
              <w:jc w:val="center"/>
              <w:rPr>
                <w:caps w:val="false"/>
                <w:smallCaps w:val="false"/>
              </w:rPr>
            </w:pPr>
            <w:r>
              <w:rPr>
                <w:caps w:val="false"/>
                <w:smallCaps w:val="false"/>
              </w:rPr>
              <w:t> </w:t>
            </w:r>
          </w:p>
        </w:tc>
      </w:tr>
      <w:tr>
        <w:trPr/>
        <w:tc>
          <w:tcPr>
            <w:tcW w:w="9719" w:type="dxa"/>
            <w:tcBorders/>
            <w:shd w:fill="CCEEFF" w:val="clear"/>
            <w:vAlign w:val="center"/>
          </w:tcPr>
          <w:p>
            <w:pPr>
              <w:pStyle w:val="TableContents"/>
              <w:bidi w:val="0"/>
              <w:spacing w:before="0" w:after="283"/>
              <w:jc w:val="left"/>
              <w:rPr/>
            </w:pPr>
            <w:hyperlink w:anchor="q_001">
              <w:r>
                <w:rPr>
                  <w:rStyle w:val="InternetLink"/>
                  <w:rFonts w:ascii="Times New Roman;Times;Serif" w:hAnsi="Times New Roman;Times;Serif"/>
                  <w:b w:val="false"/>
                  <w:i w:val="false"/>
                  <w:caps w:val="false"/>
                  <w:smallCaps w:val="false"/>
                  <w:sz w:val="20"/>
                </w:rPr>
                <w:t>Unaudited Condensed Consolidated Balance Sheets as of March 29, 2026 and December 28, 2025</w:t>
              </w:r>
            </w:hyperlink>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26" w:type="dxa"/>
            <w:tcBorders/>
            <w:shd w:fill="CCEEFF" w:val="clear"/>
            <w:vAlign w:val="center"/>
          </w:tcPr>
          <w:p>
            <w:pPr>
              <w:pStyle w:val="TableContents"/>
              <w:bidi w:val="0"/>
              <w:spacing w:before="0" w:after="283"/>
              <w:ind w:left="0" w:right="0" w:hanging="18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F-4</w:t>
            </w:r>
          </w:p>
        </w:tc>
      </w:tr>
      <w:tr>
        <w:trPr/>
        <w:tc>
          <w:tcPr>
            <w:tcW w:w="971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26" w:type="dxa"/>
            <w:tcBorders/>
            <w:shd w:fill="FFFFFF" w:val="clear"/>
            <w:vAlign w:val="center"/>
          </w:tcPr>
          <w:p>
            <w:pPr>
              <w:pStyle w:val="TableContents"/>
              <w:bidi w:val="0"/>
              <w:spacing w:before="0" w:after="283"/>
              <w:ind w:left="0" w:right="0" w:hanging="180"/>
              <w:jc w:val="center"/>
              <w:rPr>
                <w:caps w:val="false"/>
                <w:smallCaps w:val="false"/>
              </w:rPr>
            </w:pPr>
            <w:r>
              <w:rPr>
                <w:caps w:val="false"/>
                <w:smallCaps w:val="false"/>
              </w:rPr>
              <w:t> </w:t>
            </w:r>
          </w:p>
        </w:tc>
      </w:tr>
      <w:tr>
        <w:trPr/>
        <w:tc>
          <w:tcPr>
            <w:tcW w:w="9719" w:type="dxa"/>
            <w:tcBorders/>
            <w:shd w:fill="CCEEFF" w:val="clear"/>
            <w:vAlign w:val="center"/>
          </w:tcPr>
          <w:p>
            <w:pPr>
              <w:pStyle w:val="TableContents"/>
              <w:bidi w:val="0"/>
              <w:spacing w:before="0" w:after="283"/>
              <w:jc w:val="left"/>
              <w:rPr/>
            </w:pPr>
            <w:hyperlink w:anchor="q_002">
              <w:r>
                <w:rPr>
                  <w:rStyle w:val="InternetLink"/>
                  <w:rFonts w:ascii="Times New Roman;Times;Serif" w:hAnsi="Times New Roman;Times;Serif"/>
                  <w:b w:val="false"/>
                  <w:i w:val="false"/>
                  <w:caps w:val="false"/>
                  <w:smallCaps w:val="false"/>
                  <w:sz w:val="20"/>
                </w:rPr>
                <w:t>Unaudited Condensed Consolidated Statements of Operations and Comprehensive Income (Loss) as of March 28, 2026 and March 30, 2025</w:t>
              </w:r>
            </w:hyperlink>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26" w:type="dxa"/>
            <w:tcBorders/>
            <w:shd w:fill="CCEEFF" w:val="clear"/>
            <w:vAlign w:val="center"/>
          </w:tcPr>
          <w:p>
            <w:pPr>
              <w:pStyle w:val="TableContents"/>
              <w:bidi w:val="0"/>
              <w:spacing w:before="0" w:after="283"/>
              <w:ind w:left="0" w:right="0" w:hanging="18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F-5</w:t>
            </w:r>
          </w:p>
        </w:tc>
      </w:tr>
      <w:tr>
        <w:trPr/>
        <w:tc>
          <w:tcPr>
            <w:tcW w:w="971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26" w:type="dxa"/>
            <w:tcBorders/>
            <w:shd w:fill="FFFFFF" w:val="clear"/>
            <w:vAlign w:val="center"/>
          </w:tcPr>
          <w:p>
            <w:pPr>
              <w:pStyle w:val="TableContents"/>
              <w:bidi w:val="0"/>
              <w:spacing w:before="0" w:after="283"/>
              <w:ind w:left="0" w:right="0" w:hanging="180"/>
              <w:jc w:val="center"/>
              <w:rPr>
                <w:caps w:val="false"/>
                <w:smallCaps w:val="false"/>
              </w:rPr>
            </w:pPr>
            <w:r>
              <w:rPr>
                <w:caps w:val="false"/>
                <w:smallCaps w:val="false"/>
              </w:rPr>
              <w:t> </w:t>
            </w:r>
          </w:p>
        </w:tc>
      </w:tr>
      <w:tr>
        <w:trPr/>
        <w:tc>
          <w:tcPr>
            <w:tcW w:w="9719" w:type="dxa"/>
            <w:tcBorders/>
            <w:shd w:fill="CCEEFF" w:val="clear"/>
            <w:vAlign w:val="center"/>
          </w:tcPr>
          <w:p>
            <w:pPr>
              <w:pStyle w:val="TableContents"/>
              <w:bidi w:val="0"/>
              <w:spacing w:before="0" w:after="283"/>
              <w:jc w:val="left"/>
              <w:rPr/>
            </w:pPr>
            <w:hyperlink w:anchor="q_003">
              <w:r>
                <w:rPr>
                  <w:rStyle w:val="InternetLink"/>
                  <w:rFonts w:ascii="Times New Roman;Times;Serif" w:hAnsi="Times New Roman;Times;Serif"/>
                  <w:b w:val="false"/>
                  <w:i w:val="false"/>
                  <w:caps w:val="false"/>
                  <w:smallCaps w:val="false"/>
                  <w:sz w:val="20"/>
                </w:rPr>
                <w:t>Unaudited Condensed Consolidated Statements of Stockholders’ Deficit</w:t>
              </w:r>
            </w:hyperlink>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26" w:type="dxa"/>
            <w:tcBorders/>
            <w:shd w:fill="CCEEFF" w:val="clear"/>
            <w:vAlign w:val="center"/>
          </w:tcPr>
          <w:p>
            <w:pPr>
              <w:pStyle w:val="TableContents"/>
              <w:bidi w:val="0"/>
              <w:spacing w:before="0" w:after="283"/>
              <w:ind w:left="0" w:right="0" w:hanging="18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F-6</w:t>
            </w:r>
          </w:p>
        </w:tc>
      </w:tr>
      <w:tr>
        <w:trPr/>
        <w:tc>
          <w:tcPr>
            <w:tcW w:w="971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26" w:type="dxa"/>
            <w:tcBorders/>
            <w:shd w:fill="FFFFFF" w:val="clear"/>
            <w:vAlign w:val="center"/>
          </w:tcPr>
          <w:p>
            <w:pPr>
              <w:pStyle w:val="TableContents"/>
              <w:bidi w:val="0"/>
              <w:spacing w:before="0" w:after="283"/>
              <w:ind w:left="0" w:right="0" w:hanging="180"/>
              <w:jc w:val="center"/>
              <w:rPr>
                <w:caps w:val="false"/>
                <w:smallCaps w:val="false"/>
              </w:rPr>
            </w:pPr>
            <w:r>
              <w:rPr>
                <w:caps w:val="false"/>
                <w:smallCaps w:val="false"/>
              </w:rPr>
              <w:t> </w:t>
            </w:r>
          </w:p>
        </w:tc>
      </w:tr>
      <w:tr>
        <w:trPr/>
        <w:tc>
          <w:tcPr>
            <w:tcW w:w="9719" w:type="dxa"/>
            <w:tcBorders/>
            <w:shd w:fill="CCEEFF" w:val="clear"/>
            <w:vAlign w:val="center"/>
          </w:tcPr>
          <w:p>
            <w:pPr>
              <w:pStyle w:val="TableContents"/>
              <w:bidi w:val="0"/>
              <w:spacing w:before="0" w:after="283"/>
              <w:jc w:val="left"/>
              <w:rPr/>
            </w:pPr>
            <w:hyperlink w:anchor="q_004">
              <w:r>
                <w:rPr>
                  <w:rStyle w:val="InternetLink"/>
                  <w:rFonts w:ascii="Times New Roman;Times;Serif" w:hAnsi="Times New Roman;Times;Serif"/>
                  <w:b w:val="false"/>
                  <w:i w:val="false"/>
                  <w:caps w:val="false"/>
                  <w:smallCaps w:val="false"/>
                  <w:sz w:val="20"/>
                </w:rPr>
                <w:t>Unaudited Condensed Consolidated Statements of Cash Flows as of March 28, 2026 and March 30, 2025</w:t>
              </w:r>
            </w:hyperlink>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26" w:type="dxa"/>
            <w:tcBorders/>
            <w:shd w:fill="CCEEFF" w:val="clear"/>
            <w:vAlign w:val="center"/>
          </w:tcPr>
          <w:p>
            <w:pPr>
              <w:pStyle w:val="TableContents"/>
              <w:bidi w:val="0"/>
              <w:spacing w:before="0" w:after="283"/>
              <w:ind w:left="0" w:right="0" w:hanging="18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F-7</w:t>
            </w:r>
          </w:p>
        </w:tc>
      </w:tr>
      <w:tr>
        <w:trPr/>
        <w:tc>
          <w:tcPr>
            <w:tcW w:w="971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26" w:type="dxa"/>
            <w:tcBorders/>
            <w:shd w:fill="FFFFFF" w:val="clear"/>
            <w:vAlign w:val="center"/>
          </w:tcPr>
          <w:p>
            <w:pPr>
              <w:pStyle w:val="TableContents"/>
              <w:bidi w:val="0"/>
              <w:spacing w:before="0" w:after="283"/>
              <w:ind w:left="0" w:right="0" w:hanging="180"/>
              <w:jc w:val="center"/>
              <w:rPr>
                <w:caps w:val="false"/>
                <w:smallCaps w:val="false"/>
              </w:rPr>
            </w:pPr>
            <w:r>
              <w:rPr>
                <w:caps w:val="false"/>
                <w:smallCaps w:val="false"/>
              </w:rPr>
              <w:t> </w:t>
            </w:r>
          </w:p>
        </w:tc>
      </w:tr>
      <w:tr>
        <w:trPr/>
        <w:tc>
          <w:tcPr>
            <w:tcW w:w="9719" w:type="dxa"/>
            <w:tcBorders/>
            <w:shd w:fill="CCEEFF" w:val="clear"/>
            <w:vAlign w:val="center"/>
          </w:tcPr>
          <w:p>
            <w:pPr>
              <w:pStyle w:val="TableContents"/>
              <w:bidi w:val="0"/>
              <w:spacing w:before="0" w:after="283"/>
              <w:jc w:val="left"/>
              <w:rPr/>
            </w:pPr>
            <w:hyperlink w:anchor="q_005">
              <w:r>
                <w:rPr>
                  <w:rStyle w:val="InternetLink"/>
                  <w:rFonts w:ascii="Times New Roman;Times;Serif" w:hAnsi="Times New Roman;Times;Serif"/>
                  <w:b w:val="false"/>
                  <w:i w:val="false"/>
                  <w:caps w:val="false"/>
                  <w:smallCaps w:val="false"/>
                  <w:sz w:val="20"/>
                </w:rPr>
                <w:t>Notes to Unaudited Condensed Consolidated Financial Statements</w:t>
              </w:r>
            </w:hyperlink>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26" w:type="dxa"/>
            <w:tcBorders/>
            <w:shd w:fill="CCEEFF" w:val="clear"/>
            <w:vAlign w:val="center"/>
          </w:tcPr>
          <w:p>
            <w:pPr>
              <w:pStyle w:val="TableContents"/>
              <w:bidi w:val="0"/>
              <w:spacing w:before="0" w:after="283"/>
              <w:ind w:left="0" w:right="0" w:hanging="18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F-8</w:t>
            </w:r>
          </w:p>
        </w:tc>
      </w:tr>
      <w:tr>
        <w:trPr/>
        <w:tc>
          <w:tcPr>
            <w:tcW w:w="971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26" w:type="dxa"/>
            <w:tcBorders/>
            <w:shd w:fill="FFFFFF" w:val="clear"/>
            <w:vAlign w:val="center"/>
          </w:tcPr>
          <w:p>
            <w:pPr>
              <w:pStyle w:val="TableContents"/>
              <w:bidi w:val="0"/>
              <w:spacing w:before="0" w:after="283"/>
              <w:ind w:left="0" w:right="0" w:hanging="180"/>
              <w:jc w:val="center"/>
              <w:rPr>
                <w:caps w:val="false"/>
                <w:smallCaps w:val="false"/>
              </w:rPr>
            </w:pPr>
            <w:r>
              <w:rPr>
                <w:caps w:val="false"/>
                <w:smallCaps w:val="false"/>
              </w:rPr>
              <w:t> </w:t>
            </w:r>
          </w:p>
        </w:tc>
      </w:tr>
      <w:tr>
        <w:trPr/>
        <w:tc>
          <w:tcPr>
            <w:tcW w:w="9719"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Consolidated Financial Statements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26" w:type="dxa"/>
            <w:tcBorders/>
            <w:shd w:fill="CCEEFF" w:val="clear"/>
            <w:vAlign w:val="center"/>
          </w:tcPr>
          <w:p>
            <w:pPr>
              <w:pStyle w:val="TableContents"/>
              <w:bidi w:val="0"/>
              <w:spacing w:before="0" w:after="283"/>
              <w:ind w:left="0" w:right="0" w:hanging="180"/>
              <w:jc w:val="center"/>
              <w:rPr>
                <w:caps w:val="false"/>
                <w:smallCaps w:val="false"/>
              </w:rPr>
            </w:pPr>
            <w:r>
              <w:rPr>
                <w:caps w:val="false"/>
                <w:smallCaps w:val="false"/>
              </w:rPr>
              <w:t> </w:t>
            </w:r>
          </w:p>
        </w:tc>
      </w:tr>
      <w:tr>
        <w:trPr/>
        <w:tc>
          <w:tcPr>
            <w:tcW w:w="971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26" w:type="dxa"/>
            <w:tcBorders/>
            <w:shd w:fill="FFFFFF" w:val="clear"/>
            <w:vAlign w:val="center"/>
          </w:tcPr>
          <w:p>
            <w:pPr>
              <w:pStyle w:val="TableContents"/>
              <w:bidi w:val="0"/>
              <w:spacing w:before="0" w:after="283"/>
              <w:ind w:left="0" w:right="0" w:hanging="180"/>
              <w:jc w:val="center"/>
              <w:rPr>
                <w:caps w:val="false"/>
                <w:smallCaps w:val="false"/>
              </w:rPr>
            </w:pPr>
            <w:r>
              <w:rPr>
                <w:caps w:val="false"/>
                <w:smallCaps w:val="false"/>
              </w:rPr>
              <w:t> </w:t>
            </w:r>
          </w:p>
        </w:tc>
      </w:tr>
      <w:tr>
        <w:trPr/>
        <w:tc>
          <w:tcPr>
            <w:tcW w:w="9719" w:type="dxa"/>
            <w:tcBorders/>
            <w:shd w:fill="CCEEFF" w:val="clear"/>
            <w:vAlign w:val="center"/>
          </w:tcPr>
          <w:p>
            <w:pPr>
              <w:pStyle w:val="TableContents"/>
              <w:bidi w:val="0"/>
              <w:spacing w:before="0" w:after="283"/>
              <w:jc w:val="left"/>
              <w:rPr/>
            </w:pPr>
            <w:hyperlink w:anchor="C_001">
              <w:r>
                <w:rPr>
                  <w:rStyle w:val="InternetLink"/>
                  <w:rFonts w:ascii="Times New Roman;Times;Serif" w:hAnsi="Times New Roman;Times;Serif"/>
                  <w:b w:val="false"/>
                  <w:i w:val="false"/>
                  <w:caps w:val="false"/>
                  <w:smallCaps w:val="false"/>
                  <w:strike w:val="false"/>
                  <w:dstrike w:val="false"/>
                  <w:sz w:val="20"/>
                  <w:u w:val="none"/>
                  <w:effect w:val="none"/>
                </w:rPr>
                <w:t xml:space="preserve">Report of Independent Registered Public Accounting Firm </w:t>
              </w:r>
            </w:hyperlink>
            <w:hyperlink w:anchor="C_001">
              <w:r>
                <w:rPr>
                  <w:rStyle w:val="InternetLink"/>
                  <w:rFonts w:ascii="Times New Roman;Times;Serif" w:hAnsi="Times New Roman;Times;Serif"/>
                  <w:b w:val="false"/>
                  <w:i/>
                  <w:caps w:val="false"/>
                  <w:smallCaps w:val="false"/>
                  <w:strike w:val="false"/>
                  <w:dstrike w:val="false"/>
                  <w:sz w:val="20"/>
                  <w:u w:val="none"/>
                  <w:effect w:val="none"/>
                </w:rPr>
                <w:t>(PCAOB ID 243)</w:t>
              </w:r>
            </w:hyperlink>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26" w:type="dxa"/>
            <w:tcBorders/>
            <w:shd w:fill="CCEEFF" w:val="clear"/>
            <w:vAlign w:val="center"/>
          </w:tcPr>
          <w:p>
            <w:pPr>
              <w:pStyle w:val="TableContents"/>
              <w:bidi w:val="0"/>
              <w:spacing w:before="0" w:after="283"/>
              <w:ind w:left="0" w:right="0" w:hanging="18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F-50</w:t>
            </w:r>
          </w:p>
        </w:tc>
      </w:tr>
      <w:tr>
        <w:trPr/>
        <w:tc>
          <w:tcPr>
            <w:tcW w:w="971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26" w:type="dxa"/>
            <w:tcBorders/>
            <w:shd w:fill="FFFFFF" w:val="clear"/>
            <w:vAlign w:val="center"/>
          </w:tcPr>
          <w:p>
            <w:pPr>
              <w:pStyle w:val="TableContents"/>
              <w:bidi w:val="0"/>
              <w:spacing w:before="0" w:after="283"/>
              <w:ind w:left="0" w:right="0" w:hanging="180"/>
              <w:jc w:val="center"/>
              <w:rPr>
                <w:caps w:val="false"/>
                <w:smallCaps w:val="false"/>
              </w:rPr>
            </w:pPr>
            <w:r>
              <w:rPr>
                <w:caps w:val="false"/>
                <w:smallCaps w:val="false"/>
              </w:rPr>
              <w:t> </w:t>
            </w:r>
          </w:p>
        </w:tc>
      </w:tr>
      <w:tr>
        <w:trPr/>
        <w:tc>
          <w:tcPr>
            <w:tcW w:w="9719" w:type="dxa"/>
            <w:tcBorders/>
            <w:shd w:fill="CCEEFF" w:val="clear"/>
            <w:vAlign w:val="center"/>
          </w:tcPr>
          <w:p>
            <w:pPr>
              <w:pStyle w:val="TableContents"/>
              <w:bidi w:val="0"/>
              <w:spacing w:before="0" w:after="283"/>
              <w:jc w:val="left"/>
              <w:rPr/>
            </w:pPr>
            <w:hyperlink w:anchor="C_002">
              <w:r>
                <w:rPr>
                  <w:rStyle w:val="InternetLink"/>
                  <w:rFonts w:ascii="Times New Roman;Times;Serif" w:hAnsi="Times New Roman;Times;Serif"/>
                  <w:b w:val="false"/>
                  <w:i w:val="false"/>
                  <w:caps w:val="false"/>
                  <w:smallCaps w:val="false"/>
                  <w:strike w:val="false"/>
                  <w:dstrike w:val="false"/>
                  <w:sz w:val="20"/>
                  <w:u w:val="none"/>
                  <w:effect w:val="none"/>
                </w:rPr>
                <w:t>Consolidated Balance Sheets as of December 28, 2025 and December 29, 2024</w:t>
              </w:r>
            </w:hyperlink>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26" w:type="dxa"/>
            <w:tcBorders/>
            <w:shd w:fill="CCEEFF" w:val="clear"/>
            <w:vAlign w:val="center"/>
          </w:tcPr>
          <w:p>
            <w:pPr>
              <w:pStyle w:val="TableContents"/>
              <w:bidi w:val="0"/>
              <w:spacing w:before="0" w:after="283"/>
              <w:ind w:left="0" w:right="0" w:hanging="18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F-51</w:t>
            </w:r>
          </w:p>
        </w:tc>
      </w:tr>
      <w:tr>
        <w:trPr/>
        <w:tc>
          <w:tcPr>
            <w:tcW w:w="971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26" w:type="dxa"/>
            <w:tcBorders/>
            <w:shd w:fill="FFFFFF" w:val="clear"/>
            <w:vAlign w:val="center"/>
          </w:tcPr>
          <w:p>
            <w:pPr>
              <w:pStyle w:val="TableContents"/>
              <w:bidi w:val="0"/>
              <w:spacing w:before="0" w:after="283"/>
              <w:ind w:left="0" w:right="0" w:hanging="180"/>
              <w:jc w:val="center"/>
              <w:rPr>
                <w:caps w:val="false"/>
                <w:smallCaps w:val="false"/>
              </w:rPr>
            </w:pPr>
            <w:r>
              <w:rPr>
                <w:caps w:val="false"/>
                <w:smallCaps w:val="false"/>
              </w:rPr>
              <w:t> </w:t>
            </w:r>
          </w:p>
        </w:tc>
      </w:tr>
      <w:tr>
        <w:trPr/>
        <w:tc>
          <w:tcPr>
            <w:tcW w:w="9719" w:type="dxa"/>
            <w:tcBorders/>
            <w:shd w:fill="CCEEFF" w:val="clear"/>
            <w:vAlign w:val="center"/>
          </w:tcPr>
          <w:p>
            <w:pPr>
              <w:pStyle w:val="TableContents"/>
              <w:bidi w:val="0"/>
              <w:spacing w:before="0" w:after="283"/>
              <w:jc w:val="left"/>
              <w:rPr/>
            </w:pPr>
            <w:hyperlink w:anchor="C_003">
              <w:r>
                <w:rPr>
                  <w:rStyle w:val="InternetLink"/>
                  <w:rFonts w:ascii="Times New Roman;Times;Serif" w:hAnsi="Times New Roman;Times;Serif"/>
                  <w:b w:val="false"/>
                  <w:i w:val="false"/>
                  <w:caps w:val="false"/>
                  <w:smallCaps w:val="false"/>
                  <w:strike w:val="false"/>
                  <w:dstrike w:val="false"/>
                  <w:sz w:val="20"/>
                  <w:u w:val="none"/>
                  <w:effect w:val="none"/>
                </w:rPr>
                <w:t>Consolidated Statements of Operations and Comprehensive Loss for the Fiscal Years Ended December 28, 2025 and December 29, 2024</w:t>
              </w:r>
            </w:hyperlink>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26" w:type="dxa"/>
            <w:tcBorders/>
            <w:shd w:fill="CCEEFF" w:val="clear"/>
            <w:vAlign w:val="center"/>
          </w:tcPr>
          <w:p>
            <w:pPr>
              <w:pStyle w:val="TableContents"/>
              <w:bidi w:val="0"/>
              <w:spacing w:before="0" w:after="283"/>
              <w:ind w:left="0" w:right="0" w:hanging="18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F-52</w:t>
            </w:r>
          </w:p>
        </w:tc>
      </w:tr>
      <w:tr>
        <w:trPr/>
        <w:tc>
          <w:tcPr>
            <w:tcW w:w="971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26" w:type="dxa"/>
            <w:tcBorders/>
            <w:shd w:fill="FFFFFF" w:val="clear"/>
            <w:vAlign w:val="center"/>
          </w:tcPr>
          <w:p>
            <w:pPr>
              <w:pStyle w:val="TableContents"/>
              <w:bidi w:val="0"/>
              <w:spacing w:before="0" w:after="283"/>
              <w:ind w:left="0" w:right="0" w:hanging="180"/>
              <w:jc w:val="center"/>
              <w:rPr>
                <w:caps w:val="false"/>
                <w:smallCaps w:val="false"/>
              </w:rPr>
            </w:pPr>
            <w:r>
              <w:rPr>
                <w:caps w:val="false"/>
                <w:smallCaps w:val="false"/>
              </w:rPr>
              <w:t> </w:t>
            </w:r>
          </w:p>
        </w:tc>
      </w:tr>
      <w:tr>
        <w:trPr/>
        <w:tc>
          <w:tcPr>
            <w:tcW w:w="9719" w:type="dxa"/>
            <w:tcBorders/>
            <w:shd w:fill="CCEEFF" w:val="clear"/>
            <w:vAlign w:val="center"/>
          </w:tcPr>
          <w:p>
            <w:pPr>
              <w:pStyle w:val="TableContents"/>
              <w:bidi w:val="0"/>
              <w:spacing w:before="0" w:after="283"/>
              <w:jc w:val="left"/>
              <w:rPr/>
            </w:pPr>
            <w:hyperlink w:anchor="C_004">
              <w:r>
                <w:rPr>
                  <w:rStyle w:val="InternetLink"/>
                  <w:rFonts w:ascii="Times New Roman;Times;Serif" w:hAnsi="Times New Roman;Times;Serif"/>
                  <w:b w:val="false"/>
                  <w:i w:val="false"/>
                  <w:caps w:val="false"/>
                  <w:smallCaps w:val="false"/>
                  <w:strike w:val="false"/>
                  <w:dstrike w:val="false"/>
                  <w:sz w:val="20"/>
                  <w:u w:val="none"/>
                  <w:effect w:val="none"/>
                </w:rPr>
                <w:t>Consolidated Statements of Stockholders’ Deficit for the Fiscal Years Ended December 28, 2025 and December 29, 2024</w:t>
              </w:r>
            </w:hyperlink>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26" w:type="dxa"/>
            <w:tcBorders/>
            <w:shd w:fill="CCEEFF" w:val="clear"/>
            <w:vAlign w:val="center"/>
          </w:tcPr>
          <w:p>
            <w:pPr>
              <w:pStyle w:val="TableContents"/>
              <w:bidi w:val="0"/>
              <w:spacing w:before="0" w:after="283"/>
              <w:ind w:left="0" w:right="0" w:hanging="18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F-53</w:t>
            </w:r>
          </w:p>
        </w:tc>
      </w:tr>
      <w:tr>
        <w:trPr/>
        <w:tc>
          <w:tcPr>
            <w:tcW w:w="971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26" w:type="dxa"/>
            <w:tcBorders/>
            <w:shd w:fill="FFFFFF" w:val="clear"/>
            <w:vAlign w:val="center"/>
          </w:tcPr>
          <w:p>
            <w:pPr>
              <w:pStyle w:val="TableContents"/>
              <w:bidi w:val="0"/>
              <w:spacing w:before="0" w:after="283"/>
              <w:ind w:left="0" w:right="0" w:hanging="180"/>
              <w:jc w:val="center"/>
              <w:rPr>
                <w:caps w:val="false"/>
                <w:smallCaps w:val="false"/>
              </w:rPr>
            </w:pPr>
            <w:r>
              <w:rPr>
                <w:caps w:val="false"/>
                <w:smallCaps w:val="false"/>
              </w:rPr>
              <w:t> </w:t>
            </w:r>
          </w:p>
        </w:tc>
      </w:tr>
      <w:tr>
        <w:trPr/>
        <w:tc>
          <w:tcPr>
            <w:tcW w:w="9719" w:type="dxa"/>
            <w:tcBorders/>
            <w:shd w:fill="CCEEFF" w:val="clear"/>
            <w:vAlign w:val="center"/>
          </w:tcPr>
          <w:p>
            <w:pPr>
              <w:pStyle w:val="TableContents"/>
              <w:bidi w:val="0"/>
              <w:spacing w:before="0" w:after="283"/>
              <w:jc w:val="left"/>
              <w:rPr/>
            </w:pPr>
            <w:hyperlink w:anchor="C_005">
              <w:r>
                <w:rPr>
                  <w:rStyle w:val="InternetLink"/>
                  <w:rFonts w:ascii="Times New Roman;Times;Serif" w:hAnsi="Times New Roman;Times;Serif"/>
                  <w:b w:val="false"/>
                  <w:i w:val="false"/>
                  <w:caps w:val="false"/>
                  <w:smallCaps w:val="false"/>
                  <w:strike w:val="false"/>
                  <w:dstrike w:val="false"/>
                  <w:sz w:val="20"/>
                  <w:u w:val="none"/>
                  <w:effect w:val="none"/>
                </w:rPr>
                <w:t>Consolidated Statements of Cash Flows for the for the Fiscal Years Ended December 28, 2025 and December 29, 2024</w:t>
              </w:r>
            </w:hyperlink>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26" w:type="dxa"/>
            <w:tcBorders/>
            <w:shd w:fill="CCEEFF" w:val="clear"/>
            <w:vAlign w:val="center"/>
          </w:tcPr>
          <w:p>
            <w:pPr>
              <w:pStyle w:val="TableContents"/>
              <w:bidi w:val="0"/>
              <w:spacing w:before="0" w:after="283"/>
              <w:ind w:left="0" w:right="0" w:hanging="18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F-54</w:t>
            </w:r>
          </w:p>
        </w:tc>
      </w:tr>
      <w:tr>
        <w:trPr/>
        <w:tc>
          <w:tcPr>
            <w:tcW w:w="971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26" w:type="dxa"/>
            <w:tcBorders/>
            <w:shd w:fill="FFFFFF" w:val="clear"/>
            <w:vAlign w:val="center"/>
          </w:tcPr>
          <w:p>
            <w:pPr>
              <w:pStyle w:val="TableContents"/>
              <w:bidi w:val="0"/>
              <w:spacing w:before="0" w:after="283"/>
              <w:ind w:left="0" w:right="0" w:hanging="180"/>
              <w:jc w:val="center"/>
              <w:rPr>
                <w:caps w:val="false"/>
                <w:smallCaps w:val="false"/>
              </w:rPr>
            </w:pPr>
            <w:r>
              <w:rPr>
                <w:caps w:val="false"/>
                <w:smallCaps w:val="false"/>
              </w:rPr>
              <w:t> </w:t>
            </w:r>
          </w:p>
        </w:tc>
      </w:tr>
      <w:tr>
        <w:trPr/>
        <w:tc>
          <w:tcPr>
            <w:tcW w:w="9719" w:type="dxa"/>
            <w:tcBorders/>
            <w:shd w:fill="CCEEFF" w:val="clear"/>
            <w:vAlign w:val="center"/>
          </w:tcPr>
          <w:p>
            <w:pPr>
              <w:pStyle w:val="TableContents"/>
              <w:bidi w:val="0"/>
              <w:spacing w:before="0" w:after="283"/>
              <w:jc w:val="left"/>
              <w:rPr/>
            </w:pPr>
            <w:hyperlink w:anchor="C_006">
              <w:r>
                <w:rPr>
                  <w:rStyle w:val="InternetLink"/>
                  <w:rFonts w:ascii="Times New Roman;Times;Serif" w:hAnsi="Times New Roman;Times;Serif"/>
                  <w:b w:val="false"/>
                  <w:i w:val="false"/>
                  <w:caps w:val="false"/>
                  <w:smallCaps w:val="false"/>
                  <w:strike w:val="false"/>
                  <w:dstrike w:val="false"/>
                  <w:sz w:val="20"/>
                  <w:u w:val="none"/>
                  <w:effect w:val="none"/>
                </w:rPr>
                <w:t>Notes to Consolidated Financial Statements</w:t>
              </w:r>
            </w:hyperlink>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26"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F-55</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sz w:val="20"/>
          <w:bdr w:val="single" w:sz="12" w:space="1" w:color="000000"/>
        </w:rPr>
      </w:pPr>
      <w:r>
        <w:rPr>
          <w:sz w:val="20"/>
          <w:bdr w:val="single" w:sz="12" w:space="1" w:color="000000"/>
        </w:rPr>
        <w:t>F-1</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SUNDER ENERGY LLC</w:t>
      </w:r>
    </w:p>
    <w:p>
      <w:pPr>
        <w:pStyle w:val="TextBody"/>
        <w:bidi w:val="0"/>
        <w:spacing w:before="0" w:after="0"/>
        <w:ind w:left="0" w:right="0" w:hanging="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9672"/>
        <w:gridCol w:w="60"/>
        <w:gridCol w:w="473"/>
      </w:tblGrid>
      <w:tr>
        <w:trPr/>
        <w:tc>
          <w:tcPr>
            <w:tcW w:w="9672" w:type="dxa"/>
            <w:tcBorders/>
            <w:vAlign w:val="center"/>
          </w:tcPr>
          <w:p>
            <w:pPr>
              <w:pStyle w:val="TableContents"/>
              <w:bidi w:val="0"/>
              <w:spacing w:before="0" w:after="283"/>
              <w:ind w:left="0" w:right="0" w:hanging="180"/>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473" w:type="dxa"/>
            <w:tcBorders>
              <w:bottom w:val="single" w:sz="12" w:space="0" w:color="000000"/>
            </w:tcBorders>
            <w:tcMar>
              <w:bottom w:w="28" w:type="dxa"/>
            </w:tcMar>
            <w:vAlign w:val="center"/>
          </w:tcPr>
          <w:p>
            <w:pPr>
              <w:pStyle w:val="TableContents"/>
              <w:bidi w:val="0"/>
              <w:spacing w:before="0" w:after="283"/>
              <w:ind w:left="0" w:right="0" w:hanging="18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Page</w:t>
            </w:r>
          </w:p>
        </w:tc>
      </w:tr>
      <w:tr>
        <w:trPr/>
        <w:tc>
          <w:tcPr>
            <w:tcW w:w="9672"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trike w:val="false"/>
                <w:dstrike w:val="false"/>
                <w:sz w:val="20"/>
                <w:u w:val="none"/>
                <w:effect w:val="none"/>
              </w:rPr>
            </w:pPr>
            <w:r>
              <w:rPr>
                <w:rFonts w:ascii="Times New Roman;Times;Serif" w:hAnsi="Times New Roman;Times;Serif"/>
                <w:b/>
                <w:i w:val="false"/>
                <w:caps w:val="false"/>
                <w:smallCaps w:val="false"/>
                <w:strike w:val="false"/>
                <w:dstrike w:val="false"/>
                <w:sz w:val="20"/>
                <w:u w:val="none"/>
                <w:effect w:val="none"/>
              </w:rPr>
              <w:t>Audited Financial Statements of Sunder Energy LLC (For the Years ended December 31, 2024 and 2023)</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73" w:type="dxa"/>
            <w:tcBorders/>
            <w:shd w:fill="CCEEFF" w:val="clear"/>
            <w:vAlign w:val="center"/>
          </w:tcPr>
          <w:p>
            <w:pPr>
              <w:pStyle w:val="TableContents"/>
              <w:bidi w:val="0"/>
              <w:spacing w:before="0" w:after="283"/>
              <w:ind w:left="0" w:right="0" w:hanging="180"/>
              <w:jc w:val="center"/>
              <w:rPr>
                <w:caps w:val="false"/>
                <w:smallCaps w:val="false"/>
              </w:rPr>
            </w:pPr>
            <w:r>
              <w:rPr>
                <w:caps w:val="false"/>
                <w:smallCaps w:val="false"/>
              </w:rPr>
              <w:t> </w:t>
            </w:r>
          </w:p>
        </w:tc>
      </w:tr>
      <w:tr>
        <w:trPr/>
        <w:tc>
          <w:tcPr>
            <w:tcW w:w="967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73" w:type="dxa"/>
            <w:tcBorders/>
            <w:shd w:fill="FFFFFF" w:val="clear"/>
            <w:vAlign w:val="center"/>
          </w:tcPr>
          <w:p>
            <w:pPr>
              <w:pStyle w:val="TableContents"/>
              <w:bidi w:val="0"/>
              <w:spacing w:before="0" w:after="283"/>
              <w:ind w:left="0" w:right="0" w:hanging="180"/>
              <w:jc w:val="center"/>
              <w:rPr>
                <w:caps w:val="false"/>
                <w:smallCaps w:val="false"/>
              </w:rPr>
            </w:pPr>
            <w:r>
              <w:rPr>
                <w:caps w:val="false"/>
                <w:smallCaps w:val="false"/>
              </w:rPr>
              <w:t> </w:t>
            </w:r>
          </w:p>
        </w:tc>
      </w:tr>
      <w:tr>
        <w:trPr/>
        <w:tc>
          <w:tcPr>
            <w:tcW w:w="9672" w:type="dxa"/>
            <w:tcBorders/>
            <w:shd w:fill="CCEEFF" w:val="clear"/>
            <w:vAlign w:val="center"/>
          </w:tcPr>
          <w:p>
            <w:pPr>
              <w:pStyle w:val="TableContents"/>
              <w:bidi w:val="0"/>
              <w:spacing w:before="0" w:after="283"/>
              <w:jc w:val="left"/>
              <w:rPr/>
            </w:pPr>
            <w:hyperlink w:anchor="D_001">
              <w:r>
                <w:rPr>
                  <w:rStyle w:val="InternetLink"/>
                  <w:rFonts w:ascii="Times New Roman;Times;Serif" w:hAnsi="Times New Roman;Times;Serif"/>
                  <w:b w:val="false"/>
                  <w:i w:val="false"/>
                  <w:caps w:val="false"/>
                  <w:smallCaps w:val="false"/>
                  <w:sz w:val="20"/>
                </w:rPr>
                <w:t>Independent Auditor’s Report</w:t>
              </w:r>
            </w:hyperlink>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73" w:type="dxa"/>
            <w:tcBorders/>
            <w:shd w:fill="CCEEFF" w:val="clear"/>
            <w:vAlign w:val="center"/>
          </w:tcPr>
          <w:p>
            <w:pPr>
              <w:pStyle w:val="TableContents"/>
              <w:bidi w:val="0"/>
              <w:spacing w:before="0" w:after="283"/>
              <w:ind w:left="0" w:right="0" w:hanging="18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F-113</w:t>
            </w:r>
          </w:p>
        </w:tc>
      </w:tr>
      <w:tr>
        <w:trPr/>
        <w:tc>
          <w:tcPr>
            <w:tcW w:w="967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73" w:type="dxa"/>
            <w:tcBorders/>
            <w:shd w:fill="FFFFFF" w:val="clear"/>
            <w:vAlign w:val="center"/>
          </w:tcPr>
          <w:p>
            <w:pPr>
              <w:pStyle w:val="TableContents"/>
              <w:bidi w:val="0"/>
              <w:spacing w:before="0" w:after="283"/>
              <w:ind w:left="0" w:right="0" w:hanging="180"/>
              <w:jc w:val="center"/>
              <w:rPr>
                <w:caps w:val="false"/>
                <w:smallCaps w:val="false"/>
              </w:rPr>
            </w:pPr>
            <w:r>
              <w:rPr>
                <w:caps w:val="false"/>
                <w:smallCaps w:val="false"/>
              </w:rPr>
              <w:t> </w:t>
            </w:r>
          </w:p>
        </w:tc>
      </w:tr>
      <w:tr>
        <w:trPr/>
        <w:tc>
          <w:tcPr>
            <w:tcW w:w="9672" w:type="dxa"/>
            <w:tcBorders/>
            <w:shd w:fill="CCEEFF" w:val="clear"/>
            <w:vAlign w:val="center"/>
          </w:tcPr>
          <w:p>
            <w:pPr>
              <w:pStyle w:val="TableContents"/>
              <w:bidi w:val="0"/>
              <w:spacing w:before="0" w:after="283"/>
              <w:jc w:val="left"/>
              <w:rPr/>
            </w:pPr>
            <w:hyperlink w:anchor="D_002">
              <w:r>
                <w:rPr>
                  <w:rStyle w:val="InternetLink"/>
                  <w:rFonts w:ascii="Times New Roman;Times;Serif" w:hAnsi="Times New Roman;Times;Serif"/>
                  <w:b w:val="false"/>
                  <w:i w:val="false"/>
                  <w:caps w:val="false"/>
                  <w:smallCaps w:val="false"/>
                  <w:sz w:val="20"/>
                </w:rPr>
                <w:t>Balance Sheets as of December 31, 2024 and 2023</w:t>
              </w:r>
            </w:hyperlink>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73" w:type="dxa"/>
            <w:tcBorders/>
            <w:shd w:fill="CCEEFF" w:val="clear"/>
            <w:vAlign w:val="center"/>
          </w:tcPr>
          <w:p>
            <w:pPr>
              <w:pStyle w:val="TableContents"/>
              <w:bidi w:val="0"/>
              <w:spacing w:before="0" w:after="283"/>
              <w:ind w:left="0" w:right="0" w:hanging="18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F-115</w:t>
            </w:r>
          </w:p>
        </w:tc>
      </w:tr>
      <w:tr>
        <w:trPr/>
        <w:tc>
          <w:tcPr>
            <w:tcW w:w="967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73" w:type="dxa"/>
            <w:tcBorders/>
            <w:shd w:fill="FFFFFF" w:val="clear"/>
            <w:vAlign w:val="center"/>
          </w:tcPr>
          <w:p>
            <w:pPr>
              <w:pStyle w:val="TableContents"/>
              <w:bidi w:val="0"/>
              <w:spacing w:before="0" w:after="283"/>
              <w:ind w:left="0" w:right="0" w:hanging="180"/>
              <w:jc w:val="center"/>
              <w:rPr>
                <w:caps w:val="false"/>
                <w:smallCaps w:val="false"/>
              </w:rPr>
            </w:pPr>
            <w:r>
              <w:rPr>
                <w:caps w:val="false"/>
                <w:smallCaps w:val="false"/>
              </w:rPr>
              <w:t> </w:t>
            </w:r>
          </w:p>
        </w:tc>
      </w:tr>
      <w:tr>
        <w:trPr/>
        <w:tc>
          <w:tcPr>
            <w:tcW w:w="9672" w:type="dxa"/>
            <w:tcBorders/>
            <w:shd w:fill="CCEEFF" w:val="clear"/>
            <w:vAlign w:val="center"/>
          </w:tcPr>
          <w:p>
            <w:pPr>
              <w:pStyle w:val="TableContents"/>
              <w:bidi w:val="0"/>
              <w:spacing w:before="0" w:after="283"/>
              <w:jc w:val="left"/>
              <w:rPr/>
            </w:pPr>
            <w:hyperlink w:anchor="D_003">
              <w:r>
                <w:rPr>
                  <w:rStyle w:val="InternetLink"/>
                  <w:rFonts w:ascii="Times New Roman;Times;Serif" w:hAnsi="Times New Roman;Times;Serif"/>
                  <w:b w:val="false"/>
                  <w:i w:val="false"/>
                  <w:caps w:val="false"/>
                  <w:smallCaps w:val="false"/>
                  <w:sz w:val="20"/>
                </w:rPr>
                <w:t>Statements of Operations for the years ended December 31, 2024 and 2023</w:t>
              </w:r>
            </w:hyperlink>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73" w:type="dxa"/>
            <w:tcBorders/>
            <w:shd w:fill="CCEEFF" w:val="clear"/>
            <w:vAlign w:val="center"/>
          </w:tcPr>
          <w:p>
            <w:pPr>
              <w:pStyle w:val="TableContents"/>
              <w:bidi w:val="0"/>
              <w:spacing w:before="0" w:after="283"/>
              <w:ind w:left="0" w:right="0" w:hanging="18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F-116</w:t>
            </w:r>
          </w:p>
        </w:tc>
      </w:tr>
      <w:tr>
        <w:trPr/>
        <w:tc>
          <w:tcPr>
            <w:tcW w:w="967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73" w:type="dxa"/>
            <w:tcBorders/>
            <w:shd w:fill="FFFFFF" w:val="clear"/>
            <w:vAlign w:val="center"/>
          </w:tcPr>
          <w:p>
            <w:pPr>
              <w:pStyle w:val="TableContents"/>
              <w:bidi w:val="0"/>
              <w:spacing w:before="0" w:after="283"/>
              <w:ind w:left="0" w:right="0" w:hanging="180"/>
              <w:jc w:val="center"/>
              <w:rPr>
                <w:caps w:val="false"/>
                <w:smallCaps w:val="false"/>
              </w:rPr>
            </w:pPr>
            <w:r>
              <w:rPr>
                <w:caps w:val="false"/>
                <w:smallCaps w:val="false"/>
              </w:rPr>
              <w:t> </w:t>
            </w:r>
          </w:p>
        </w:tc>
      </w:tr>
      <w:tr>
        <w:trPr/>
        <w:tc>
          <w:tcPr>
            <w:tcW w:w="9672" w:type="dxa"/>
            <w:tcBorders/>
            <w:shd w:fill="CCEEFF" w:val="clear"/>
            <w:vAlign w:val="center"/>
          </w:tcPr>
          <w:p>
            <w:pPr>
              <w:pStyle w:val="TableContents"/>
              <w:bidi w:val="0"/>
              <w:spacing w:before="0" w:after="283"/>
              <w:jc w:val="left"/>
              <w:rPr/>
            </w:pPr>
            <w:hyperlink w:anchor="D_004">
              <w:r>
                <w:rPr>
                  <w:rStyle w:val="InternetLink"/>
                  <w:rFonts w:ascii="Times New Roman;Times;Serif" w:hAnsi="Times New Roman;Times;Serif"/>
                  <w:b w:val="false"/>
                  <w:i w:val="false"/>
                  <w:caps w:val="false"/>
                  <w:smallCaps w:val="false"/>
                  <w:sz w:val="20"/>
                </w:rPr>
                <w:t>Statements of Changes in Member’s Deficit for the years ended December 31, 2024 and 2023</w:t>
              </w:r>
            </w:hyperlink>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73" w:type="dxa"/>
            <w:tcBorders/>
            <w:shd w:fill="CCEEFF" w:val="clear"/>
            <w:vAlign w:val="center"/>
          </w:tcPr>
          <w:p>
            <w:pPr>
              <w:pStyle w:val="TableContents"/>
              <w:bidi w:val="0"/>
              <w:spacing w:before="0" w:after="283"/>
              <w:ind w:left="0" w:right="0" w:hanging="18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F-117</w:t>
            </w:r>
          </w:p>
        </w:tc>
      </w:tr>
      <w:tr>
        <w:trPr/>
        <w:tc>
          <w:tcPr>
            <w:tcW w:w="967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73" w:type="dxa"/>
            <w:tcBorders/>
            <w:shd w:fill="FFFFFF" w:val="clear"/>
            <w:vAlign w:val="center"/>
          </w:tcPr>
          <w:p>
            <w:pPr>
              <w:pStyle w:val="TableContents"/>
              <w:bidi w:val="0"/>
              <w:spacing w:before="0" w:after="283"/>
              <w:ind w:left="0" w:right="0" w:hanging="180"/>
              <w:jc w:val="center"/>
              <w:rPr>
                <w:caps w:val="false"/>
                <w:smallCaps w:val="false"/>
              </w:rPr>
            </w:pPr>
            <w:r>
              <w:rPr>
                <w:caps w:val="false"/>
                <w:smallCaps w:val="false"/>
              </w:rPr>
              <w:t> </w:t>
            </w:r>
          </w:p>
        </w:tc>
      </w:tr>
      <w:tr>
        <w:trPr/>
        <w:tc>
          <w:tcPr>
            <w:tcW w:w="9672" w:type="dxa"/>
            <w:tcBorders/>
            <w:shd w:fill="CCEEFF" w:val="clear"/>
            <w:vAlign w:val="center"/>
          </w:tcPr>
          <w:p>
            <w:pPr>
              <w:pStyle w:val="TableContents"/>
              <w:bidi w:val="0"/>
              <w:spacing w:before="0" w:after="283"/>
              <w:jc w:val="left"/>
              <w:rPr/>
            </w:pPr>
            <w:hyperlink w:anchor="D_005">
              <w:r>
                <w:rPr>
                  <w:rStyle w:val="InternetLink"/>
                  <w:rFonts w:ascii="Times New Roman;Times;Serif" w:hAnsi="Times New Roman;Times;Serif"/>
                  <w:b w:val="false"/>
                  <w:i w:val="false"/>
                  <w:caps w:val="false"/>
                  <w:smallCaps w:val="false"/>
                  <w:sz w:val="20"/>
                </w:rPr>
                <w:t>Statements of Cash Flows for the years ended December 31, 2024 and 2023</w:t>
              </w:r>
            </w:hyperlink>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73" w:type="dxa"/>
            <w:tcBorders/>
            <w:shd w:fill="CCEEFF" w:val="clear"/>
            <w:vAlign w:val="center"/>
          </w:tcPr>
          <w:p>
            <w:pPr>
              <w:pStyle w:val="TableContents"/>
              <w:bidi w:val="0"/>
              <w:spacing w:before="0" w:after="283"/>
              <w:ind w:left="0" w:right="0" w:hanging="18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F-118</w:t>
            </w:r>
          </w:p>
        </w:tc>
      </w:tr>
      <w:tr>
        <w:trPr/>
        <w:tc>
          <w:tcPr>
            <w:tcW w:w="967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73" w:type="dxa"/>
            <w:tcBorders/>
            <w:shd w:fill="FFFFFF" w:val="clear"/>
            <w:vAlign w:val="center"/>
          </w:tcPr>
          <w:p>
            <w:pPr>
              <w:pStyle w:val="TableContents"/>
              <w:bidi w:val="0"/>
              <w:spacing w:before="0" w:after="283"/>
              <w:ind w:left="0" w:right="0" w:hanging="180"/>
              <w:jc w:val="center"/>
              <w:rPr>
                <w:caps w:val="false"/>
                <w:smallCaps w:val="false"/>
              </w:rPr>
            </w:pPr>
            <w:r>
              <w:rPr>
                <w:caps w:val="false"/>
                <w:smallCaps w:val="false"/>
              </w:rPr>
              <w:t> </w:t>
            </w:r>
          </w:p>
        </w:tc>
      </w:tr>
      <w:tr>
        <w:trPr/>
        <w:tc>
          <w:tcPr>
            <w:tcW w:w="9672" w:type="dxa"/>
            <w:tcBorders/>
            <w:shd w:fill="CCEEFF" w:val="clear"/>
            <w:vAlign w:val="center"/>
          </w:tcPr>
          <w:p>
            <w:pPr>
              <w:pStyle w:val="TableContents"/>
              <w:bidi w:val="0"/>
              <w:spacing w:before="0" w:after="283"/>
              <w:jc w:val="left"/>
              <w:rPr/>
            </w:pPr>
            <w:hyperlink w:anchor="D_006">
              <w:r>
                <w:rPr>
                  <w:rStyle w:val="InternetLink"/>
                  <w:rFonts w:ascii="Times New Roman;Times;Serif" w:hAnsi="Times New Roman;Times;Serif"/>
                  <w:b w:val="false"/>
                  <w:i w:val="false"/>
                  <w:caps w:val="false"/>
                  <w:smallCaps w:val="false"/>
                  <w:sz w:val="20"/>
                </w:rPr>
                <w:t>Notes to Financial Statements</w:t>
              </w:r>
            </w:hyperlink>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73" w:type="dxa"/>
            <w:tcBorders/>
            <w:shd w:fill="CCEEFF" w:val="clear"/>
            <w:vAlign w:val="center"/>
          </w:tcPr>
          <w:p>
            <w:pPr>
              <w:pStyle w:val="TableContents"/>
              <w:bidi w:val="0"/>
              <w:spacing w:before="0" w:after="283"/>
              <w:ind w:left="0" w:right="0" w:hanging="18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F-119</w:t>
            </w:r>
          </w:p>
        </w:tc>
      </w:tr>
      <w:tr>
        <w:trPr/>
        <w:tc>
          <w:tcPr>
            <w:tcW w:w="967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73" w:type="dxa"/>
            <w:tcBorders/>
            <w:shd w:fill="FFFFFF" w:val="clear"/>
            <w:vAlign w:val="center"/>
          </w:tcPr>
          <w:p>
            <w:pPr>
              <w:pStyle w:val="TableContents"/>
              <w:bidi w:val="0"/>
              <w:spacing w:before="0" w:after="283"/>
              <w:ind w:left="0" w:right="0" w:hanging="180"/>
              <w:jc w:val="center"/>
              <w:rPr>
                <w:caps w:val="false"/>
                <w:smallCaps w:val="false"/>
              </w:rPr>
            </w:pPr>
            <w:r>
              <w:rPr>
                <w:caps w:val="false"/>
                <w:smallCaps w:val="false"/>
              </w:rPr>
              <w:t> </w:t>
            </w:r>
          </w:p>
        </w:tc>
      </w:tr>
      <w:tr>
        <w:trPr/>
        <w:tc>
          <w:tcPr>
            <w:tcW w:w="9672"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trike w:val="false"/>
                <w:dstrike w:val="false"/>
                <w:sz w:val="20"/>
                <w:u w:val="none"/>
                <w:effect w:val="none"/>
              </w:rPr>
            </w:pPr>
            <w:r>
              <w:rPr>
                <w:rFonts w:ascii="Times New Roman;Times;Serif" w:hAnsi="Times New Roman;Times;Serif"/>
                <w:b/>
                <w:i w:val="false"/>
                <w:caps w:val="false"/>
                <w:smallCaps w:val="false"/>
                <w:strike w:val="false"/>
                <w:dstrike w:val="false"/>
                <w:sz w:val="20"/>
                <w:u w:val="none"/>
                <w:effect w:val="none"/>
              </w:rPr>
              <w:t>Unaudited Financial Statements of Sunder Energy LLC (as of June 30, 2025 and December 31, 2024 and the six months ended June 30, 2025 and 2024)</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73" w:type="dxa"/>
            <w:tcBorders/>
            <w:shd w:fill="CCEEFF" w:val="clear"/>
            <w:vAlign w:val="center"/>
          </w:tcPr>
          <w:p>
            <w:pPr>
              <w:pStyle w:val="TableContents"/>
              <w:bidi w:val="0"/>
              <w:spacing w:before="0" w:after="283"/>
              <w:ind w:left="0" w:right="0" w:hanging="180"/>
              <w:jc w:val="center"/>
              <w:rPr>
                <w:caps w:val="false"/>
                <w:smallCaps w:val="false"/>
              </w:rPr>
            </w:pPr>
            <w:r>
              <w:rPr>
                <w:caps w:val="false"/>
                <w:smallCaps w:val="false"/>
              </w:rPr>
              <w:t> </w:t>
            </w:r>
          </w:p>
        </w:tc>
      </w:tr>
      <w:tr>
        <w:trPr/>
        <w:tc>
          <w:tcPr>
            <w:tcW w:w="967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73" w:type="dxa"/>
            <w:tcBorders/>
            <w:shd w:fill="FFFFFF" w:val="clear"/>
            <w:vAlign w:val="center"/>
          </w:tcPr>
          <w:p>
            <w:pPr>
              <w:pStyle w:val="TableContents"/>
              <w:bidi w:val="0"/>
              <w:spacing w:before="0" w:after="283"/>
              <w:ind w:left="0" w:right="0" w:hanging="180"/>
              <w:jc w:val="center"/>
              <w:rPr>
                <w:caps w:val="false"/>
                <w:smallCaps w:val="false"/>
              </w:rPr>
            </w:pPr>
            <w:r>
              <w:rPr>
                <w:caps w:val="false"/>
                <w:smallCaps w:val="false"/>
              </w:rPr>
              <w:t> </w:t>
            </w:r>
          </w:p>
        </w:tc>
      </w:tr>
      <w:tr>
        <w:trPr/>
        <w:tc>
          <w:tcPr>
            <w:tcW w:w="9672" w:type="dxa"/>
            <w:tcBorders/>
            <w:shd w:fill="CCEEFF" w:val="clear"/>
            <w:vAlign w:val="center"/>
          </w:tcPr>
          <w:p>
            <w:pPr>
              <w:pStyle w:val="TableContents"/>
              <w:bidi w:val="0"/>
              <w:spacing w:before="0" w:after="283"/>
              <w:jc w:val="left"/>
              <w:rPr/>
            </w:pPr>
            <w:hyperlink w:anchor="E_001">
              <w:r>
                <w:rPr>
                  <w:rStyle w:val="InternetLink"/>
                  <w:rFonts w:ascii="Times New Roman;Times;Serif" w:hAnsi="Times New Roman;Times;Serif"/>
                  <w:b w:val="false"/>
                  <w:i w:val="false"/>
                  <w:caps w:val="false"/>
                  <w:smallCaps w:val="false"/>
                  <w:strike w:val="false"/>
                  <w:dstrike w:val="false"/>
                  <w:sz w:val="20"/>
                  <w:u w:val="none"/>
                  <w:effect w:val="none"/>
                </w:rPr>
                <w:t>Balance Sheets as of June 30, 2025 (Unaudited) and December 31, 2024</w:t>
              </w:r>
            </w:hyperlink>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73" w:type="dxa"/>
            <w:tcBorders/>
            <w:shd w:fill="CCEEFF" w:val="clear"/>
            <w:vAlign w:val="center"/>
          </w:tcPr>
          <w:p>
            <w:pPr>
              <w:pStyle w:val="TableContents"/>
              <w:bidi w:val="0"/>
              <w:spacing w:before="0" w:after="283"/>
              <w:ind w:left="0" w:right="0" w:hanging="18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F-133</w:t>
            </w:r>
          </w:p>
        </w:tc>
      </w:tr>
      <w:tr>
        <w:trPr/>
        <w:tc>
          <w:tcPr>
            <w:tcW w:w="967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73" w:type="dxa"/>
            <w:tcBorders/>
            <w:shd w:fill="FFFFFF" w:val="clear"/>
            <w:vAlign w:val="center"/>
          </w:tcPr>
          <w:p>
            <w:pPr>
              <w:pStyle w:val="TableContents"/>
              <w:bidi w:val="0"/>
              <w:spacing w:before="0" w:after="283"/>
              <w:ind w:left="0" w:right="0" w:hanging="180"/>
              <w:jc w:val="center"/>
              <w:rPr>
                <w:caps w:val="false"/>
                <w:smallCaps w:val="false"/>
              </w:rPr>
            </w:pPr>
            <w:r>
              <w:rPr>
                <w:caps w:val="false"/>
                <w:smallCaps w:val="false"/>
              </w:rPr>
              <w:t> </w:t>
            </w:r>
          </w:p>
        </w:tc>
      </w:tr>
      <w:tr>
        <w:trPr/>
        <w:tc>
          <w:tcPr>
            <w:tcW w:w="9672" w:type="dxa"/>
            <w:tcBorders/>
            <w:shd w:fill="CCEEFF" w:val="clear"/>
            <w:vAlign w:val="center"/>
          </w:tcPr>
          <w:p>
            <w:pPr>
              <w:pStyle w:val="TableContents"/>
              <w:bidi w:val="0"/>
              <w:spacing w:before="0" w:after="283"/>
              <w:jc w:val="left"/>
              <w:rPr/>
            </w:pPr>
            <w:hyperlink w:anchor="E_002">
              <w:r>
                <w:rPr>
                  <w:rStyle w:val="InternetLink"/>
                  <w:rFonts w:ascii="Times New Roman;Times;Serif" w:hAnsi="Times New Roman;Times;Serif"/>
                  <w:b w:val="false"/>
                  <w:i w:val="false"/>
                  <w:caps w:val="false"/>
                  <w:smallCaps w:val="false"/>
                  <w:strike w:val="false"/>
                  <w:dstrike w:val="false"/>
                  <w:sz w:val="20"/>
                  <w:u w:val="none"/>
                  <w:effect w:val="none"/>
                </w:rPr>
                <w:t>Unaudited Statements of Operations for the six months ended June 30, 2025 and June 30, 2024</w:t>
              </w:r>
            </w:hyperlink>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73" w:type="dxa"/>
            <w:tcBorders/>
            <w:shd w:fill="CCEEFF" w:val="clear"/>
            <w:vAlign w:val="center"/>
          </w:tcPr>
          <w:p>
            <w:pPr>
              <w:pStyle w:val="TableContents"/>
              <w:bidi w:val="0"/>
              <w:spacing w:before="0" w:after="283"/>
              <w:ind w:left="0" w:right="0" w:hanging="18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F-134</w:t>
            </w:r>
          </w:p>
        </w:tc>
      </w:tr>
      <w:tr>
        <w:trPr/>
        <w:tc>
          <w:tcPr>
            <w:tcW w:w="967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73" w:type="dxa"/>
            <w:tcBorders/>
            <w:shd w:fill="FFFFFF" w:val="clear"/>
            <w:vAlign w:val="center"/>
          </w:tcPr>
          <w:p>
            <w:pPr>
              <w:pStyle w:val="TableContents"/>
              <w:bidi w:val="0"/>
              <w:spacing w:before="0" w:after="283"/>
              <w:ind w:left="0" w:right="0" w:hanging="180"/>
              <w:jc w:val="center"/>
              <w:rPr>
                <w:caps w:val="false"/>
                <w:smallCaps w:val="false"/>
              </w:rPr>
            </w:pPr>
            <w:r>
              <w:rPr>
                <w:caps w:val="false"/>
                <w:smallCaps w:val="false"/>
              </w:rPr>
              <w:t> </w:t>
            </w:r>
          </w:p>
        </w:tc>
      </w:tr>
      <w:tr>
        <w:trPr/>
        <w:tc>
          <w:tcPr>
            <w:tcW w:w="9672" w:type="dxa"/>
            <w:tcBorders/>
            <w:shd w:fill="CCEEFF" w:val="clear"/>
            <w:vAlign w:val="center"/>
          </w:tcPr>
          <w:p>
            <w:pPr>
              <w:pStyle w:val="TableContents"/>
              <w:bidi w:val="0"/>
              <w:spacing w:before="0" w:after="283"/>
              <w:jc w:val="left"/>
              <w:rPr/>
            </w:pPr>
            <w:hyperlink w:anchor="E_003">
              <w:r>
                <w:rPr>
                  <w:rStyle w:val="InternetLink"/>
                  <w:rFonts w:ascii="Times New Roman;Times;Serif" w:hAnsi="Times New Roman;Times;Serif"/>
                  <w:b w:val="false"/>
                  <w:i w:val="false"/>
                  <w:caps w:val="false"/>
                  <w:smallCaps w:val="false"/>
                  <w:strike w:val="false"/>
                  <w:dstrike w:val="false"/>
                  <w:sz w:val="20"/>
                  <w:u w:val="none"/>
                  <w:effect w:val="none"/>
                </w:rPr>
                <w:t>Unaudited Statements of Changes in Member’s Deficit for the six months ended June 30, 2025 and 2024</w:t>
              </w:r>
            </w:hyperlink>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73" w:type="dxa"/>
            <w:tcBorders/>
            <w:shd w:fill="CCEEFF" w:val="clear"/>
            <w:vAlign w:val="center"/>
          </w:tcPr>
          <w:p>
            <w:pPr>
              <w:pStyle w:val="TableContents"/>
              <w:bidi w:val="0"/>
              <w:spacing w:before="0" w:after="283"/>
              <w:ind w:left="0" w:right="0" w:hanging="18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F-135</w:t>
            </w:r>
          </w:p>
        </w:tc>
      </w:tr>
      <w:tr>
        <w:trPr/>
        <w:tc>
          <w:tcPr>
            <w:tcW w:w="967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73" w:type="dxa"/>
            <w:tcBorders/>
            <w:shd w:fill="FFFFFF" w:val="clear"/>
            <w:vAlign w:val="center"/>
          </w:tcPr>
          <w:p>
            <w:pPr>
              <w:pStyle w:val="TableContents"/>
              <w:bidi w:val="0"/>
              <w:spacing w:before="0" w:after="283"/>
              <w:ind w:left="0" w:right="0" w:hanging="180"/>
              <w:jc w:val="center"/>
              <w:rPr>
                <w:caps w:val="false"/>
                <w:smallCaps w:val="false"/>
              </w:rPr>
            </w:pPr>
            <w:r>
              <w:rPr>
                <w:caps w:val="false"/>
                <w:smallCaps w:val="false"/>
              </w:rPr>
              <w:t> </w:t>
            </w:r>
          </w:p>
        </w:tc>
      </w:tr>
      <w:tr>
        <w:trPr/>
        <w:tc>
          <w:tcPr>
            <w:tcW w:w="9672" w:type="dxa"/>
            <w:tcBorders/>
            <w:shd w:fill="CCEEFF" w:val="clear"/>
            <w:vAlign w:val="center"/>
          </w:tcPr>
          <w:p>
            <w:pPr>
              <w:pStyle w:val="TableContents"/>
              <w:bidi w:val="0"/>
              <w:spacing w:before="0" w:after="283"/>
              <w:jc w:val="left"/>
              <w:rPr/>
            </w:pPr>
            <w:hyperlink w:anchor="E_004">
              <w:r>
                <w:rPr>
                  <w:rStyle w:val="InternetLink"/>
                  <w:rFonts w:ascii="Times New Roman;Times;Serif" w:hAnsi="Times New Roman;Times;Serif"/>
                  <w:b w:val="false"/>
                  <w:i w:val="false"/>
                  <w:caps w:val="false"/>
                  <w:smallCaps w:val="false"/>
                  <w:strike w:val="false"/>
                  <w:dstrike w:val="false"/>
                  <w:sz w:val="20"/>
                  <w:u w:val="none"/>
                  <w:effect w:val="none"/>
                </w:rPr>
                <w:t>Unaudited Statements of Cash Flows for the six months ended June 30, 2025</w:t>
              </w:r>
            </w:hyperlink>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73" w:type="dxa"/>
            <w:tcBorders/>
            <w:shd w:fill="CCEEFF" w:val="clear"/>
            <w:vAlign w:val="center"/>
          </w:tcPr>
          <w:p>
            <w:pPr>
              <w:pStyle w:val="TableContents"/>
              <w:bidi w:val="0"/>
              <w:spacing w:before="0" w:after="283"/>
              <w:ind w:left="0" w:right="0" w:hanging="18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F-136</w:t>
            </w:r>
          </w:p>
        </w:tc>
      </w:tr>
      <w:tr>
        <w:trPr/>
        <w:tc>
          <w:tcPr>
            <w:tcW w:w="967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73" w:type="dxa"/>
            <w:tcBorders/>
            <w:shd w:fill="FFFFFF" w:val="clear"/>
            <w:vAlign w:val="center"/>
          </w:tcPr>
          <w:p>
            <w:pPr>
              <w:pStyle w:val="TableContents"/>
              <w:bidi w:val="0"/>
              <w:spacing w:before="0" w:after="283"/>
              <w:ind w:left="0" w:right="0" w:hanging="180"/>
              <w:jc w:val="center"/>
              <w:rPr>
                <w:caps w:val="false"/>
                <w:smallCaps w:val="false"/>
              </w:rPr>
            </w:pPr>
            <w:r>
              <w:rPr>
                <w:caps w:val="false"/>
                <w:smallCaps w:val="false"/>
              </w:rPr>
              <w:t> </w:t>
            </w:r>
          </w:p>
        </w:tc>
      </w:tr>
      <w:tr>
        <w:trPr/>
        <w:tc>
          <w:tcPr>
            <w:tcW w:w="9672" w:type="dxa"/>
            <w:tcBorders/>
            <w:shd w:fill="CCEEFF" w:val="clear"/>
            <w:vAlign w:val="center"/>
          </w:tcPr>
          <w:p>
            <w:pPr>
              <w:pStyle w:val="TableContents"/>
              <w:bidi w:val="0"/>
              <w:spacing w:before="0" w:after="283"/>
              <w:jc w:val="left"/>
              <w:rPr/>
            </w:pPr>
            <w:hyperlink w:anchor="E_005">
              <w:r>
                <w:rPr>
                  <w:rStyle w:val="InternetLink"/>
                  <w:rFonts w:ascii="Times New Roman;Times;Serif" w:hAnsi="Times New Roman;Times;Serif"/>
                  <w:b w:val="false"/>
                  <w:i w:val="false"/>
                  <w:caps w:val="false"/>
                  <w:smallCaps w:val="false"/>
                  <w:strike w:val="false"/>
                  <w:dstrike w:val="false"/>
                  <w:sz w:val="20"/>
                  <w:u w:val="none"/>
                  <w:effect w:val="none"/>
                </w:rPr>
                <w:t>Notes to Unaudited Financial Statements</w:t>
              </w:r>
            </w:hyperlink>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73"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F-137</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12" w:space="1" w:color="000000"/>
        </w:rPr>
      </w:pPr>
      <w:r>
        <w:rPr>
          <w:sz w:val="20"/>
          <w:bdr w:val="single" w:sz="12" w:space="1" w:color="000000"/>
        </w:rPr>
        <w:t>F-2</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AMBIA ENERGY, LLC </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9686"/>
        <w:gridCol w:w="60"/>
        <w:gridCol w:w="459"/>
      </w:tblGrid>
      <w:tr>
        <w:trPr/>
        <w:tc>
          <w:tcPr>
            <w:tcW w:w="9686" w:type="dxa"/>
            <w:tcBorders/>
            <w:vAlign w:val="center"/>
          </w:tcPr>
          <w:p>
            <w:pPr>
              <w:pStyle w:val="TableContents"/>
              <w:bidi w:val="0"/>
              <w:spacing w:before="0" w:after="283"/>
              <w:ind w:left="0" w:right="0" w:hanging="180"/>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459" w:type="dxa"/>
            <w:tcBorders>
              <w:bottom w:val="single" w:sz="12" w:space="0" w:color="000000"/>
            </w:tcBorders>
            <w:tcMar>
              <w:bottom w:w="28" w:type="dxa"/>
            </w:tcMar>
            <w:vAlign w:val="center"/>
          </w:tcPr>
          <w:p>
            <w:pPr>
              <w:pStyle w:val="TableContents"/>
              <w:bidi w:val="0"/>
              <w:spacing w:before="0" w:after="283"/>
              <w:ind w:left="0" w:right="0" w:hanging="18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Page</w:t>
            </w:r>
          </w:p>
        </w:tc>
      </w:tr>
      <w:tr>
        <w:trPr/>
        <w:tc>
          <w:tcPr>
            <w:tcW w:w="9686"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trike w:val="false"/>
                <w:dstrike w:val="false"/>
                <w:sz w:val="20"/>
                <w:u w:val="none"/>
                <w:effect w:val="none"/>
              </w:rPr>
            </w:pPr>
            <w:r>
              <w:rPr>
                <w:rFonts w:ascii="Times New Roman;Times;Serif" w:hAnsi="Times New Roman;Times;Serif"/>
                <w:b/>
                <w:i w:val="false"/>
                <w:caps w:val="false"/>
                <w:smallCaps w:val="false"/>
                <w:strike w:val="false"/>
                <w:dstrike w:val="false"/>
                <w:sz w:val="20"/>
                <w:u w:val="none"/>
                <w:effect w:val="none"/>
              </w:rPr>
              <w:t>Audited Financial Statements of Ambia Energy, LLC (For the Year ended December 31, 2024)</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59" w:type="dxa"/>
            <w:tcBorders/>
            <w:shd w:fill="CCEEFF" w:val="clear"/>
            <w:vAlign w:val="center"/>
          </w:tcPr>
          <w:p>
            <w:pPr>
              <w:pStyle w:val="TableContents"/>
              <w:bidi w:val="0"/>
              <w:spacing w:before="0" w:after="283"/>
              <w:ind w:left="0" w:right="0" w:hanging="180"/>
              <w:jc w:val="center"/>
              <w:rPr>
                <w:caps w:val="false"/>
                <w:smallCaps w:val="false"/>
              </w:rPr>
            </w:pPr>
            <w:r>
              <w:rPr>
                <w:caps w:val="false"/>
                <w:smallCaps w:val="false"/>
              </w:rPr>
              <w:t> </w:t>
            </w:r>
          </w:p>
        </w:tc>
      </w:tr>
      <w:tr>
        <w:trPr/>
        <w:tc>
          <w:tcPr>
            <w:tcW w:w="968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59" w:type="dxa"/>
            <w:tcBorders/>
            <w:shd w:fill="FFFFFF" w:val="clear"/>
            <w:vAlign w:val="center"/>
          </w:tcPr>
          <w:p>
            <w:pPr>
              <w:pStyle w:val="TableContents"/>
              <w:bidi w:val="0"/>
              <w:spacing w:before="0" w:after="283"/>
              <w:ind w:left="0" w:right="0" w:hanging="180"/>
              <w:jc w:val="center"/>
              <w:rPr>
                <w:caps w:val="false"/>
                <w:smallCaps w:val="false"/>
              </w:rPr>
            </w:pPr>
            <w:r>
              <w:rPr>
                <w:caps w:val="false"/>
                <w:smallCaps w:val="false"/>
              </w:rPr>
              <w:t> </w:t>
            </w:r>
          </w:p>
        </w:tc>
      </w:tr>
      <w:tr>
        <w:trPr/>
        <w:tc>
          <w:tcPr>
            <w:tcW w:w="9686" w:type="dxa"/>
            <w:tcBorders/>
            <w:shd w:fill="CCEEFF" w:val="clear"/>
            <w:vAlign w:val="center"/>
          </w:tcPr>
          <w:p>
            <w:pPr>
              <w:pStyle w:val="TableContents"/>
              <w:bidi w:val="0"/>
              <w:spacing w:before="0" w:after="283"/>
              <w:jc w:val="left"/>
              <w:rPr/>
            </w:pPr>
            <w:hyperlink w:anchor="G_001">
              <w:r>
                <w:rPr>
                  <w:rStyle w:val="InternetLink"/>
                  <w:rFonts w:ascii="Times New Roman;Times;Serif" w:hAnsi="Times New Roman;Times;Serif"/>
                  <w:b w:val="false"/>
                  <w:i w:val="false"/>
                  <w:caps w:val="false"/>
                  <w:smallCaps w:val="false"/>
                  <w:sz w:val="20"/>
                </w:rPr>
                <w:t>Independent Auditor’s Report</w:t>
              </w:r>
            </w:hyperlink>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59" w:type="dxa"/>
            <w:tcBorders/>
            <w:shd w:fill="CCEEFF" w:val="clear"/>
            <w:vAlign w:val="center"/>
          </w:tcPr>
          <w:p>
            <w:pPr>
              <w:pStyle w:val="TableContents"/>
              <w:bidi w:val="0"/>
              <w:spacing w:before="0" w:after="283"/>
              <w:ind w:left="0" w:right="0" w:hanging="18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F-148</w:t>
            </w:r>
          </w:p>
        </w:tc>
      </w:tr>
      <w:tr>
        <w:trPr/>
        <w:tc>
          <w:tcPr>
            <w:tcW w:w="9686" w:type="dxa"/>
            <w:tcBorders/>
            <w:shd w:fill="FFFFFF" w:val="clear"/>
            <w:vAlign w:val="center"/>
          </w:tcPr>
          <w:p>
            <w:pPr>
              <w:pStyle w:val="TableContents"/>
              <w:bidi w:val="0"/>
              <w:spacing w:before="0" w:after="283"/>
              <w:jc w:val="left"/>
              <w:rPr>
                <w:caps w:val="false"/>
                <w:smallCaps w:val="false"/>
                <w:strike w:val="false"/>
                <w:dstrike w:val="false"/>
                <w:u w:val="none"/>
                <w:effect w:val="none"/>
              </w:rPr>
            </w:pPr>
            <w:r>
              <w:rPr>
                <w:caps w:val="false"/>
                <w:smallCaps w:val="false"/>
                <w:strike w:val="false"/>
                <w:dstrike w:val="false"/>
                <w:u w:val="none"/>
                <w:effect w:val="non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59" w:type="dxa"/>
            <w:tcBorders/>
            <w:shd w:fill="FFFFFF" w:val="clear"/>
            <w:vAlign w:val="center"/>
          </w:tcPr>
          <w:p>
            <w:pPr>
              <w:pStyle w:val="TableContents"/>
              <w:bidi w:val="0"/>
              <w:spacing w:before="0" w:after="283"/>
              <w:ind w:left="0" w:right="0" w:hanging="180"/>
              <w:jc w:val="center"/>
              <w:rPr>
                <w:caps w:val="false"/>
                <w:smallCaps w:val="false"/>
              </w:rPr>
            </w:pPr>
            <w:r>
              <w:rPr>
                <w:caps w:val="false"/>
                <w:smallCaps w:val="false"/>
              </w:rPr>
              <w:t> </w:t>
            </w:r>
          </w:p>
        </w:tc>
      </w:tr>
      <w:tr>
        <w:trPr/>
        <w:tc>
          <w:tcPr>
            <w:tcW w:w="9686" w:type="dxa"/>
            <w:tcBorders/>
            <w:shd w:fill="CCEEFF" w:val="clear"/>
            <w:vAlign w:val="center"/>
          </w:tcPr>
          <w:p>
            <w:pPr>
              <w:pStyle w:val="TableContents"/>
              <w:bidi w:val="0"/>
              <w:spacing w:before="0" w:after="283"/>
              <w:jc w:val="left"/>
              <w:rPr/>
            </w:pPr>
            <w:hyperlink w:anchor="G_002">
              <w:r>
                <w:rPr>
                  <w:rStyle w:val="InternetLink"/>
                  <w:rFonts w:ascii="Times New Roman;Times;Serif" w:hAnsi="Times New Roman;Times;Serif"/>
                  <w:b w:val="false"/>
                  <w:i w:val="false"/>
                  <w:caps w:val="false"/>
                  <w:smallCaps w:val="false"/>
                  <w:sz w:val="20"/>
                </w:rPr>
                <w:t>Balance Sheets as of December 31, 2024</w:t>
              </w:r>
            </w:hyperlink>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59" w:type="dxa"/>
            <w:tcBorders/>
            <w:shd w:fill="CCEEFF" w:val="clear"/>
            <w:vAlign w:val="center"/>
          </w:tcPr>
          <w:p>
            <w:pPr>
              <w:pStyle w:val="TableContents"/>
              <w:bidi w:val="0"/>
              <w:spacing w:before="0" w:after="283"/>
              <w:ind w:left="0" w:right="0" w:hanging="18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F-150</w:t>
            </w:r>
          </w:p>
        </w:tc>
      </w:tr>
      <w:tr>
        <w:trPr/>
        <w:tc>
          <w:tcPr>
            <w:tcW w:w="9686" w:type="dxa"/>
            <w:tcBorders/>
            <w:shd w:fill="FFFFFF" w:val="clear"/>
            <w:vAlign w:val="center"/>
          </w:tcPr>
          <w:p>
            <w:pPr>
              <w:pStyle w:val="TableContents"/>
              <w:bidi w:val="0"/>
              <w:spacing w:before="0" w:after="283"/>
              <w:jc w:val="left"/>
              <w:rPr>
                <w:caps w:val="false"/>
                <w:smallCaps w:val="false"/>
                <w:strike w:val="false"/>
                <w:dstrike w:val="false"/>
                <w:u w:val="none"/>
                <w:effect w:val="none"/>
              </w:rPr>
            </w:pPr>
            <w:r>
              <w:rPr>
                <w:caps w:val="false"/>
                <w:smallCaps w:val="false"/>
                <w:strike w:val="false"/>
                <w:dstrike w:val="false"/>
                <w:u w:val="none"/>
                <w:effect w:val="non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59" w:type="dxa"/>
            <w:tcBorders/>
            <w:shd w:fill="FFFFFF" w:val="clear"/>
            <w:vAlign w:val="center"/>
          </w:tcPr>
          <w:p>
            <w:pPr>
              <w:pStyle w:val="TableContents"/>
              <w:bidi w:val="0"/>
              <w:spacing w:before="0" w:after="283"/>
              <w:ind w:left="0" w:right="0" w:hanging="180"/>
              <w:jc w:val="center"/>
              <w:rPr>
                <w:caps w:val="false"/>
                <w:smallCaps w:val="false"/>
              </w:rPr>
            </w:pPr>
            <w:r>
              <w:rPr>
                <w:caps w:val="false"/>
                <w:smallCaps w:val="false"/>
              </w:rPr>
              <w:t> </w:t>
            </w:r>
          </w:p>
        </w:tc>
      </w:tr>
      <w:tr>
        <w:trPr/>
        <w:tc>
          <w:tcPr>
            <w:tcW w:w="9686" w:type="dxa"/>
            <w:tcBorders/>
            <w:shd w:fill="CCEEFF" w:val="clear"/>
            <w:vAlign w:val="center"/>
          </w:tcPr>
          <w:p>
            <w:pPr>
              <w:pStyle w:val="TableContents"/>
              <w:bidi w:val="0"/>
              <w:spacing w:before="0" w:after="283"/>
              <w:jc w:val="left"/>
              <w:rPr/>
            </w:pPr>
            <w:hyperlink w:anchor="G_003">
              <w:r>
                <w:rPr>
                  <w:rStyle w:val="InternetLink"/>
                  <w:rFonts w:ascii="Times New Roman;Times;Serif" w:hAnsi="Times New Roman;Times;Serif"/>
                  <w:b w:val="false"/>
                  <w:i w:val="false"/>
                  <w:caps w:val="false"/>
                  <w:smallCaps w:val="false"/>
                  <w:sz w:val="20"/>
                </w:rPr>
                <w:t>Statement of Operations and Member’s Deficit for the year ended December 31, 2024</w:t>
              </w:r>
            </w:hyperlink>
            <w:r>
              <w:rPr>
                <w:rFonts w:ascii="Times New Roman;Times;Serif" w:hAnsi="Times New Roman;Times;Serif"/>
                <w:b w:val="false"/>
                <w:i w:val="false"/>
                <w:caps w:val="false"/>
                <w:smallCaps w:val="false"/>
                <w:sz w:val="20"/>
              </w:rPr>
              <w:t xml:space="preserve">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59" w:type="dxa"/>
            <w:tcBorders/>
            <w:shd w:fill="CCEEFF" w:val="clear"/>
            <w:vAlign w:val="center"/>
          </w:tcPr>
          <w:p>
            <w:pPr>
              <w:pStyle w:val="TableContents"/>
              <w:bidi w:val="0"/>
              <w:spacing w:before="0" w:after="283"/>
              <w:ind w:left="0" w:right="0" w:hanging="18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F-151</w:t>
            </w:r>
          </w:p>
        </w:tc>
      </w:tr>
      <w:tr>
        <w:trPr/>
        <w:tc>
          <w:tcPr>
            <w:tcW w:w="9686" w:type="dxa"/>
            <w:tcBorders/>
            <w:shd w:fill="FFFFFF" w:val="clear"/>
            <w:vAlign w:val="center"/>
          </w:tcPr>
          <w:p>
            <w:pPr>
              <w:pStyle w:val="TableContents"/>
              <w:bidi w:val="0"/>
              <w:spacing w:before="0" w:after="283"/>
              <w:jc w:val="left"/>
              <w:rPr>
                <w:caps w:val="false"/>
                <w:smallCaps w:val="false"/>
                <w:strike w:val="false"/>
                <w:dstrike w:val="false"/>
                <w:u w:val="none"/>
                <w:effect w:val="none"/>
              </w:rPr>
            </w:pPr>
            <w:r>
              <w:rPr>
                <w:caps w:val="false"/>
                <w:smallCaps w:val="false"/>
                <w:strike w:val="false"/>
                <w:dstrike w:val="false"/>
                <w:u w:val="none"/>
                <w:effect w:val="non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59" w:type="dxa"/>
            <w:tcBorders/>
            <w:shd w:fill="FFFFFF" w:val="clear"/>
            <w:vAlign w:val="center"/>
          </w:tcPr>
          <w:p>
            <w:pPr>
              <w:pStyle w:val="TableContents"/>
              <w:bidi w:val="0"/>
              <w:spacing w:before="0" w:after="283"/>
              <w:ind w:left="0" w:right="0" w:hanging="180"/>
              <w:jc w:val="center"/>
              <w:rPr>
                <w:caps w:val="false"/>
                <w:smallCaps w:val="false"/>
              </w:rPr>
            </w:pPr>
            <w:r>
              <w:rPr>
                <w:caps w:val="false"/>
                <w:smallCaps w:val="false"/>
              </w:rPr>
              <w:t> </w:t>
            </w:r>
          </w:p>
        </w:tc>
      </w:tr>
      <w:tr>
        <w:trPr/>
        <w:tc>
          <w:tcPr>
            <w:tcW w:w="9686" w:type="dxa"/>
            <w:tcBorders/>
            <w:shd w:fill="CCEEFF" w:val="clear"/>
            <w:vAlign w:val="center"/>
          </w:tcPr>
          <w:p>
            <w:pPr>
              <w:pStyle w:val="TableContents"/>
              <w:bidi w:val="0"/>
              <w:spacing w:before="0" w:after="283"/>
              <w:jc w:val="left"/>
              <w:rPr/>
            </w:pPr>
            <w:hyperlink w:anchor="G_004">
              <w:r>
                <w:rPr>
                  <w:rStyle w:val="InternetLink"/>
                  <w:rFonts w:ascii="Times New Roman;Times;Serif" w:hAnsi="Times New Roman;Times;Serif"/>
                  <w:b w:val="false"/>
                  <w:i w:val="false"/>
                  <w:caps w:val="false"/>
                  <w:smallCaps w:val="false"/>
                  <w:strike w:val="false"/>
                  <w:dstrike w:val="false"/>
                  <w:sz w:val="20"/>
                  <w:u w:val="single"/>
                  <w:effect w:val="none"/>
                </w:rPr>
                <w:t>Statement of Cash Flows for the year ended December 31, 2024</w:t>
              </w:r>
            </w:hyperlink>
            <w:r>
              <w:rPr>
                <w:rFonts w:ascii="Times New Roman;Times;Serif" w:hAnsi="Times New Roman;Times;Serif"/>
                <w:b w:val="false"/>
                <w:i w:val="false"/>
                <w:caps w:val="false"/>
                <w:smallCaps w:val="false"/>
                <w:strike w:val="false"/>
                <w:dstrike w:val="false"/>
                <w:sz w:val="20"/>
                <w:u w:val="none"/>
                <w:effect w:val="none"/>
              </w:rPr>
              <w:t xml:space="preserve">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59" w:type="dxa"/>
            <w:tcBorders/>
            <w:shd w:fill="CCEEFF" w:val="clear"/>
            <w:vAlign w:val="center"/>
          </w:tcPr>
          <w:p>
            <w:pPr>
              <w:pStyle w:val="TableContents"/>
              <w:bidi w:val="0"/>
              <w:spacing w:before="0" w:after="283"/>
              <w:ind w:left="0" w:right="0" w:hanging="18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F-152</w:t>
            </w:r>
          </w:p>
        </w:tc>
      </w:tr>
      <w:tr>
        <w:trPr/>
        <w:tc>
          <w:tcPr>
            <w:tcW w:w="9686" w:type="dxa"/>
            <w:tcBorders/>
            <w:shd w:fill="FFFFFF" w:val="clear"/>
            <w:vAlign w:val="center"/>
          </w:tcPr>
          <w:p>
            <w:pPr>
              <w:pStyle w:val="TableContents"/>
              <w:bidi w:val="0"/>
              <w:spacing w:before="0" w:after="283"/>
              <w:jc w:val="left"/>
              <w:rPr>
                <w:caps w:val="false"/>
                <w:smallCaps w:val="false"/>
                <w:strike w:val="false"/>
                <w:dstrike w:val="false"/>
                <w:u w:val="none"/>
                <w:effect w:val="none"/>
              </w:rPr>
            </w:pPr>
            <w:r>
              <w:rPr>
                <w:caps w:val="false"/>
                <w:smallCaps w:val="false"/>
                <w:strike w:val="false"/>
                <w:dstrike w:val="false"/>
                <w:u w:val="none"/>
                <w:effect w:val="non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59" w:type="dxa"/>
            <w:tcBorders/>
            <w:shd w:fill="FFFFFF" w:val="clear"/>
            <w:vAlign w:val="center"/>
          </w:tcPr>
          <w:p>
            <w:pPr>
              <w:pStyle w:val="TableContents"/>
              <w:bidi w:val="0"/>
              <w:spacing w:before="0" w:after="283"/>
              <w:ind w:left="0" w:right="0" w:hanging="180"/>
              <w:jc w:val="center"/>
              <w:rPr>
                <w:caps w:val="false"/>
                <w:smallCaps w:val="false"/>
              </w:rPr>
            </w:pPr>
            <w:r>
              <w:rPr>
                <w:caps w:val="false"/>
                <w:smallCaps w:val="false"/>
              </w:rPr>
              <w:t> </w:t>
            </w:r>
          </w:p>
        </w:tc>
      </w:tr>
      <w:tr>
        <w:trPr/>
        <w:tc>
          <w:tcPr>
            <w:tcW w:w="9686" w:type="dxa"/>
            <w:tcBorders/>
            <w:shd w:fill="CCEEFF" w:val="clear"/>
            <w:vAlign w:val="center"/>
          </w:tcPr>
          <w:p>
            <w:pPr>
              <w:pStyle w:val="TableContents"/>
              <w:bidi w:val="0"/>
              <w:spacing w:before="0" w:after="283"/>
              <w:jc w:val="left"/>
              <w:rPr/>
            </w:pPr>
            <w:hyperlink w:anchor="G_005">
              <w:r>
                <w:rPr>
                  <w:rStyle w:val="InternetLink"/>
                  <w:rFonts w:ascii="Times New Roman;Times;Serif" w:hAnsi="Times New Roman;Times;Serif"/>
                  <w:b w:val="false"/>
                  <w:i w:val="false"/>
                  <w:caps w:val="false"/>
                  <w:smallCaps w:val="false"/>
                  <w:sz w:val="20"/>
                </w:rPr>
                <w:t>Notes to Financial Statements</w:t>
              </w:r>
            </w:hyperlink>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59" w:type="dxa"/>
            <w:tcBorders/>
            <w:shd w:fill="CCEEFF" w:val="clear"/>
            <w:vAlign w:val="center"/>
          </w:tcPr>
          <w:p>
            <w:pPr>
              <w:pStyle w:val="TableContents"/>
              <w:bidi w:val="0"/>
              <w:spacing w:before="0" w:after="283"/>
              <w:ind w:left="0" w:right="0" w:hanging="18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F-153</w:t>
            </w:r>
          </w:p>
        </w:tc>
      </w:tr>
      <w:tr>
        <w:trPr/>
        <w:tc>
          <w:tcPr>
            <w:tcW w:w="968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59" w:type="dxa"/>
            <w:tcBorders/>
            <w:shd w:fill="FFFFFF" w:val="clear"/>
            <w:vAlign w:val="center"/>
          </w:tcPr>
          <w:p>
            <w:pPr>
              <w:pStyle w:val="TableContents"/>
              <w:bidi w:val="0"/>
              <w:spacing w:before="0" w:after="283"/>
              <w:ind w:left="0" w:right="0" w:hanging="180"/>
              <w:jc w:val="center"/>
              <w:rPr>
                <w:caps w:val="false"/>
                <w:smallCaps w:val="false"/>
              </w:rPr>
            </w:pPr>
            <w:r>
              <w:rPr>
                <w:caps w:val="false"/>
                <w:smallCaps w:val="false"/>
              </w:rPr>
              <w:t> </w:t>
            </w:r>
          </w:p>
        </w:tc>
      </w:tr>
      <w:tr>
        <w:trPr/>
        <w:tc>
          <w:tcPr>
            <w:tcW w:w="9686"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trike w:val="false"/>
                <w:dstrike w:val="false"/>
                <w:sz w:val="20"/>
                <w:u w:val="none"/>
                <w:effect w:val="none"/>
              </w:rPr>
            </w:pPr>
            <w:r>
              <w:rPr>
                <w:rFonts w:ascii="Times New Roman;Times;Serif" w:hAnsi="Times New Roman;Times;Serif"/>
                <w:b/>
                <w:i w:val="false"/>
                <w:caps w:val="false"/>
                <w:smallCaps w:val="false"/>
                <w:strike w:val="false"/>
                <w:dstrike w:val="false"/>
                <w:sz w:val="20"/>
                <w:u w:val="none"/>
                <w:effect w:val="none"/>
              </w:rPr>
              <w:t>Unaudited Financial Statements of Ambia Energy, LLC (as of September 30, 2025 and December 31, 2024 and for the Nine Months Ended September 30, 2025 and 2024)</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59" w:type="dxa"/>
            <w:tcBorders/>
            <w:shd w:fill="CCEEFF" w:val="clear"/>
            <w:vAlign w:val="center"/>
          </w:tcPr>
          <w:p>
            <w:pPr>
              <w:pStyle w:val="TableContents"/>
              <w:bidi w:val="0"/>
              <w:spacing w:before="0" w:after="283"/>
              <w:ind w:left="0" w:right="0" w:hanging="180"/>
              <w:jc w:val="center"/>
              <w:rPr>
                <w:caps w:val="false"/>
                <w:smallCaps w:val="false"/>
              </w:rPr>
            </w:pPr>
            <w:r>
              <w:rPr>
                <w:caps w:val="false"/>
                <w:smallCaps w:val="false"/>
              </w:rPr>
              <w:t> </w:t>
            </w:r>
          </w:p>
        </w:tc>
      </w:tr>
      <w:tr>
        <w:trPr/>
        <w:tc>
          <w:tcPr>
            <w:tcW w:w="968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59" w:type="dxa"/>
            <w:tcBorders/>
            <w:shd w:fill="FFFFFF" w:val="clear"/>
            <w:vAlign w:val="center"/>
          </w:tcPr>
          <w:p>
            <w:pPr>
              <w:pStyle w:val="TableContents"/>
              <w:bidi w:val="0"/>
              <w:spacing w:before="0" w:after="283"/>
              <w:ind w:left="0" w:right="0" w:hanging="180"/>
              <w:jc w:val="center"/>
              <w:rPr>
                <w:caps w:val="false"/>
                <w:smallCaps w:val="false"/>
              </w:rPr>
            </w:pPr>
            <w:r>
              <w:rPr>
                <w:caps w:val="false"/>
                <w:smallCaps w:val="false"/>
              </w:rPr>
              <w:t> </w:t>
            </w:r>
          </w:p>
        </w:tc>
      </w:tr>
      <w:tr>
        <w:trPr/>
        <w:tc>
          <w:tcPr>
            <w:tcW w:w="9686" w:type="dxa"/>
            <w:tcBorders/>
            <w:shd w:fill="CCEEFF" w:val="clear"/>
            <w:vAlign w:val="center"/>
          </w:tcPr>
          <w:p>
            <w:pPr>
              <w:pStyle w:val="TableContents"/>
              <w:bidi w:val="0"/>
              <w:spacing w:before="0" w:after="283"/>
              <w:jc w:val="left"/>
              <w:rPr/>
            </w:pPr>
            <w:hyperlink w:anchor="H_001">
              <w:r>
                <w:rPr>
                  <w:rStyle w:val="InternetLink"/>
                  <w:rFonts w:ascii="Times New Roman;Times;Serif" w:hAnsi="Times New Roman;Times;Serif"/>
                  <w:b w:val="false"/>
                  <w:i w:val="false"/>
                  <w:caps w:val="false"/>
                  <w:smallCaps w:val="false"/>
                  <w:strike w:val="false"/>
                  <w:dstrike w:val="false"/>
                  <w:sz w:val="20"/>
                  <w:u w:val="none"/>
                  <w:effect w:val="none"/>
                </w:rPr>
                <w:t>Balance Sheets as of September 30, 2025 (Unaudited) and December 31, 2024</w:t>
              </w:r>
            </w:hyperlink>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59" w:type="dxa"/>
            <w:tcBorders/>
            <w:shd w:fill="CCEEFF" w:val="clear"/>
            <w:vAlign w:val="center"/>
          </w:tcPr>
          <w:p>
            <w:pPr>
              <w:pStyle w:val="TableContents"/>
              <w:bidi w:val="0"/>
              <w:spacing w:before="0" w:after="283"/>
              <w:ind w:left="0" w:right="0" w:hanging="18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F-163</w:t>
            </w:r>
          </w:p>
        </w:tc>
      </w:tr>
      <w:tr>
        <w:trPr/>
        <w:tc>
          <w:tcPr>
            <w:tcW w:w="968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59" w:type="dxa"/>
            <w:tcBorders/>
            <w:shd w:fill="FFFFFF" w:val="clear"/>
            <w:vAlign w:val="center"/>
          </w:tcPr>
          <w:p>
            <w:pPr>
              <w:pStyle w:val="TableContents"/>
              <w:bidi w:val="0"/>
              <w:spacing w:before="0" w:after="283"/>
              <w:ind w:left="0" w:right="0" w:hanging="180"/>
              <w:jc w:val="center"/>
              <w:rPr>
                <w:caps w:val="false"/>
                <w:smallCaps w:val="false"/>
              </w:rPr>
            </w:pPr>
            <w:r>
              <w:rPr>
                <w:caps w:val="false"/>
                <w:smallCaps w:val="false"/>
              </w:rPr>
              <w:t> </w:t>
            </w:r>
          </w:p>
        </w:tc>
      </w:tr>
      <w:tr>
        <w:trPr/>
        <w:tc>
          <w:tcPr>
            <w:tcW w:w="9686" w:type="dxa"/>
            <w:tcBorders/>
            <w:shd w:fill="CCEEFF" w:val="clear"/>
            <w:vAlign w:val="center"/>
          </w:tcPr>
          <w:p>
            <w:pPr>
              <w:pStyle w:val="TableContents"/>
              <w:bidi w:val="0"/>
              <w:spacing w:before="0" w:after="283"/>
              <w:jc w:val="left"/>
              <w:rPr/>
            </w:pPr>
            <w:hyperlink w:anchor="H_002">
              <w:r>
                <w:rPr>
                  <w:rStyle w:val="InternetLink"/>
                  <w:rFonts w:ascii="Times New Roman;Times;Serif" w:hAnsi="Times New Roman;Times;Serif"/>
                  <w:b w:val="false"/>
                  <w:i w:val="false"/>
                  <w:caps w:val="false"/>
                  <w:smallCaps w:val="false"/>
                  <w:strike w:val="false"/>
                  <w:dstrike w:val="false"/>
                  <w:sz w:val="20"/>
                  <w:u w:val="none"/>
                  <w:effect w:val="none"/>
                </w:rPr>
                <w:t>Unaudited Statements of Operations and Member’s Deficit for the nine months ended September 30, 2025 and 2024</w:t>
              </w:r>
            </w:hyperlink>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59" w:type="dxa"/>
            <w:tcBorders/>
            <w:shd w:fill="CCEEFF" w:val="clear"/>
            <w:vAlign w:val="center"/>
          </w:tcPr>
          <w:p>
            <w:pPr>
              <w:pStyle w:val="TableContents"/>
              <w:bidi w:val="0"/>
              <w:spacing w:before="0" w:after="283"/>
              <w:ind w:left="0" w:right="0" w:hanging="18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F-164</w:t>
            </w:r>
          </w:p>
        </w:tc>
      </w:tr>
      <w:tr>
        <w:trPr/>
        <w:tc>
          <w:tcPr>
            <w:tcW w:w="968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59" w:type="dxa"/>
            <w:tcBorders/>
            <w:shd w:fill="FFFFFF" w:val="clear"/>
            <w:vAlign w:val="center"/>
          </w:tcPr>
          <w:p>
            <w:pPr>
              <w:pStyle w:val="TableContents"/>
              <w:bidi w:val="0"/>
              <w:spacing w:before="0" w:after="283"/>
              <w:ind w:left="0" w:right="0" w:hanging="180"/>
              <w:jc w:val="center"/>
              <w:rPr>
                <w:caps w:val="false"/>
                <w:smallCaps w:val="false"/>
              </w:rPr>
            </w:pPr>
            <w:r>
              <w:rPr>
                <w:caps w:val="false"/>
                <w:smallCaps w:val="false"/>
              </w:rPr>
              <w:t> </w:t>
            </w:r>
          </w:p>
        </w:tc>
      </w:tr>
      <w:tr>
        <w:trPr/>
        <w:tc>
          <w:tcPr>
            <w:tcW w:w="9686" w:type="dxa"/>
            <w:tcBorders/>
            <w:shd w:fill="CCEEFF" w:val="clear"/>
            <w:vAlign w:val="center"/>
          </w:tcPr>
          <w:p>
            <w:pPr>
              <w:pStyle w:val="TableContents"/>
              <w:bidi w:val="0"/>
              <w:spacing w:before="0" w:after="283"/>
              <w:jc w:val="left"/>
              <w:rPr/>
            </w:pPr>
            <w:hyperlink w:anchor="H_003">
              <w:r>
                <w:rPr>
                  <w:rStyle w:val="InternetLink"/>
                  <w:rFonts w:ascii="Times New Roman;Times;Serif" w:hAnsi="Times New Roman;Times;Serif"/>
                  <w:b w:val="false"/>
                  <w:i w:val="false"/>
                  <w:caps w:val="false"/>
                  <w:smallCaps w:val="false"/>
                  <w:strike w:val="false"/>
                  <w:dstrike w:val="false"/>
                  <w:sz w:val="20"/>
                  <w:u w:val="none"/>
                  <w:effect w:val="none"/>
                </w:rPr>
                <w:t>Unaudited Statements of Cash Flows for the nine months ended September 30, 2025 and 2024</w:t>
              </w:r>
            </w:hyperlink>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59" w:type="dxa"/>
            <w:tcBorders/>
            <w:shd w:fill="CCEEFF" w:val="clear"/>
            <w:vAlign w:val="center"/>
          </w:tcPr>
          <w:p>
            <w:pPr>
              <w:pStyle w:val="TableContents"/>
              <w:bidi w:val="0"/>
              <w:spacing w:before="0" w:after="283"/>
              <w:ind w:left="0" w:right="0" w:hanging="18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F-165</w:t>
            </w:r>
          </w:p>
        </w:tc>
      </w:tr>
      <w:tr>
        <w:trPr/>
        <w:tc>
          <w:tcPr>
            <w:tcW w:w="968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59" w:type="dxa"/>
            <w:tcBorders/>
            <w:shd w:fill="FFFFFF" w:val="clear"/>
            <w:vAlign w:val="center"/>
          </w:tcPr>
          <w:p>
            <w:pPr>
              <w:pStyle w:val="TableContents"/>
              <w:bidi w:val="0"/>
              <w:spacing w:before="0" w:after="283"/>
              <w:ind w:left="0" w:right="0" w:hanging="180"/>
              <w:jc w:val="center"/>
              <w:rPr>
                <w:caps w:val="false"/>
                <w:smallCaps w:val="false"/>
              </w:rPr>
            </w:pPr>
            <w:r>
              <w:rPr>
                <w:caps w:val="false"/>
                <w:smallCaps w:val="false"/>
              </w:rPr>
              <w:t> </w:t>
            </w:r>
          </w:p>
        </w:tc>
      </w:tr>
      <w:tr>
        <w:trPr/>
        <w:tc>
          <w:tcPr>
            <w:tcW w:w="9686" w:type="dxa"/>
            <w:tcBorders/>
            <w:shd w:fill="CCEEFF" w:val="clear"/>
            <w:vAlign w:val="center"/>
          </w:tcPr>
          <w:p>
            <w:pPr>
              <w:pStyle w:val="TableContents"/>
              <w:bidi w:val="0"/>
              <w:spacing w:before="0" w:after="283"/>
              <w:jc w:val="left"/>
              <w:rPr/>
            </w:pPr>
            <w:hyperlink w:anchor="H_004">
              <w:r>
                <w:rPr>
                  <w:rStyle w:val="InternetLink"/>
                  <w:rFonts w:ascii="Times New Roman;Times;Serif" w:hAnsi="Times New Roman;Times;Serif"/>
                  <w:b w:val="false"/>
                  <w:i w:val="false"/>
                  <w:caps w:val="false"/>
                  <w:smallCaps w:val="false"/>
                  <w:strike w:val="false"/>
                  <w:dstrike w:val="false"/>
                  <w:sz w:val="20"/>
                  <w:u w:val="none"/>
                  <w:effect w:val="none"/>
                </w:rPr>
                <w:t>Notes to Unaudited Financial Statements</w:t>
              </w:r>
            </w:hyperlink>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59" w:type="dxa"/>
            <w:tcBorders/>
            <w:shd w:fill="CCEEFF" w:val="clear"/>
            <w:vAlign w:val="center"/>
          </w:tcPr>
          <w:p>
            <w:pPr>
              <w:pStyle w:val="TableContents"/>
              <w:bidi w:val="0"/>
              <w:spacing w:before="0" w:after="283"/>
              <w:ind w:left="0" w:right="0" w:hanging="18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F-166</w:t>
            </w:r>
          </w:p>
        </w:tc>
      </w:tr>
      <w:tr>
        <w:trPr/>
        <w:tc>
          <w:tcPr>
            <w:tcW w:w="968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59" w:type="dxa"/>
            <w:tcBorders/>
            <w:shd w:fill="FFFFFF" w:val="clear"/>
            <w:vAlign w:val="center"/>
          </w:tcPr>
          <w:p>
            <w:pPr>
              <w:pStyle w:val="TableContents"/>
              <w:bidi w:val="0"/>
              <w:spacing w:before="0" w:after="283"/>
              <w:ind w:left="0" w:right="0" w:hanging="180"/>
              <w:jc w:val="center"/>
              <w:rPr>
                <w:caps w:val="false"/>
                <w:smallCaps w:val="false"/>
              </w:rPr>
            </w:pPr>
            <w:r>
              <w:rPr>
                <w:caps w:val="false"/>
                <w:smallCaps w:val="false"/>
              </w:rPr>
              <w:t> </w:t>
            </w:r>
          </w:p>
        </w:tc>
      </w:tr>
      <w:tr>
        <w:trPr/>
        <w:tc>
          <w:tcPr>
            <w:tcW w:w="9686"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Unaudited pro forma combined financial statements of SunPower Inc., Sunder Energy, LLC and Ambia</w:t>
            </w:r>
            <w:r>
              <w:rPr>
                <w:rFonts w:ascii="Times New Roman;Times;Serif" w:hAnsi="Times New Roman;Times;Serif"/>
                <w:b w:val="false"/>
                <w:i w:val="false"/>
                <w:caps w:val="false"/>
                <w:smallCaps w:val="false"/>
                <w:sz w:val="20"/>
              </w:rPr>
              <w:t xml:space="preserve"> </w:t>
            </w:r>
            <w:r>
              <w:rPr>
                <w:rFonts w:ascii="Times New Roman;Times;Serif" w:hAnsi="Times New Roman;Times;Serif"/>
                <w:b/>
                <w:i w:val="false"/>
                <w:caps w:val="false"/>
                <w:smallCaps w:val="false"/>
                <w:sz w:val="20"/>
              </w:rPr>
              <w:t>Energy, LLC.</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59" w:type="dxa"/>
            <w:tcBorders/>
            <w:shd w:fill="CCEEFF" w:val="clear"/>
            <w:vAlign w:val="center"/>
          </w:tcPr>
          <w:p>
            <w:pPr>
              <w:pStyle w:val="TableContents"/>
              <w:bidi w:val="0"/>
              <w:spacing w:before="0" w:after="283"/>
              <w:ind w:left="0" w:right="0" w:hanging="180"/>
              <w:jc w:val="center"/>
              <w:rPr>
                <w:caps w:val="false"/>
                <w:smallCaps w:val="false"/>
              </w:rPr>
            </w:pPr>
            <w:r>
              <w:rPr>
                <w:caps w:val="false"/>
                <w:smallCaps w:val="false"/>
              </w:rPr>
              <w:t> </w:t>
            </w:r>
          </w:p>
        </w:tc>
      </w:tr>
      <w:tr>
        <w:trPr/>
        <w:tc>
          <w:tcPr>
            <w:tcW w:w="968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59" w:type="dxa"/>
            <w:tcBorders/>
            <w:shd w:fill="FFFFFF" w:val="clear"/>
            <w:vAlign w:val="center"/>
          </w:tcPr>
          <w:p>
            <w:pPr>
              <w:pStyle w:val="TableContents"/>
              <w:bidi w:val="0"/>
              <w:spacing w:before="0" w:after="283"/>
              <w:ind w:left="0" w:right="0" w:hanging="180"/>
              <w:jc w:val="center"/>
              <w:rPr>
                <w:caps w:val="false"/>
                <w:smallCaps w:val="false"/>
              </w:rPr>
            </w:pPr>
            <w:r>
              <w:rPr>
                <w:caps w:val="false"/>
                <w:smallCaps w:val="false"/>
              </w:rPr>
              <w:t> </w:t>
            </w:r>
          </w:p>
        </w:tc>
      </w:tr>
      <w:tr>
        <w:trPr/>
        <w:tc>
          <w:tcPr>
            <w:tcW w:w="9686" w:type="dxa"/>
            <w:tcBorders/>
            <w:shd w:fill="CCEEFF" w:val="clear"/>
            <w:vAlign w:val="center"/>
          </w:tcPr>
          <w:p>
            <w:pPr>
              <w:pStyle w:val="TableContents"/>
              <w:bidi w:val="0"/>
              <w:spacing w:before="0" w:after="283"/>
              <w:jc w:val="left"/>
              <w:rPr/>
            </w:pPr>
            <w:hyperlink w:anchor="k_001">
              <w:r>
                <w:rPr>
                  <w:rStyle w:val="InternetLink"/>
                  <w:rFonts w:ascii="Times New Roman;Times;Serif" w:hAnsi="Times New Roman;Times;Serif"/>
                  <w:b w:val="false"/>
                  <w:i w:val="false"/>
                  <w:caps w:val="false"/>
                  <w:smallCaps w:val="false"/>
                  <w:strike w:val="false"/>
                  <w:dstrike w:val="false"/>
                  <w:sz w:val="20"/>
                  <w:u w:val="none"/>
                  <w:effect w:val="none"/>
                </w:rPr>
                <w:t>Unaudited pro forma combined statement of operations for the year ended december 28, 2025</w:t>
              </w:r>
            </w:hyperlink>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59" w:type="dxa"/>
            <w:tcBorders/>
            <w:shd w:fill="CCEEFF" w:val="clear"/>
            <w:vAlign w:val="center"/>
          </w:tcPr>
          <w:p>
            <w:pPr>
              <w:pStyle w:val="TableContents"/>
              <w:bidi w:val="0"/>
              <w:spacing w:before="0" w:after="283"/>
              <w:ind w:left="0" w:right="0" w:hanging="18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F-177</w:t>
            </w:r>
          </w:p>
        </w:tc>
      </w:tr>
      <w:tr>
        <w:trPr/>
        <w:tc>
          <w:tcPr>
            <w:tcW w:w="968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59" w:type="dxa"/>
            <w:tcBorders/>
            <w:shd w:fill="FFFFFF" w:val="clear"/>
            <w:vAlign w:val="center"/>
          </w:tcPr>
          <w:p>
            <w:pPr>
              <w:pStyle w:val="TableContents"/>
              <w:bidi w:val="0"/>
              <w:spacing w:before="0" w:after="283"/>
              <w:ind w:left="0" w:right="0" w:hanging="180"/>
              <w:jc w:val="center"/>
              <w:rPr>
                <w:caps w:val="false"/>
                <w:smallCaps w:val="false"/>
              </w:rPr>
            </w:pPr>
            <w:r>
              <w:rPr>
                <w:caps w:val="false"/>
                <w:smallCaps w:val="false"/>
              </w:rPr>
              <w:t> </w:t>
            </w:r>
          </w:p>
        </w:tc>
      </w:tr>
      <w:tr>
        <w:trPr/>
        <w:tc>
          <w:tcPr>
            <w:tcW w:w="9686" w:type="dxa"/>
            <w:tcBorders/>
            <w:shd w:fill="CCEEFF" w:val="clear"/>
            <w:vAlign w:val="center"/>
          </w:tcPr>
          <w:p>
            <w:pPr>
              <w:pStyle w:val="TableContents"/>
              <w:bidi w:val="0"/>
              <w:spacing w:before="0" w:after="283"/>
              <w:jc w:val="left"/>
              <w:rPr/>
            </w:pPr>
            <w:hyperlink w:anchor="k_002">
              <w:r>
                <w:rPr>
                  <w:rStyle w:val="InternetLink"/>
                  <w:rFonts w:ascii="Times New Roman;Times;Serif" w:hAnsi="Times New Roman;Times;Serif"/>
                  <w:b w:val="false"/>
                  <w:i w:val="false"/>
                  <w:caps w:val="false"/>
                  <w:smallCaps w:val="false"/>
                  <w:strike w:val="false"/>
                  <w:dstrike w:val="false"/>
                  <w:sz w:val="20"/>
                  <w:u w:val="none"/>
                  <w:effect w:val="none"/>
                </w:rPr>
                <w:t>Notes to Unaudited Pro Forma Combined Financial Statements</w:t>
              </w:r>
            </w:hyperlink>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59"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F-178</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12" w:space="1" w:color="000000"/>
        </w:rPr>
      </w:pPr>
      <w:r>
        <w:rPr>
          <w:sz w:val="20"/>
          <w:bdr w:val="single" w:sz="12" w:space="1" w:color="000000"/>
        </w:rPr>
        <w:t>F-3</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22" w:name="q_001"/>
      <w:bookmarkEnd w:id="22"/>
      <w:r>
        <w:rPr>
          <w:rFonts w:ascii="Times New Roman;Times;Serif" w:hAnsi="Times New Roman;Times;Serif"/>
          <w:b/>
          <w:i w:val="false"/>
          <w:caps w:val="false"/>
          <w:smallCaps w:val="false"/>
          <w:sz w:val="20"/>
        </w:rPr>
        <w:t>SUNPOWER INC.</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Unaudited Condensed Consolidated Balance Sheets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r>
        <w:rPr>
          <w:rFonts w:ascii="Times New Roman;Times;Serif" w:hAnsi="Times New Roman;Times;Serif"/>
          <w:b/>
          <w:i/>
          <w:caps w:val="false"/>
          <w:smallCaps w:val="false"/>
          <w:sz w:val="20"/>
        </w:rPr>
        <w:t>in thousands except share and per share amounts</w:t>
      </w:r>
      <w:r>
        <w:rPr>
          <w:rFonts w:ascii="Times New Roman;Times;Serif" w:hAnsi="Times New Roman;Times;Serif"/>
          <w:b/>
          <w:i w:val="false"/>
          <w:caps w:val="false"/>
          <w:smallCaps w:val="false"/>
          <w:sz w:val="20"/>
        </w:rPr>
        <w:t>)</w:t>
      </w:r>
    </w:p>
    <w:p>
      <w:pPr>
        <w:pStyle w:val="TextBody"/>
        <w:bidi w:val="0"/>
        <w:spacing w:before="0" w:after="0"/>
        <w:ind w:left="0" w:right="0" w:hanging="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480"/>
        <w:gridCol w:w="60"/>
        <w:gridCol w:w="141"/>
        <w:gridCol w:w="887"/>
        <w:gridCol w:w="95"/>
        <w:gridCol w:w="60"/>
        <w:gridCol w:w="188"/>
        <w:gridCol w:w="1182"/>
        <w:gridCol w:w="112"/>
      </w:tblGrid>
      <w:tr>
        <w:trPr/>
        <w:tc>
          <w:tcPr>
            <w:tcW w:w="748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028" w:type="dxa"/>
            <w:gridSpan w:val="2"/>
            <w:tcBorders/>
            <w:vAlign w:val="center"/>
          </w:tcPr>
          <w:p>
            <w:pPr>
              <w:pStyle w:val="TableContents"/>
              <w:bidi w:val="0"/>
              <w:spacing w:before="0" w:after="283"/>
              <w:jc w:val="center"/>
              <w:rPr>
                <w:b/>
              </w:rPr>
            </w:pPr>
            <w:r>
              <w:rPr>
                <w:b/>
              </w:rPr>
              <w:t>March 29,</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70" w:type="dxa"/>
            <w:gridSpan w:val="2"/>
            <w:tcBorders/>
            <w:vAlign w:val="center"/>
          </w:tcPr>
          <w:p>
            <w:pPr>
              <w:pStyle w:val="TableContents"/>
              <w:bidi w:val="0"/>
              <w:spacing w:before="0" w:after="283"/>
              <w:jc w:val="center"/>
              <w:rPr>
                <w:b/>
              </w:rPr>
            </w:pPr>
            <w:r>
              <w:rPr>
                <w:b/>
              </w:rPr>
              <w:t>December 28,</w:t>
            </w:r>
          </w:p>
        </w:tc>
        <w:tc>
          <w:tcPr>
            <w:tcW w:w="112" w:type="dxa"/>
            <w:tcBorders/>
            <w:vAlign w:val="center"/>
          </w:tcPr>
          <w:p>
            <w:pPr>
              <w:pStyle w:val="TableContents"/>
              <w:bidi w:val="0"/>
              <w:spacing w:before="0" w:after="283"/>
              <w:jc w:val="left"/>
              <w:rPr/>
            </w:pPr>
            <w:r>
              <w:rPr/>
              <w:t> </w:t>
            </w:r>
          </w:p>
        </w:tc>
      </w:tr>
      <w:tr>
        <w:trPr/>
        <w:tc>
          <w:tcPr>
            <w:tcW w:w="748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028"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2026</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7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2025</w:t>
            </w:r>
          </w:p>
        </w:tc>
        <w:tc>
          <w:tcPr>
            <w:tcW w:w="112" w:type="dxa"/>
            <w:tcBorders/>
            <w:vAlign w:val="center"/>
          </w:tcPr>
          <w:p>
            <w:pPr>
              <w:pStyle w:val="TableContents"/>
              <w:bidi w:val="0"/>
              <w:spacing w:before="0" w:after="283"/>
              <w:jc w:val="left"/>
              <w:rPr/>
            </w:pPr>
            <w:r>
              <w:rPr/>
              <w:t> </w:t>
            </w:r>
          </w:p>
        </w:tc>
      </w:tr>
      <w:tr>
        <w:trPr/>
        <w:tc>
          <w:tcPr>
            <w:tcW w:w="7480" w:type="dxa"/>
            <w:tcBorders/>
            <w:vAlign w:val="center"/>
          </w:tcPr>
          <w:p>
            <w:pPr>
              <w:pStyle w:val="TableContents"/>
              <w:bidi w:val="0"/>
              <w:spacing w:before="0" w:after="283"/>
              <w:jc w:val="left"/>
              <w:rPr>
                <w:b/>
              </w:rPr>
            </w:pPr>
            <w:r>
              <w:rPr>
                <w:b/>
              </w:rPr>
              <w:t>ASSETS</w:t>
            </w:r>
          </w:p>
        </w:tc>
        <w:tc>
          <w:tcPr>
            <w:tcW w:w="60" w:type="dxa"/>
            <w:tcBorders/>
            <w:vAlign w:val="center"/>
          </w:tcPr>
          <w:p>
            <w:pPr>
              <w:pStyle w:val="TableContents"/>
              <w:bidi w:val="0"/>
              <w:spacing w:before="0" w:after="283"/>
              <w:jc w:val="left"/>
              <w:rPr/>
            </w:pPr>
            <w:r>
              <w:rPr/>
              <w:t> </w:t>
            </w:r>
          </w:p>
        </w:tc>
        <w:tc>
          <w:tcPr>
            <w:tcW w:w="1028" w:type="dxa"/>
            <w:gridSpan w:val="2"/>
            <w:tcBorders/>
            <w:vAlign w:val="center"/>
          </w:tcPr>
          <w:p>
            <w:pPr>
              <w:pStyle w:val="TableContents"/>
              <w:bidi w:val="0"/>
              <w:spacing w:before="0" w:after="283"/>
              <w:jc w:val="righ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70" w:type="dxa"/>
            <w:gridSpan w:val="2"/>
            <w:tcBorders/>
            <w:vAlign w:val="center"/>
          </w:tcPr>
          <w:p>
            <w:pPr>
              <w:pStyle w:val="TableContents"/>
              <w:bidi w:val="0"/>
              <w:spacing w:before="0" w:after="283"/>
              <w:jc w:val="right"/>
              <w:rPr/>
            </w:pPr>
            <w:r>
              <w:rPr/>
              <w:t> </w:t>
            </w:r>
          </w:p>
        </w:tc>
        <w:tc>
          <w:tcPr>
            <w:tcW w:w="112" w:type="dxa"/>
            <w:tcBorders/>
            <w:vAlign w:val="center"/>
          </w:tcPr>
          <w:p>
            <w:pPr>
              <w:pStyle w:val="TableContents"/>
              <w:bidi w:val="0"/>
              <w:spacing w:before="0" w:after="283"/>
              <w:jc w:val="left"/>
              <w:rPr/>
            </w:pPr>
            <w:r>
              <w:rPr/>
              <w:t> </w:t>
            </w:r>
          </w:p>
        </w:tc>
      </w:tr>
      <w:tr>
        <w:trPr/>
        <w:tc>
          <w:tcPr>
            <w:tcW w:w="7480" w:type="dxa"/>
            <w:tcBorders/>
            <w:vAlign w:val="center"/>
          </w:tcPr>
          <w:p>
            <w:pPr>
              <w:pStyle w:val="TableContents"/>
              <w:bidi w:val="0"/>
              <w:spacing w:before="0" w:after="283"/>
              <w:jc w:val="both"/>
              <w:rPr/>
            </w:pPr>
            <w:r>
              <w:rPr/>
              <w:t>Current assets:</w:t>
            </w:r>
          </w:p>
        </w:tc>
        <w:tc>
          <w:tcPr>
            <w:tcW w:w="60" w:type="dxa"/>
            <w:tcBorders/>
            <w:vAlign w:val="center"/>
          </w:tcPr>
          <w:p>
            <w:pPr>
              <w:pStyle w:val="TableContents"/>
              <w:bidi w:val="0"/>
              <w:spacing w:before="0" w:after="283"/>
              <w:jc w:val="left"/>
              <w:rPr/>
            </w:pPr>
            <w:r>
              <w:rPr/>
              <w:t> </w:t>
            </w:r>
          </w:p>
        </w:tc>
        <w:tc>
          <w:tcPr>
            <w:tcW w:w="1028" w:type="dxa"/>
            <w:gridSpan w:val="2"/>
            <w:tcBorders/>
            <w:vAlign w:val="center"/>
          </w:tcPr>
          <w:p>
            <w:pPr>
              <w:pStyle w:val="TableContents"/>
              <w:bidi w:val="0"/>
              <w:spacing w:before="0" w:after="283"/>
              <w:jc w:val="righ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70" w:type="dxa"/>
            <w:gridSpan w:val="2"/>
            <w:tcBorders/>
            <w:vAlign w:val="center"/>
          </w:tcPr>
          <w:p>
            <w:pPr>
              <w:pStyle w:val="TableContents"/>
              <w:bidi w:val="0"/>
              <w:spacing w:before="0" w:after="283"/>
              <w:jc w:val="right"/>
              <w:rPr/>
            </w:pPr>
            <w:r>
              <w:rPr/>
              <w:t> </w:t>
            </w:r>
          </w:p>
        </w:tc>
        <w:tc>
          <w:tcPr>
            <w:tcW w:w="112" w:type="dxa"/>
            <w:tcBorders/>
            <w:vAlign w:val="center"/>
          </w:tcPr>
          <w:p>
            <w:pPr>
              <w:pStyle w:val="TableContents"/>
              <w:bidi w:val="0"/>
              <w:spacing w:before="0" w:after="283"/>
              <w:jc w:val="left"/>
              <w:rPr/>
            </w:pPr>
            <w:r>
              <w:rPr/>
              <w:t> </w:t>
            </w:r>
          </w:p>
        </w:tc>
      </w:tr>
      <w:tr>
        <w:trPr/>
        <w:tc>
          <w:tcPr>
            <w:tcW w:w="7480" w:type="dxa"/>
            <w:tcBorders/>
            <w:shd w:fill="CCEEFF" w:val="clear"/>
            <w:vAlign w:val="center"/>
          </w:tcPr>
          <w:p>
            <w:pPr>
              <w:pStyle w:val="TableContents"/>
              <w:bidi w:val="0"/>
              <w:spacing w:before="0" w:after="283"/>
              <w:jc w:val="both"/>
              <w:rPr/>
            </w:pPr>
            <w:r>
              <w:rPr/>
              <w:t>Cash and cash equivalents</w:t>
            </w:r>
          </w:p>
        </w:tc>
        <w:tc>
          <w:tcPr>
            <w:tcW w:w="60" w:type="dxa"/>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283"/>
              <w:jc w:val="left"/>
              <w:rPr/>
            </w:pPr>
            <w:r>
              <w:rPr/>
              <w:t>$</w:t>
            </w:r>
          </w:p>
        </w:tc>
        <w:tc>
          <w:tcPr>
            <w:tcW w:w="887" w:type="dxa"/>
            <w:tcBorders/>
            <w:shd w:fill="CCEEFF" w:val="clear"/>
            <w:vAlign w:val="center"/>
          </w:tcPr>
          <w:p>
            <w:pPr>
              <w:pStyle w:val="TableContents"/>
              <w:bidi w:val="0"/>
              <w:spacing w:before="0" w:after="283"/>
              <w:jc w:val="right"/>
              <w:rPr/>
            </w:pPr>
            <w:r>
              <w:rPr/>
              <w:t>9,488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8" w:type="dxa"/>
            <w:tcBorders/>
            <w:shd w:fill="CCEEFF" w:val="clear"/>
            <w:vAlign w:val="center"/>
          </w:tcPr>
          <w:p>
            <w:pPr>
              <w:pStyle w:val="TableContents"/>
              <w:bidi w:val="0"/>
              <w:spacing w:before="0" w:after="283"/>
              <w:jc w:val="left"/>
              <w:rPr/>
            </w:pPr>
            <w:r>
              <w:rPr/>
              <w:t>$</w:t>
            </w:r>
          </w:p>
        </w:tc>
        <w:tc>
          <w:tcPr>
            <w:tcW w:w="1182" w:type="dxa"/>
            <w:tcBorders/>
            <w:shd w:fill="CCEEFF" w:val="clear"/>
            <w:vAlign w:val="center"/>
          </w:tcPr>
          <w:p>
            <w:pPr>
              <w:pStyle w:val="TableContents"/>
              <w:bidi w:val="0"/>
              <w:spacing w:before="0" w:after="283"/>
              <w:jc w:val="right"/>
              <w:rPr/>
            </w:pPr>
            <w:r>
              <w:rPr/>
              <w:t>9,617</w:t>
            </w:r>
          </w:p>
        </w:tc>
        <w:tc>
          <w:tcPr>
            <w:tcW w:w="112" w:type="dxa"/>
            <w:tcBorders/>
            <w:shd w:fill="CCEEFF" w:val="clear"/>
            <w:vAlign w:val="center"/>
          </w:tcPr>
          <w:p>
            <w:pPr>
              <w:pStyle w:val="TableContents"/>
              <w:bidi w:val="0"/>
              <w:spacing w:before="0" w:after="283"/>
              <w:ind w:left="0" w:right="0" w:hanging="180"/>
              <w:jc w:val="left"/>
              <w:rPr/>
            </w:pPr>
            <w:r>
              <w:rPr/>
              <w:t> </w:t>
            </w:r>
          </w:p>
        </w:tc>
      </w:tr>
      <w:tr>
        <w:trPr/>
        <w:tc>
          <w:tcPr>
            <w:tcW w:w="7480" w:type="dxa"/>
            <w:tcBorders/>
            <w:shd w:fill="FFFFFF" w:val="clear"/>
            <w:vAlign w:val="center"/>
          </w:tcPr>
          <w:p>
            <w:pPr>
              <w:pStyle w:val="TableContents"/>
              <w:bidi w:val="0"/>
              <w:spacing w:before="0" w:after="283"/>
              <w:jc w:val="both"/>
              <w:rPr/>
            </w:pPr>
            <w:r>
              <w:rPr/>
              <w:t>Trade accounts receivable, net of allowance for credit losses of $5,206 and $5,206 as of March 29, 2026 and December 28, 2025, respectively</w:t>
            </w:r>
          </w:p>
        </w:tc>
        <w:tc>
          <w:tcPr>
            <w:tcW w:w="60" w:type="dxa"/>
            <w:tcBorders/>
            <w:shd w:fill="FFFFFF" w:val="clear"/>
            <w:vAlign w:val="center"/>
          </w:tcPr>
          <w:p>
            <w:pPr>
              <w:pStyle w:val="TableContents"/>
              <w:bidi w:val="0"/>
              <w:spacing w:before="0" w:after="283"/>
              <w:jc w:val="left"/>
              <w:rPr/>
            </w:pPr>
            <w:r>
              <w:rPr/>
              <w:t> </w:t>
            </w:r>
          </w:p>
        </w:tc>
        <w:tc>
          <w:tcPr>
            <w:tcW w:w="141" w:type="dxa"/>
            <w:tcBorders/>
            <w:shd w:fill="FFFFFF" w:val="clear"/>
            <w:vAlign w:val="center"/>
          </w:tcPr>
          <w:p>
            <w:pPr>
              <w:pStyle w:val="TableContents"/>
              <w:bidi w:val="0"/>
              <w:spacing w:before="0" w:after="283"/>
              <w:jc w:val="left"/>
              <w:rPr/>
            </w:pPr>
            <w:r>
              <w:rPr/>
              <w:t> </w:t>
            </w:r>
          </w:p>
        </w:tc>
        <w:tc>
          <w:tcPr>
            <w:tcW w:w="887" w:type="dxa"/>
            <w:tcBorders/>
            <w:shd w:fill="FFFFFF" w:val="clear"/>
            <w:vAlign w:val="center"/>
          </w:tcPr>
          <w:p>
            <w:pPr>
              <w:pStyle w:val="TableContents"/>
              <w:bidi w:val="0"/>
              <w:spacing w:before="0" w:after="283"/>
              <w:jc w:val="right"/>
              <w:rPr/>
            </w:pPr>
            <w:r>
              <w:rPr/>
              <w:t>80,585</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8" w:type="dxa"/>
            <w:tcBorders/>
            <w:shd w:fill="FFFFFF" w:val="clear"/>
            <w:vAlign w:val="center"/>
          </w:tcPr>
          <w:p>
            <w:pPr>
              <w:pStyle w:val="TableContents"/>
              <w:bidi w:val="0"/>
              <w:spacing w:before="0" w:after="283"/>
              <w:jc w:val="left"/>
              <w:rPr/>
            </w:pPr>
            <w:r>
              <w:rPr/>
              <w:t> </w:t>
            </w:r>
          </w:p>
        </w:tc>
        <w:tc>
          <w:tcPr>
            <w:tcW w:w="1182" w:type="dxa"/>
            <w:tcBorders/>
            <w:shd w:fill="FFFFFF" w:val="clear"/>
            <w:vAlign w:val="center"/>
          </w:tcPr>
          <w:p>
            <w:pPr>
              <w:pStyle w:val="TableContents"/>
              <w:bidi w:val="0"/>
              <w:spacing w:before="0" w:after="283"/>
              <w:jc w:val="right"/>
              <w:rPr/>
            </w:pPr>
            <w:r>
              <w:rPr/>
              <w:t>81,946</w:t>
            </w:r>
          </w:p>
        </w:tc>
        <w:tc>
          <w:tcPr>
            <w:tcW w:w="112" w:type="dxa"/>
            <w:tcBorders/>
            <w:shd w:fill="FFFFFF" w:val="clear"/>
            <w:vAlign w:val="center"/>
          </w:tcPr>
          <w:p>
            <w:pPr>
              <w:pStyle w:val="TableContents"/>
              <w:bidi w:val="0"/>
              <w:spacing w:before="0" w:after="283"/>
              <w:jc w:val="left"/>
              <w:rPr/>
            </w:pPr>
            <w:r>
              <w:rPr/>
              <w:t> </w:t>
            </w:r>
          </w:p>
        </w:tc>
      </w:tr>
      <w:tr>
        <w:trPr/>
        <w:tc>
          <w:tcPr>
            <w:tcW w:w="7480" w:type="dxa"/>
            <w:tcBorders/>
            <w:shd w:fill="CCEEFF" w:val="clear"/>
            <w:vAlign w:val="center"/>
          </w:tcPr>
          <w:p>
            <w:pPr>
              <w:pStyle w:val="TableContents"/>
              <w:bidi w:val="0"/>
              <w:spacing w:before="0" w:after="283"/>
              <w:jc w:val="both"/>
              <w:rPr/>
            </w:pPr>
            <w:r>
              <w:rPr/>
              <w:t>Inventories</w:t>
            </w:r>
          </w:p>
        </w:tc>
        <w:tc>
          <w:tcPr>
            <w:tcW w:w="60" w:type="dxa"/>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283"/>
              <w:jc w:val="left"/>
              <w:rPr/>
            </w:pPr>
            <w:r>
              <w:rPr/>
              <w:t> </w:t>
            </w:r>
          </w:p>
        </w:tc>
        <w:tc>
          <w:tcPr>
            <w:tcW w:w="887" w:type="dxa"/>
            <w:tcBorders/>
            <w:shd w:fill="CCEEFF" w:val="clear"/>
            <w:vAlign w:val="center"/>
          </w:tcPr>
          <w:p>
            <w:pPr>
              <w:pStyle w:val="TableContents"/>
              <w:bidi w:val="0"/>
              <w:spacing w:before="0" w:after="283"/>
              <w:jc w:val="right"/>
              <w:rPr/>
            </w:pPr>
            <w:r>
              <w:rPr/>
              <w:t>4,098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8" w:type="dxa"/>
            <w:tcBorders/>
            <w:shd w:fill="CCEEFF" w:val="clear"/>
            <w:vAlign w:val="center"/>
          </w:tcPr>
          <w:p>
            <w:pPr>
              <w:pStyle w:val="TableContents"/>
              <w:bidi w:val="0"/>
              <w:spacing w:before="0" w:after="283"/>
              <w:jc w:val="left"/>
              <w:rPr/>
            </w:pPr>
            <w:r>
              <w:rPr/>
              <w:t> </w:t>
            </w:r>
          </w:p>
        </w:tc>
        <w:tc>
          <w:tcPr>
            <w:tcW w:w="1182" w:type="dxa"/>
            <w:tcBorders/>
            <w:shd w:fill="CCEEFF" w:val="clear"/>
            <w:vAlign w:val="center"/>
          </w:tcPr>
          <w:p>
            <w:pPr>
              <w:pStyle w:val="TableContents"/>
              <w:bidi w:val="0"/>
              <w:spacing w:before="0" w:after="283"/>
              <w:jc w:val="right"/>
              <w:rPr/>
            </w:pPr>
            <w:r>
              <w:rPr/>
              <w:t>4,375</w:t>
            </w:r>
          </w:p>
        </w:tc>
        <w:tc>
          <w:tcPr>
            <w:tcW w:w="112" w:type="dxa"/>
            <w:tcBorders/>
            <w:shd w:fill="CCEEFF" w:val="clear"/>
            <w:vAlign w:val="center"/>
          </w:tcPr>
          <w:p>
            <w:pPr>
              <w:pStyle w:val="TableContents"/>
              <w:bidi w:val="0"/>
              <w:spacing w:before="0" w:after="283"/>
              <w:jc w:val="left"/>
              <w:rPr/>
            </w:pPr>
            <w:r>
              <w:rPr/>
              <w:t> </w:t>
            </w:r>
          </w:p>
        </w:tc>
      </w:tr>
      <w:tr>
        <w:trPr/>
        <w:tc>
          <w:tcPr>
            <w:tcW w:w="7480" w:type="dxa"/>
            <w:tcBorders/>
            <w:shd w:fill="FFFFFF" w:val="clear"/>
            <w:vAlign w:val="center"/>
          </w:tcPr>
          <w:p>
            <w:pPr>
              <w:pStyle w:val="TableContents"/>
              <w:bidi w:val="0"/>
              <w:spacing w:before="0" w:after="283"/>
              <w:jc w:val="both"/>
              <w:rPr/>
            </w:pPr>
            <w:r>
              <w:rPr/>
              <w:t>Prepaid expenses and other current assets</w:t>
            </w:r>
          </w:p>
        </w:tc>
        <w:tc>
          <w:tcPr>
            <w:tcW w:w="60" w:type="dxa"/>
            <w:tcBorders/>
            <w:shd w:fill="FFFFFF" w:val="clear"/>
            <w:vAlign w:val="center"/>
          </w:tcPr>
          <w:p>
            <w:pPr>
              <w:pStyle w:val="TableContents"/>
              <w:bidi w:val="0"/>
              <w:spacing w:before="0" w:after="283"/>
              <w:jc w:val="left"/>
              <w:rPr/>
            </w:pPr>
            <w:r>
              <w:rPr/>
              <w:t> </w:t>
            </w:r>
          </w:p>
        </w:tc>
        <w:tc>
          <w:tcPr>
            <w:tcW w:w="141"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887" w:type="dxa"/>
            <w:tcBorders>
              <w:bottom w:val="single" w:sz="12" w:space="0" w:color="000000"/>
            </w:tcBorders>
            <w:shd w:fill="FFFFFF" w:val="clear"/>
            <w:tcMar>
              <w:bottom w:w="28" w:type="dxa"/>
            </w:tcMar>
            <w:vAlign w:val="center"/>
          </w:tcPr>
          <w:p>
            <w:pPr>
              <w:pStyle w:val="TableContents"/>
              <w:bidi w:val="0"/>
              <w:spacing w:before="0" w:after="283"/>
              <w:jc w:val="right"/>
              <w:rPr/>
            </w:pPr>
            <w:r>
              <w:rPr/>
              <w:t>27,852</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8"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82" w:type="dxa"/>
            <w:tcBorders>
              <w:bottom w:val="single" w:sz="12" w:space="0" w:color="000000"/>
            </w:tcBorders>
            <w:shd w:fill="FFFFFF" w:val="clear"/>
            <w:tcMar>
              <w:bottom w:w="28" w:type="dxa"/>
            </w:tcMar>
            <w:vAlign w:val="center"/>
          </w:tcPr>
          <w:p>
            <w:pPr>
              <w:pStyle w:val="TableContents"/>
              <w:bidi w:val="0"/>
              <w:spacing w:before="0" w:after="283"/>
              <w:jc w:val="right"/>
              <w:rPr/>
            </w:pPr>
            <w:r>
              <w:rPr/>
              <w:t>16,913</w:t>
            </w:r>
          </w:p>
        </w:tc>
        <w:tc>
          <w:tcPr>
            <w:tcW w:w="112" w:type="dxa"/>
            <w:tcBorders/>
            <w:shd w:fill="FFFFFF" w:val="clear"/>
            <w:vAlign w:val="center"/>
          </w:tcPr>
          <w:p>
            <w:pPr>
              <w:pStyle w:val="TableContents"/>
              <w:bidi w:val="0"/>
              <w:spacing w:before="0" w:after="283"/>
              <w:jc w:val="left"/>
              <w:rPr/>
            </w:pPr>
            <w:r>
              <w:rPr/>
              <w:t> </w:t>
            </w:r>
          </w:p>
        </w:tc>
      </w:tr>
      <w:tr>
        <w:trPr/>
        <w:tc>
          <w:tcPr>
            <w:tcW w:w="7480" w:type="dxa"/>
            <w:tcBorders/>
            <w:shd w:fill="CCEEFF" w:val="clear"/>
            <w:vAlign w:val="center"/>
          </w:tcPr>
          <w:p>
            <w:pPr>
              <w:pStyle w:val="TableContents"/>
              <w:bidi w:val="0"/>
              <w:spacing w:before="0" w:after="283"/>
              <w:jc w:val="both"/>
              <w:rPr/>
            </w:pPr>
            <w:r>
              <w:rPr/>
              <w:t>Total current assets</w:t>
            </w:r>
          </w:p>
        </w:tc>
        <w:tc>
          <w:tcPr>
            <w:tcW w:w="60" w:type="dxa"/>
            <w:tcBorders/>
            <w:shd w:fill="CCEEFF" w:val="clear"/>
            <w:vAlign w:val="center"/>
          </w:tcPr>
          <w:p>
            <w:pPr>
              <w:pStyle w:val="TableContents"/>
              <w:bidi w:val="0"/>
              <w:spacing w:before="0" w:after="283"/>
              <w:jc w:val="left"/>
              <w:rPr/>
            </w:pPr>
            <w:r>
              <w:rPr/>
              <w:t> </w:t>
            </w:r>
          </w:p>
        </w:tc>
        <w:tc>
          <w:tcPr>
            <w:tcW w:w="141"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87" w:type="dxa"/>
            <w:tcBorders>
              <w:bottom w:val="single" w:sz="12" w:space="0" w:color="000000"/>
            </w:tcBorders>
            <w:shd w:fill="CCEEFF" w:val="clear"/>
            <w:tcMar>
              <w:bottom w:w="28" w:type="dxa"/>
            </w:tcMar>
            <w:vAlign w:val="center"/>
          </w:tcPr>
          <w:p>
            <w:pPr>
              <w:pStyle w:val="TableContents"/>
              <w:bidi w:val="0"/>
              <w:spacing w:before="0" w:after="283"/>
              <w:jc w:val="right"/>
              <w:rPr/>
            </w:pPr>
            <w:r>
              <w:rPr/>
              <w:t>122,023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8"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82" w:type="dxa"/>
            <w:tcBorders>
              <w:bottom w:val="single" w:sz="12" w:space="0" w:color="000000"/>
            </w:tcBorders>
            <w:shd w:fill="CCEEFF" w:val="clear"/>
            <w:tcMar>
              <w:bottom w:w="28" w:type="dxa"/>
            </w:tcMar>
            <w:vAlign w:val="center"/>
          </w:tcPr>
          <w:p>
            <w:pPr>
              <w:pStyle w:val="TableContents"/>
              <w:bidi w:val="0"/>
              <w:spacing w:before="0" w:after="283"/>
              <w:jc w:val="right"/>
              <w:rPr/>
            </w:pPr>
            <w:r>
              <w:rPr/>
              <w:t>112,851</w:t>
            </w:r>
          </w:p>
        </w:tc>
        <w:tc>
          <w:tcPr>
            <w:tcW w:w="112" w:type="dxa"/>
            <w:tcBorders/>
            <w:shd w:fill="CCEEFF" w:val="clear"/>
            <w:vAlign w:val="center"/>
          </w:tcPr>
          <w:p>
            <w:pPr>
              <w:pStyle w:val="TableContents"/>
              <w:bidi w:val="0"/>
              <w:spacing w:before="0" w:after="283"/>
              <w:jc w:val="left"/>
              <w:rPr/>
            </w:pPr>
            <w:r>
              <w:rPr/>
              <w:t> </w:t>
            </w:r>
          </w:p>
        </w:tc>
      </w:tr>
      <w:tr>
        <w:trPr/>
        <w:tc>
          <w:tcPr>
            <w:tcW w:w="7480" w:type="dxa"/>
            <w:tcBorders/>
            <w:shd w:fill="FFFFFF" w:val="clear"/>
            <w:vAlign w:val="center"/>
          </w:tcPr>
          <w:p>
            <w:pPr>
              <w:pStyle w:val="TableContents"/>
              <w:bidi w:val="0"/>
              <w:spacing w:before="0" w:after="283"/>
              <w:jc w:val="both"/>
              <w:rPr/>
            </w:pPr>
            <w:r>
              <w:rPr/>
              <w:t>Restricted cash</w:t>
            </w:r>
          </w:p>
        </w:tc>
        <w:tc>
          <w:tcPr>
            <w:tcW w:w="60" w:type="dxa"/>
            <w:tcBorders/>
            <w:shd w:fill="FFFFFF" w:val="clear"/>
            <w:vAlign w:val="center"/>
          </w:tcPr>
          <w:p>
            <w:pPr>
              <w:pStyle w:val="TableContents"/>
              <w:bidi w:val="0"/>
              <w:spacing w:before="0" w:after="283"/>
              <w:jc w:val="left"/>
              <w:rPr/>
            </w:pPr>
            <w:r>
              <w:rPr/>
              <w:t> </w:t>
            </w:r>
          </w:p>
        </w:tc>
        <w:tc>
          <w:tcPr>
            <w:tcW w:w="141" w:type="dxa"/>
            <w:tcBorders/>
            <w:shd w:fill="FFFFFF" w:val="clear"/>
            <w:vAlign w:val="center"/>
          </w:tcPr>
          <w:p>
            <w:pPr>
              <w:pStyle w:val="TableContents"/>
              <w:bidi w:val="0"/>
              <w:spacing w:before="0" w:after="283"/>
              <w:jc w:val="left"/>
              <w:rPr/>
            </w:pPr>
            <w:r>
              <w:rPr/>
              <w:t> </w:t>
            </w:r>
          </w:p>
        </w:tc>
        <w:tc>
          <w:tcPr>
            <w:tcW w:w="887" w:type="dxa"/>
            <w:tcBorders/>
            <w:shd w:fill="FFFFFF" w:val="clear"/>
            <w:vAlign w:val="center"/>
          </w:tcPr>
          <w:p>
            <w:pPr>
              <w:pStyle w:val="TableContents"/>
              <w:bidi w:val="0"/>
              <w:spacing w:before="0" w:after="283"/>
              <w:jc w:val="right"/>
              <w:rPr/>
            </w:pPr>
            <w:r>
              <w:rPr/>
              <w:t>1,134</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8" w:type="dxa"/>
            <w:tcBorders/>
            <w:shd w:fill="FFFFFF" w:val="clear"/>
            <w:vAlign w:val="center"/>
          </w:tcPr>
          <w:p>
            <w:pPr>
              <w:pStyle w:val="TableContents"/>
              <w:bidi w:val="0"/>
              <w:spacing w:before="0" w:after="283"/>
              <w:jc w:val="left"/>
              <w:rPr/>
            </w:pPr>
            <w:r>
              <w:rPr/>
              <w:t> </w:t>
            </w:r>
          </w:p>
        </w:tc>
        <w:tc>
          <w:tcPr>
            <w:tcW w:w="1182" w:type="dxa"/>
            <w:tcBorders/>
            <w:shd w:fill="FFFFFF" w:val="clear"/>
            <w:vAlign w:val="center"/>
          </w:tcPr>
          <w:p>
            <w:pPr>
              <w:pStyle w:val="TableContents"/>
              <w:bidi w:val="0"/>
              <w:spacing w:before="0" w:after="283"/>
              <w:jc w:val="right"/>
              <w:rPr/>
            </w:pPr>
            <w:r>
              <w:rPr/>
              <w:t>3,841</w:t>
            </w:r>
          </w:p>
        </w:tc>
        <w:tc>
          <w:tcPr>
            <w:tcW w:w="112" w:type="dxa"/>
            <w:tcBorders/>
            <w:shd w:fill="FFFFFF" w:val="clear"/>
            <w:vAlign w:val="center"/>
          </w:tcPr>
          <w:p>
            <w:pPr>
              <w:pStyle w:val="TableContents"/>
              <w:bidi w:val="0"/>
              <w:spacing w:before="0" w:after="283"/>
              <w:jc w:val="left"/>
              <w:rPr/>
            </w:pPr>
            <w:r>
              <w:rPr/>
              <w:t> </w:t>
            </w:r>
          </w:p>
        </w:tc>
      </w:tr>
      <w:tr>
        <w:trPr/>
        <w:tc>
          <w:tcPr>
            <w:tcW w:w="7480" w:type="dxa"/>
            <w:tcBorders/>
            <w:shd w:fill="CCEEFF" w:val="clear"/>
            <w:vAlign w:val="center"/>
          </w:tcPr>
          <w:p>
            <w:pPr>
              <w:pStyle w:val="TableContents"/>
              <w:bidi w:val="0"/>
              <w:spacing w:before="0" w:after="283"/>
              <w:jc w:val="both"/>
              <w:rPr/>
            </w:pPr>
            <w:r>
              <w:rPr/>
              <w:t>Property and equipment, net</w:t>
            </w:r>
          </w:p>
        </w:tc>
        <w:tc>
          <w:tcPr>
            <w:tcW w:w="60" w:type="dxa"/>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283"/>
              <w:jc w:val="left"/>
              <w:rPr/>
            </w:pPr>
            <w:r>
              <w:rPr/>
              <w:t> </w:t>
            </w:r>
          </w:p>
        </w:tc>
        <w:tc>
          <w:tcPr>
            <w:tcW w:w="887" w:type="dxa"/>
            <w:tcBorders/>
            <w:shd w:fill="CCEEFF" w:val="clear"/>
            <w:vAlign w:val="center"/>
          </w:tcPr>
          <w:p>
            <w:pPr>
              <w:pStyle w:val="TableContents"/>
              <w:bidi w:val="0"/>
              <w:spacing w:before="0" w:after="0"/>
              <w:ind w:left="0" w:right="0"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4,557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8" w:type="dxa"/>
            <w:tcBorders/>
            <w:shd w:fill="CCEEFF" w:val="clear"/>
            <w:vAlign w:val="center"/>
          </w:tcPr>
          <w:p>
            <w:pPr>
              <w:pStyle w:val="TableContents"/>
              <w:bidi w:val="0"/>
              <w:spacing w:before="0" w:after="283"/>
              <w:jc w:val="left"/>
              <w:rPr/>
            </w:pPr>
            <w:r>
              <w:rPr/>
              <w:t> </w:t>
            </w:r>
          </w:p>
        </w:tc>
        <w:tc>
          <w:tcPr>
            <w:tcW w:w="1182" w:type="dxa"/>
            <w:tcBorders/>
            <w:shd w:fill="CCEEFF" w:val="clear"/>
            <w:vAlign w:val="center"/>
          </w:tcPr>
          <w:p>
            <w:pPr>
              <w:pStyle w:val="TableContents"/>
              <w:bidi w:val="0"/>
              <w:spacing w:before="0" w:after="283"/>
              <w:jc w:val="right"/>
              <w:rPr/>
            </w:pPr>
            <w:r>
              <w:rPr/>
              <w:t>4,890</w:t>
            </w:r>
          </w:p>
        </w:tc>
        <w:tc>
          <w:tcPr>
            <w:tcW w:w="112" w:type="dxa"/>
            <w:tcBorders/>
            <w:shd w:fill="CCEEFF" w:val="clear"/>
            <w:vAlign w:val="center"/>
          </w:tcPr>
          <w:p>
            <w:pPr>
              <w:pStyle w:val="TableContents"/>
              <w:bidi w:val="0"/>
              <w:spacing w:before="0" w:after="283"/>
              <w:jc w:val="left"/>
              <w:rPr/>
            </w:pPr>
            <w:r>
              <w:rPr/>
              <w:t> </w:t>
            </w:r>
          </w:p>
        </w:tc>
      </w:tr>
      <w:tr>
        <w:trPr/>
        <w:tc>
          <w:tcPr>
            <w:tcW w:w="7480" w:type="dxa"/>
            <w:tcBorders/>
            <w:shd w:fill="FFFFFF" w:val="clear"/>
            <w:vAlign w:val="center"/>
          </w:tcPr>
          <w:p>
            <w:pPr>
              <w:pStyle w:val="TableContents"/>
              <w:bidi w:val="0"/>
              <w:spacing w:before="0" w:after="283"/>
              <w:jc w:val="both"/>
              <w:rPr/>
            </w:pPr>
            <w:r>
              <w:rPr/>
              <w:t>Operating lease right-of-use assets</w:t>
            </w:r>
          </w:p>
        </w:tc>
        <w:tc>
          <w:tcPr>
            <w:tcW w:w="60" w:type="dxa"/>
            <w:tcBorders/>
            <w:shd w:fill="FFFFFF" w:val="clear"/>
            <w:vAlign w:val="center"/>
          </w:tcPr>
          <w:p>
            <w:pPr>
              <w:pStyle w:val="TableContents"/>
              <w:bidi w:val="0"/>
              <w:spacing w:before="0" w:after="283"/>
              <w:jc w:val="left"/>
              <w:rPr/>
            </w:pPr>
            <w:r>
              <w:rPr/>
              <w:t> </w:t>
            </w:r>
          </w:p>
        </w:tc>
        <w:tc>
          <w:tcPr>
            <w:tcW w:w="141" w:type="dxa"/>
            <w:tcBorders/>
            <w:shd w:fill="FFFFFF" w:val="clear"/>
            <w:vAlign w:val="center"/>
          </w:tcPr>
          <w:p>
            <w:pPr>
              <w:pStyle w:val="TableContents"/>
              <w:bidi w:val="0"/>
              <w:spacing w:before="0" w:after="283"/>
              <w:jc w:val="left"/>
              <w:rPr/>
            </w:pPr>
            <w:r>
              <w:rPr/>
              <w:t> </w:t>
            </w:r>
          </w:p>
        </w:tc>
        <w:tc>
          <w:tcPr>
            <w:tcW w:w="887" w:type="dxa"/>
            <w:tcBorders/>
            <w:shd w:fill="FFFFFF" w:val="clear"/>
            <w:vAlign w:val="center"/>
          </w:tcPr>
          <w:p>
            <w:pPr>
              <w:pStyle w:val="TableContents"/>
              <w:bidi w:val="0"/>
              <w:spacing w:before="0" w:after="0"/>
              <w:ind w:left="0" w:right="0"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5,325</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8" w:type="dxa"/>
            <w:tcBorders/>
            <w:shd w:fill="FFFFFF" w:val="clear"/>
            <w:vAlign w:val="center"/>
          </w:tcPr>
          <w:p>
            <w:pPr>
              <w:pStyle w:val="TableContents"/>
              <w:bidi w:val="0"/>
              <w:spacing w:before="0" w:after="283"/>
              <w:jc w:val="left"/>
              <w:rPr/>
            </w:pPr>
            <w:r>
              <w:rPr/>
              <w:t> </w:t>
            </w:r>
          </w:p>
        </w:tc>
        <w:tc>
          <w:tcPr>
            <w:tcW w:w="1182" w:type="dxa"/>
            <w:tcBorders/>
            <w:shd w:fill="FFFFFF" w:val="clear"/>
            <w:vAlign w:val="center"/>
          </w:tcPr>
          <w:p>
            <w:pPr>
              <w:pStyle w:val="TableContents"/>
              <w:bidi w:val="0"/>
              <w:spacing w:before="0" w:after="283"/>
              <w:jc w:val="right"/>
              <w:rPr/>
            </w:pPr>
            <w:r>
              <w:rPr/>
              <w:t>4,552</w:t>
            </w:r>
          </w:p>
        </w:tc>
        <w:tc>
          <w:tcPr>
            <w:tcW w:w="112" w:type="dxa"/>
            <w:tcBorders/>
            <w:shd w:fill="FFFFFF" w:val="clear"/>
            <w:vAlign w:val="center"/>
          </w:tcPr>
          <w:p>
            <w:pPr>
              <w:pStyle w:val="TableContents"/>
              <w:bidi w:val="0"/>
              <w:spacing w:before="0" w:after="283"/>
              <w:jc w:val="left"/>
              <w:rPr/>
            </w:pPr>
            <w:r>
              <w:rPr/>
              <w:t> </w:t>
            </w:r>
          </w:p>
        </w:tc>
      </w:tr>
      <w:tr>
        <w:trPr/>
        <w:tc>
          <w:tcPr>
            <w:tcW w:w="7480" w:type="dxa"/>
            <w:tcBorders/>
            <w:shd w:fill="CCEEFF" w:val="clear"/>
            <w:vAlign w:val="center"/>
          </w:tcPr>
          <w:p>
            <w:pPr>
              <w:pStyle w:val="TableContents"/>
              <w:bidi w:val="0"/>
              <w:spacing w:before="0" w:after="283"/>
              <w:jc w:val="both"/>
              <w:rPr/>
            </w:pPr>
            <w:r>
              <w:rPr/>
              <w:t>Intangible assets, net</w:t>
            </w:r>
          </w:p>
        </w:tc>
        <w:tc>
          <w:tcPr>
            <w:tcW w:w="60" w:type="dxa"/>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283"/>
              <w:jc w:val="left"/>
              <w:rPr/>
            </w:pPr>
            <w:r>
              <w:rPr/>
              <w:t> </w:t>
            </w:r>
          </w:p>
        </w:tc>
        <w:tc>
          <w:tcPr>
            <w:tcW w:w="887" w:type="dxa"/>
            <w:tcBorders/>
            <w:shd w:fill="CCEEFF" w:val="clear"/>
            <w:vAlign w:val="center"/>
          </w:tcPr>
          <w:p>
            <w:pPr>
              <w:pStyle w:val="TableContents"/>
              <w:bidi w:val="0"/>
              <w:spacing w:before="0" w:after="283"/>
              <w:jc w:val="right"/>
              <w:rPr/>
            </w:pPr>
            <w:r>
              <w:rPr/>
              <w:t>51,816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8" w:type="dxa"/>
            <w:tcBorders/>
            <w:shd w:fill="CCEEFF" w:val="clear"/>
            <w:vAlign w:val="center"/>
          </w:tcPr>
          <w:p>
            <w:pPr>
              <w:pStyle w:val="TableContents"/>
              <w:bidi w:val="0"/>
              <w:spacing w:before="0" w:after="283"/>
              <w:jc w:val="left"/>
              <w:rPr/>
            </w:pPr>
            <w:r>
              <w:rPr/>
              <w:t> </w:t>
            </w:r>
          </w:p>
        </w:tc>
        <w:tc>
          <w:tcPr>
            <w:tcW w:w="1182" w:type="dxa"/>
            <w:tcBorders/>
            <w:shd w:fill="CCEEFF" w:val="clear"/>
            <w:vAlign w:val="center"/>
          </w:tcPr>
          <w:p>
            <w:pPr>
              <w:pStyle w:val="TableContents"/>
              <w:bidi w:val="0"/>
              <w:spacing w:before="0" w:after="283"/>
              <w:jc w:val="right"/>
              <w:rPr/>
            </w:pPr>
            <w:r>
              <w:rPr/>
              <w:t>50,814</w:t>
            </w:r>
          </w:p>
        </w:tc>
        <w:tc>
          <w:tcPr>
            <w:tcW w:w="112" w:type="dxa"/>
            <w:tcBorders/>
            <w:shd w:fill="CCEEFF" w:val="clear"/>
            <w:vAlign w:val="center"/>
          </w:tcPr>
          <w:p>
            <w:pPr>
              <w:pStyle w:val="TableContents"/>
              <w:bidi w:val="0"/>
              <w:spacing w:before="0" w:after="283"/>
              <w:jc w:val="left"/>
              <w:rPr/>
            </w:pPr>
            <w:r>
              <w:rPr/>
              <w:t> </w:t>
            </w:r>
          </w:p>
        </w:tc>
      </w:tr>
      <w:tr>
        <w:trPr/>
        <w:tc>
          <w:tcPr>
            <w:tcW w:w="7480" w:type="dxa"/>
            <w:tcBorders/>
            <w:shd w:fill="FFFFFF" w:val="clear"/>
            <w:vAlign w:val="center"/>
          </w:tcPr>
          <w:p>
            <w:pPr>
              <w:pStyle w:val="TableContents"/>
              <w:bidi w:val="0"/>
              <w:spacing w:before="0" w:after="283"/>
              <w:jc w:val="both"/>
              <w:rPr/>
            </w:pPr>
            <w:r>
              <w:rPr/>
              <w:t>Goodwill</w:t>
            </w:r>
          </w:p>
        </w:tc>
        <w:tc>
          <w:tcPr>
            <w:tcW w:w="60" w:type="dxa"/>
            <w:tcBorders/>
            <w:shd w:fill="FFFFFF" w:val="clear"/>
            <w:vAlign w:val="center"/>
          </w:tcPr>
          <w:p>
            <w:pPr>
              <w:pStyle w:val="TableContents"/>
              <w:bidi w:val="0"/>
              <w:spacing w:before="0" w:after="283"/>
              <w:jc w:val="left"/>
              <w:rPr/>
            </w:pPr>
            <w:r>
              <w:rPr/>
              <w:t> </w:t>
            </w:r>
          </w:p>
        </w:tc>
        <w:tc>
          <w:tcPr>
            <w:tcW w:w="141" w:type="dxa"/>
            <w:tcBorders/>
            <w:shd w:fill="FFFFFF" w:val="clear"/>
            <w:vAlign w:val="center"/>
          </w:tcPr>
          <w:p>
            <w:pPr>
              <w:pStyle w:val="TableContents"/>
              <w:bidi w:val="0"/>
              <w:spacing w:before="0" w:after="283"/>
              <w:jc w:val="left"/>
              <w:rPr/>
            </w:pPr>
            <w:r>
              <w:rPr/>
              <w:t> </w:t>
            </w:r>
          </w:p>
        </w:tc>
        <w:tc>
          <w:tcPr>
            <w:tcW w:w="887" w:type="dxa"/>
            <w:tcBorders/>
            <w:shd w:fill="FFFFFF" w:val="clear"/>
            <w:vAlign w:val="center"/>
          </w:tcPr>
          <w:p>
            <w:pPr>
              <w:pStyle w:val="TableContents"/>
              <w:bidi w:val="0"/>
              <w:spacing w:before="0" w:after="283"/>
              <w:jc w:val="right"/>
              <w:rPr/>
            </w:pPr>
            <w:r>
              <w:rPr/>
              <w:t>75,607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8" w:type="dxa"/>
            <w:tcBorders/>
            <w:shd w:fill="FFFFFF" w:val="clear"/>
            <w:vAlign w:val="center"/>
          </w:tcPr>
          <w:p>
            <w:pPr>
              <w:pStyle w:val="TableContents"/>
              <w:bidi w:val="0"/>
              <w:spacing w:before="0" w:after="283"/>
              <w:jc w:val="left"/>
              <w:rPr/>
            </w:pPr>
            <w:r>
              <w:rPr/>
              <w:t> </w:t>
            </w:r>
          </w:p>
        </w:tc>
        <w:tc>
          <w:tcPr>
            <w:tcW w:w="1182" w:type="dxa"/>
            <w:tcBorders/>
            <w:shd w:fill="FFFFFF" w:val="clear"/>
            <w:vAlign w:val="center"/>
          </w:tcPr>
          <w:p>
            <w:pPr>
              <w:pStyle w:val="TableContents"/>
              <w:bidi w:val="0"/>
              <w:spacing w:before="0" w:after="283"/>
              <w:jc w:val="right"/>
              <w:rPr/>
            </w:pPr>
            <w:r>
              <w:rPr/>
              <w:t>62,630</w:t>
            </w:r>
          </w:p>
        </w:tc>
        <w:tc>
          <w:tcPr>
            <w:tcW w:w="112" w:type="dxa"/>
            <w:tcBorders/>
            <w:shd w:fill="FFFFFF" w:val="clear"/>
            <w:vAlign w:val="center"/>
          </w:tcPr>
          <w:p>
            <w:pPr>
              <w:pStyle w:val="TableContents"/>
              <w:bidi w:val="0"/>
              <w:spacing w:before="0" w:after="283"/>
              <w:jc w:val="left"/>
              <w:rPr/>
            </w:pPr>
            <w:r>
              <w:rPr/>
              <w:t> </w:t>
            </w:r>
          </w:p>
        </w:tc>
      </w:tr>
      <w:tr>
        <w:trPr/>
        <w:tc>
          <w:tcPr>
            <w:tcW w:w="7480" w:type="dxa"/>
            <w:tcBorders/>
            <w:shd w:fill="CCEEFF" w:val="clear"/>
            <w:vAlign w:val="center"/>
          </w:tcPr>
          <w:p>
            <w:pPr>
              <w:pStyle w:val="TableContents"/>
              <w:bidi w:val="0"/>
              <w:spacing w:before="0" w:after="283"/>
              <w:jc w:val="both"/>
              <w:rPr/>
            </w:pPr>
            <w:r>
              <w:rPr/>
              <w:t>Other noncurrent assets</w:t>
            </w:r>
          </w:p>
        </w:tc>
        <w:tc>
          <w:tcPr>
            <w:tcW w:w="60" w:type="dxa"/>
            <w:tcBorders/>
            <w:shd w:fill="CCEEFF" w:val="clear"/>
            <w:vAlign w:val="center"/>
          </w:tcPr>
          <w:p>
            <w:pPr>
              <w:pStyle w:val="TableContents"/>
              <w:bidi w:val="0"/>
              <w:spacing w:before="0" w:after="283"/>
              <w:jc w:val="left"/>
              <w:rPr/>
            </w:pPr>
            <w:r>
              <w:rPr/>
              <w:t> </w:t>
            </w:r>
          </w:p>
        </w:tc>
        <w:tc>
          <w:tcPr>
            <w:tcW w:w="141"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87" w:type="dxa"/>
            <w:tcBorders>
              <w:bottom w:val="single" w:sz="12" w:space="0" w:color="000000"/>
            </w:tcBorders>
            <w:shd w:fill="CCEEFF" w:val="clear"/>
            <w:tcMar>
              <w:bottom w:w="28" w:type="dxa"/>
            </w:tcMar>
            <w:vAlign w:val="center"/>
          </w:tcPr>
          <w:p>
            <w:pPr>
              <w:pStyle w:val="TableContents"/>
              <w:bidi w:val="0"/>
              <w:spacing w:before="0" w:after="283"/>
              <w:jc w:val="right"/>
              <w:rPr/>
            </w:pPr>
            <w:r>
              <w:rPr/>
              <w:t>1,624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8"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82" w:type="dxa"/>
            <w:tcBorders>
              <w:bottom w:val="single" w:sz="12" w:space="0" w:color="000000"/>
            </w:tcBorders>
            <w:shd w:fill="CCEEFF" w:val="clear"/>
            <w:tcMar>
              <w:bottom w:w="28" w:type="dxa"/>
            </w:tcMar>
            <w:vAlign w:val="center"/>
          </w:tcPr>
          <w:p>
            <w:pPr>
              <w:pStyle w:val="TableContents"/>
              <w:bidi w:val="0"/>
              <w:spacing w:before="0" w:after="283"/>
              <w:jc w:val="right"/>
              <w:rPr/>
            </w:pPr>
            <w:r>
              <w:rPr/>
              <w:t>1,609</w:t>
            </w:r>
          </w:p>
        </w:tc>
        <w:tc>
          <w:tcPr>
            <w:tcW w:w="112" w:type="dxa"/>
            <w:tcBorders/>
            <w:shd w:fill="CCEEFF" w:val="clear"/>
            <w:vAlign w:val="center"/>
          </w:tcPr>
          <w:p>
            <w:pPr>
              <w:pStyle w:val="TableContents"/>
              <w:bidi w:val="0"/>
              <w:spacing w:before="0" w:after="283"/>
              <w:jc w:val="left"/>
              <w:rPr/>
            </w:pPr>
            <w:r>
              <w:rPr/>
              <w:t> </w:t>
            </w:r>
          </w:p>
        </w:tc>
      </w:tr>
      <w:tr>
        <w:trPr/>
        <w:tc>
          <w:tcPr>
            <w:tcW w:w="7480" w:type="dxa"/>
            <w:tcBorders/>
            <w:shd w:fill="FFFFFF" w:val="clear"/>
            <w:vAlign w:val="center"/>
          </w:tcPr>
          <w:p>
            <w:pPr>
              <w:pStyle w:val="TableContents"/>
              <w:bidi w:val="0"/>
              <w:spacing w:before="0" w:after="283"/>
              <w:jc w:val="both"/>
              <w:rPr/>
            </w:pPr>
            <w:r>
              <w:rPr/>
              <w:t>Total assets</w:t>
            </w:r>
          </w:p>
        </w:tc>
        <w:tc>
          <w:tcPr>
            <w:tcW w:w="60" w:type="dxa"/>
            <w:tcBorders/>
            <w:shd w:fill="FFFFFF" w:val="clear"/>
            <w:vAlign w:val="center"/>
          </w:tcPr>
          <w:p>
            <w:pPr>
              <w:pStyle w:val="TableContents"/>
              <w:bidi w:val="0"/>
              <w:spacing w:before="0" w:after="283"/>
              <w:jc w:val="left"/>
              <w:rPr/>
            </w:pPr>
            <w:r>
              <w:rPr/>
              <w:t> </w:t>
            </w:r>
          </w:p>
        </w:tc>
        <w:tc>
          <w:tcPr>
            <w:tcW w:w="141" w:type="dxa"/>
            <w:tcBorders>
              <w:bottom w:val="double" w:sz="10" w:space="0" w:color="000000"/>
            </w:tcBorders>
            <w:shd w:fill="FFFFFF" w:val="clear"/>
            <w:tcMar>
              <w:bottom w:w="28" w:type="dxa"/>
            </w:tcMar>
            <w:vAlign w:val="center"/>
          </w:tcPr>
          <w:p>
            <w:pPr>
              <w:pStyle w:val="TableContents"/>
              <w:bidi w:val="0"/>
              <w:spacing w:before="0" w:after="283"/>
              <w:jc w:val="left"/>
              <w:rPr/>
            </w:pPr>
            <w:r>
              <w:rPr/>
              <w:t>$</w:t>
            </w:r>
          </w:p>
        </w:tc>
        <w:tc>
          <w:tcPr>
            <w:tcW w:w="887" w:type="dxa"/>
            <w:tcBorders>
              <w:bottom w:val="double" w:sz="10" w:space="0" w:color="000000"/>
            </w:tcBorders>
            <w:shd w:fill="FFFFFF" w:val="clear"/>
            <w:tcMar>
              <w:bottom w:w="28" w:type="dxa"/>
            </w:tcMar>
            <w:vAlign w:val="center"/>
          </w:tcPr>
          <w:p>
            <w:pPr>
              <w:pStyle w:val="TableContents"/>
              <w:bidi w:val="0"/>
              <w:spacing w:before="0" w:after="283"/>
              <w:jc w:val="right"/>
              <w:rPr/>
            </w:pPr>
            <w:r>
              <w:rPr/>
              <w:t>262,086</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8" w:type="dxa"/>
            <w:tcBorders>
              <w:bottom w:val="double" w:sz="10" w:space="0" w:color="000000"/>
            </w:tcBorders>
            <w:shd w:fill="FFFFFF" w:val="clear"/>
            <w:tcMar>
              <w:bottom w:w="28" w:type="dxa"/>
            </w:tcMar>
            <w:vAlign w:val="center"/>
          </w:tcPr>
          <w:p>
            <w:pPr>
              <w:pStyle w:val="TableContents"/>
              <w:bidi w:val="0"/>
              <w:spacing w:before="0" w:after="283"/>
              <w:jc w:val="left"/>
              <w:rPr/>
            </w:pPr>
            <w:r>
              <w:rPr/>
              <w:t>$</w:t>
            </w:r>
          </w:p>
        </w:tc>
        <w:tc>
          <w:tcPr>
            <w:tcW w:w="1182" w:type="dxa"/>
            <w:tcBorders>
              <w:bottom w:val="double" w:sz="10" w:space="0" w:color="000000"/>
            </w:tcBorders>
            <w:shd w:fill="FFFFFF" w:val="clear"/>
            <w:tcMar>
              <w:bottom w:w="28" w:type="dxa"/>
            </w:tcMar>
            <w:vAlign w:val="center"/>
          </w:tcPr>
          <w:p>
            <w:pPr>
              <w:pStyle w:val="TableContents"/>
              <w:bidi w:val="0"/>
              <w:spacing w:before="0" w:after="283"/>
              <w:jc w:val="right"/>
              <w:rPr/>
            </w:pPr>
            <w:r>
              <w:rPr/>
              <w:t>241,187</w:t>
            </w:r>
          </w:p>
        </w:tc>
        <w:tc>
          <w:tcPr>
            <w:tcW w:w="112" w:type="dxa"/>
            <w:tcBorders/>
            <w:shd w:fill="FFFFFF" w:val="clear"/>
            <w:vAlign w:val="center"/>
          </w:tcPr>
          <w:p>
            <w:pPr>
              <w:pStyle w:val="TableContents"/>
              <w:bidi w:val="0"/>
              <w:spacing w:before="0" w:after="283"/>
              <w:jc w:val="left"/>
              <w:rPr/>
            </w:pPr>
            <w:r>
              <w:rPr/>
              <w:t> </w:t>
            </w:r>
          </w:p>
        </w:tc>
      </w:tr>
      <w:tr>
        <w:trPr/>
        <w:tc>
          <w:tcPr>
            <w:tcW w:w="7480" w:type="dxa"/>
            <w:tcBorders/>
            <w:shd w:fill="CCEEFF" w:val="clear"/>
            <w:vAlign w:val="center"/>
          </w:tcPr>
          <w:p>
            <w:pPr>
              <w:pStyle w:val="TableContents"/>
              <w:bidi w:val="0"/>
              <w:spacing w:before="0" w:after="283"/>
              <w:jc w:val="both"/>
              <w:rPr/>
            </w:pPr>
            <w:r>
              <w:rPr/>
              <w:t> </w:t>
            </w:r>
          </w:p>
        </w:tc>
        <w:tc>
          <w:tcPr>
            <w:tcW w:w="60" w:type="dxa"/>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283"/>
              <w:jc w:val="left"/>
              <w:rPr/>
            </w:pPr>
            <w:r>
              <w:rPr/>
              <w:t> </w:t>
            </w:r>
          </w:p>
        </w:tc>
        <w:tc>
          <w:tcPr>
            <w:tcW w:w="887"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8" w:type="dxa"/>
            <w:tcBorders/>
            <w:shd w:fill="CCEEFF" w:val="clear"/>
            <w:vAlign w:val="center"/>
          </w:tcPr>
          <w:p>
            <w:pPr>
              <w:pStyle w:val="TableContents"/>
              <w:bidi w:val="0"/>
              <w:spacing w:before="0" w:after="283"/>
              <w:jc w:val="left"/>
              <w:rPr/>
            </w:pPr>
            <w:r>
              <w:rPr/>
              <w:t> </w:t>
            </w:r>
          </w:p>
        </w:tc>
        <w:tc>
          <w:tcPr>
            <w:tcW w:w="1182" w:type="dxa"/>
            <w:tcBorders/>
            <w:shd w:fill="CCEEFF" w:val="clear"/>
            <w:vAlign w:val="center"/>
          </w:tcPr>
          <w:p>
            <w:pPr>
              <w:pStyle w:val="TableContents"/>
              <w:bidi w:val="0"/>
              <w:spacing w:before="0" w:after="283"/>
              <w:jc w:val="right"/>
              <w:rPr/>
            </w:pPr>
            <w:r>
              <w:rPr/>
              <w:t> </w:t>
            </w:r>
          </w:p>
        </w:tc>
        <w:tc>
          <w:tcPr>
            <w:tcW w:w="112" w:type="dxa"/>
            <w:tcBorders/>
            <w:shd w:fill="CCEEFF" w:val="clear"/>
            <w:vAlign w:val="center"/>
          </w:tcPr>
          <w:p>
            <w:pPr>
              <w:pStyle w:val="TableContents"/>
              <w:bidi w:val="0"/>
              <w:spacing w:before="0" w:after="283"/>
              <w:jc w:val="left"/>
              <w:rPr/>
            </w:pPr>
            <w:r>
              <w:rPr/>
              <w:t> </w:t>
            </w:r>
          </w:p>
        </w:tc>
      </w:tr>
      <w:tr>
        <w:trPr/>
        <w:tc>
          <w:tcPr>
            <w:tcW w:w="7480" w:type="dxa"/>
            <w:tcBorders/>
            <w:shd w:fill="FFFFFF" w:val="clear"/>
            <w:vAlign w:val="center"/>
          </w:tcPr>
          <w:p>
            <w:pPr>
              <w:pStyle w:val="TableContents"/>
              <w:bidi w:val="0"/>
              <w:spacing w:before="0" w:after="283"/>
              <w:jc w:val="left"/>
              <w:rPr>
                <w:b/>
              </w:rPr>
            </w:pPr>
            <w:r>
              <w:rPr>
                <w:b/>
              </w:rPr>
              <w:t>LIABILITIES AND STOCKHOLDERS’ DEFICIT</w:t>
            </w:r>
          </w:p>
        </w:tc>
        <w:tc>
          <w:tcPr>
            <w:tcW w:w="60" w:type="dxa"/>
            <w:tcBorders/>
            <w:shd w:fill="FFFFFF" w:val="clear"/>
            <w:vAlign w:val="center"/>
          </w:tcPr>
          <w:p>
            <w:pPr>
              <w:pStyle w:val="TableContents"/>
              <w:bidi w:val="0"/>
              <w:spacing w:before="0" w:after="283"/>
              <w:jc w:val="left"/>
              <w:rPr/>
            </w:pPr>
            <w:r>
              <w:rPr/>
              <w:t> </w:t>
            </w:r>
          </w:p>
        </w:tc>
        <w:tc>
          <w:tcPr>
            <w:tcW w:w="141" w:type="dxa"/>
            <w:tcBorders/>
            <w:shd w:fill="FFFFFF" w:val="clear"/>
            <w:vAlign w:val="center"/>
          </w:tcPr>
          <w:p>
            <w:pPr>
              <w:pStyle w:val="TableContents"/>
              <w:bidi w:val="0"/>
              <w:spacing w:before="0" w:after="283"/>
              <w:jc w:val="left"/>
              <w:rPr/>
            </w:pPr>
            <w:r>
              <w:rPr/>
              <w:t> </w:t>
            </w:r>
          </w:p>
        </w:tc>
        <w:tc>
          <w:tcPr>
            <w:tcW w:w="887"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8" w:type="dxa"/>
            <w:tcBorders/>
            <w:shd w:fill="FFFFFF" w:val="clear"/>
            <w:vAlign w:val="center"/>
          </w:tcPr>
          <w:p>
            <w:pPr>
              <w:pStyle w:val="TableContents"/>
              <w:bidi w:val="0"/>
              <w:spacing w:before="0" w:after="283"/>
              <w:jc w:val="left"/>
              <w:rPr/>
            </w:pPr>
            <w:r>
              <w:rPr/>
              <w:t> </w:t>
            </w:r>
          </w:p>
        </w:tc>
        <w:tc>
          <w:tcPr>
            <w:tcW w:w="1182" w:type="dxa"/>
            <w:tcBorders/>
            <w:shd w:fill="FFFFFF" w:val="clear"/>
            <w:vAlign w:val="center"/>
          </w:tcPr>
          <w:p>
            <w:pPr>
              <w:pStyle w:val="TableContents"/>
              <w:bidi w:val="0"/>
              <w:spacing w:before="0" w:after="283"/>
              <w:jc w:val="right"/>
              <w:rPr/>
            </w:pPr>
            <w:r>
              <w:rPr/>
              <w:t> </w:t>
            </w:r>
          </w:p>
        </w:tc>
        <w:tc>
          <w:tcPr>
            <w:tcW w:w="112" w:type="dxa"/>
            <w:tcBorders/>
            <w:shd w:fill="FFFFFF" w:val="clear"/>
            <w:vAlign w:val="center"/>
          </w:tcPr>
          <w:p>
            <w:pPr>
              <w:pStyle w:val="TableContents"/>
              <w:bidi w:val="0"/>
              <w:spacing w:before="0" w:after="283"/>
              <w:jc w:val="left"/>
              <w:rPr/>
            </w:pPr>
            <w:r>
              <w:rPr/>
              <w:t> </w:t>
            </w:r>
          </w:p>
        </w:tc>
      </w:tr>
      <w:tr>
        <w:trPr/>
        <w:tc>
          <w:tcPr>
            <w:tcW w:w="7480" w:type="dxa"/>
            <w:tcBorders/>
            <w:shd w:fill="CCEEFF" w:val="clear"/>
            <w:vAlign w:val="center"/>
          </w:tcPr>
          <w:p>
            <w:pPr>
              <w:pStyle w:val="TableContents"/>
              <w:bidi w:val="0"/>
              <w:spacing w:before="0" w:after="283"/>
              <w:jc w:val="both"/>
              <w:rPr/>
            </w:pPr>
            <w:r>
              <w:rPr/>
              <w:t>Current liabilities:</w:t>
            </w:r>
          </w:p>
        </w:tc>
        <w:tc>
          <w:tcPr>
            <w:tcW w:w="60" w:type="dxa"/>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283"/>
              <w:jc w:val="left"/>
              <w:rPr/>
            </w:pPr>
            <w:r>
              <w:rPr/>
              <w:t> </w:t>
            </w:r>
          </w:p>
        </w:tc>
        <w:tc>
          <w:tcPr>
            <w:tcW w:w="887"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8" w:type="dxa"/>
            <w:tcBorders/>
            <w:shd w:fill="CCEEFF" w:val="clear"/>
            <w:vAlign w:val="center"/>
          </w:tcPr>
          <w:p>
            <w:pPr>
              <w:pStyle w:val="TableContents"/>
              <w:bidi w:val="0"/>
              <w:spacing w:before="0" w:after="283"/>
              <w:jc w:val="left"/>
              <w:rPr/>
            </w:pPr>
            <w:r>
              <w:rPr/>
              <w:t> </w:t>
            </w:r>
          </w:p>
        </w:tc>
        <w:tc>
          <w:tcPr>
            <w:tcW w:w="1182" w:type="dxa"/>
            <w:tcBorders/>
            <w:shd w:fill="CCEEFF" w:val="clear"/>
            <w:vAlign w:val="center"/>
          </w:tcPr>
          <w:p>
            <w:pPr>
              <w:pStyle w:val="TableContents"/>
              <w:bidi w:val="0"/>
              <w:spacing w:before="0" w:after="283"/>
              <w:jc w:val="right"/>
              <w:rPr/>
            </w:pPr>
            <w:r>
              <w:rPr/>
              <w:t> </w:t>
            </w:r>
          </w:p>
        </w:tc>
        <w:tc>
          <w:tcPr>
            <w:tcW w:w="112" w:type="dxa"/>
            <w:tcBorders/>
            <w:shd w:fill="CCEEFF" w:val="clear"/>
            <w:vAlign w:val="center"/>
          </w:tcPr>
          <w:p>
            <w:pPr>
              <w:pStyle w:val="TableContents"/>
              <w:bidi w:val="0"/>
              <w:spacing w:before="0" w:after="283"/>
              <w:jc w:val="left"/>
              <w:rPr/>
            </w:pPr>
            <w:r>
              <w:rPr/>
              <w:t> </w:t>
            </w:r>
          </w:p>
        </w:tc>
      </w:tr>
      <w:tr>
        <w:trPr/>
        <w:tc>
          <w:tcPr>
            <w:tcW w:w="7480" w:type="dxa"/>
            <w:tcBorders/>
            <w:shd w:fill="FFFFFF" w:val="clear"/>
            <w:vAlign w:val="center"/>
          </w:tcPr>
          <w:p>
            <w:pPr>
              <w:pStyle w:val="TableContents"/>
              <w:bidi w:val="0"/>
              <w:spacing w:before="0" w:after="283"/>
              <w:jc w:val="both"/>
              <w:rPr/>
            </w:pPr>
            <w:r>
              <w:rPr/>
              <w:t>Accounts payable</w:t>
            </w:r>
          </w:p>
        </w:tc>
        <w:tc>
          <w:tcPr>
            <w:tcW w:w="60" w:type="dxa"/>
            <w:tcBorders/>
            <w:shd w:fill="FFFFFF" w:val="clear"/>
            <w:vAlign w:val="center"/>
          </w:tcPr>
          <w:p>
            <w:pPr>
              <w:pStyle w:val="TableContents"/>
              <w:bidi w:val="0"/>
              <w:spacing w:before="0" w:after="283"/>
              <w:jc w:val="left"/>
              <w:rPr/>
            </w:pPr>
            <w:r>
              <w:rPr/>
              <w:t> </w:t>
            </w:r>
          </w:p>
        </w:tc>
        <w:tc>
          <w:tcPr>
            <w:tcW w:w="141" w:type="dxa"/>
            <w:tcBorders/>
            <w:shd w:fill="FFFFFF" w:val="clear"/>
            <w:vAlign w:val="center"/>
          </w:tcPr>
          <w:p>
            <w:pPr>
              <w:pStyle w:val="TableContents"/>
              <w:bidi w:val="0"/>
              <w:spacing w:before="0" w:after="283"/>
              <w:jc w:val="left"/>
              <w:rPr/>
            </w:pPr>
            <w:r>
              <w:rPr/>
              <w:t>$</w:t>
            </w:r>
          </w:p>
        </w:tc>
        <w:tc>
          <w:tcPr>
            <w:tcW w:w="887" w:type="dxa"/>
            <w:tcBorders/>
            <w:shd w:fill="FFFFFF" w:val="clear"/>
            <w:vAlign w:val="center"/>
          </w:tcPr>
          <w:p>
            <w:pPr>
              <w:pStyle w:val="TableContents"/>
              <w:bidi w:val="0"/>
              <w:spacing w:before="0" w:after="283"/>
              <w:jc w:val="right"/>
              <w:rPr/>
            </w:pPr>
            <w:r>
              <w:rPr/>
              <w:t>28,348</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8" w:type="dxa"/>
            <w:tcBorders/>
            <w:shd w:fill="FFFFFF" w:val="clear"/>
            <w:vAlign w:val="center"/>
          </w:tcPr>
          <w:p>
            <w:pPr>
              <w:pStyle w:val="TableContents"/>
              <w:bidi w:val="0"/>
              <w:spacing w:before="0" w:after="283"/>
              <w:jc w:val="left"/>
              <w:rPr/>
            </w:pPr>
            <w:r>
              <w:rPr/>
              <w:t>$</w:t>
            </w:r>
          </w:p>
        </w:tc>
        <w:tc>
          <w:tcPr>
            <w:tcW w:w="1182" w:type="dxa"/>
            <w:tcBorders/>
            <w:shd w:fill="FFFFFF" w:val="clear"/>
            <w:vAlign w:val="center"/>
          </w:tcPr>
          <w:p>
            <w:pPr>
              <w:pStyle w:val="TableContents"/>
              <w:bidi w:val="0"/>
              <w:spacing w:before="0" w:after="283"/>
              <w:jc w:val="right"/>
              <w:rPr/>
            </w:pPr>
            <w:r>
              <w:rPr/>
              <w:t>26,240</w:t>
            </w:r>
          </w:p>
        </w:tc>
        <w:tc>
          <w:tcPr>
            <w:tcW w:w="112" w:type="dxa"/>
            <w:tcBorders/>
            <w:shd w:fill="FFFFFF" w:val="clear"/>
            <w:vAlign w:val="center"/>
          </w:tcPr>
          <w:p>
            <w:pPr>
              <w:pStyle w:val="TableContents"/>
              <w:bidi w:val="0"/>
              <w:spacing w:before="0" w:after="283"/>
              <w:jc w:val="left"/>
              <w:rPr/>
            </w:pPr>
            <w:r>
              <w:rPr/>
              <w:t> </w:t>
            </w:r>
          </w:p>
        </w:tc>
      </w:tr>
      <w:tr>
        <w:trPr/>
        <w:tc>
          <w:tcPr>
            <w:tcW w:w="7480" w:type="dxa"/>
            <w:tcBorders/>
            <w:shd w:fill="CCEEFF" w:val="cle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Accrued expenses and other current liabilities</w:t>
            </w:r>
            <w:r>
              <w:rPr>
                <w:rFonts w:ascii="Times New Roman;Times;Serif" w:hAnsi="Times New Roman;Times;Serif"/>
                <w:position w:val="7"/>
                <w:sz w:val="16"/>
                <w:sz w:val="20"/>
              </w:rPr>
              <w:t> (1)</w:t>
            </w:r>
          </w:p>
        </w:tc>
        <w:tc>
          <w:tcPr>
            <w:tcW w:w="60" w:type="dxa"/>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283"/>
              <w:jc w:val="left"/>
              <w:rPr/>
            </w:pPr>
            <w:r>
              <w:rPr/>
              <w:t> </w:t>
            </w:r>
          </w:p>
        </w:tc>
        <w:tc>
          <w:tcPr>
            <w:tcW w:w="887" w:type="dxa"/>
            <w:tcBorders/>
            <w:shd w:fill="CCEEFF" w:val="clear"/>
            <w:vAlign w:val="center"/>
          </w:tcPr>
          <w:p>
            <w:pPr>
              <w:pStyle w:val="TableContents"/>
              <w:bidi w:val="0"/>
              <w:spacing w:before="0" w:after="283"/>
              <w:jc w:val="right"/>
              <w:rPr/>
            </w:pPr>
            <w:r>
              <w:rPr/>
              <w:t>70,006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8" w:type="dxa"/>
            <w:tcBorders/>
            <w:shd w:fill="CCEEFF" w:val="clear"/>
            <w:vAlign w:val="center"/>
          </w:tcPr>
          <w:p>
            <w:pPr>
              <w:pStyle w:val="TableContents"/>
              <w:bidi w:val="0"/>
              <w:spacing w:before="0" w:after="283"/>
              <w:jc w:val="left"/>
              <w:rPr/>
            </w:pPr>
            <w:r>
              <w:rPr/>
              <w:t> </w:t>
            </w:r>
          </w:p>
        </w:tc>
        <w:tc>
          <w:tcPr>
            <w:tcW w:w="1182" w:type="dxa"/>
            <w:tcBorders/>
            <w:shd w:fill="CCEEFF" w:val="clear"/>
            <w:vAlign w:val="center"/>
          </w:tcPr>
          <w:p>
            <w:pPr>
              <w:pStyle w:val="TableContents"/>
              <w:bidi w:val="0"/>
              <w:spacing w:before="0" w:after="283"/>
              <w:jc w:val="right"/>
              <w:rPr/>
            </w:pPr>
            <w:r>
              <w:rPr/>
              <w:t>56,977</w:t>
            </w:r>
          </w:p>
        </w:tc>
        <w:tc>
          <w:tcPr>
            <w:tcW w:w="112" w:type="dxa"/>
            <w:tcBorders/>
            <w:shd w:fill="CCEEFF" w:val="clear"/>
            <w:vAlign w:val="center"/>
          </w:tcPr>
          <w:p>
            <w:pPr>
              <w:pStyle w:val="TableContents"/>
              <w:bidi w:val="0"/>
              <w:spacing w:before="0" w:after="283"/>
              <w:jc w:val="left"/>
              <w:rPr/>
            </w:pPr>
            <w:r>
              <w:rPr/>
              <w:t> </w:t>
            </w:r>
          </w:p>
        </w:tc>
      </w:tr>
      <w:tr>
        <w:trPr/>
        <w:tc>
          <w:tcPr>
            <w:tcW w:w="7480" w:type="dxa"/>
            <w:tcBorders/>
            <w:shd w:fill="FFFFFF" w:val="clear"/>
            <w:vAlign w:val="center"/>
          </w:tcPr>
          <w:p>
            <w:pPr>
              <w:pStyle w:val="TableContents"/>
              <w:bidi w:val="0"/>
              <w:spacing w:before="0" w:after="283"/>
              <w:jc w:val="both"/>
              <w:rPr/>
            </w:pPr>
            <w:r>
              <w:rPr/>
              <w:t>Short-term debt with related parties</w:t>
            </w:r>
          </w:p>
        </w:tc>
        <w:tc>
          <w:tcPr>
            <w:tcW w:w="60" w:type="dxa"/>
            <w:tcBorders/>
            <w:shd w:fill="FFFFFF" w:val="clear"/>
            <w:vAlign w:val="center"/>
          </w:tcPr>
          <w:p>
            <w:pPr>
              <w:pStyle w:val="TableContents"/>
              <w:bidi w:val="0"/>
              <w:spacing w:before="0" w:after="283"/>
              <w:jc w:val="left"/>
              <w:rPr/>
            </w:pPr>
            <w:r>
              <w:rPr/>
              <w:t> </w:t>
            </w:r>
          </w:p>
        </w:tc>
        <w:tc>
          <w:tcPr>
            <w:tcW w:w="141" w:type="dxa"/>
            <w:tcBorders/>
            <w:shd w:fill="FFFFFF" w:val="clear"/>
            <w:vAlign w:val="center"/>
          </w:tcPr>
          <w:p>
            <w:pPr>
              <w:pStyle w:val="TableContents"/>
              <w:bidi w:val="0"/>
              <w:spacing w:before="0" w:after="283"/>
              <w:jc w:val="left"/>
              <w:rPr/>
            </w:pPr>
            <w:r>
              <w:rPr/>
              <w:t> </w:t>
            </w:r>
          </w:p>
        </w:tc>
        <w:tc>
          <w:tcPr>
            <w:tcW w:w="887" w:type="dxa"/>
            <w:tcBorders/>
            <w:shd w:fill="FFFFFF" w:val="clear"/>
            <w:vAlign w:val="center"/>
          </w:tcPr>
          <w:p>
            <w:pPr>
              <w:pStyle w:val="TableContents"/>
              <w:bidi w:val="0"/>
              <w:spacing w:before="0" w:after="283"/>
              <w:jc w:val="right"/>
              <w:rPr/>
            </w:pPr>
            <w:r>
              <w:rPr/>
              <w:t>21,500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8" w:type="dxa"/>
            <w:tcBorders/>
            <w:shd w:fill="FFFFFF" w:val="clear"/>
            <w:vAlign w:val="center"/>
          </w:tcPr>
          <w:p>
            <w:pPr>
              <w:pStyle w:val="TableContents"/>
              <w:bidi w:val="0"/>
              <w:spacing w:before="0" w:after="283"/>
              <w:jc w:val="left"/>
              <w:rPr/>
            </w:pPr>
            <w:r>
              <w:rPr/>
              <w:t> </w:t>
            </w:r>
          </w:p>
        </w:tc>
        <w:tc>
          <w:tcPr>
            <w:tcW w:w="1182" w:type="dxa"/>
            <w:tcBorders/>
            <w:shd w:fill="FFFFFF" w:val="clear"/>
            <w:vAlign w:val="center"/>
          </w:tcPr>
          <w:p>
            <w:pPr>
              <w:pStyle w:val="TableContents"/>
              <w:bidi w:val="0"/>
              <w:spacing w:before="0" w:after="283"/>
              <w:jc w:val="right"/>
              <w:rPr/>
            </w:pPr>
            <w:r>
              <w:rPr/>
              <w:t>21,500</w:t>
            </w:r>
          </w:p>
        </w:tc>
        <w:tc>
          <w:tcPr>
            <w:tcW w:w="112" w:type="dxa"/>
            <w:tcBorders/>
            <w:shd w:fill="FFFFFF" w:val="clear"/>
            <w:vAlign w:val="center"/>
          </w:tcPr>
          <w:p>
            <w:pPr>
              <w:pStyle w:val="TableContents"/>
              <w:bidi w:val="0"/>
              <w:spacing w:before="0" w:after="283"/>
              <w:jc w:val="left"/>
              <w:rPr/>
            </w:pPr>
            <w:r>
              <w:rPr/>
              <w:t> </w:t>
            </w:r>
          </w:p>
        </w:tc>
      </w:tr>
      <w:tr>
        <w:trPr/>
        <w:tc>
          <w:tcPr>
            <w:tcW w:w="7480" w:type="dxa"/>
            <w:tcBorders/>
            <w:shd w:fill="CCEEFF" w:val="clear"/>
            <w:vAlign w:val="center"/>
          </w:tcPr>
          <w:p>
            <w:pPr>
              <w:pStyle w:val="TableContents"/>
              <w:bidi w:val="0"/>
              <w:spacing w:before="0" w:after="283"/>
              <w:jc w:val="both"/>
              <w:rPr/>
            </w:pPr>
            <w:r>
              <w:rPr/>
              <w:t>Short-term debt with third parties</w:t>
            </w:r>
          </w:p>
        </w:tc>
        <w:tc>
          <w:tcPr>
            <w:tcW w:w="60" w:type="dxa"/>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283"/>
              <w:jc w:val="left"/>
              <w:rPr/>
            </w:pPr>
            <w:r>
              <w:rPr/>
              <w:t> </w:t>
            </w:r>
          </w:p>
        </w:tc>
        <w:tc>
          <w:tcPr>
            <w:tcW w:w="887" w:type="dxa"/>
            <w:tcBorders/>
            <w:shd w:fill="CCEEFF" w:val="clear"/>
            <w:vAlign w:val="center"/>
          </w:tcPr>
          <w:p>
            <w:pPr>
              <w:pStyle w:val="TableContents"/>
              <w:bidi w:val="0"/>
              <w:spacing w:before="0" w:after="283"/>
              <w:jc w:val="right"/>
              <w:rPr/>
            </w:pPr>
            <w:r>
              <w:rPr/>
              <w:t>13,736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8" w:type="dxa"/>
            <w:tcBorders/>
            <w:shd w:fill="CCEEFF" w:val="clear"/>
            <w:vAlign w:val="center"/>
          </w:tcPr>
          <w:p>
            <w:pPr>
              <w:pStyle w:val="TableContents"/>
              <w:bidi w:val="0"/>
              <w:spacing w:before="0" w:after="283"/>
              <w:jc w:val="left"/>
              <w:rPr/>
            </w:pPr>
            <w:r>
              <w:rPr/>
              <w:t> </w:t>
            </w:r>
          </w:p>
        </w:tc>
        <w:tc>
          <w:tcPr>
            <w:tcW w:w="1182" w:type="dxa"/>
            <w:tcBorders/>
            <w:shd w:fill="CCEEFF" w:val="clear"/>
            <w:vAlign w:val="center"/>
          </w:tcPr>
          <w:p>
            <w:pPr>
              <w:pStyle w:val="TableContents"/>
              <w:bidi w:val="0"/>
              <w:spacing w:before="0" w:after="283"/>
              <w:jc w:val="right"/>
              <w:rPr/>
            </w:pPr>
            <w:r>
              <w:rPr/>
              <w:t>—</w:t>
            </w:r>
          </w:p>
        </w:tc>
        <w:tc>
          <w:tcPr>
            <w:tcW w:w="112" w:type="dxa"/>
            <w:tcBorders/>
            <w:shd w:fill="CCEEFF" w:val="clear"/>
            <w:vAlign w:val="center"/>
          </w:tcPr>
          <w:p>
            <w:pPr>
              <w:pStyle w:val="TableContents"/>
              <w:bidi w:val="0"/>
              <w:spacing w:before="0" w:after="283"/>
              <w:jc w:val="left"/>
              <w:rPr/>
            </w:pPr>
            <w:r>
              <w:rPr/>
              <w:t> </w:t>
            </w:r>
          </w:p>
        </w:tc>
      </w:tr>
      <w:tr>
        <w:trPr/>
        <w:tc>
          <w:tcPr>
            <w:tcW w:w="7480" w:type="dxa"/>
            <w:tcBorders/>
            <w:shd w:fill="FFFFFF" w:val="clear"/>
            <w:vAlign w:val="center"/>
          </w:tcPr>
          <w:p>
            <w:pPr>
              <w:pStyle w:val="TableContents"/>
              <w:bidi w:val="0"/>
              <w:spacing w:before="0" w:after="283"/>
              <w:jc w:val="both"/>
              <w:rPr/>
            </w:pPr>
            <w:r>
              <w:rPr/>
              <w:t>Current portion of long-term notes payable</w:t>
            </w:r>
          </w:p>
        </w:tc>
        <w:tc>
          <w:tcPr>
            <w:tcW w:w="60" w:type="dxa"/>
            <w:tcBorders/>
            <w:shd w:fill="FFFFFF" w:val="clear"/>
            <w:vAlign w:val="center"/>
          </w:tcPr>
          <w:p>
            <w:pPr>
              <w:pStyle w:val="TableContents"/>
              <w:bidi w:val="0"/>
              <w:spacing w:before="0" w:after="283"/>
              <w:jc w:val="left"/>
              <w:rPr/>
            </w:pPr>
            <w:r>
              <w:rPr/>
              <w:t> </w:t>
            </w:r>
          </w:p>
        </w:tc>
        <w:tc>
          <w:tcPr>
            <w:tcW w:w="141" w:type="dxa"/>
            <w:tcBorders/>
            <w:shd w:fill="FFFFFF" w:val="clear"/>
            <w:vAlign w:val="center"/>
          </w:tcPr>
          <w:p>
            <w:pPr>
              <w:pStyle w:val="TableContents"/>
              <w:bidi w:val="0"/>
              <w:spacing w:before="0" w:after="283"/>
              <w:jc w:val="left"/>
              <w:rPr/>
            </w:pPr>
            <w:r>
              <w:rPr/>
              <w:t> </w:t>
            </w:r>
          </w:p>
        </w:tc>
        <w:tc>
          <w:tcPr>
            <w:tcW w:w="887" w:type="dxa"/>
            <w:tcBorders/>
            <w:shd w:fill="FFFFFF" w:val="clear"/>
            <w:vAlign w:val="center"/>
          </w:tcPr>
          <w:p>
            <w:pPr>
              <w:pStyle w:val="TableContents"/>
              <w:bidi w:val="0"/>
              <w:spacing w:before="0" w:after="283"/>
              <w:jc w:val="right"/>
              <w:rPr/>
            </w:pPr>
            <w:r>
              <w:rPr/>
              <w:t>2,786</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8" w:type="dxa"/>
            <w:tcBorders/>
            <w:shd w:fill="FFFFFF" w:val="clear"/>
            <w:vAlign w:val="center"/>
          </w:tcPr>
          <w:p>
            <w:pPr>
              <w:pStyle w:val="TableContents"/>
              <w:bidi w:val="0"/>
              <w:spacing w:before="0" w:after="283"/>
              <w:jc w:val="left"/>
              <w:rPr/>
            </w:pPr>
            <w:r>
              <w:rPr/>
              <w:t> </w:t>
            </w:r>
          </w:p>
        </w:tc>
        <w:tc>
          <w:tcPr>
            <w:tcW w:w="1182" w:type="dxa"/>
            <w:tcBorders/>
            <w:shd w:fill="FFFFFF" w:val="clear"/>
            <w:vAlign w:val="center"/>
          </w:tcPr>
          <w:p>
            <w:pPr>
              <w:pStyle w:val="TableContents"/>
              <w:bidi w:val="0"/>
              <w:spacing w:before="0" w:after="283"/>
              <w:jc w:val="right"/>
              <w:rPr/>
            </w:pPr>
            <w:r>
              <w:rPr/>
              <w:t>2,786</w:t>
            </w:r>
          </w:p>
        </w:tc>
        <w:tc>
          <w:tcPr>
            <w:tcW w:w="112" w:type="dxa"/>
            <w:tcBorders/>
            <w:shd w:fill="FFFFFF" w:val="clear"/>
            <w:vAlign w:val="center"/>
          </w:tcPr>
          <w:p>
            <w:pPr>
              <w:pStyle w:val="TableContents"/>
              <w:bidi w:val="0"/>
              <w:spacing w:before="0" w:after="283"/>
              <w:jc w:val="left"/>
              <w:rPr/>
            </w:pPr>
            <w:r>
              <w:rPr/>
              <w:t> </w:t>
            </w:r>
          </w:p>
        </w:tc>
      </w:tr>
      <w:tr>
        <w:trPr/>
        <w:tc>
          <w:tcPr>
            <w:tcW w:w="7480" w:type="dxa"/>
            <w:tcBorders/>
            <w:shd w:fill="CCEEFF" w:val="clear"/>
            <w:vAlign w:val="center"/>
          </w:tcPr>
          <w:p>
            <w:pPr>
              <w:pStyle w:val="TableContents"/>
              <w:bidi w:val="0"/>
              <w:spacing w:before="0" w:after="283"/>
              <w:jc w:val="both"/>
              <w:rPr/>
            </w:pPr>
            <w:r>
              <w:rPr/>
              <w:t>Deferred consideration, current</w:t>
            </w:r>
          </w:p>
        </w:tc>
        <w:tc>
          <w:tcPr>
            <w:tcW w:w="60" w:type="dxa"/>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283"/>
              <w:jc w:val="left"/>
              <w:rPr/>
            </w:pPr>
            <w:r>
              <w:rPr/>
              <w:t> </w:t>
            </w:r>
          </w:p>
        </w:tc>
        <w:tc>
          <w:tcPr>
            <w:tcW w:w="887" w:type="dxa"/>
            <w:tcBorders/>
            <w:shd w:fill="CCEEFF" w:val="clear"/>
            <w:vAlign w:val="center"/>
          </w:tcPr>
          <w:p>
            <w:pPr>
              <w:pStyle w:val="TableContents"/>
              <w:bidi w:val="0"/>
              <w:spacing w:before="0" w:after="283"/>
              <w:jc w:val="right"/>
              <w:rPr/>
            </w:pPr>
            <w:r>
              <w:rPr/>
              <w:t>17,102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8" w:type="dxa"/>
            <w:tcBorders/>
            <w:shd w:fill="CCEEFF" w:val="clear"/>
            <w:vAlign w:val="center"/>
          </w:tcPr>
          <w:p>
            <w:pPr>
              <w:pStyle w:val="TableContents"/>
              <w:bidi w:val="0"/>
              <w:spacing w:before="0" w:after="283"/>
              <w:jc w:val="left"/>
              <w:rPr/>
            </w:pPr>
            <w:r>
              <w:rPr/>
              <w:t> </w:t>
            </w:r>
          </w:p>
        </w:tc>
        <w:tc>
          <w:tcPr>
            <w:tcW w:w="1182" w:type="dxa"/>
            <w:tcBorders/>
            <w:shd w:fill="CCEEFF" w:val="clear"/>
            <w:vAlign w:val="center"/>
          </w:tcPr>
          <w:p>
            <w:pPr>
              <w:pStyle w:val="TableContents"/>
              <w:bidi w:val="0"/>
              <w:spacing w:before="0" w:after="283"/>
              <w:jc w:val="right"/>
              <w:rPr/>
            </w:pPr>
            <w:r>
              <w:rPr/>
              <w:t>16,879</w:t>
            </w:r>
          </w:p>
        </w:tc>
        <w:tc>
          <w:tcPr>
            <w:tcW w:w="112" w:type="dxa"/>
            <w:tcBorders/>
            <w:shd w:fill="CCEEFF" w:val="clear"/>
            <w:vAlign w:val="center"/>
          </w:tcPr>
          <w:p>
            <w:pPr>
              <w:pStyle w:val="TableContents"/>
              <w:bidi w:val="0"/>
              <w:spacing w:before="0" w:after="283"/>
              <w:jc w:val="left"/>
              <w:rPr/>
            </w:pPr>
            <w:r>
              <w:rPr/>
              <w:t> </w:t>
            </w:r>
          </w:p>
        </w:tc>
      </w:tr>
      <w:tr>
        <w:trPr/>
        <w:tc>
          <w:tcPr>
            <w:tcW w:w="7480" w:type="dxa"/>
            <w:tcBorders/>
            <w:shd w:fill="FFFFFF" w:val="clear"/>
            <w:vAlign w:val="center"/>
          </w:tcPr>
          <w:p>
            <w:pPr>
              <w:pStyle w:val="TableContents"/>
              <w:bidi w:val="0"/>
              <w:spacing w:before="0" w:after="283"/>
              <w:jc w:val="both"/>
              <w:rPr/>
            </w:pPr>
            <w:r>
              <w:rPr/>
              <w:t>Deferred consideration, current with related party</w:t>
            </w:r>
          </w:p>
        </w:tc>
        <w:tc>
          <w:tcPr>
            <w:tcW w:w="60" w:type="dxa"/>
            <w:tcBorders/>
            <w:shd w:fill="FFFFFF" w:val="clear"/>
            <w:vAlign w:val="center"/>
          </w:tcPr>
          <w:p>
            <w:pPr>
              <w:pStyle w:val="TableContents"/>
              <w:bidi w:val="0"/>
              <w:spacing w:before="0" w:after="283"/>
              <w:jc w:val="left"/>
              <w:rPr/>
            </w:pPr>
            <w:r>
              <w:rPr/>
              <w:t> </w:t>
            </w:r>
          </w:p>
        </w:tc>
        <w:tc>
          <w:tcPr>
            <w:tcW w:w="141" w:type="dxa"/>
            <w:tcBorders/>
            <w:shd w:fill="FFFFFF" w:val="clear"/>
            <w:vAlign w:val="center"/>
          </w:tcPr>
          <w:p>
            <w:pPr>
              <w:pStyle w:val="TableContents"/>
              <w:bidi w:val="0"/>
              <w:spacing w:before="0" w:after="283"/>
              <w:jc w:val="left"/>
              <w:rPr/>
            </w:pPr>
            <w:r>
              <w:rPr/>
              <w:t> </w:t>
            </w:r>
          </w:p>
        </w:tc>
        <w:tc>
          <w:tcPr>
            <w:tcW w:w="887"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8" w:type="dxa"/>
            <w:tcBorders/>
            <w:shd w:fill="FFFFFF" w:val="clear"/>
            <w:vAlign w:val="center"/>
          </w:tcPr>
          <w:p>
            <w:pPr>
              <w:pStyle w:val="TableContents"/>
              <w:bidi w:val="0"/>
              <w:spacing w:before="0" w:after="283"/>
              <w:jc w:val="left"/>
              <w:rPr/>
            </w:pPr>
            <w:r>
              <w:rPr/>
              <w:t> </w:t>
            </w:r>
          </w:p>
        </w:tc>
        <w:tc>
          <w:tcPr>
            <w:tcW w:w="1182" w:type="dxa"/>
            <w:tcBorders/>
            <w:shd w:fill="FFFFFF" w:val="clear"/>
            <w:vAlign w:val="center"/>
          </w:tcPr>
          <w:p>
            <w:pPr>
              <w:pStyle w:val="TableContents"/>
              <w:bidi w:val="0"/>
              <w:spacing w:before="0" w:after="283"/>
              <w:jc w:val="right"/>
              <w:rPr/>
            </w:pPr>
            <w:r>
              <w:rPr/>
              <w:t>5,420</w:t>
            </w:r>
          </w:p>
        </w:tc>
        <w:tc>
          <w:tcPr>
            <w:tcW w:w="112" w:type="dxa"/>
            <w:tcBorders/>
            <w:shd w:fill="FFFFFF" w:val="clear"/>
            <w:vAlign w:val="center"/>
          </w:tcPr>
          <w:p>
            <w:pPr>
              <w:pStyle w:val="TableContents"/>
              <w:bidi w:val="0"/>
              <w:spacing w:before="0" w:after="283"/>
              <w:jc w:val="left"/>
              <w:rPr/>
            </w:pPr>
            <w:r>
              <w:rPr/>
              <w:t> </w:t>
            </w:r>
          </w:p>
        </w:tc>
      </w:tr>
      <w:tr>
        <w:trPr/>
        <w:tc>
          <w:tcPr>
            <w:tcW w:w="7480" w:type="dxa"/>
            <w:tcBorders/>
            <w:shd w:fill="CCEEFF" w:val="clear"/>
            <w:vAlign w:val="center"/>
          </w:tcPr>
          <w:p>
            <w:pPr>
              <w:pStyle w:val="TableContents"/>
              <w:bidi w:val="0"/>
              <w:spacing w:before="0" w:after="283"/>
              <w:jc w:val="both"/>
              <w:rPr/>
            </w:pPr>
            <w:r>
              <w:rPr/>
              <w:t>Contract liabilities</w:t>
            </w:r>
          </w:p>
        </w:tc>
        <w:tc>
          <w:tcPr>
            <w:tcW w:w="60" w:type="dxa"/>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283"/>
              <w:jc w:val="left"/>
              <w:rPr/>
            </w:pPr>
            <w:r>
              <w:rPr/>
              <w:t> </w:t>
            </w:r>
          </w:p>
        </w:tc>
        <w:tc>
          <w:tcPr>
            <w:tcW w:w="887" w:type="dxa"/>
            <w:tcBorders/>
            <w:shd w:fill="CCEEFF" w:val="clear"/>
            <w:vAlign w:val="center"/>
          </w:tcPr>
          <w:p>
            <w:pPr>
              <w:pStyle w:val="TableContents"/>
              <w:bidi w:val="0"/>
              <w:spacing w:before="0" w:after="283"/>
              <w:jc w:val="right"/>
              <w:rPr/>
            </w:pPr>
            <w:r>
              <w:rPr/>
              <w:t>12,634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8" w:type="dxa"/>
            <w:tcBorders/>
            <w:shd w:fill="CCEEFF" w:val="clear"/>
            <w:vAlign w:val="center"/>
          </w:tcPr>
          <w:p>
            <w:pPr>
              <w:pStyle w:val="TableContents"/>
              <w:bidi w:val="0"/>
              <w:spacing w:before="0" w:after="283"/>
              <w:jc w:val="left"/>
              <w:rPr/>
            </w:pPr>
            <w:r>
              <w:rPr/>
              <w:t> </w:t>
            </w:r>
          </w:p>
        </w:tc>
        <w:tc>
          <w:tcPr>
            <w:tcW w:w="1182" w:type="dxa"/>
            <w:tcBorders/>
            <w:shd w:fill="CCEEFF" w:val="clear"/>
            <w:vAlign w:val="center"/>
          </w:tcPr>
          <w:p>
            <w:pPr>
              <w:pStyle w:val="TableContents"/>
              <w:bidi w:val="0"/>
              <w:spacing w:before="0" w:after="283"/>
              <w:jc w:val="right"/>
              <w:rPr/>
            </w:pPr>
            <w:r>
              <w:rPr/>
              <w:t>20,336</w:t>
            </w:r>
          </w:p>
        </w:tc>
        <w:tc>
          <w:tcPr>
            <w:tcW w:w="112" w:type="dxa"/>
            <w:tcBorders/>
            <w:shd w:fill="CCEEFF" w:val="clear"/>
            <w:vAlign w:val="center"/>
          </w:tcPr>
          <w:p>
            <w:pPr>
              <w:pStyle w:val="TableContents"/>
              <w:bidi w:val="0"/>
              <w:spacing w:before="0" w:after="283"/>
              <w:jc w:val="left"/>
              <w:rPr/>
            </w:pPr>
            <w:r>
              <w:rPr/>
              <w:t> </w:t>
            </w:r>
          </w:p>
        </w:tc>
      </w:tr>
      <w:tr>
        <w:trPr/>
        <w:tc>
          <w:tcPr>
            <w:tcW w:w="7480" w:type="dxa"/>
            <w:tcBorders/>
            <w:shd w:fill="FFFFFF" w:val="clear"/>
            <w:vAlign w:val="center"/>
          </w:tcPr>
          <w:p>
            <w:pPr>
              <w:pStyle w:val="TableContents"/>
              <w:bidi w:val="0"/>
              <w:spacing w:before="0" w:after="283"/>
              <w:jc w:val="both"/>
              <w:rPr/>
            </w:pPr>
            <w:r>
              <w:rPr/>
              <w:t>SAFE Agreement with related party</w:t>
            </w:r>
          </w:p>
        </w:tc>
        <w:tc>
          <w:tcPr>
            <w:tcW w:w="60" w:type="dxa"/>
            <w:tcBorders/>
            <w:shd w:fill="FFFFFF" w:val="clear"/>
            <w:vAlign w:val="center"/>
          </w:tcPr>
          <w:p>
            <w:pPr>
              <w:pStyle w:val="TableContents"/>
              <w:bidi w:val="0"/>
              <w:spacing w:before="0" w:after="283"/>
              <w:jc w:val="left"/>
              <w:rPr/>
            </w:pPr>
            <w:r>
              <w:rPr/>
              <w:t> </w:t>
            </w:r>
          </w:p>
        </w:tc>
        <w:tc>
          <w:tcPr>
            <w:tcW w:w="141" w:type="dxa"/>
            <w:tcBorders/>
            <w:shd w:fill="FFFFFF" w:val="clear"/>
            <w:vAlign w:val="center"/>
          </w:tcPr>
          <w:p>
            <w:pPr>
              <w:pStyle w:val="TableContents"/>
              <w:bidi w:val="0"/>
              <w:spacing w:before="0" w:after="283"/>
              <w:jc w:val="left"/>
              <w:rPr/>
            </w:pPr>
            <w:r>
              <w:rPr/>
              <w:t> </w:t>
            </w:r>
          </w:p>
        </w:tc>
        <w:tc>
          <w:tcPr>
            <w:tcW w:w="887" w:type="dxa"/>
            <w:tcBorders/>
            <w:shd w:fill="FFFFFF" w:val="clear"/>
            <w:vAlign w:val="center"/>
          </w:tcPr>
          <w:p>
            <w:pPr>
              <w:pStyle w:val="TableContents"/>
              <w:bidi w:val="0"/>
              <w:spacing w:before="0" w:after="283"/>
              <w:jc w:val="right"/>
              <w:rPr/>
            </w:pPr>
            <w:r>
              <w:rPr/>
              <w:t>579</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8" w:type="dxa"/>
            <w:tcBorders/>
            <w:shd w:fill="FFFFFF" w:val="clear"/>
            <w:vAlign w:val="center"/>
          </w:tcPr>
          <w:p>
            <w:pPr>
              <w:pStyle w:val="TableContents"/>
              <w:bidi w:val="0"/>
              <w:spacing w:before="0" w:after="283"/>
              <w:jc w:val="left"/>
              <w:rPr/>
            </w:pPr>
            <w:r>
              <w:rPr/>
              <w:t> </w:t>
            </w:r>
          </w:p>
        </w:tc>
        <w:tc>
          <w:tcPr>
            <w:tcW w:w="1182" w:type="dxa"/>
            <w:tcBorders/>
            <w:shd w:fill="FFFFFF" w:val="clear"/>
            <w:vAlign w:val="center"/>
          </w:tcPr>
          <w:p>
            <w:pPr>
              <w:pStyle w:val="TableContents"/>
              <w:bidi w:val="0"/>
              <w:spacing w:before="0" w:after="283"/>
              <w:jc w:val="right"/>
              <w:rPr/>
            </w:pPr>
            <w:r>
              <w:rPr/>
              <w:t>535</w:t>
            </w:r>
          </w:p>
        </w:tc>
        <w:tc>
          <w:tcPr>
            <w:tcW w:w="112" w:type="dxa"/>
            <w:tcBorders/>
            <w:shd w:fill="FFFFFF" w:val="clear"/>
            <w:vAlign w:val="center"/>
          </w:tcPr>
          <w:p>
            <w:pPr>
              <w:pStyle w:val="TableContents"/>
              <w:bidi w:val="0"/>
              <w:spacing w:before="0" w:after="283"/>
              <w:jc w:val="left"/>
              <w:rPr/>
            </w:pPr>
            <w:r>
              <w:rPr/>
              <w:t> </w:t>
            </w:r>
          </w:p>
        </w:tc>
      </w:tr>
      <w:tr>
        <w:trPr/>
        <w:tc>
          <w:tcPr>
            <w:tcW w:w="7480" w:type="dxa"/>
            <w:tcBorders/>
            <w:shd w:fill="CCEEFF" w:val="clear"/>
            <w:vAlign w:val="center"/>
          </w:tcPr>
          <w:p>
            <w:pPr>
              <w:pStyle w:val="TableContents"/>
              <w:bidi w:val="0"/>
              <w:spacing w:before="0" w:after="283"/>
              <w:jc w:val="both"/>
              <w:rPr/>
            </w:pPr>
            <w:r>
              <w:rPr/>
              <w:t>Forward purchase agreement liabilities</w:t>
            </w:r>
          </w:p>
        </w:tc>
        <w:tc>
          <w:tcPr>
            <w:tcW w:w="60" w:type="dxa"/>
            <w:tcBorders/>
            <w:shd w:fill="CCEEFF" w:val="clear"/>
            <w:vAlign w:val="center"/>
          </w:tcPr>
          <w:p>
            <w:pPr>
              <w:pStyle w:val="TableContents"/>
              <w:bidi w:val="0"/>
              <w:spacing w:before="0" w:after="283"/>
              <w:jc w:val="left"/>
              <w:rPr/>
            </w:pPr>
            <w:r>
              <w:rPr/>
              <w:t> </w:t>
            </w:r>
          </w:p>
        </w:tc>
        <w:tc>
          <w:tcPr>
            <w:tcW w:w="141"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87" w:type="dxa"/>
            <w:tcBorders>
              <w:bottom w:val="single" w:sz="12" w:space="0" w:color="000000"/>
            </w:tcBorders>
            <w:shd w:fill="CCEEFF" w:val="clear"/>
            <w:tcMar>
              <w:bottom w:w="28" w:type="dxa"/>
            </w:tcMar>
            <w:vAlign w:val="center"/>
          </w:tcPr>
          <w:p>
            <w:pPr>
              <w:pStyle w:val="TableContents"/>
              <w:bidi w:val="0"/>
              <w:spacing w:before="0" w:after="283"/>
              <w:jc w:val="right"/>
              <w:rPr/>
            </w:pPr>
            <w:r>
              <w:rPr/>
              <w:t>5,107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8"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82" w:type="dxa"/>
            <w:tcBorders>
              <w:bottom w:val="single" w:sz="12" w:space="0" w:color="000000"/>
            </w:tcBorders>
            <w:shd w:fill="CCEEFF" w:val="clear"/>
            <w:tcMar>
              <w:bottom w:w="28" w:type="dxa"/>
            </w:tcMar>
            <w:vAlign w:val="center"/>
          </w:tcPr>
          <w:p>
            <w:pPr>
              <w:pStyle w:val="TableContents"/>
              <w:bidi w:val="0"/>
              <w:spacing w:before="0" w:after="283"/>
              <w:jc w:val="right"/>
              <w:rPr/>
            </w:pPr>
            <w:r>
              <w:rPr/>
              <w:t>3,965</w:t>
            </w:r>
          </w:p>
        </w:tc>
        <w:tc>
          <w:tcPr>
            <w:tcW w:w="112" w:type="dxa"/>
            <w:tcBorders/>
            <w:shd w:fill="CCEEFF" w:val="clear"/>
            <w:vAlign w:val="center"/>
          </w:tcPr>
          <w:p>
            <w:pPr>
              <w:pStyle w:val="TableContents"/>
              <w:bidi w:val="0"/>
              <w:spacing w:before="0" w:after="283"/>
              <w:jc w:val="left"/>
              <w:rPr/>
            </w:pPr>
            <w:r>
              <w:rPr/>
              <w:t> </w:t>
            </w:r>
          </w:p>
        </w:tc>
      </w:tr>
      <w:tr>
        <w:trPr/>
        <w:tc>
          <w:tcPr>
            <w:tcW w:w="7480" w:type="dxa"/>
            <w:tcBorders/>
            <w:shd w:fill="FFFFFF" w:val="clear"/>
            <w:vAlign w:val="center"/>
          </w:tcPr>
          <w:p>
            <w:pPr>
              <w:pStyle w:val="TableContents"/>
              <w:bidi w:val="0"/>
              <w:spacing w:before="0" w:after="283"/>
              <w:jc w:val="both"/>
              <w:rPr/>
            </w:pPr>
            <w:r>
              <w:rPr/>
              <w:t>Total current liabilities</w:t>
            </w:r>
          </w:p>
        </w:tc>
        <w:tc>
          <w:tcPr>
            <w:tcW w:w="60" w:type="dxa"/>
            <w:tcBorders/>
            <w:shd w:fill="FFFFFF" w:val="clear"/>
            <w:vAlign w:val="center"/>
          </w:tcPr>
          <w:p>
            <w:pPr>
              <w:pStyle w:val="TableContents"/>
              <w:bidi w:val="0"/>
              <w:spacing w:before="0" w:after="283"/>
              <w:jc w:val="left"/>
              <w:rPr/>
            </w:pPr>
            <w:r>
              <w:rPr/>
              <w:t> </w:t>
            </w:r>
          </w:p>
        </w:tc>
        <w:tc>
          <w:tcPr>
            <w:tcW w:w="141"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887" w:type="dxa"/>
            <w:tcBorders>
              <w:bottom w:val="single" w:sz="12" w:space="0" w:color="000000"/>
            </w:tcBorders>
            <w:shd w:fill="FFFFFF" w:val="clear"/>
            <w:tcMar>
              <w:bottom w:w="28" w:type="dxa"/>
            </w:tcMar>
            <w:vAlign w:val="center"/>
          </w:tcPr>
          <w:p>
            <w:pPr>
              <w:pStyle w:val="TableContents"/>
              <w:bidi w:val="0"/>
              <w:spacing w:before="0" w:after="283"/>
              <w:jc w:val="right"/>
              <w:rPr/>
            </w:pPr>
            <w:r>
              <w:rPr/>
              <w:t>171,798</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8"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82" w:type="dxa"/>
            <w:tcBorders>
              <w:bottom w:val="single" w:sz="12" w:space="0" w:color="000000"/>
            </w:tcBorders>
            <w:shd w:fill="FFFFFF" w:val="clear"/>
            <w:tcMar>
              <w:bottom w:w="28" w:type="dxa"/>
            </w:tcMar>
            <w:vAlign w:val="center"/>
          </w:tcPr>
          <w:p>
            <w:pPr>
              <w:pStyle w:val="TableContents"/>
              <w:bidi w:val="0"/>
              <w:spacing w:before="0" w:after="283"/>
              <w:jc w:val="right"/>
              <w:rPr/>
            </w:pPr>
            <w:r>
              <w:rPr/>
              <w:t>154,638</w:t>
            </w:r>
          </w:p>
        </w:tc>
        <w:tc>
          <w:tcPr>
            <w:tcW w:w="112" w:type="dxa"/>
            <w:tcBorders/>
            <w:shd w:fill="FFFFFF" w:val="clear"/>
            <w:vAlign w:val="center"/>
          </w:tcPr>
          <w:p>
            <w:pPr>
              <w:pStyle w:val="TableContents"/>
              <w:bidi w:val="0"/>
              <w:spacing w:before="0" w:after="283"/>
              <w:jc w:val="left"/>
              <w:rPr/>
            </w:pPr>
            <w:r>
              <w:rPr/>
              <w:t> </w:t>
            </w:r>
          </w:p>
        </w:tc>
      </w:tr>
      <w:tr>
        <w:trPr/>
        <w:tc>
          <w:tcPr>
            <w:tcW w:w="7480" w:type="dxa"/>
            <w:tcBorders/>
            <w:shd w:fill="CCEEFF" w:val="clear"/>
            <w:vAlign w:val="center"/>
          </w:tcPr>
          <w:p>
            <w:pPr>
              <w:pStyle w:val="TableContents"/>
              <w:bidi w:val="0"/>
              <w:spacing w:before="0" w:after="283"/>
              <w:jc w:val="both"/>
              <w:rPr/>
            </w:pPr>
            <w:r>
              <w:rPr/>
              <w:t>Warranty provision, noncurrent</w:t>
            </w:r>
          </w:p>
        </w:tc>
        <w:tc>
          <w:tcPr>
            <w:tcW w:w="60" w:type="dxa"/>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283"/>
              <w:jc w:val="left"/>
              <w:rPr/>
            </w:pPr>
            <w:r>
              <w:rPr/>
              <w:t> </w:t>
            </w:r>
          </w:p>
        </w:tc>
        <w:tc>
          <w:tcPr>
            <w:tcW w:w="887" w:type="dxa"/>
            <w:tcBorders/>
            <w:shd w:fill="CCEEFF" w:val="clear"/>
            <w:vAlign w:val="center"/>
          </w:tcPr>
          <w:p>
            <w:pPr>
              <w:pStyle w:val="TableContents"/>
              <w:bidi w:val="0"/>
              <w:spacing w:before="0" w:after="283"/>
              <w:jc w:val="right"/>
              <w:rPr/>
            </w:pPr>
            <w:r>
              <w:rPr/>
              <w:t>3,059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8" w:type="dxa"/>
            <w:tcBorders/>
            <w:shd w:fill="CCEEFF" w:val="clear"/>
            <w:vAlign w:val="center"/>
          </w:tcPr>
          <w:p>
            <w:pPr>
              <w:pStyle w:val="TableContents"/>
              <w:bidi w:val="0"/>
              <w:spacing w:before="0" w:after="283"/>
              <w:jc w:val="left"/>
              <w:rPr/>
            </w:pPr>
            <w:r>
              <w:rPr/>
              <w:t> </w:t>
            </w:r>
          </w:p>
        </w:tc>
        <w:tc>
          <w:tcPr>
            <w:tcW w:w="1182" w:type="dxa"/>
            <w:tcBorders/>
            <w:shd w:fill="CCEEFF" w:val="clear"/>
            <w:vAlign w:val="center"/>
          </w:tcPr>
          <w:p>
            <w:pPr>
              <w:pStyle w:val="TableContents"/>
              <w:bidi w:val="0"/>
              <w:spacing w:before="0" w:after="283"/>
              <w:jc w:val="right"/>
              <w:rPr/>
            </w:pPr>
            <w:r>
              <w:rPr/>
              <w:t>3,059</w:t>
            </w:r>
          </w:p>
        </w:tc>
        <w:tc>
          <w:tcPr>
            <w:tcW w:w="112" w:type="dxa"/>
            <w:tcBorders/>
            <w:shd w:fill="CCEEFF" w:val="clear"/>
            <w:vAlign w:val="center"/>
          </w:tcPr>
          <w:p>
            <w:pPr>
              <w:pStyle w:val="TableContents"/>
              <w:bidi w:val="0"/>
              <w:spacing w:before="0" w:after="283"/>
              <w:jc w:val="left"/>
              <w:rPr/>
            </w:pPr>
            <w:r>
              <w:rPr/>
              <w:t> </w:t>
            </w:r>
          </w:p>
        </w:tc>
      </w:tr>
      <w:tr>
        <w:trPr/>
        <w:tc>
          <w:tcPr>
            <w:tcW w:w="7480" w:type="dxa"/>
            <w:tcBorders/>
            <w:shd w:fill="FFFFFF" w:val="clear"/>
            <w:vAlign w:val="center"/>
          </w:tcPr>
          <w:p>
            <w:pPr>
              <w:pStyle w:val="TableContents"/>
              <w:bidi w:val="0"/>
              <w:spacing w:before="0" w:after="283"/>
              <w:jc w:val="both"/>
              <w:rPr/>
            </w:pPr>
            <w:r>
              <w:rPr/>
              <w:t>Warrant liability</w:t>
            </w:r>
          </w:p>
        </w:tc>
        <w:tc>
          <w:tcPr>
            <w:tcW w:w="60" w:type="dxa"/>
            <w:tcBorders/>
            <w:shd w:fill="FFFFFF" w:val="clear"/>
            <w:vAlign w:val="center"/>
          </w:tcPr>
          <w:p>
            <w:pPr>
              <w:pStyle w:val="TableContents"/>
              <w:bidi w:val="0"/>
              <w:spacing w:before="0" w:after="283"/>
              <w:jc w:val="left"/>
              <w:rPr/>
            </w:pPr>
            <w:r>
              <w:rPr/>
              <w:t> </w:t>
            </w:r>
          </w:p>
        </w:tc>
        <w:tc>
          <w:tcPr>
            <w:tcW w:w="141" w:type="dxa"/>
            <w:tcBorders/>
            <w:shd w:fill="FFFFFF" w:val="clear"/>
            <w:vAlign w:val="center"/>
          </w:tcPr>
          <w:p>
            <w:pPr>
              <w:pStyle w:val="TableContents"/>
              <w:bidi w:val="0"/>
              <w:spacing w:before="0" w:after="283"/>
              <w:jc w:val="left"/>
              <w:rPr/>
            </w:pPr>
            <w:r>
              <w:rPr/>
              <w:t> </w:t>
            </w:r>
          </w:p>
        </w:tc>
        <w:tc>
          <w:tcPr>
            <w:tcW w:w="887" w:type="dxa"/>
            <w:tcBorders/>
            <w:shd w:fill="FFFFFF" w:val="clear"/>
            <w:vAlign w:val="center"/>
          </w:tcPr>
          <w:p>
            <w:pPr>
              <w:pStyle w:val="TableContents"/>
              <w:bidi w:val="0"/>
              <w:spacing w:before="0" w:after="283"/>
              <w:jc w:val="right"/>
              <w:rPr/>
            </w:pPr>
            <w:r>
              <w:rPr/>
              <w:t>3,746</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8" w:type="dxa"/>
            <w:tcBorders/>
            <w:shd w:fill="FFFFFF" w:val="clear"/>
            <w:vAlign w:val="center"/>
          </w:tcPr>
          <w:p>
            <w:pPr>
              <w:pStyle w:val="TableContents"/>
              <w:bidi w:val="0"/>
              <w:spacing w:before="0" w:after="283"/>
              <w:jc w:val="left"/>
              <w:rPr/>
            </w:pPr>
            <w:r>
              <w:rPr/>
              <w:t> </w:t>
            </w:r>
          </w:p>
        </w:tc>
        <w:tc>
          <w:tcPr>
            <w:tcW w:w="1182" w:type="dxa"/>
            <w:tcBorders/>
            <w:shd w:fill="FFFFFF" w:val="clear"/>
            <w:vAlign w:val="center"/>
          </w:tcPr>
          <w:p>
            <w:pPr>
              <w:pStyle w:val="TableContents"/>
              <w:bidi w:val="0"/>
              <w:spacing w:before="0" w:after="283"/>
              <w:jc w:val="right"/>
              <w:rPr/>
            </w:pPr>
            <w:r>
              <w:rPr/>
              <w:t>4,361</w:t>
            </w:r>
          </w:p>
        </w:tc>
        <w:tc>
          <w:tcPr>
            <w:tcW w:w="112" w:type="dxa"/>
            <w:tcBorders/>
            <w:shd w:fill="FFFFFF" w:val="clear"/>
            <w:vAlign w:val="center"/>
          </w:tcPr>
          <w:p>
            <w:pPr>
              <w:pStyle w:val="TableContents"/>
              <w:bidi w:val="0"/>
              <w:spacing w:before="0" w:after="283"/>
              <w:jc w:val="left"/>
              <w:rPr/>
            </w:pPr>
            <w:r>
              <w:rPr/>
              <w:t> </w:t>
            </w:r>
          </w:p>
        </w:tc>
      </w:tr>
      <w:tr>
        <w:trPr/>
        <w:tc>
          <w:tcPr>
            <w:tcW w:w="7480" w:type="dxa"/>
            <w:tcBorders/>
            <w:shd w:fill="CCEEFF" w:val="clear"/>
            <w:vAlign w:val="center"/>
          </w:tcPr>
          <w:p>
            <w:pPr>
              <w:pStyle w:val="TableContents"/>
              <w:bidi w:val="0"/>
              <w:spacing w:before="0" w:after="283"/>
              <w:jc w:val="both"/>
              <w:rPr/>
            </w:pPr>
            <w:r>
              <w:rPr/>
              <w:t>Contract liabilities, noncurrent</w:t>
            </w:r>
          </w:p>
        </w:tc>
        <w:tc>
          <w:tcPr>
            <w:tcW w:w="60" w:type="dxa"/>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283"/>
              <w:jc w:val="left"/>
              <w:rPr/>
            </w:pPr>
            <w:r>
              <w:rPr/>
              <w:t> </w:t>
            </w:r>
          </w:p>
        </w:tc>
        <w:tc>
          <w:tcPr>
            <w:tcW w:w="887" w:type="dxa"/>
            <w:tcBorders/>
            <w:shd w:fill="CCEEFF" w:val="clear"/>
            <w:vAlign w:val="center"/>
          </w:tcPr>
          <w:p>
            <w:pPr>
              <w:pStyle w:val="TableContents"/>
              <w:bidi w:val="0"/>
              <w:spacing w:before="0" w:after="283"/>
              <w:jc w:val="right"/>
              <w:rPr/>
            </w:pPr>
            <w:r>
              <w:rPr/>
              <w:t>794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8" w:type="dxa"/>
            <w:tcBorders/>
            <w:shd w:fill="CCEEFF" w:val="clear"/>
            <w:vAlign w:val="center"/>
          </w:tcPr>
          <w:p>
            <w:pPr>
              <w:pStyle w:val="TableContents"/>
              <w:bidi w:val="0"/>
              <w:spacing w:before="0" w:after="283"/>
              <w:jc w:val="left"/>
              <w:rPr/>
            </w:pPr>
            <w:r>
              <w:rPr/>
              <w:t> </w:t>
            </w:r>
          </w:p>
        </w:tc>
        <w:tc>
          <w:tcPr>
            <w:tcW w:w="1182" w:type="dxa"/>
            <w:tcBorders/>
            <w:shd w:fill="CCEEFF" w:val="clear"/>
            <w:vAlign w:val="center"/>
          </w:tcPr>
          <w:p>
            <w:pPr>
              <w:pStyle w:val="TableContents"/>
              <w:bidi w:val="0"/>
              <w:spacing w:before="0" w:after="283"/>
              <w:jc w:val="right"/>
              <w:rPr/>
            </w:pPr>
            <w:r>
              <w:rPr/>
              <w:t>794</w:t>
            </w:r>
          </w:p>
        </w:tc>
        <w:tc>
          <w:tcPr>
            <w:tcW w:w="112" w:type="dxa"/>
            <w:tcBorders/>
            <w:shd w:fill="CCEEFF" w:val="clear"/>
            <w:vAlign w:val="center"/>
          </w:tcPr>
          <w:p>
            <w:pPr>
              <w:pStyle w:val="TableContents"/>
              <w:bidi w:val="0"/>
              <w:spacing w:before="0" w:after="283"/>
              <w:jc w:val="left"/>
              <w:rPr/>
            </w:pPr>
            <w:r>
              <w:rPr/>
              <w:t> </w:t>
            </w:r>
          </w:p>
        </w:tc>
      </w:tr>
      <w:tr>
        <w:trPr/>
        <w:tc>
          <w:tcPr>
            <w:tcW w:w="7480" w:type="dxa"/>
            <w:tcBorders/>
            <w:shd w:fill="FFFFFF" w:val="clear"/>
            <w:vAlign w:val="center"/>
          </w:tcPr>
          <w:p>
            <w:pPr>
              <w:pStyle w:val="TableContents"/>
              <w:bidi w:val="0"/>
              <w:spacing w:before="0" w:after="283"/>
              <w:jc w:val="both"/>
              <w:rPr/>
            </w:pPr>
            <w:r>
              <w:rPr/>
              <w:t>Notes payable and derivative liabilities, net of current</w:t>
            </w:r>
          </w:p>
        </w:tc>
        <w:tc>
          <w:tcPr>
            <w:tcW w:w="60" w:type="dxa"/>
            <w:tcBorders/>
            <w:shd w:fill="FFFFFF" w:val="clear"/>
            <w:vAlign w:val="center"/>
          </w:tcPr>
          <w:p>
            <w:pPr>
              <w:pStyle w:val="TableContents"/>
              <w:bidi w:val="0"/>
              <w:spacing w:before="0" w:after="283"/>
              <w:jc w:val="left"/>
              <w:rPr/>
            </w:pPr>
            <w:r>
              <w:rPr/>
              <w:t> </w:t>
            </w:r>
          </w:p>
        </w:tc>
        <w:tc>
          <w:tcPr>
            <w:tcW w:w="141" w:type="dxa"/>
            <w:tcBorders/>
            <w:shd w:fill="FFFFFF" w:val="clear"/>
            <w:vAlign w:val="center"/>
          </w:tcPr>
          <w:p>
            <w:pPr>
              <w:pStyle w:val="TableContents"/>
              <w:bidi w:val="0"/>
              <w:spacing w:before="0" w:after="283"/>
              <w:jc w:val="left"/>
              <w:rPr/>
            </w:pPr>
            <w:r>
              <w:rPr/>
              <w:t> </w:t>
            </w:r>
          </w:p>
        </w:tc>
        <w:tc>
          <w:tcPr>
            <w:tcW w:w="887" w:type="dxa"/>
            <w:tcBorders/>
            <w:shd w:fill="FFFFFF" w:val="clear"/>
            <w:vAlign w:val="center"/>
          </w:tcPr>
          <w:p>
            <w:pPr>
              <w:pStyle w:val="TableContents"/>
              <w:bidi w:val="0"/>
              <w:spacing w:before="0" w:after="283"/>
              <w:jc w:val="right"/>
              <w:rPr/>
            </w:pPr>
            <w:r>
              <w:rPr/>
              <w:t>99,860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8" w:type="dxa"/>
            <w:tcBorders/>
            <w:shd w:fill="FFFFFF" w:val="clear"/>
            <w:vAlign w:val="center"/>
          </w:tcPr>
          <w:p>
            <w:pPr>
              <w:pStyle w:val="TableContents"/>
              <w:bidi w:val="0"/>
              <w:spacing w:before="0" w:after="283"/>
              <w:jc w:val="left"/>
              <w:rPr/>
            </w:pPr>
            <w:r>
              <w:rPr/>
              <w:t> </w:t>
            </w:r>
          </w:p>
        </w:tc>
        <w:tc>
          <w:tcPr>
            <w:tcW w:w="1182" w:type="dxa"/>
            <w:tcBorders/>
            <w:shd w:fill="FFFFFF" w:val="clear"/>
            <w:vAlign w:val="center"/>
          </w:tcPr>
          <w:p>
            <w:pPr>
              <w:pStyle w:val="TableContents"/>
              <w:bidi w:val="0"/>
              <w:spacing w:before="0" w:after="283"/>
              <w:jc w:val="right"/>
              <w:rPr/>
            </w:pPr>
            <w:r>
              <w:rPr/>
              <w:t>120,159</w:t>
            </w:r>
          </w:p>
        </w:tc>
        <w:tc>
          <w:tcPr>
            <w:tcW w:w="112" w:type="dxa"/>
            <w:tcBorders/>
            <w:shd w:fill="FFFFFF" w:val="clear"/>
            <w:vAlign w:val="center"/>
          </w:tcPr>
          <w:p>
            <w:pPr>
              <w:pStyle w:val="TableContents"/>
              <w:bidi w:val="0"/>
              <w:spacing w:before="0" w:after="283"/>
              <w:jc w:val="left"/>
              <w:rPr/>
            </w:pPr>
            <w:r>
              <w:rPr/>
              <w:t> </w:t>
            </w:r>
          </w:p>
        </w:tc>
      </w:tr>
      <w:tr>
        <w:trPr/>
        <w:tc>
          <w:tcPr>
            <w:tcW w:w="7480" w:type="dxa"/>
            <w:tcBorders/>
            <w:shd w:fill="CCEEFF" w:val="clear"/>
            <w:vAlign w:val="center"/>
          </w:tcPr>
          <w:p>
            <w:pPr>
              <w:pStyle w:val="TableContents"/>
              <w:bidi w:val="0"/>
              <w:spacing w:before="0" w:after="283"/>
              <w:jc w:val="both"/>
              <w:rPr/>
            </w:pPr>
            <w:r>
              <w:rPr/>
              <w:t>Notes payable and derivative liabilities with related parties, net of current</w:t>
            </w:r>
          </w:p>
        </w:tc>
        <w:tc>
          <w:tcPr>
            <w:tcW w:w="60" w:type="dxa"/>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283"/>
              <w:jc w:val="left"/>
              <w:rPr/>
            </w:pPr>
            <w:r>
              <w:rPr/>
              <w:t> </w:t>
            </w:r>
          </w:p>
        </w:tc>
        <w:tc>
          <w:tcPr>
            <w:tcW w:w="887" w:type="dxa"/>
            <w:tcBorders/>
            <w:shd w:fill="CCEEFF" w:val="clear"/>
            <w:vAlign w:val="center"/>
          </w:tcPr>
          <w:p>
            <w:pPr>
              <w:pStyle w:val="TableContents"/>
              <w:bidi w:val="0"/>
              <w:spacing w:before="0" w:after="283"/>
              <w:jc w:val="right"/>
              <w:rPr/>
            </w:pPr>
            <w:r>
              <w:rPr/>
              <w:t>31,921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8" w:type="dxa"/>
            <w:tcBorders/>
            <w:shd w:fill="CCEEFF" w:val="clear"/>
            <w:vAlign w:val="center"/>
          </w:tcPr>
          <w:p>
            <w:pPr>
              <w:pStyle w:val="TableContents"/>
              <w:bidi w:val="0"/>
              <w:spacing w:before="0" w:after="283"/>
              <w:jc w:val="left"/>
              <w:rPr/>
            </w:pPr>
            <w:r>
              <w:rPr/>
              <w:t> </w:t>
            </w:r>
          </w:p>
        </w:tc>
        <w:tc>
          <w:tcPr>
            <w:tcW w:w="1182" w:type="dxa"/>
            <w:tcBorders/>
            <w:shd w:fill="CCEEFF" w:val="clear"/>
            <w:vAlign w:val="center"/>
          </w:tcPr>
          <w:p>
            <w:pPr>
              <w:pStyle w:val="TableContents"/>
              <w:bidi w:val="0"/>
              <w:spacing w:before="0" w:after="283"/>
              <w:jc w:val="right"/>
              <w:rPr/>
            </w:pPr>
            <w:r>
              <w:rPr/>
              <w:t>35,130</w:t>
            </w:r>
          </w:p>
        </w:tc>
        <w:tc>
          <w:tcPr>
            <w:tcW w:w="112" w:type="dxa"/>
            <w:tcBorders/>
            <w:shd w:fill="CCEEFF" w:val="clear"/>
            <w:vAlign w:val="center"/>
          </w:tcPr>
          <w:p>
            <w:pPr>
              <w:pStyle w:val="TableContents"/>
              <w:bidi w:val="0"/>
              <w:spacing w:before="0" w:after="283"/>
              <w:jc w:val="left"/>
              <w:rPr/>
            </w:pPr>
            <w:r>
              <w:rPr/>
              <w:t> </w:t>
            </w:r>
          </w:p>
        </w:tc>
      </w:tr>
      <w:tr>
        <w:trPr/>
        <w:tc>
          <w:tcPr>
            <w:tcW w:w="7480" w:type="dxa"/>
            <w:tcBorders/>
            <w:shd w:fill="FFFFFF" w:val="clear"/>
            <w:vAlign w:val="center"/>
          </w:tcPr>
          <w:p>
            <w:pPr>
              <w:pStyle w:val="TableContents"/>
              <w:bidi w:val="0"/>
              <w:spacing w:before="0" w:after="283"/>
              <w:jc w:val="both"/>
              <w:rPr/>
            </w:pPr>
            <w:r>
              <w:rPr/>
              <w:t>Deferred income taxes</w:t>
            </w:r>
          </w:p>
        </w:tc>
        <w:tc>
          <w:tcPr>
            <w:tcW w:w="60" w:type="dxa"/>
            <w:tcBorders/>
            <w:shd w:fill="FFFFFF" w:val="clear"/>
            <w:vAlign w:val="center"/>
          </w:tcPr>
          <w:p>
            <w:pPr>
              <w:pStyle w:val="TableContents"/>
              <w:bidi w:val="0"/>
              <w:spacing w:before="0" w:after="283"/>
              <w:jc w:val="left"/>
              <w:rPr/>
            </w:pPr>
            <w:r>
              <w:rPr/>
              <w:t> </w:t>
            </w:r>
          </w:p>
        </w:tc>
        <w:tc>
          <w:tcPr>
            <w:tcW w:w="141" w:type="dxa"/>
            <w:tcBorders/>
            <w:shd w:fill="FFFFFF" w:val="clear"/>
            <w:vAlign w:val="center"/>
          </w:tcPr>
          <w:p>
            <w:pPr>
              <w:pStyle w:val="TableContents"/>
              <w:bidi w:val="0"/>
              <w:spacing w:before="0" w:after="283"/>
              <w:jc w:val="left"/>
              <w:rPr/>
            </w:pPr>
            <w:r>
              <w:rPr/>
              <w:t> </w:t>
            </w:r>
          </w:p>
        </w:tc>
        <w:tc>
          <w:tcPr>
            <w:tcW w:w="887" w:type="dxa"/>
            <w:tcBorders/>
            <w:shd w:fill="FFFFFF" w:val="clear"/>
            <w:vAlign w:val="center"/>
          </w:tcPr>
          <w:p>
            <w:pPr>
              <w:pStyle w:val="TableContents"/>
              <w:bidi w:val="0"/>
              <w:spacing w:before="0" w:after="283"/>
              <w:jc w:val="right"/>
              <w:rPr/>
            </w:pPr>
            <w:r>
              <w:rPr/>
              <w:t>1,693</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8" w:type="dxa"/>
            <w:tcBorders/>
            <w:shd w:fill="FFFFFF" w:val="clear"/>
            <w:vAlign w:val="center"/>
          </w:tcPr>
          <w:p>
            <w:pPr>
              <w:pStyle w:val="TableContents"/>
              <w:bidi w:val="0"/>
              <w:spacing w:before="0" w:after="283"/>
              <w:jc w:val="left"/>
              <w:rPr/>
            </w:pPr>
            <w:r>
              <w:rPr/>
              <w:t> </w:t>
            </w:r>
          </w:p>
        </w:tc>
        <w:tc>
          <w:tcPr>
            <w:tcW w:w="1182" w:type="dxa"/>
            <w:tcBorders/>
            <w:shd w:fill="FFFFFF" w:val="clear"/>
            <w:vAlign w:val="center"/>
          </w:tcPr>
          <w:p>
            <w:pPr>
              <w:pStyle w:val="TableContents"/>
              <w:bidi w:val="0"/>
              <w:spacing w:before="0" w:after="283"/>
              <w:jc w:val="right"/>
              <w:rPr/>
            </w:pPr>
            <w:r>
              <w:rPr/>
              <w:t>1,300</w:t>
            </w:r>
          </w:p>
        </w:tc>
        <w:tc>
          <w:tcPr>
            <w:tcW w:w="112" w:type="dxa"/>
            <w:tcBorders/>
            <w:shd w:fill="FFFFFF" w:val="clear"/>
            <w:vAlign w:val="center"/>
          </w:tcPr>
          <w:p>
            <w:pPr>
              <w:pStyle w:val="TableContents"/>
              <w:bidi w:val="0"/>
              <w:spacing w:before="0" w:after="283"/>
              <w:jc w:val="left"/>
              <w:rPr/>
            </w:pPr>
            <w:r>
              <w:rPr/>
              <w:t> </w:t>
            </w:r>
          </w:p>
        </w:tc>
      </w:tr>
      <w:tr>
        <w:trPr/>
        <w:tc>
          <w:tcPr>
            <w:tcW w:w="7480" w:type="dxa"/>
            <w:tcBorders/>
            <w:shd w:fill="CCEEFF" w:val="clear"/>
            <w:vAlign w:val="center"/>
          </w:tcPr>
          <w:p>
            <w:pPr>
              <w:pStyle w:val="TableContents"/>
              <w:bidi w:val="0"/>
              <w:spacing w:before="0" w:after="283"/>
              <w:jc w:val="both"/>
              <w:rPr/>
            </w:pPr>
            <w:r>
              <w:rPr/>
              <w:t>Deferred consideration, noncurrent</w:t>
            </w:r>
          </w:p>
        </w:tc>
        <w:tc>
          <w:tcPr>
            <w:tcW w:w="60" w:type="dxa"/>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283"/>
              <w:jc w:val="left"/>
              <w:rPr/>
            </w:pPr>
            <w:r>
              <w:rPr/>
              <w:t> </w:t>
            </w:r>
          </w:p>
        </w:tc>
        <w:tc>
          <w:tcPr>
            <w:tcW w:w="887" w:type="dxa"/>
            <w:tcBorders/>
            <w:shd w:fill="CCEEFF" w:val="clear"/>
            <w:vAlign w:val="center"/>
          </w:tcPr>
          <w:p>
            <w:pPr>
              <w:pStyle w:val="TableContents"/>
              <w:bidi w:val="0"/>
              <w:spacing w:before="0" w:after="283"/>
              <w:jc w:val="right"/>
              <w:rPr/>
            </w:pPr>
            <w:r>
              <w:rPr/>
              <w:t>3,165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8" w:type="dxa"/>
            <w:tcBorders/>
            <w:shd w:fill="CCEEFF" w:val="clear"/>
            <w:vAlign w:val="center"/>
          </w:tcPr>
          <w:p>
            <w:pPr>
              <w:pStyle w:val="TableContents"/>
              <w:bidi w:val="0"/>
              <w:spacing w:before="0" w:after="283"/>
              <w:jc w:val="left"/>
              <w:rPr/>
            </w:pPr>
            <w:r>
              <w:rPr/>
              <w:t> </w:t>
            </w:r>
          </w:p>
        </w:tc>
        <w:tc>
          <w:tcPr>
            <w:tcW w:w="1182" w:type="dxa"/>
            <w:tcBorders/>
            <w:shd w:fill="CCEEFF" w:val="clear"/>
            <w:vAlign w:val="center"/>
          </w:tcPr>
          <w:p>
            <w:pPr>
              <w:pStyle w:val="TableContents"/>
              <w:bidi w:val="0"/>
              <w:spacing w:before="0" w:after="283"/>
              <w:jc w:val="right"/>
              <w:rPr/>
            </w:pPr>
            <w:r>
              <w:rPr/>
              <w:t>—</w:t>
            </w:r>
          </w:p>
        </w:tc>
        <w:tc>
          <w:tcPr>
            <w:tcW w:w="112" w:type="dxa"/>
            <w:tcBorders/>
            <w:shd w:fill="CCEEFF" w:val="clear"/>
            <w:vAlign w:val="center"/>
          </w:tcPr>
          <w:p>
            <w:pPr>
              <w:pStyle w:val="TableContents"/>
              <w:bidi w:val="0"/>
              <w:spacing w:before="0" w:after="283"/>
              <w:jc w:val="left"/>
              <w:rPr/>
            </w:pPr>
            <w:r>
              <w:rPr/>
              <w:t> </w:t>
            </w:r>
          </w:p>
        </w:tc>
      </w:tr>
      <w:tr>
        <w:trPr/>
        <w:tc>
          <w:tcPr>
            <w:tcW w:w="7480" w:type="dxa"/>
            <w:tcBorders/>
            <w:shd w:fill="FFFFFF" w:val="clear"/>
            <w:vAlign w:val="center"/>
          </w:tcPr>
          <w:p>
            <w:pPr>
              <w:pStyle w:val="TableContents"/>
              <w:bidi w:val="0"/>
              <w:spacing w:before="0" w:after="283"/>
              <w:jc w:val="both"/>
              <w:rPr/>
            </w:pPr>
            <w:r>
              <w:rPr/>
              <w:t>Deferred consideration, noncurrent with related party</w:t>
            </w:r>
          </w:p>
        </w:tc>
        <w:tc>
          <w:tcPr>
            <w:tcW w:w="60" w:type="dxa"/>
            <w:tcBorders/>
            <w:shd w:fill="FFFFFF" w:val="clear"/>
            <w:vAlign w:val="center"/>
          </w:tcPr>
          <w:p>
            <w:pPr>
              <w:pStyle w:val="TableContents"/>
              <w:bidi w:val="0"/>
              <w:spacing w:before="0" w:after="283"/>
              <w:jc w:val="left"/>
              <w:rPr/>
            </w:pPr>
            <w:r>
              <w:rPr/>
              <w:t> </w:t>
            </w:r>
          </w:p>
        </w:tc>
        <w:tc>
          <w:tcPr>
            <w:tcW w:w="141" w:type="dxa"/>
            <w:tcBorders/>
            <w:shd w:fill="FFFFFF" w:val="clear"/>
            <w:vAlign w:val="center"/>
          </w:tcPr>
          <w:p>
            <w:pPr>
              <w:pStyle w:val="TableContents"/>
              <w:bidi w:val="0"/>
              <w:spacing w:before="0" w:after="283"/>
              <w:jc w:val="left"/>
              <w:rPr/>
            </w:pPr>
            <w:r>
              <w:rPr/>
              <w:t> </w:t>
            </w:r>
          </w:p>
        </w:tc>
        <w:tc>
          <w:tcPr>
            <w:tcW w:w="887"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8" w:type="dxa"/>
            <w:tcBorders/>
            <w:shd w:fill="FFFFFF" w:val="clear"/>
            <w:vAlign w:val="center"/>
          </w:tcPr>
          <w:p>
            <w:pPr>
              <w:pStyle w:val="TableContents"/>
              <w:bidi w:val="0"/>
              <w:spacing w:before="0" w:after="283"/>
              <w:jc w:val="left"/>
              <w:rPr/>
            </w:pPr>
            <w:r>
              <w:rPr/>
              <w:t> </w:t>
            </w:r>
          </w:p>
        </w:tc>
        <w:tc>
          <w:tcPr>
            <w:tcW w:w="1182" w:type="dxa"/>
            <w:tcBorders/>
            <w:shd w:fill="FFFFFF" w:val="clear"/>
            <w:vAlign w:val="center"/>
          </w:tcPr>
          <w:p>
            <w:pPr>
              <w:pStyle w:val="TableContents"/>
              <w:bidi w:val="0"/>
              <w:spacing w:before="0" w:after="283"/>
              <w:jc w:val="right"/>
              <w:rPr/>
            </w:pPr>
            <w:r>
              <w:rPr/>
              <w:t>5,420</w:t>
            </w:r>
          </w:p>
        </w:tc>
        <w:tc>
          <w:tcPr>
            <w:tcW w:w="112" w:type="dxa"/>
            <w:tcBorders/>
            <w:shd w:fill="FFFFFF" w:val="clear"/>
            <w:vAlign w:val="center"/>
          </w:tcPr>
          <w:p>
            <w:pPr>
              <w:pStyle w:val="TableContents"/>
              <w:bidi w:val="0"/>
              <w:spacing w:before="0" w:after="283"/>
              <w:jc w:val="left"/>
              <w:rPr/>
            </w:pPr>
            <w:r>
              <w:rPr/>
              <w:t> </w:t>
            </w:r>
          </w:p>
        </w:tc>
      </w:tr>
      <w:tr>
        <w:trPr/>
        <w:tc>
          <w:tcPr>
            <w:tcW w:w="7480" w:type="dxa"/>
            <w:tcBorders/>
            <w:shd w:fill="CCEEFF" w:val="clear"/>
            <w:vAlign w:val="center"/>
          </w:tcPr>
          <w:p>
            <w:pPr>
              <w:pStyle w:val="TableContents"/>
              <w:bidi w:val="0"/>
              <w:spacing w:before="0" w:after="283"/>
              <w:jc w:val="both"/>
              <w:rPr/>
            </w:pPr>
            <w:r>
              <w:rPr/>
              <w:t>Other long-term liabilities</w:t>
            </w:r>
          </w:p>
        </w:tc>
        <w:tc>
          <w:tcPr>
            <w:tcW w:w="60" w:type="dxa"/>
            <w:tcBorders/>
            <w:shd w:fill="CCEEFF" w:val="clear"/>
            <w:vAlign w:val="center"/>
          </w:tcPr>
          <w:p>
            <w:pPr>
              <w:pStyle w:val="TableContents"/>
              <w:bidi w:val="0"/>
              <w:spacing w:before="0" w:after="283"/>
              <w:jc w:val="left"/>
              <w:rPr/>
            </w:pPr>
            <w:r>
              <w:rPr/>
              <w:t> </w:t>
            </w:r>
          </w:p>
        </w:tc>
        <w:tc>
          <w:tcPr>
            <w:tcW w:w="141"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87" w:type="dxa"/>
            <w:tcBorders>
              <w:bottom w:val="single" w:sz="12" w:space="0" w:color="000000"/>
            </w:tcBorders>
            <w:shd w:fill="CCEEFF" w:val="clear"/>
            <w:tcMar>
              <w:bottom w:w="28" w:type="dxa"/>
            </w:tcMar>
            <w:vAlign w:val="center"/>
          </w:tcPr>
          <w:p>
            <w:pPr>
              <w:pStyle w:val="TableContents"/>
              <w:bidi w:val="0"/>
              <w:spacing w:before="0" w:after="283"/>
              <w:jc w:val="right"/>
              <w:rPr/>
            </w:pPr>
            <w:r>
              <w:rPr/>
              <w:t>7,503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8"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82" w:type="dxa"/>
            <w:tcBorders>
              <w:bottom w:val="single" w:sz="12" w:space="0" w:color="000000"/>
            </w:tcBorders>
            <w:shd w:fill="CCEEFF" w:val="clear"/>
            <w:tcMar>
              <w:bottom w:w="28" w:type="dxa"/>
            </w:tcMar>
            <w:vAlign w:val="center"/>
          </w:tcPr>
          <w:p>
            <w:pPr>
              <w:pStyle w:val="TableContents"/>
              <w:bidi w:val="0"/>
              <w:spacing w:before="0" w:after="283"/>
              <w:jc w:val="right"/>
              <w:rPr/>
            </w:pPr>
            <w:r>
              <w:rPr/>
              <w:t>6,470</w:t>
            </w:r>
          </w:p>
        </w:tc>
        <w:tc>
          <w:tcPr>
            <w:tcW w:w="112" w:type="dxa"/>
            <w:tcBorders/>
            <w:shd w:fill="CCEEFF" w:val="clear"/>
            <w:vAlign w:val="center"/>
          </w:tcPr>
          <w:p>
            <w:pPr>
              <w:pStyle w:val="TableContents"/>
              <w:bidi w:val="0"/>
              <w:spacing w:before="0" w:after="283"/>
              <w:jc w:val="left"/>
              <w:rPr/>
            </w:pPr>
            <w:r>
              <w:rPr/>
              <w:t> </w:t>
            </w:r>
          </w:p>
        </w:tc>
      </w:tr>
      <w:tr>
        <w:trPr/>
        <w:tc>
          <w:tcPr>
            <w:tcW w:w="7480" w:type="dxa"/>
            <w:tcBorders/>
            <w:shd w:fill="FFFFFF" w:val="clear"/>
            <w:vAlign w:val="center"/>
          </w:tcPr>
          <w:p>
            <w:pPr>
              <w:pStyle w:val="TableContents"/>
              <w:bidi w:val="0"/>
              <w:spacing w:before="0" w:after="283"/>
              <w:jc w:val="both"/>
              <w:rPr/>
            </w:pPr>
            <w:r>
              <w:rPr/>
              <w:t>Total liabilities</w:t>
            </w:r>
          </w:p>
        </w:tc>
        <w:tc>
          <w:tcPr>
            <w:tcW w:w="60" w:type="dxa"/>
            <w:tcBorders/>
            <w:shd w:fill="FFFFFF" w:val="clear"/>
            <w:vAlign w:val="center"/>
          </w:tcPr>
          <w:p>
            <w:pPr>
              <w:pStyle w:val="TableContents"/>
              <w:bidi w:val="0"/>
              <w:spacing w:before="0" w:after="283"/>
              <w:jc w:val="left"/>
              <w:rPr/>
            </w:pPr>
            <w:r>
              <w:rPr/>
              <w:t> </w:t>
            </w:r>
          </w:p>
        </w:tc>
        <w:tc>
          <w:tcPr>
            <w:tcW w:w="141"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887" w:type="dxa"/>
            <w:tcBorders>
              <w:bottom w:val="single" w:sz="12" w:space="0" w:color="000000"/>
            </w:tcBorders>
            <w:shd w:fill="FFFFFF" w:val="clear"/>
            <w:tcMar>
              <w:bottom w:w="28" w:type="dxa"/>
            </w:tcMar>
            <w:vAlign w:val="center"/>
          </w:tcPr>
          <w:p>
            <w:pPr>
              <w:pStyle w:val="TableContents"/>
              <w:bidi w:val="0"/>
              <w:spacing w:before="0" w:after="283"/>
              <w:jc w:val="right"/>
              <w:rPr/>
            </w:pPr>
            <w:r>
              <w:rPr/>
              <w:t>323,539</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8"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82" w:type="dxa"/>
            <w:tcBorders>
              <w:bottom w:val="single" w:sz="12" w:space="0" w:color="000000"/>
            </w:tcBorders>
            <w:shd w:fill="FFFFFF" w:val="clear"/>
            <w:tcMar>
              <w:bottom w:w="28" w:type="dxa"/>
            </w:tcMar>
            <w:vAlign w:val="center"/>
          </w:tcPr>
          <w:p>
            <w:pPr>
              <w:pStyle w:val="TableContents"/>
              <w:bidi w:val="0"/>
              <w:spacing w:before="0" w:after="283"/>
              <w:jc w:val="right"/>
              <w:rPr/>
            </w:pPr>
            <w:r>
              <w:rPr/>
              <w:t>331,331</w:t>
            </w:r>
          </w:p>
        </w:tc>
        <w:tc>
          <w:tcPr>
            <w:tcW w:w="112" w:type="dxa"/>
            <w:tcBorders/>
            <w:shd w:fill="FFFFFF" w:val="clear"/>
            <w:vAlign w:val="center"/>
          </w:tcPr>
          <w:p>
            <w:pPr>
              <w:pStyle w:val="TableContents"/>
              <w:bidi w:val="0"/>
              <w:spacing w:before="0" w:after="283"/>
              <w:jc w:val="left"/>
              <w:rPr/>
            </w:pPr>
            <w:r>
              <w:rPr/>
              <w:t> </w:t>
            </w:r>
          </w:p>
        </w:tc>
      </w:tr>
      <w:tr>
        <w:trPr/>
        <w:tc>
          <w:tcPr>
            <w:tcW w:w="7480" w:type="dxa"/>
            <w:tcBorders/>
            <w:shd w:fill="CCEEFF" w:val="clear"/>
            <w:vAlign w:val="center"/>
          </w:tcPr>
          <w:p>
            <w:pPr>
              <w:pStyle w:val="TableContents"/>
              <w:bidi w:val="0"/>
              <w:spacing w:before="0" w:after="283"/>
              <w:jc w:val="both"/>
              <w:rPr/>
            </w:pPr>
            <w:r>
              <w:rPr/>
              <w:t> </w:t>
            </w:r>
          </w:p>
        </w:tc>
        <w:tc>
          <w:tcPr>
            <w:tcW w:w="60" w:type="dxa"/>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283"/>
              <w:jc w:val="left"/>
              <w:rPr/>
            </w:pPr>
            <w:r>
              <w:rPr/>
              <w:t> </w:t>
            </w:r>
          </w:p>
        </w:tc>
        <w:tc>
          <w:tcPr>
            <w:tcW w:w="887"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8" w:type="dxa"/>
            <w:tcBorders/>
            <w:shd w:fill="CCEEFF" w:val="clear"/>
            <w:vAlign w:val="center"/>
          </w:tcPr>
          <w:p>
            <w:pPr>
              <w:pStyle w:val="TableContents"/>
              <w:bidi w:val="0"/>
              <w:spacing w:before="0" w:after="283"/>
              <w:jc w:val="left"/>
              <w:rPr/>
            </w:pPr>
            <w:r>
              <w:rPr/>
              <w:t> </w:t>
            </w:r>
          </w:p>
        </w:tc>
        <w:tc>
          <w:tcPr>
            <w:tcW w:w="1182" w:type="dxa"/>
            <w:tcBorders/>
            <w:shd w:fill="CCEEFF" w:val="clear"/>
            <w:vAlign w:val="center"/>
          </w:tcPr>
          <w:p>
            <w:pPr>
              <w:pStyle w:val="TableContents"/>
              <w:bidi w:val="0"/>
              <w:spacing w:before="0" w:after="283"/>
              <w:jc w:val="right"/>
              <w:rPr/>
            </w:pPr>
            <w:r>
              <w:rPr/>
              <w:t> </w:t>
            </w:r>
          </w:p>
        </w:tc>
        <w:tc>
          <w:tcPr>
            <w:tcW w:w="112" w:type="dxa"/>
            <w:tcBorders/>
            <w:shd w:fill="CCEEFF" w:val="clear"/>
            <w:vAlign w:val="center"/>
          </w:tcPr>
          <w:p>
            <w:pPr>
              <w:pStyle w:val="TableContents"/>
              <w:bidi w:val="0"/>
              <w:spacing w:before="0" w:after="283"/>
              <w:jc w:val="left"/>
              <w:rPr/>
            </w:pPr>
            <w:r>
              <w:rPr/>
              <w:t> </w:t>
            </w:r>
          </w:p>
        </w:tc>
      </w:tr>
      <w:tr>
        <w:trPr/>
        <w:tc>
          <w:tcPr>
            <w:tcW w:w="7480" w:type="dxa"/>
            <w:tcBorders/>
            <w:shd w:fill="FFFFFF" w:val="clear"/>
            <w:vAlign w:val="center"/>
          </w:tcPr>
          <w:p>
            <w:pPr>
              <w:pStyle w:val="TableContents"/>
              <w:bidi w:val="0"/>
              <w:spacing w:before="0" w:after="283"/>
              <w:jc w:val="both"/>
              <w:rPr/>
            </w:pPr>
            <w:r>
              <w:rPr/>
              <w:t>Commitments and contingencies (Note 11)</w:t>
            </w:r>
          </w:p>
        </w:tc>
        <w:tc>
          <w:tcPr>
            <w:tcW w:w="60" w:type="dxa"/>
            <w:tcBorders/>
            <w:shd w:fill="FFFFFF" w:val="clear"/>
            <w:vAlign w:val="center"/>
          </w:tcPr>
          <w:p>
            <w:pPr>
              <w:pStyle w:val="TableContents"/>
              <w:bidi w:val="0"/>
              <w:spacing w:before="0" w:after="283"/>
              <w:jc w:val="left"/>
              <w:rPr/>
            </w:pPr>
            <w:r>
              <w:rPr/>
              <w:t> </w:t>
            </w:r>
          </w:p>
        </w:tc>
        <w:tc>
          <w:tcPr>
            <w:tcW w:w="141" w:type="dxa"/>
            <w:tcBorders/>
            <w:shd w:fill="FFFFFF" w:val="clear"/>
            <w:vAlign w:val="center"/>
          </w:tcPr>
          <w:p>
            <w:pPr>
              <w:pStyle w:val="TableContents"/>
              <w:bidi w:val="0"/>
              <w:spacing w:before="0" w:after="283"/>
              <w:jc w:val="left"/>
              <w:rPr/>
            </w:pPr>
            <w:r>
              <w:rPr/>
              <w:t> </w:t>
            </w:r>
          </w:p>
        </w:tc>
        <w:tc>
          <w:tcPr>
            <w:tcW w:w="887"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8" w:type="dxa"/>
            <w:tcBorders/>
            <w:shd w:fill="FFFFFF" w:val="clear"/>
            <w:vAlign w:val="center"/>
          </w:tcPr>
          <w:p>
            <w:pPr>
              <w:pStyle w:val="TableContents"/>
              <w:bidi w:val="0"/>
              <w:spacing w:before="0" w:after="283"/>
              <w:jc w:val="left"/>
              <w:rPr/>
            </w:pPr>
            <w:r>
              <w:rPr/>
              <w:t> </w:t>
            </w:r>
          </w:p>
        </w:tc>
        <w:tc>
          <w:tcPr>
            <w:tcW w:w="1182" w:type="dxa"/>
            <w:tcBorders/>
            <w:shd w:fill="FFFFFF" w:val="clear"/>
            <w:vAlign w:val="center"/>
          </w:tcPr>
          <w:p>
            <w:pPr>
              <w:pStyle w:val="TableContents"/>
              <w:bidi w:val="0"/>
              <w:spacing w:before="0" w:after="283"/>
              <w:jc w:val="right"/>
              <w:rPr/>
            </w:pPr>
            <w:r>
              <w:rPr/>
              <w:t> </w:t>
            </w:r>
          </w:p>
        </w:tc>
        <w:tc>
          <w:tcPr>
            <w:tcW w:w="112" w:type="dxa"/>
            <w:tcBorders/>
            <w:shd w:fill="FFFFFF" w:val="clear"/>
            <w:vAlign w:val="center"/>
          </w:tcPr>
          <w:p>
            <w:pPr>
              <w:pStyle w:val="TableContents"/>
              <w:bidi w:val="0"/>
              <w:spacing w:before="0" w:after="283"/>
              <w:jc w:val="left"/>
              <w:rPr/>
            </w:pPr>
            <w:r>
              <w:rPr/>
              <w:t> </w:t>
            </w:r>
          </w:p>
        </w:tc>
      </w:tr>
      <w:tr>
        <w:trPr/>
        <w:tc>
          <w:tcPr>
            <w:tcW w:w="7480" w:type="dxa"/>
            <w:tcBorders/>
            <w:shd w:fill="CCEEFF" w:val="clear"/>
            <w:vAlign w:val="center"/>
          </w:tcPr>
          <w:p>
            <w:pPr>
              <w:pStyle w:val="TableContents"/>
              <w:bidi w:val="0"/>
              <w:spacing w:before="0" w:after="283"/>
              <w:jc w:val="both"/>
              <w:rPr/>
            </w:pPr>
            <w:r>
              <w:rPr/>
              <w:t> </w:t>
            </w:r>
          </w:p>
        </w:tc>
        <w:tc>
          <w:tcPr>
            <w:tcW w:w="60" w:type="dxa"/>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283"/>
              <w:jc w:val="left"/>
              <w:rPr/>
            </w:pPr>
            <w:r>
              <w:rPr/>
              <w:t> </w:t>
            </w:r>
          </w:p>
        </w:tc>
        <w:tc>
          <w:tcPr>
            <w:tcW w:w="887"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8" w:type="dxa"/>
            <w:tcBorders/>
            <w:shd w:fill="CCEEFF" w:val="clear"/>
            <w:vAlign w:val="center"/>
          </w:tcPr>
          <w:p>
            <w:pPr>
              <w:pStyle w:val="TableContents"/>
              <w:bidi w:val="0"/>
              <w:spacing w:before="0" w:after="283"/>
              <w:jc w:val="left"/>
              <w:rPr/>
            </w:pPr>
            <w:r>
              <w:rPr/>
              <w:t> </w:t>
            </w:r>
          </w:p>
        </w:tc>
        <w:tc>
          <w:tcPr>
            <w:tcW w:w="1182" w:type="dxa"/>
            <w:tcBorders/>
            <w:shd w:fill="CCEEFF" w:val="clear"/>
            <w:vAlign w:val="center"/>
          </w:tcPr>
          <w:p>
            <w:pPr>
              <w:pStyle w:val="TableContents"/>
              <w:bidi w:val="0"/>
              <w:spacing w:before="0" w:after="283"/>
              <w:jc w:val="right"/>
              <w:rPr/>
            </w:pPr>
            <w:r>
              <w:rPr/>
              <w:t> </w:t>
            </w:r>
          </w:p>
        </w:tc>
        <w:tc>
          <w:tcPr>
            <w:tcW w:w="112" w:type="dxa"/>
            <w:tcBorders/>
            <w:shd w:fill="CCEEFF" w:val="clear"/>
            <w:vAlign w:val="center"/>
          </w:tcPr>
          <w:p>
            <w:pPr>
              <w:pStyle w:val="TableContents"/>
              <w:bidi w:val="0"/>
              <w:spacing w:before="0" w:after="283"/>
              <w:jc w:val="left"/>
              <w:rPr/>
            </w:pPr>
            <w:r>
              <w:rPr/>
              <w:t> </w:t>
            </w:r>
          </w:p>
        </w:tc>
      </w:tr>
      <w:tr>
        <w:trPr/>
        <w:tc>
          <w:tcPr>
            <w:tcW w:w="7480" w:type="dxa"/>
            <w:tcBorders/>
            <w:shd w:fill="FFFFFF" w:val="clear"/>
            <w:vAlign w:val="center"/>
          </w:tcPr>
          <w:p>
            <w:pPr>
              <w:pStyle w:val="TableContents"/>
              <w:bidi w:val="0"/>
              <w:spacing w:before="0" w:after="283"/>
              <w:jc w:val="both"/>
              <w:rPr>
                <w:b/>
              </w:rPr>
            </w:pPr>
            <w:r>
              <w:rPr>
                <w:b/>
              </w:rPr>
              <w:t>Stockholders’ (deficit):</w:t>
            </w:r>
          </w:p>
        </w:tc>
        <w:tc>
          <w:tcPr>
            <w:tcW w:w="60" w:type="dxa"/>
            <w:tcBorders/>
            <w:shd w:fill="FFFFFF" w:val="clear"/>
            <w:vAlign w:val="center"/>
          </w:tcPr>
          <w:p>
            <w:pPr>
              <w:pStyle w:val="TableContents"/>
              <w:bidi w:val="0"/>
              <w:spacing w:before="0" w:after="283"/>
              <w:jc w:val="left"/>
              <w:rPr/>
            </w:pPr>
            <w:r>
              <w:rPr/>
              <w:t> </w:t>
            </w:r>
          </w:p>
        </w:tc>
        <w:tc>
          <w:tcPr>
            <w:tcW w:w="141" w:type="dxa"/>
            <w:tcBorders/>
            <w:shd w:fill="FFFFFF" w:val="clear"/>
            <w:vAlign w:val="center"/>
          </w:tcPr>
          <w:p>
            <w:pPr>
              <w:pStyle w:val="TableContents"/>
              <w:bidi w:val="0"/>
              <w:spacing w:before="0" w:after="283"/>
              <w:jc w:val="left"/>
              <w:rPr/>
            </w:pPr>
            <w:r>
              <w:rPr/>
              <w:t> </w:t>
            </w:r>
          </w:p>
        </w:tc>
        <w:tc>
          <w:tcPr>
            <w:tcW w:w="887"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8" w:type="dxa"/>
            <w:tcBorders/>
            <w:shd w:fill="FFFFFF" w:val="clear"/>
            <w:vAlign w:val="center"/>
          </w:tcPr>
          <w:p>
            <w:pPr>
              <w:pStyle w:val="TableContents"/>
              <w:bidi w:val="0"/>
              <w:spacing w:before="0" w:after="283"/>
              <w:jc w:val="left"/>
              <w:rPr/>
            </w:pPr>
            <w:r>
              <w:rPr/>
              <w:t> </w:t>
            </w:r>
          </w:p>
        </w:tc>
        <w:tc>
          <w:tcPr>
            <w:tcW w:w="1182" w:type="dxa"/>
            <w:tcBorders/>
            <w:shd w:fill="FFFFFF" w:val="clear"/>
            <w:vAlign w:val="center"/>
          </w:tcPr>
          <w:p>
            <w:pPr>
              <w:pStyle w:val="TableContents"/>
              <w:bidi w:val="0"/>
              <w:spacing w:before="0" w:after="283"/>
              <w:jc w:val="right"/>
              <w:rPr/>
            </w:pPr>
            <w:r>
              <w:rPr/>
              <w:t> </w:t>
            </w:r>
          </w:p>
        </w:tc>
        <w:tc>
          <w:tcPr>
            <w:tcW w:w="112" w:type="dxa"/>
            <w:tcBorders/>
            <w:shd w:fill="FFFFFF" w:val="clear"/>
            <w:vAlign w:val="center"/>
          </w:tcPr>
          <w:p>
            <w:pPr>
              <w:pStyle w:val="TableContents"/>
              <w:bidi w:val="0"/>
              <w:spacing w:before="0" w:after="283"/>
              <w:ind w:left="0" w:right="0" w:hanging="180"/>
              <w:jc w:val="left"/>
              <w:rPr/>
            </w:pPr>
            <w:r>
              <w:rPr/>
              <w:t> </w:t>
            </w:r>
          </w:p>
        </w:tc>
      </w:tr>
      <w:tr>
        <w:trPr/>
        <w:tc>
          <w:tcPr>
            <w:tcW w:w="7480" w:type="dxa"/>
            <w:tcBorders/>
            <w:shd w:fill="CCEEFF" w:val="clear"/>
            <w:vAlign w:val="center"/>
          </w:tcPr>
          <w:p>
            <w:pPr>
              <w:pStyle w:val="TableContents"/>
              <w:bidi w:val="0"/>
              <w:spacing w:before="0" w:after="283"/>
              <w:jc w:val="both"/>
              <w:rPr/>
            </w:pPr>
            <w:r>
              <w:rPr/>
              <w:t>Common stock, $0.0001 par value; Authorized 1,000,000,000 shares as of March 29, 2026, and December 28, 2025; issued and outstanding 120,347,463 and 111,334,959 shares as of March 29, 2026, and December 28, 2025, respectively</w:t>
            </w:r>
          </w:p>
        </w:tc>
        <w:tc>
          <w:tcPr>
            <w:tcW w:w="60" w:type="dxa"/>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283"/>
              <w:jc w:val="left"/>
              <w:rPr/>
            </w:pPr>
            <w:r>
              <w:rPr/>
              <w:t> </w:t>
            </w:r>
          </w:p>
        </w:tc>
        <w:tc>
          <w:tcPr>
            <w:tcW w:w="887" w:type="dxa"/>
            <w:tcBorders/>
            <w:shd w:fill="CCEEFF" w:val="clear"/>
            <w:vAlign w:val="center"/>
          </w:tcPr>
          <w:p>
            <w:pPr>
              <w:pStyle w:val="TableContents"/>
              <w:bidi w:val="0"/>
              <w:spacing w:before="0" w:after="283"/>
              <w:jc w:val="right"/>
              <w:rPr/>
            </w:pPr>
            <w:r>
              <w:rPr/>
              <w:t>16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8" w:type="dxa"/>
            <w:tcBorders/>
            <w:shd w:fill="CCEEFF" w:val="clear"/>
            <w:vAlign w:val="center"/>
          </w:tcPr>
          <w:p>
            <w:pPr>
              <w:pStyle w:val="TableContents"/>
              <w:bidi w:val="0"/>
              <w:spacing w:before="0" w:after="283"/>
              <w:jc w:val="left"/>
              <w:rPr/>
            </w:pPr>
            <w:r>
              <w:rPr/>
              <w:t> </w:t>
            </w:r>
          </w:p>
        </w:tc>
        <w:tc>
          <w:tcPr>
            <w:tcW w:w="1182" w:type="dxa"/>
            <w:tcBorders/>
            <w:shd w:fill="CCEEFF" w:val="clear"/>
            <w:vAlign w:val="center"/>
          </w:tcPr>
          <w:p>
            <w:pPr>
              <w:pStyle w:val="TableContents"/>
              <w:bidi w:val="0"/>
              <w:spacing w:before="0" w:after="283"/>
              <w:jc w:val="right"/>
              <w:rPr/>
            </w:pPr>
            <w:r>
              <w:rPr/>
              <w:t>16</w:t>
            </w:r>
          </w:p>
        </w:tc>
        <w:tc>
          <w:tcPr>
            <w:tcW w:w="112" w:type="dxa"/>
            <w:tcBorders/>
            <w:shd w:fill="CCEEFF" w:val="clear"/>
            <w:vAlign w:val="center"/>
          </w:tcPr>
          <w:p>
            <w:pPr>
              <w:pStyle w:val="TableContents"/>
              <w:bidi w:val="0"/>
              <w:spacing w:before="0" w:after="283"/>
              <w:jc w:val="left"/>
              <w:rPr/>
            </w:pPr>
            <w:r>
              <w:rPr/>
              <w:t> </w:t>
            </w:r>
          </w:p>
        </w:tc>
      </w:tr>
      <w:tr>
        <w:trPr/>
        <w:tc>
          <w:tcPr>
            <w:tcW w:w="7480" w:type="dxa"/>
            <w:tcBorders/>
            <w:shd w:fill="FFFFFF" w:val="clear"/>
            <w:vAlign w:val="center"/>
          </w:tcPr>
          <w:p>
            <w:pPr>
              <w:pStyle w:val="TableContents"/>
              <w:bidi w:val="0"/>
              <w:spacing w:before="0" w:after="283"/>
              <w:jc w:val="both"/>
              <w:rPr/>
            </w:pPr>
            <w:r>
              <w:rPr/>
              <w:t>Additional paid-in capital</w:t>
            </w:r>
          </w:p>
        </w:tc>
        <w:tc>
          <w:tcPr>
            <w:tcW w:w="60" w:type="dxa"/>
            <w:tcBorders/>
            <w:shd w:fill="FFFFFF" w:val="clear"/>
            <w:vAlign w:val="center"/>
          </w:tcPr>
          <w:p>
            <w:pPr>
              <w:pStyle w:val="TableContents"/>
              <w:bidi w:val="0"/>
              <w:spacing w:before="0" w:after="283"/>
              <w:jc w:val="left"/>
              <w:rPr/>
            </w:pPr>
            <w:r>
              <w:rPr/>
              <w:t> </w:t>
            </w:r>
          </w:p>
        </w:tc>
        <w:tc>
          <w:tcPr>
            <w:tcW w:w="141" w:type="dxa"/>
            <w:tcBorders/>
            <w:shd w:fill="FFFFFF" w:val="clear"/>
            <w:vAlign w:val="center"/>
          </w:tcPr>
          <w:p>
            <w:pPr>
              <w:pStyle w:val="TableContents"/>
              <w:bidi w:val="0"/>
              <w:spacing w:before="0" w:after="283"/>
              <w:jc w:val="left"/>
              <w:rPr/>
            </w:pPr>
            <w:r>
              <w:rPr/>
              <w:t> </w:t>
            </w:r>
          </w:p>
        </w:tc>
        <w:tc>
          <w:tcPr>
            <w:tcW w:w="887" w:type="dxa"/>
            <w:tcBorders/>
            <w:shd w:fill="FFFFFF" w:val="clear"/>
            <w:vAlign w:val="center"/>
          </w:tcPr>
          <w:p>
            <w:pPr>
              <w:pStyle w:val="TableContents"/>
              <w:bidi w:val="0"/>
              <w:spacing w:before="0" w:after="283"/>
              <w:jc w:val="right"/>
              <w:rPr/>
            </w:pPr>
            <w:r>
              <w:rPr/>
              <w:t>389,849</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8" w:type="dxa"/>
            <w:tcBorders/>
            <w:shd w:fill="FFFFFF" w:val="clear"/>
            <w:vAlign w:val="center"/>
          </w:tcPr>
          <w:p>
            <w:pPr>
              <w:pStyle w:val="TableContents"/>
              <w:bidi w:val="0"/>
              <w:spacing w:before="0" w:after="283"/>
              <w:jc w:val="left"/>
              <w:rPr/>
            </w:pPr>
            <w:r>
              <w:rPr/>
              <w:t> </w:t>
            </w:r>
          </w:p>
        </w:tc>
        <w:tc>
          <w:tcPr>
            <w:tcW w:w="1182" w:type="dxa"/>
            <w:tcBorders/>
            <w:shd w:fill="FFFFFF" w:val="clear"/>
            <w:vAlign w:val="center"/>
          </w:tcPr>
          <w:p>
            <w:pPr>
              <w:pStyle w:val="TableContents"/>
              <w:bidi w:val="0"/>
              <w:spacing w:before="0" w:after="283"/>
              <w:jc w:val="right"/>
              <w:rPr/>
            </w:pPr>
            <w:r>
              <w:rPr/>
              <w:t>366,408</w:t>
            </w:r>
          </w:p>
        </w:tc>
        <w:tc>
          <w:tcPr>
            <w:tcW w:w="112" w:type="dxa"/>
            <w:tcBorders/>
            <w:shd w:fill="FFFFFF" w:val="clear"/>
            <w:vAlign w:val="center"/>
          </w:tcPr>
          <w:p>
            <w:pPr>
              <w:pStyle w:val="TableContents"/>
              <w:bidi w:val="0"/>
              <w:spacing w:before="0" w:after="283"/>
              <w:jc w:val="left"/>
              <w:rPr/>
            </w:pPr>
            <w:r>
              <w:rPr/>
              <w:t> </w:t>
            </w:r>
          </w:p>
        </w:tc>
      </w:tr>
      <w:tr>
        <w:trPr/>
        <w:tc>
          <w:tcPr>
            <w:tcW w:w="7480" w:type="dxa"/>
            <w:tcBorders/>
            <w:shd w:fill="CCEEFF" w:val="clear"/>
            <w:vAlign w:val="center"/>
          </w:tcPr>
          <w:p>
            <w:pPr>
              <w:pStyle w:val="TableContents"/>
              <w:bidi w:val="0"/>
              <w:spacing w:before="0" w:after="283"/>
              <w:jc w:val="both"/>
              <w:rPr/>
            </w:pPr>
            <w:r>
              <w:rPr/>
              <w:t>Accumulated other comprehensive income</w:t>
            </w:r>
          </w:p>
        </w:tc>
        <w:tc>
          <w:tcPr>
            <w:tcW w:w="60" w:type="dxa"/>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283"/>
              <w:jc w:val="left"/>
              <w:rPr/>
            </w:pPr>
            <w:r>
              <w:rPr/>
              <w:t> </w:t>
            </w:r>
          </w:p>
        </w:tc>
        <w:tc>
          <w:tcPr>
            <w:tcW w:w="887" w:type="dxa"/>
            <w:tcBorders/>
            <w:shd w:fill="CCEEFF" w:val="clear"/>
            <w:vAlign w:val="center"/>
          </w:tcPr>
          <w:p>
            <w:pPr>
              <w:pStyle w:val="TableContents"/>
              <w:bidi w:val="0"/>
              <w:spacing w:before="0" w:after="283"/>
              <w:jc w:val="right"/>
              <w:rPr/>
            </w:pPr>
            <w:r>
              <w:rPr/>
              <w:t>165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8" w:type="dxa"/>
            <w:tcBorders/>
            <w:shd w:fill="CCEEFF" w:val="clear"/>
            <w:vAlign w:val="center"/>
          </w:tcPr>
          <w:p>
            <w:pPr>
              <w:pStyle w:val="TableContents"/>
              <w:bidi w:val="0"/>
              <w:spacing w:before="0" w:after="283"/>
              <w:jc w:val="left"/>
              <w:rPr/>
            </w:pPr>
            <w:r>
              <w:rPr/>
              <w:t> </w:t>
            </w:r>
          </w:p>
        </w:tc>
        <w:tc>
          <w:tcPr>
            <w:tcW w:w="1182" w:type="dxa"/>
            <w:tcBorders/>
            <w:shd w:fill="CCEEFF" w:val="clear"/>
            <w:vAlign w:val="center"/>
          </w:tcPr>
          <w:p>
            <w:pPr>
              <w:pStyle w:val="TableContents"/>
              <w:bidi w:val="0"/>
              <w:spacing w:before="0" w:after="283"/>
              <w:jc w:val="right"/>
              <w:rPr/>
            </w:pPr>
            <w:r>
              <w:rPr/>
              <w:t>165</w:t>
            </w:r>
          </w:p>
        </w:tc>
        <w:tc>
          <w:tcPr>
            <w:tcW w:w="112" w:type="dxa"/>
            <w:tcBorders/>
            <w:shd w:fill="CCEEFF" w:val="clear"/>
            <w:vAlign w:val="center"/>
          </w:tcPr>
          <w:p>
            <w:pPr>
              <w:pStyle w:val="TableContents"/>
              <w:bidi w:val="0"/>
              <w:spacing w:before="0" w:after="283"/>
              <w:jc w:val="left"/>
              <w:rPr/>
            </w:pPr>
            <w:r>
              <w:rPr/>
              <w:t> </w:t>
            </w:r>
          </w:p>
        </w:tc>
      </w:tr>
      <w:tr>
        <w:trPr/>
        <w:tc>
          <w:tcPr>
            <w:tcW w:w="7480" w:type="dxa"/>
            <w:tcBorders/>
            <w:shd w:fill="FFFFFF" w:val="clear"/>
            <w:vAlign w:val="center"/>
          </w:tcPr>
          <w:p>
            <w:pPr>
              <w:pStyle w:val="TableContents"/>
              <w:bidi w:val="0"/>
              <w:spacing w:before="0" w:after="283"/>
              <w:jc w:val="both"/>
              <w:rPr/>
            </w:pPr>
            <w:r>
              <w:rPr/>
              <w:t>Accumulated deficit</w:t>
            </w:r>
          </w:p>
        </w:tc>
        <w:tc>
          <w:tcPr>
            <w:tcW w:w="60" w:type="dxa"/>
            <w:tcBorders/>
            <w:shd w:fill="FFFFFF" w:val="clear"/>
            <w:vAlign w:val="center"/>
          </w:tcPr>
          <w:p>
            <w:pPr>
              <w:pStyle w:val="TableContents"/>
              <w:bidi w:val="0"/>
              <w:spacing w:before="0" w:after="283"/>
              <w:jc w:val="left"/>
              <w:rPr/>
            </w:pPr>
            <w:r>
              <w:rPr/>
              <w:t> </w:t>
            </w:r>
          </w:p>
        </w:tc>
        <w:tc>
          <w:tcPr>
            <w:tcW w:w="141"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887" w:type="dxa"/>
            <w:tcBorders>
              <w:bottom w:val="single" w:sz="12" w:space="0" w:color="000000"/>
            </w:tcBorders>
            <w:shd w:fill="FFFFFF" w:val="clear"/>
            <w:tcMar>
              <w:bottom w:w="28" w:type="dxa"/>
            </w:tcMar>
            <w:vAlign w:val="center"/>
          </w:tcPr>
          <w:p>
            <w:pPr>
              <w:pStyle w:val="TableContents"/>
              <w:bidi w:val="0"/>
              <w:spacing w:before="0" w:after="283"/>
              <w:jc w:val="right"/>
              <w:rPr/>
            </w:pPr>
            <w:r>
              <w:rPr/>
              <w:t>(451,483</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88"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82" w:type="dxa"/>
            <w:tcBorders>
              <w:bottom w:val="single" w:sz="12" w:space="0" w:color="000000"/>
            </w:tcBorders>
            <w:shd w:fill="FFFFFF" w:val="clear"/>
            <w:tcMar>
              <w:bottom w:w="28" w:type="dxa"/>
            </w:tcMar>
            <w:vAlign w:val="center"/>
          </w:tcPr>
          <w:p>
            <w:pPr>
              <w:pStyle w:val="TableContents"/>
              <w:bidi w:val="0"/>
              <w:spacing w:before="0" w:after="283"/>
              <w:jc w:val="right"/>
              <w:rPr/>
            </w:pPr>
            <w:r>
              <w:rPr/>
              <w:t>(456,733</w:t>
            </w:r>
          </w:p>
        </w:tc>
        <w:tc>
          <w:tcPr>
            <w:tcW w:w="112" w:type="dxa"/>
            <w:tcBorders/>
            <w:shd w:fill="FFFFFF" w:val="clear"/>
            <w:vAlign w:val="center"/>
          </w:tcPr>
          <w:p>
            <w:pPr>
              <w:pStyle w:val="TableContents"/>
              <w:bidi w:val="0"/>
              <w:spacing w:before="0" w:after="283"/>
              <w:jc w:val="left"/>
              <w:rPr/>
            </w:pPr>
            <w:r>
              <w:rPr/>
              <w:t>)</w:t>
            </w:r>
          </w:p>
        </w:tc>
      </w:tr>
      <w:tr>
        <w:trPr/>
        <w:tc>
          <w:tcPr>
            <w:tcW w:w="7480" w:type="dxa"/>
            <w:tcBorders/>
            <w:shd w:fill="CCEEFF" w:val="clear"/>
            <w:vAlign w:val="center"/>
          </w:tcPr>
          <w:p>
            <w:pPr>
              <w:pStyle w:val="TableContents"/>
              <w:bidi w:val="0"/>
              <w:spacing w:before="0" w:after="283"/>
              <w:jc w:val="both"/>
              <w:rPr/>
            </w:pPr>
            <w:r>
              <w:rPr/>
              <w:t>Total stockholders’ (deficit)</w:t>
            </w:r>
          </w:p>
        </w:tc>
        <w:tc>
          <w:tcPr>
            <w:tcW w:w="60" w:type="dxa"/>
            <w:tcBorders/>
            <w:shd w:fill="CCEEFF" w:val="clear"/>
            <w:vAlign w:val="center"/>
          </w:tcPr>
          <w:p>
            <w:pPr>
              <w:pStyle w:val="TableContents"/>
              <w:bidi w:val="0"/>
              <w:spacing w:before="0" w:after="283"/>
              <w:jc w:val="left"/>
              <w:rPr/>
            </w:pPr>
            <w:r>
              <w:rPr/>
              <w:t> </w:t>
            </w:r>
          </w:p>
        </w:tc>
        <w:tc>
          <w:tcPr>
            <w:tcW w:w="141"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87" w:type="dxa"/>
            <w:tcBorders>
              <w:bottom w:val="single" w:sz="12" w:space="0" w:color="000000"/>
            </w:tcBorders>
            <w:shd w:fill="CCEEFF" w:val="clear"/>
            <w:tcMar>
              <w:bottom w:w="28" w:type="dxa"/>
            </w:tcMar>
            <w:vAlign w:val="center"/>
          </w:tcPr>
          <w:p>
            <w:pPr>
              <w:pStyle w:val="TableContents"/>
              <w:bidi w:val="0"/>
              <w:spacing w:before="0" w:after="283"/>
              <w:jc w:val="right"/>
              <w:rPr/>
            </w:pPr>
            <w:r>
              <w:rPr/>
              <w:t>(61,453</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88"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82" w:type="dxa"/>
            <w:tcBorders>
              <w:bottom w:val="single" w:sz="12" w:space="0" w:color="000000"/>
            </w:tcBorders>
            <w:shd w:fill="CCEEFF" w:val="clear"/>
            <w:tcMar>
              <w:bottom w:w="28" w:type="dxa"/>
            </w:tcMar>
            <w:vAlign w:val="center"/>
          </w:tcPr>
          <w:p>
            <w:pPr>
              <w:pStyle w:val="TableContents"/>
              <w:bidi w:val="0"/>
              <w:spacing w:before="0" w:after="283"/>
              <w:jc w:val="right"/>
              <w:rPr/>
            </w:pPr>
            <w:r>
              <w:rPr/>
              <w:t>(90,144</w:t>
            </w:r>
          </w:p>
        </w:tc>
        <w:tc>
          <w:tcPr>
            <w:tcW w:w="112" w:type="dxa"/>
            <w:tcBorders/>
            <w:shd w:fill="CCEEFF" w:val="clear"/>
            <w:vAlign w:val="center"/>
          </w:tcPr>
          <w:p>
            <w:pPr>
              <w:pStyle w:val="TableContents"/>
              <w:bidi w:val="0"/>
              <w:spacing w:before="0" w:after="283"/>
              <w:jc w:val="left"/>
              <w:rPr/>
            </w:pPr>
            <w:r>
              <w:rPr/>
              <w:t>)</w:t>
            </w:r>
          </w:p>
        </w:tc>
      </w:tr>
      <w:tr>
        <w:trPr/>
        <w:tc>
          <w:tcPr>
            <w:tcW w:w="7480" w:type="dxa"/>
            <w:tcBorders/>
            <w:shd w:fill="FFFFFF" w:val="clear"/>
            <w:vAlign w:val="center"/>
          </w:tcPr>
          <w:p>
            <w:pPr>
              <w:pStyle w:val="TableContents"/>
              <w:bidi w:val="0"/>
              <w:spacing w:before="0" w:after="283"/>
              <w:jc w:val="both"/>
              <w:rPr/>
            </w:pPr>
            <w:r>
              <w:rPr/>
              <w:t>Total liabilities and stockholders’ (deficit)</w:t>
            </w:r>
          </w:p>
        </w:tc>
        <w:tc>
          <w:tcPr>
            <w:tcW w:w="60" w:type="dxa"/>
            <w:tcBorders/>
            <w:shd w:fill="FFFFFF" w:val="clear"/>
            <w:vAlign w:val="center"/>
          </w:tcPr>
          <w:p>
            <w:pPr>
              <w:pStyle w:val="TableContents"/>
              <w:bidi w:val="0"/>
              <w:spacing w:before="0" w:after="283"/>
              <w:jc w:val="left"/>
              <w:rPr/>
            </w:pPr>
            <w:r>
              <w:rPr/>
              <w:t> </w:t>
            </w:r>
          </w:p>
        </w:tc>
        <w:tc>
          <w:tcPr>
            <w:tcW w:w="141" w:type="dxa"/>
            <w:tcBorders>
              <w:bottom w:val="double" w:sz="10" w:space="0" w:color="000000"/>
            </w:tcBorders>
            <w:shd w:fill="FFFFFF" w:val="clear"/>
            <w:tcMar>
              <w:bottom w:w="28" w:type="dxa"/>
            </w:tcMar>
            <w:vAlign w:val="center"/>
          </w:tcPr>
          <w:p>
            <w:pPr>
              <w:pStyle w:val="TableContents"/>
              <w:bidi w:val="0"/>
              <w:spacing w:before="0" w:after="283"/>
              <w:jc w:val="left"/>
              <w:rPr/>
            </w:pPr>
            <w:r>
              <w:rPr/>
              <w:t>$</w:t>
            </w:r>
          </w:p>
        </w:tc>
        <w:tc>
          <w:tcPr>
            <w:tcW w:w="887" w:type="dxa"/>
            <w:tcBorders>
              <w:bottom w:val="double" w:sz="10" w:space="0" w:color="000000"/>
            </w:tcBorders>
            <w:shd w:fill="FFFFFF" w:val="clear"/>
            <w:tcMar>
              <w:bottom w:w="28" w:type="dxa"/>
            </w:tcMar>
            <w:vAlign w:val="center"/>
          </w:tcPr>
          <w:p>
            <w:pPr>
              <w:pStyle w:val="TableContents"/>
              <w:bidi w:val="0"/>
              <w:spacing w:before="0" w:after="283"/>
              <w:jc w:val="right"/>
              <w:rPr/>
            </w:pPr>
            <w:r>
              <w:rPr/>
              <w:t>262,086</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8" w:type="dxa"/>
            <w:tcBorders>
              <w:bottom w:val="double" w:sz="10" w:space="0" w:color="000000"/>
            </w:tcBorders>
            <w:shd w:fill="FFFFFF" w:val="clear"/>
            <w:tcMar>
              <w:bottom w:w="28" w:type="dxa"/>
            </w:tcMar>
            <w:vAlign w:val="center"/>
          </w:tcPr>
          <w:p>
            <w:pPr>
              <w:pStyle w:val="TableContents"/>
              <w:bidi w:val="0"/>
              <w:spacing w:before="0" w:after="283"/>
              <w:jc w:val="left"/>
              <w:rPr/>
            </w:pPr>
            <w:r>
              <w:rPr/>
              <w:t>$</w:t>
            </w:r>
          </w:p>
        </w:tc>
        <w:tc>
          <w:tcPr>
            <w:tcW w:w="1182" w:type="dxa"/>
            <w:tcBorders>
              <w:bottom w:val="double" w:sz="10" w:space="0" w:color="000000"/>
            </w:tcBorders>
            <w:shd w:fill="FFFFFF" w:val="clear"/>
            <w:tcMar>
              <w:bottom w:w="28" w:type="dxa"/>
            </w:tcMar>
            <w:vAlign w:val="center"/>
          </w:tcPr>
          <w:p>
            <w:pPr>
              <w:pStyle w:val="TableContents"/>
              <w:bidi w:val="0"/>
              <w:spacing w:before="0" w:after="283"/>
              <w:jc w:val="right"/>
              <w:rPr/>
            </w:pPr>
            <w:r>
              <w:rPr/>
              <w:t>241,187</w:t>
            </w:r>
          </w:p>
        </w:tc>
        <w:tc>
          <w:tcPr>
            <w:tcW w:w="112"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34"/>
        <w:gridCol w:w="9971"/>
      </w:tblGrid>
      <w:tr>
        <w:trPr/>
        <w:tc>
          <w:tcPr>
            <w:tcW w:w="234" w:type="dxa"/>
            <w:tcBorders/>
            <w:vAlign w:val="center"/>
          </w:tcPr>
          <w:p>
            <w:pPr>
              <w:pStyle w:val="TableContents"/>
              <w:bidi w:val="0"/>
              <w:spacing w:before="0" w:after="283"/>
              <w:jc w:val="both"/>
              <w:rPr>
                <w:rFonts w:ascii="Times New Roman;Times;Serif" w:hAnsi="Times New Roman;Times;Serif"/>
                <w:position w:val="7"/>
                <w:sz w:val="16"/>
                <w:sz w:val="20"/>
              </w:rPr>
            </w:pPr>
            <w:r>
              <w:rPr>
                <w:rFonts w:ascii="Times New Roman;Times;Serif" w:hAnsi="Times New Roman;Times;Serif"/>
                <w:position w:val="7"/>
                <w:sz w:val="16"/>
                <w:sz w:val="20"/>
              </w:rPr>
              <w:t>(1)</w:t>
            </w:r>
          </w:p>
        </w:tc>
        <w:tc>
          <w:tcPr>
            <w:tcW w:w="9971" w:type="dxa"/>
            <w:tcBorders/>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Includes accrued interest due to related parties of $2.2 million and $2.6 million as of March 29, 2026, and December 28, 2025, respectively.</w:t>
            </w:r>
          </w:p>
          <w:p>
            <w:pPr>
              <w:pStyle w:val="TableContents"/>
              <w:bidi w:val="0"/>
              <w:spacing w:before="0" w:after="0"/>
              <w:ind w:left="0" w:right="0" w:hanging="0"/>
              <w:jc w:val="both"/>
              <w:rPr>
                <w:caps w:val="false"/>
                <w:smallCaps w:val="false"/>
              </w:rPr>
            </w:pPr>
            <w:r>
              <w:rPr>
                <w:caps w:val="false"/>
                <w:smallCaps w:val="false"/>
              </w:rPr>
              <w:t> </w:t>
            </w:r>
          </w:p>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Includes investor financing deposit with related party of $5.4 million and $2.0 million as of March 29, 2026, and December 28, 2025, respectively.</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The accompanying notes are an integral part of these unaudited condensed consolidated financial statements.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center"/>
        <w:rPr>
          <w:sz w:val="20"/>
          <w:bdr w:val="single" w:sz="12" w:space="1" w:color="000000"/>
        </w:rPr>
      </w:pPr>
      <w:r>
        <w:rPr>
          <w:sz w:val="20"/>
          <w:bdr w:val="single" w:sz="12" w:space="1" w:color="000000"/>
        </w:rPr>
        <w:t>F-4</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23" w:name="q_002"/>
      <w:bookmarkEnd w:id="23"/>
      <w:r>
        <w:rPr>
          <w:rFonts w:ascii="Times New Roman;Times;Serif" w:hAnsi="Times New Roman;Times;Serif"/>
          <w:b/>
          <w:i w:val="false"/>
          <w:caps w:val="false"/>
          <w:smallCaps w:val="false"/>
          <w:sz w:val="20"/>
        </w:rPr>
        <w:t xml:space="preserve">SUNPOWER INC.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Unaudited Condensed Consolidated Statements of Operations and Comprehensive Income</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r>
        <w:rPr>
          <w:rFonts w:ascii="Times New Roman;Times;Serif" w:hAnsi="Times New Roman;Times;Serif"/>
          <w:b/>
          <w:i/>
          <w:caps w:val="false"/>
          <w:smallCaps w:val="false"/>
          <w:sz w:val="20"/>
        </w:rPr>
        <w:t>in thousands except share and per share amounts</w:t>
      </w:r>
      <w:r>
        <w:rPr>
          <w:rFonts w:ascii="Times New Roman;Times;Serif" w:hAnsi="Times New Roman;Times;Serif"/>
          <w:b/>
          <w:i w:val="false"/>
          <w:caps w:val="false"/>
          <w:smallCaps w:val="false"/>
          <w:sz w:val="20"/>
        </w:rPr>
        <w: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170"/>
        <w:gridCol w:w="60"/>
        <w:gridCol w:w="140"/>
        <w:gridCol w:w="1220"/>
        <w:gridCol w:w="95"/>
        <w:gridCol w:w="60"/>
        <w:gridCol w:w="140"/>
        <w:gridCol w:w="1220"/>
        <w:gridCol w:w="100"/>
      </w:tblGrid>
      <w:tr>
        <w:trPr/>
        <w:tc>
          <w:tcPr>
            <w:tcW w:w="717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875"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Thirteen Weeks Ended</w:t>
            </w:r>
          </w:p>
        </w:tc>
        <w:tc>
          <w:tcPr>
            <w:tcW w:w="100" w:type="dxa"/>
            <w:tcBorders/>
            <w:vAlign w:val="center"/>
          </w:tcPr>
          <w:p>
            <w:pPr>
              <w:pStyle w:val="TableContents"/>
              <w:bidi w:val="0"/>
              <w:spacing w:before="0" w:after="283"/>
              <w:jc w:val="left"/>
              <w:rPr/>
            </w:pPr>
            <w:r>
              <w:rPr/>
              <w:t> </w:t>
            </w:r>
          </w:p>
        </w:tc>
      </w:tr>
      <w:tr>
        <w:trPr/>
        <w:tc>
          <w:tcPr>
            <w:tcW w:w="717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60" w:type="dxa"/>
            <w:gridSpan w:val="2"/>
            <w:tcBorders/>
            <w:vAlign w:val="center"/>
          </w:tcPr>
          <w:p>
            <w:pPr>
              <w:pStyle w:val="TableContents"/>
              <w:bidi w:val="0"/>
              <w:spacing w:before="0" w:after="283"/>
              <w:jc w:val="center"/>
              <w:rPr>
                <w:b/>
              </w:rPr>
            </w:pPr>
            <w:r>
              <w:rPr>
                <w:b/>
              </w:rPr>
              <w:t>March 29,</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60" w:type="dxa"/>
            <w:gridSpan w:val="2"/>
            <w:tcBorders/>
            <w:vAlign w:val="center"/>
          </w:tcPr>
          <w:p>
            <w:pPr>
              <w:pStyle w:val="TableContents"/>
              <w:bidi w:val="0"/>
              <w:spacing w:before="0" w:after="283"/>
              <w:jc w:val="center"/>
              <w:rPr>
                <w:b/>
              </w:rPr>
            </w:pPr>
            <w:r>
              <w:rPr>
                <w:b/>
              </w:rPr>
              <w:t>March 30,</w:t>
            </w:r>
          </w:p>
        </w:tc>
        <w:tc>
          <w:tcPr>
            <w:tcW w:w="100" w:type="dxa"/>
            <w:tcBorders/>
            <w:vAlign w:val="center"/>
          </w:tcPr>
          <w:p>
            <w:pPr>
              <w:pStyle w:val="TableContents"/>
              <w:bidi w:val="0"/>
              <w:spacing w:before="0" w:after="283"/>
              <w:jc w:val="left"/>
              <w:rPr/>
            </w:pPr>
            <w:r>
              <w:rPr/>
              <w:t> </w:t>
            </w:r>
          </w:p>
        </w:tc>
      </w:tr>
      <w:tr>
        <w:trPr/>
        <w:tc>
          <w:tcPr>
            <w:tcW w:w="717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6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2026</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6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2025</w:t>
            </w:r>
          </w:p>
        </w:tc>
        <w:tc>
          <w:tcPr>
            <w:tcW w:w="100" w:type="dxa"/>
            <w:tcBorders/>
            <w:vAlign w:val="center"/>
          </w:tcPr>
          <w:p>
            <w:pPr>
              <w:pStyle w:val="TableContents"/>
              <w:bidi w:val="0"/>
              <w:spacing w:before="0" w:after="283"/>
              <w:ind w:left="0" w:right="0" w:hanging="180"/>
              <w:jc w:val="left"/>
              <w:rPr/>
            </w:pPr>
            <w:r>
              <w:rPr/>
              <w:t> </w:t>
            </w:r>
          </w:p>
        </w:tc>
      </w:tr>
      <w:tr>
        <w:trPr/>
        <w:tc>
          <w:tcPr>
            <w:tcW w:w="7170" w:type="dxa"/>
            <w:tcBorders/>
            <w:shd w:fill="CCEEFF" w:val="clear"/>
            <w:vAlign w:val="center"/>
          </w:tcPr>
          <w:p>
            <w:pPr>
              <w:pStyle w:val="TableContents"/>
              <w:bidi w:val="0"/>
              <w:spacing w:before="0" w:after="283"/>
              <w:jc w:val="left"/>
              <w:rPr/>
            </w:pPr>
            <w:r>
              <w:rPr/>
              <w:t>Revenues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220" w:type="dxa"/>
            <w:tcBorders/>
            <w:shd w:fill="CCEEFF" w:val="clear"/>
            <w:vAlign w:val="center"/>
          </w:tcPr>
          <w:p>
            <w:pPr>
              <w:pStyle w:val="TableContents"/>
              <w:bidi w:val="0"/>
              <w:spacing w:before="0" w:after="283"/>
              <w:jc w:val="right"/>
              <w:rPr/>
            </w:pPr>
            <w:r>
              <w:rPr/>
              <w:t>72,793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220" w:type="dxa"/>
            <w:tcBorders/>
            <w:shd w:fill="CCEEFF" w:val="clear"/>
            <w:vAlign w:val="center"/>
          </w:tcPr>
          <w:p>
            <w:pPr>
              <w:pStyle w:val="TableContents"/>
              <w:bidi w:val="0"/>
              <w:spacing w:before="0" w:after="283"/>
              <w:jc w:val="right"/>
              <w:rPr/>
            </w:pPr>
            <w:r>
              <w:rPr/>
              <w:t>78,413</w:t>
            </w:r>
          </w:p>
        </w:tc>
        <w:tc>
          <w:tcPr>
            <w:tcW w:w="100" w:type="dxa"/>
            <w:tcBorders/>
            <w:shd w:fill="CCEEFF" w:val="clear"/>
            <w:vAlign w:val="center"/>
          </w:tcPr>
          <w:p>
            <w:pPr>
              <w:pStyle w:val="TableContents"/>
              <w:bidi w:val="0"/>
              <w:spacing w:before="0" w:after="283"/>
              <w:ind w:left="0" w:right="0" w:hanging="180"/>
              <w:jc w:val="left"/>
              <w:rPr/>
            </w:pPr>
            <w:r>
              <w:rPr/>
              <w:t> </w:t>
            </w:r>
          </w:p>
        </w:tc>
      </w:tr>
      <w:tr>
        <w:trPr/>
        <w:tc>
          <w:tcPr>
            <w:tcW w:w="717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Cost of revenues</w:t>
            </w:r>
            <w:r>
              <w:rPr>
                <w:rFonts w:ascii="Times New Roman;Times;Serif" w:hAnsi="Times New Roman;Times;Serif"/>
                <w:position w:val="7"/>
                <w:sz w:val="16"/>
                <w:sz w:val="20"/>
              </w:rPr>
              <w:t>(1)</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20" w:type="dxa"/>
            <w:tcBorders>
              <w:bottom w:val="single" w:sz="12" w:space="0" w:color="000000"/>
            </w:tcBorders>
            <w:shd w:fill="FFFFFF" w:val="clear"/>
            <w:tcMar>
              <w:bottom w:w="28" w:type="dxa"/>
            </w:tcMar>
            <w:vAlign w:val="center"/>
          </w:tcPr>
          <w:p>
            <w:pPr>
              <w:pStyle w:val="TableContents"/>
              <w:bidi w:val="0"/>
              <w:spacing w:before="0" w:after="283"/>
              <w:jc w:val="right"/>
              <w:rPr/>
            </w:pPr>
            <w:r>
              <w:rPr/>
              <w:t>28,106</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20" w:type="dxa"/>
            <w:tcBorders>
              <w:bottom w:val="single" w:sz="12" w:space="0" w:color="000000"/>
            </w:tcBorders>
            <w:shd w:fill="FFFFFF" w:val="clear"/>
            <w:tcMar>
              <w:bottom w:w="28" w:type="dxa"/>
            </w:tcMar>
            <w:vAlign w:val="center"/>
          </w:tcPr>
          <w:p>
            <w:pPr>
              <w:pStyle w:val="TableContents"/>
              <w:bidi w:val="0"/>
              <w:spacing w:before="0" w:after="283"/>
              <w:jc w:val="right"/>
              <w:rPr/>
            </w:pPr>
            <w:r>
              <w:rPr/>
              <w:t>51,037</w:t>
            </w:r>
          </w:p>
        </w:tc>
        <w:tc>
          <w:tcPr>
            <w:tcW w:w="100" w:type="dxa"/>
            <w:tcBorders/>
            <w:shd w:fill="FFFFFF" w:val="clear"/>
            <w:vAlign w:val="center"/>
          </w:tcPr>
          <w:p>
            <w:pPr>
              <w:pStyle w:val="TableContents"/>
              <w:bidi w:val="0"/>
              <w:spacing w:before="0" w:after="283"/>
              <w:ind w:left="0" w:right="0" w:hanging="180"/>
              <w:jc w:val="left"/>
              <w:rPr/>
            </w:pPr>
            <w:r>
              <w:rPr/>
              <w:t> </w:t>
            </w:r>
          </w:p>
        </w:tc>
      </w:tr>
      <w:tr>
        <w:trPr/>
        <w:tc>
          <w:tcPr>
            <w:tcW w:w="7170" w:type="dxa"/>
            <w:tcBorders/>
            <w:shd w:fill="CCEEFF" w:val="clear"/>
            <w:vAlign w:val="center"/>
          </w:tcPr>
          <w:p>
            <w:pPr>
              <w:pStyle w:val="TableContents"/>
              <w:bidi w:val="0"/>
              <w:spacing w:before="0" w:after="283"/>
              <w:jc w:val="left"/>
              <w:rPr/>
            </w:pPr>
            <w:r>
              <w:rPr/>
              <w:t>Gross profit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20" w:type="dxa"/>
            <w:tcBorders>
              <w:bottom w:val="single" w:sz="12" w:space="0" w:color="000000"/>
            </w:tcBorders>
            <w:shd w:fill="CCEEFF" w:val="clear"/>
            <w:tcMar>
              <w:bottom w:w="28" w:type="dxa"/>
            </w:tcMar>
            <w:vAlign w:val="center"/>
          </w:tcPr>
          <w:p>
            <w:pPr>
              <w:pStyle w:val="TableContents"/>
              <w:bidi w:val="0"/>
              <w:spacing w:before="0" w:after="283"/>
              <w:jc w:val="right"/>
              <w:rPr/>
            </w:pPr>
            <w:r>
              <w:rPr/>
              <w:t>44,687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20" w:type="dxa"/>
            <w:tcBorders>
              <w:bottom w:val="single" w:sz="12" w:space="0" w:color="000000"/>
            </w:tcBorders>
            <w:shd w:fill="CCEEFF" w:val="clear"/>
            <w:tcMar>
              <w:bottom w:w="28" w:type="dxa"/>
            </w:tcMar>
            <w:vAlign w:val="center"/>
          </w:tcPr>
          <w:p>
            <w:pPr>
              <w:pStyle w:val="TableContents"/>
              <w:bidi w:val="0"/>
              <w:spacing w:before="0" w:after="283"/>
              <w:jc w:val="right"/>
              <w:rPr/>
            </w:pPr>
            <w:r>
              <w:rPr/>
              <w:t>27,376</w:t>
            </w:r>
          </w:p>
        </w:tc>
        <w:tc>
          <w:tcPr>
            <w:tcW w:w="100" w:type="dxa"/>
            <w:tcBorders/>
            <w:shd w:fill="CCEEFF" w:val="clear"/>
            <w:vAlign w:val="center"/>
          </w:tcPr>
          <w:p>
            <w:pPr>
              <w:pStyle w:val="TableContents"/>
              <w:bidi w:val="0"/>
              <w:spacing w:before="0" w:after="283"/>
              <w:ind w:left="0" w:right="0" w:hanging="180"/>
              <w:jc w:val="left"/>
              <w:rPr/>
            </w:pPr>
            <w:r>
              <w:rPr/>
              <w:t> </w:t>
            </w:r>
          </w:p>
        </w:tc>
      </w:tr>
      <w:tr>
        <w:trPr/>
        <w:tc>
          <w:tcPr>
            <w:tcW w:w="7170" w:type="dxa"/>
            <w:tcBorders/>
            <w:shd w:fill="FFFFFF" w:val="clear"/>
            <w:vAlign w:val="center"/>
          </w:tcPr>
          <w:p>
            <w:pPr>
              <w:pStyle w:val="TableContents"/>
              <w:bidi w:val="0"/>
              <w:spacing w:before="0" w:after="283"/>
              <w:jc w:val="left"/>
              <w:rPr/>
            </w:pPr>
            <w:r>
              <w:rPr/>
              <w:t>Operating expenses: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 </w:t>
            </w:r>
          </w:p>
        </w:tc>
        <w:tc>
          <w:tcPr>
            <w:tcW w:w="100" w:type="dxa"/>
            <w:tcBorders/>
            <w:shd w:fill="FFFFFF" w:val="clear"/>
            <w:vAlign w:val="center"/>
          </w:tcPr>
          <w:p>
            <w:pPr>
              <w:pStyle w:val="TableContents"/>
              <w:bidi w:val="0"/>
              <w:spacing w:before="0" w:after="283"/>
              <w:ind w:left="0" w:right="0" w:hanging="180"/>
              <w:jc w:val="left"/>
              <w:rPr/>
            </w:pPr>
            <w:r>
              <w:rPr/>
              <w:t> </w:t>
            </w:r>
          </w:p>
        </w:tc>
      </w:tr>
      <w:tr>
        <w:trPr/>
        <w:tc>
          <w:tcPr>
            <w:tcW w:w="7170" w:type="dxa"/>
            <w:tcBorders/>
            <w:shd w:fill="CCEEFF" w:val="clear"/>
            <w:vAlign w:val="center"/>
          </w:tcPr>
          <w:p>
            <w:pPr>
              <w:pStyle w:val="TableContents"/>
              <w:bidi w:val="0"/>
              <w:spacing w:before="0" w:after="283"/>
              <w:jc w:val="left"/>
              <w:rPr/>
            </w:pPr>
            <w:r>
              <w:rPr/>
              <w:t>Sales commissions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28,564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7,684</w:t>
            </w:r>
          </w:p>
        </w:tc>
        <w:tc>
          <w:tcPr>
            <w:tcW w:w="100" w:type="dxa"/>
            <w:tcBorders/>
            <w:shd w:fill="CCEEFF" w:val="clear"/>
            <w:vAlign w:val="center"/>
          </w:tcPr>
          <w:p>
            <w:pPr>
              <w:pStyle w:val="TableContents"/>
              <w:bidi w:val="0"/>
              <w:spacing w:before="0" w:after="283"/>
              <w:ind w:left="0" w:right="0" w:hanging="180"/>
              <w:jc w:val="left"/>
              <w:rPr/>
            </w:pPr>
            <w:r>
              <w:rPr/>
              <w:t> </w:t>
            </w:r>
          </w:p>
        </w:tc>
      </w:tr>
      <w:tr>
        <w:trPr/>
        <w:tc>
          <w:tcPr>
            <w:tcW w:w="7170" w:type="dxa"/>
            <w:tcBorders/>
            <w:shd w:fill="FFFFFF" w:val="clear"/>
            <w:vAlign w:val="center"/>
          </w:tcPr>
          <w:p>
            <w:pPr>
              <w:pStyle w:val="TableContents"/>
              <w:bidi w:val="0"/>
              <w:spacing w:before="0" w:after="283"/>
              <w:jc w:val="left"/>
              <w:rPr/>
            </w:pPr>
            <w:r>
              <w:rPr/>
              <w:t>Sales and marketing</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4,993</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8,522</w:t>
            </w:r>
          </w:p>
        </w:tc>
        <w:tc>
          <w:tcPr>
            <w:tcW w:w="100" w:type="dxa"/>
            <w:tcBorders/>
            <w:shd w:fill="FFFFFF" w:val="clear"/>
            <w:vAlign w:val="center"/>
          </w:tcPr>
          <w:p>
            <w:pPr>
              <w:pStyle w:val="TableContents"/>
              <w:bidi w:val="0"/>
              <w:spacing w:before="0" w:after="283"/>
              <w:ind w:left="0" w:right="0" w:hanging="180"/>
              <w:jc w:val="left"/>
              <w:rPr/>
            </w:pPr>
            <w:r>
              <w:rPr/>
              <w:t> </w:t>
            </w:r>
          </w:p>
        </w:tc>
      </w:tr>
      <w:tr>
        <w:trPr/>
        <w:tc>
          <w:tcPr>
            <w:tcW w:w="7170" w:type="dxa"/>
            <w:tcBorders/>
            <w:shd w:fill="CCEEFF" w:val="clear"/>
            <w:vAlign w:val="center"/>
          </w:tcPr>
          <w:p>
            <w:pPr>
              <w:pStyle w:val="TableContents"/>
              <w:bidi w:val="0"/>
              <w:spacing w:before="0" w:after="283"/>
              <w:jc w:val="left"/>
              <w:rPr/>
            </w:pPr>
            <w:r>
              <w:rPr/>
              <w:t>General and administrative</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20" w:type="dxa"/>
            <w:tcBorders>
              <w:bottom w:val="single" w:sz="12" w:space="0" w:color="000000"/>
            </w:tcBorders>
            <w:shd w:fill="CCEEFF" w:val="clear"/>
            <w:tcMar>
              <w:bottom w:w="28" w:type="dxa"/>
            </w:tcMar>
            <w:vAlign w:val="center"/>
          </w:tcPr>
          <w:p>
            <w:pPr>
              <w:pStyle w:val="TableContents"/>
              <w:bidi w:val="0"/>
              <w:spacing w:before="0" w:after="283"/>
              <w:jc w:val="right"/>
              <w:rPr/>
            </w:pPr>
            <w:r>
              <w:rPr/>
              <w:t>30,325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20" w:type="dxa"/>
            <w:tcBorders>
              <w:bottom w:val="single" w:sz="12" w:space="0" w:color="000000"/>
            </w:tcBorders>
            <w:shd w:fill="CCEEFF" w:val="clear"/>
            <w:tcMar>
              <w:bottom w:w="28" w:type="dxa"/>
            </w:tcMar>
            <w:vAlign w:val="center"/>
          </w:tcPr>
          <w:p>
            <w:pPr>
              <w:pStyle w:val="TableContents"/>
              <w:bidi w:val="0"/>
              <w:spacing w:before="0" w:after="283"/>
              <w:jc w:val="right"/>
              <w:rPr/>
            </w:pPr>
            <w:r>
              <w:rPr/>
              <w:t>14,896</w:t>
            </w:r>
          </w:p>
        </w:tc>
        <w:tc>
          <w:tcPr>
            <w:tcW w:w="100" w:type="dxa"/>
            <w:tcBorders/>
            <w:shd w:fill="CCEEFF" w:val="clear"/>
            <w:vAlign w:val="center"/>
          </w:tcPr>
          <w:p>
            <w:pPr>
              <w:pStyle w:val="TableContents"/>
              <w:bidi w:val="0"/>
              <w:spacing w:before="0" w:after="283"/>
              <w:ind w:left="0" w:right="0" w:hanging="180"/>
              <w:jc w:val="left"/>
              <w:rPr/>
            </w:pPr>
            <w:r>
              <w:rPr/>
              <w:t> </w:t>
            </w:r>
          </w:p>
        </w:tc>
      </w:tr>
      <w:tr>
        <w:trPr/>
        <w:tc>
          <w:tcPr>
            <w:tcW w:w="7170" w:type="dxa"/>
            <w:tcBorders/>
            <w:shd w:fill="FFFFFF" w:val="clear"/>
            <w:vAlign w:val="center"/>
          </w:tcPr>
          <w:p>
            <w:pPr>
              <w:pStyle w:val="TableContents"/>
              <w:bidi w:val="0"/>
              <w:spacing w:before="0" w:after="283"/>
              <w:jc w:val="left"/>
              <w:rPr/>
            </w:pPr>
            <w:r>
              <w:rPr/>
              <w:t>Total operating expenses</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20" w:type="dxa"/>
            <w:tcBorders>
              <w:bottom w:val="single" w:sz="12" w:space="0" w:color="000000"/>
            </w:tcBorders>
            <w:shd w:fill="FFFFFF" w:val="clear"/>
            <w:tcMar>
              <w:bottom w:w="28" w:type="dxa"/>
            </w:tcMar>
            <w:vAlign w:val="center"/>
          </w:tcPr>
          <w:p>
            <w:pPr>
              <w:pStyle w:val="TableContents"/>
              <w:bidi w:val="0"/>
              <w:spacing w:before="0" w:after="283"/>
              <w:jc w:val="right"/>
              <w:rPr/>
            </w:pPr>
            <w:r>
              <w:rPr/>
              <w:t>63,882</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20" w:type="dxa"/>
            <w:tcBorders>
              <w:bottom w:val="single" w:sz="12" w:space="0" w:color="000000"/>
            </w:tcBorders>
            <w:shd w:fill="FFFFFF" w:val="clear"/>
            <w:tcMar>
              <w:bottom w:w="28" w:type="dxa"/>
            </w:tcMar>
            <w:vAlign w:val="center"/>
          </w:tcPr>
          <w:p>
            <w:pPr>
              <w:pStyle w:val="TableContents"/>
              <w:bidi w:val="0"/>
              <w:spacing w:before="0" w:after="283"/>
              <w:jc w:val="right"/>
              <w:rPr/>
            </w:pPr>
            <w:r>
              <w:rPr/>
              <w:t>31,102</w:t>
            </w:r>
          </w:p>
        </w:tc>
        <w:tc>
          <w:tcPr>
            <w:tcW w:w="100" w:type="dxa"/>
            <w:tcBorders/>
            <w:shd w:fill="FFFFFF" w:val="clear"/>
            <w:vAlign w:val="center"/>
          </w:tcPr>
          <w:p>
            <w:pPr>
              <w:pStyle w:val="TableContents"/>
              <w:bidi w:val="0"/>
              <w:spacing w:before="0" w:after="283"/>
              <w:ind w:left="0" w:right="0" w:hanging="180"/>
              <w:jc w:val="left"/>
              <w:rPr/>
            </w:pPr>
            <w:r>
              <w:rPr/>
              <w:t> </w:t>
            </w:r>
          </w:p>
        </w:tc>
      </w:tr>
      <w:tr>
        <w:trPr/>
        <w:tc>
          <w:tcPr>
            <w:tcW w:w="7170" w:type="dxa"/>
            <w:tcBorders/>
            <w:shd w:fill="CCEEFF" w:val="clear"/>
            <w:vAlign w:val="center"/>
          </w:tcPr>
          <w:p>
            <w:pPr>
              <w:pStyle w:val="TableContents"/>
              <w:bidi w:val="0"/>
              <w:spacing w:before="0" w:after="283"/>
              <w:jc w:val="left"/>
              <w:rPr/>
            </w:pPr>
            <w:r>
              <w:rPr/>
              <w:t>Loss from operations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20" w:type="dxa"/>
            <w:tcBorders>
              <w:bottom w:val="single" w:sz="12" w:space="0" w:color="000000"/>
            </w:tcBorders>
            <w:shd w:fill="CCEEFF" w:val="clear"/>
            <w:tcMar>
              <w:bottom w:w="28" w:type="dxa"/>
            </w:tcMar>
            <w:vAlign w:val="center"/>
          </w:tcPr>
          <w:p>
            <w:pPr>
              <w:pStyle w:val="TableContents"/>
              <w:bidi w:val="0"/>
              <w:spacing w:before="0" w:after="283"/>
              <w:jc w:val="right"/>
              <w:rPr/>
            </w:pPr>
            <w:r>
              <w:rPr/>
              <w:t>(19,195</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20" w:type="dxa"/>
            <w:tcBorders>
              <w:bottom w:val="single" w:sz="12" w:space="0" w:color="000000"/>
            </w:tcBorders>
            <w:shd w:fill="CCEEFF" w:val="clear"/>
            <w:tcMar>
              <w:bottom w:w="28" w:type="dxa"/>
            </w:tcMar>
            <w:vAlign w:val="center"/>
          </w:tcPr>
          <w:p>
            <w:pPr>
              <w:pStyle w:val="TableContents"/>
              <w:bidi w:val="0"/>
              <w:spacing w:before="0" w:after="283"/>
              <w:jc w:val="right"/>
              <w:rPr/>
            </w:pPr>
            <w:r>
              <w:rPr/>
              <w:t>(3,726</w:t>
            </w:r>
          </w:p>
        </w:tc>
        <w:tc>
          <w:tcPr>
            <w:tcW w:w="100" w:type="dxa"/>
            <w:tcBorders/>
            <w:shd w:fill="CCEEFF" w:val="clear"/>
            <w:vAlign w:val="center"/>
          </w:tcPr>
          <w:p>
            <w:pPr>
              <w:pStyle w:val="TableContents"/>
              <w:bidi w:val="0"/>
              <w:spacing w:before="0" w:after="283"/>
              <w:ind w:left="0" w:right="0" w:hanging="180"/>
              <w:jc w:val="left"/>
              <w:rPr/>
            </w:pPr>
            <w:r>
              <w:rPr/>
              <w:t>)</w:t>
            </w:r>
          </w:p>
        </w:tc>
      </w:tr>
      <w:tr>
        <w:trPr/>
        <w:tc>
          <w:tcPr>
            <w:tcW w:w="717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Interest expense </w:t>
            </w:r>
            <w:r>
              <w:rPr>
                <w:rFonts w:ascii="Times New Roman;Times;Serif" w:hAnsi="Times New Roman;Times;Serif"/>
                <w:position w:val="7"/>
                <w:sz w:val="16"/>
                <w:sz w:val="20"/>
              </w:rPr>
              <w:t>(2)</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(6,924</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(6,041</w:t>
            </w:r>
          </w:p>
        </w:tc>
        <w:tc>
          <w:tcPr>
            <w:tcW w:w="100" w:type="dxa"/>
            <w:tcBorders/>
            <w:shd w:fill="FFFFFF" w:val="clear"/>
            <w:vAlign w:val="center"/>
          </w:tcPr>
          <w:p>
            <w:pPr>
              <w:pStyle w:val="TableContents"/>
              <w:bidi w:val="0"/>
              <w:spacing w:before="0" w:after="283"/>
              <w:ind w:left="0" w:right="0" w:hanging="180"/>
              <w:jc w:val="left"/>
              <w:rPr/>
            </w:pPr>
            <w:r>
              <w:rPr/>
              <w:t>)</w:t>
            </w:r>
          </w:p>
        </w:tc>
      </w:tr>
      <w:tr>
        <w:trPr/>
        <w:tc>
          <w:tcPr>
            <w:tcW w:w="7170" w:type="dxa"/>
            <w:tcBorders/>
            <w:shd w:fill="CCEEFF" w:val="clear"/>
            <w:vAlign w:val="center"/>
          </w:tcPr>
          <w:p>
            <w:pPr>
              <w:pStyle w:val="TableContents"/>
              <w:bidi w:val="0"/>
              <w:spacing w:before="0" w:after="283"/>
              <w:jc w:val="left"/>
              <w:rPr/>
            </w:pPr>
            <w:r>
              <w:rPr/>
              <w:t>Interest income</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3</w:t>
            </w:r>
          </w:p>
        </w:tc>
        <w:tc>
          <w:tcPr>
            <w:tcW w:w="100" w:type="dxa"/>
            <w:tcBorders/>
            <w:shd w:fill="CCEEFF" w:val="clear"/>
            <w:vAlign w:val="center"/>
          </w:tcPr>
          <w:p>
            <w:pPr>
              <w:pStyle w:val="TableContents"/>
              <w:bidi w:val="0"/>
              <w:spacing w:before="0" w:after="283"/>
              <w:ind w:left="0" w:right="0" w:hanging="180"/>
              <w:jc w:val="left"/>
              <w:rPr/>
            </w:pPr>
            <w:r>
              <w:rPr/>
              <w:t> </w:t>
            </w:r>
          </w:p>
        </w:tc>
      </w:tr>
      <w:tr>
        <w:trPr/>
        <w:tc>
          <w:tcPr>
            <w:tcW w:w="717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Other non-operating income, net </w:t>
            </w:r>
            <w:r>
              <w:rPr>
                <w:rFonts w:ascii="Times New Roman;Times;Serif" w:hAnsi="Times New Roman;Times;Serif"/>
                <w:position w:val="7"/>
                <w:sz w:val="16"/>
                <w:sz w:val="20"/>
              </w:rPr>
              <w:t>(3)</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20" w:type="dxa"/>
            <w:tcBorders>
              <w:bottom w:val="single" w:sz="12" w:space="0" w:color="000000"/>
            </w:tcBorders>
            <w:shd w:fill="FFFFFF" w:val="clear"/>
            <w:tcMar>
              <w:bottom w:w="28" w:type="dxa"/>
            </w:tcMar>
            <w:vAlign w:val="center"/>
          </w:tcPr>
          <w:p>
            <w:pPr>
              <w:pStyle w:val="TableContents"/>
              <w:bidi w:val="0"/>
              <w:spacing w:before="0" w:after="283"/>
              <w:jc w:val="right"/>
              <w:rPr/>
            </w:pPr>
            <w:r>
              <w:rPr/>
              <w:t>30,761</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20" w:type="dxa"/>
            <w:tcBorders>
              <w:bottom w:val="single" w:sz="12" w:space="0" w:color="000000"/>
            </w:tcBorders>
            <w:shd w:fill="FFFFFF" w:val="clear"/>
            <w:tcMar>
              <w:bottom w:w="28" w:type="dxa"/>
            </w:tcMar>
            <w:vAlign w:val="center"/>
          </w:tcPr>
          <w:p>
            <w:pPr>
              <w:pStyle w:val="TableContents"/>
              <w:bidi w:val="0"/>
              <w:spacing w:before="0" w:after="283"/>
              <w:jc w:val="right"/>
              <w:rPr/>
            </w:pPr>
            <w:r>
              <w:rPr/>
              <w:t>14,576</w:t>
            </w:r>
          </w:p>
        </w:tc>
        <w:tc>
          <w:tcPr>
            <w:tcW w:w="100" w:type="dxa"/>
            <w:tcBorders/>
            <w:shd w:fill="FFFFFF" w:val="clear"/>
            <w:vAlign w:val="center"/>
          </w:tcPr>
          <w:p>
            <w:pPr>
              <w:pStyle w:val="TableContents"/>
              <w:bidi w:val="0"/>
              <w:spacing w:before="0" w:after="283"/>
              <w:ind w:left="0" w:right="0" w:hanging="180"/>
              <w:jc w:val="left"/>
              <w:rPr/>
            </w:pPr>
            <w:r>
              <w:rPr/>
              <w:t> </w:t>
            </w:r>
          </w:p>
        </w:tc>
      </w:tr>
      <w:tr>
        <w:trPr/>
        <w:tc>
          <w:tcPr>
            <w:tcW w:w="7170" w:type="dxa"/>
            <w:tcBorders/>
            <w:shd w:fill="CCEEFF" w:val="clear"/>
            <w:vAlign w:val="center"/>
          </w:tcPr>
          <w:p>
            <w:pPr>
              <w:pStyle w:val="TableContents"/>
              <w:bidi w:val="0"/>
              <w:spacing w:before="0" w:after="283"/>
              <w:jc w:val="left"/>
              <w:rPr/>
            </w:pPr>
            <w:r>
              <w:rPr/>
              <w:t>Total other income, net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20" w:type="dxa"/>
            <w:tcBorders>
              <w:bottom w:val="single" w:sz="12" w:space="0" w:color="000000"/>
            </w:tcBorders>
            <w:shd w:fill="CCEEFF" w:val="clear"/>
            <w:tcMar>
              <w:bottom w:w="28" w:type="dxa"/>
            </w:tcMar>
            <w:vAlign w:val="center"/>
          </w:tcPr>
          <w:p>
            <w:pPr>
              <w:pStyle w:val="TableContents"/>
              <w:bidi w:val="0"/>
              <w:spacing w:before="0" w:after="283"/>
              <w:jc w:val="right"/>
              <w:rPr/>
            </w:pPr>
            <w:r>
              <w:rPr/>
              <w:t>23,837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20" w:type="dxa"/>
            <w:tcBorders>
              <w:bottom w:val="single" w:sz="12" w:space="0" w:color="000000"/>
            </w:tcBorders>
            <w:shd w:fill="CCEEFF" w:val="clear"/>
            <w:tcMar>
              <w:bottom w:w="28" w:type="dxa"/>
            </w:tcMar>
            <w:vAlign w:val="center"/>
          </w:tcPr>
          <w:p>
            <w:pPr>
              <w:pStyle w:val="TableContents"/>
              <w:bidi w:val="0"/>
              <w:spacing w:before="0" w:after="283"/>
              <w:jc w:val="right"/>
              <w:rPr/>
            </w:pPr>
            <w:r>
              <w:rPr/>
              <w:t>8,538</w:t>
            </w:r>
          </w:p>
        </w:tc>
        <w:tc>
          <w:tcPr>
            <w:tcW w:w="100" w:type="dxa"/>
            <w:tcBorders/>
            <w:shd w:fill="CCEEFF" w:val="clear"/>
            <w:vAlign w:val="center"/>
          </w:tcPr>
          <w:p>
            <w:pPr>
              <w:pStyle w:val="TableContents"/>
              <w:bidi w:val="0"/>
              <w:spacing w:before="0" w:after="283"/>
              <w:ind w:left="0" w:right="0" w:hanging="180"/>
              <w:jc w:val="left"/>
              <w:rPr/>
            </w:pPr>
            <w:r>
              <w:rPr/>
              <w:t> </w:t>
            </w:r>
          </w:p>
        </w:tc>
      </w:tr>
      <w:tr>
        <w:trPr/>
        <w:tc>
          <w:tcPr>
            <w:tcW w:w="7170" w:type="dxa"/>
            <w:tcBorders/>
            <w:shd w:fill="FFFFFF" w:val="clear"/>
            <w:vAlign w:val="center"/>
          </w:tcPr>
          <w:p>
            <w:pPr>
              <w:pStyle w:val="TableContents"/>
              <w:bidi w:val="0"/>
              <w:spacing w:before="0" w:after="283"/>
              <w:jc w:val="left"/>
              <w:rPr/>
            </w:pPr>
            <w:r>
              <w:rPr/>
              <w:t>Income from operations before income taxes</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20" w:type="dxa"/>
            <w:tcBorders>
              <w:bottom w:val="single" w:sz="12" w:space="0" w:color="000000"/>
            </w:tcBorders>
            <w:shd w:fill="FFFFFF" w:val="clear"/>
            <w:tcMar>
              <w:bottom w:w="28" w:type="dxa"/>
            </w:tcMar>
            <w:vAlign w:val="center"/>
          </w:tcPr>
          <w:p>
            <w:pPr>
              <w:pStyle w:val="TableContents"/>
              <w:bidi w:val="0"/>
              <w:spacing w:before="0" w:after="283"/>
              <w:jc w:val="right"/>
              <w:rPr/>
            </w:pPr>
            <w:r>
              <w:rPr/>
              <w:t>4,642</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20" w:type="dxa"/>
            <w:tcBorders>
              <w:bottom w:val="single" w:sz="12" w:space="0" w:color="000000"/>
            </w:tcBorders>
            <w:shd w:fill="FFFFFF" w:val="clear"/>
            <w:tcMar>
              <w:bottom w:w="28" w:type="dxa"/>
            </w:tcMar>
            <w:vAlign w:val="center"/>
          </w:tcPr>
          <w:p>
            <w:pPr>
              <w:pStyle w:val="TableContents"/>
              <w:bidi w:val="0"/>
              <w:spacing w:before="0" w:after="283"/>
              <w:jc w:val="right"/>
              <w:rPr/>
            </w:pPr>
            <w:r>
              <w:rPr/>
              <w:t>4,812</w:t>
            </w:r>
          </w:p>
        </w:tc>
        <w:tc>
          <w:tcPr>
            <w:tcW w:w="100" w:type="dxa"/>
            <w:tcBorders/>
            <w:shd w:fill="FFFFFF" w:val="clear"/>
            <w:vAlign w:val="center"/>
          </w:tcPr>
          <w:p>
            <w:pPr>
              <w:pStyle w:val="TableContents"/>
              <w:bidi w:val="0"/>
              <w:spacing w:before="0" w:after="283"/>
              <w:ind w:left="0" w:right="0" w:hanging="180"/>
              <w:jc w:val="left"/>
              <w:rPr/>
            </w:pPr>
            <w:r>
              <w:rPr/>
              <w:t> </w:t>
            </w:r>
          </w:p>
        </w:tc>
      </w:tr>
      <w:tr>
        <w:trPr/>
        <w:tc>
          <w:tcPr>
            <w:tcW w:w="7170" w:type="dxa"/>
            <w:tcBorders/>
            <w:shd w:fill="CCEEFF" w:val="clear"/>
            <w:vAlign w:val="center"/>
          </w:tcPr>
          <w:p>
            <w:pPr>
              <w:pStyle w:val="TableContents"/>
              <w:bidi w:val="0"/>
              <w:spacing w:before="0" w:after="283"/>
              <w:jc w:val="left"/>
              <w:rPr/>
            </w:pPr>
            <w:r>
              <w:rPr/>
              <w:t>Income tax (provision)</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20" w:type="dxa"/>
            <w:tcBorders>
              <w:bottom w:val="single" w:sz="12" w:space="0" w:color="000000"/>
            </w:tcBorders>
            <w:shd w:fill="CCEEFF" w:val="clear"/>
            <w:tcMar>
              <w:bottom w:w="28" w:type="dxa"/>
            </w:tcMar>
            <w:vAlign w:val="center"/>
          </w:tcPr>
          <w:p>
            <w:pPr>
              <w:pStyle w:val="TableContents"/>
              <w:bidi w:val="0"/>
              <w:spacing w:before="0" w:after="283"/>
              <w:jc w:val="right"/>
              <w:rPr/>
            </w:pPr>
            <w:r>
              <w:rPr/>
              <w:t>608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20"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100" w:type="dxa"/>
            <w:tcBorders/>
            <w:shd w:fill="CCEEFF" w:val="clear"/>
            <w:vAlign w:val="center"/>
          </w:tcPr>
          <w:p>
            <w:pPr>
              <w:pStyle w:val="TableContents"/>
              <w:bidi w:val="0"/>
              <w:spacing w:before="0" w:after="283"/>
              <w:ind w:left="0" w:right="0" w:hanging="180"/>
              <w:jc w:val="left"/>
              <w:rPr/>
            </w:pPr>
            <w:r>
              <w:rPr/>
              <w:t> </w:t>
            </w:r>
          </w:p>
        </w:tc>
      </w:tr>
      <w:tr>
        <w:trPr/>
        <w:tc>
          <w:tcPr>
            <w:tcW w:w="7170" w:type="dxa"/>
            <w:tcBorders/>
            <w:shd w:fill="FFFFFF" w:val="clear"/>
            <w:vAlign w:val="center"/>
          </w:tcPr>
          <w:p>
            <w:pPr>
              <w:pStyle w:val="TableContents"/>
              <w:bidi w:val="0"/>
              <w:spacing w:before="0" w:after="283"/>
              <w:jc w:val="left"/>
              <w:rPr/>
            </w:pPr>
            <w:r>
              <w:rPr/>
              <w:t>Net income</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20" w:type="dxa"/>
            <w:tcBorders>
              <w:bottom w:val="single" w:sz="12" w:space="0" w:color="000000"/>
            </w:tcBorders>
            <w:shd w:fill="FFFFFF" w:val="clear"/>
            <w:tcMar>
              <w:bottom w:w="28" w:type="dxa"/>
            </w:tcMar>
            <w:vAlign w:val="center"/>
          </w:tcPr>
          <w:p>
            <w:pPr>
              <w:pStyle w:val="TableContents"/>
              <w:bidi w:val="0"/>
              <w:spacing w:before="0" w:after="283"/>
              <w:jc w:val="right"/>
              <w:rPr/>
            </w:pPr>
            <w:r>
              <w:rPr/>
              <w:t>5,250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20" w:type="dxa"/>
            <w:tcBorders>
              <w:bottom w:val="single" w:sz="12" w:space="0" w:color="000000"/>
            </w:tcBorders>
            <w:shd w:fill="FFFFFF" w:val="clear"/>
            <w:tcMar>
              <w:bottom w:w="28" w:type="dxa"/>
            </w:tcMar>
            <w:vAlign w:val="center"/>
          </w:tcPr>
          <w:p>
            <w:pPr>
              <w:pStyle w:val="TableContents"/>
              <w:bidi w:val="0"/>
              <w:spacing w:before="0" w:after="283"/>
              <w:jc w:val="right"/>
              <w:rPr/>
            </w:pPr>
            <w:r>
              <w:rPr/>
              <w:t>4,812</w:t>
            </w:r>
          </w:p>
        </w:tc>
        <w:tc>
          <w:tcPr>
            <w:tcW w:w="100" w:type="dxa"/>
            <w:tcBorders/>
            <w:shd w:fill="FFFFFF" w:val="clear"/>
            <w:vAlign w:val="center"/>
          </w:tcPr>
          <w:p>
            <w:pPr>
              <w:pStyle w:val="TableContents"/>
              <w:bidi w:val="0"/>
              <w:spacing w:before="0" w:after="283"/>
              <w:jc w:val="left"/>
              <w:rPr/>
            </w:pPr>
            <w:r>
              <w:rPr/>
              <w:t> </w:t>
            </w:r>
          </w:p>
        </w:tc>
      </w:tr>
      <w:tr>
        <w:trPr/>
        <w:tc>
          <w:tcPr>
            <w:tcW w:w="7170" w:type="dxa"/>
            <w:tcBorders/>
            <w:shd w:fill="CCEEFF" w:val="clear"/>
            <w:vAlign w:val="center"/>
          </w:tcPr>
          <w:p>
            <w:pPr>
              <w:pStyle w:val="TableContents"/>
              <w:bidi w:val="0"/>
              <w:spacing w:before="0" w:after="283"/>
              <w:jc w:val="left"/>
              <w:rPr/>
            </w:pPr>
            <w:r>
              <w:rPr/>
              <w:t>Other comprehensive income</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20"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20"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100" w:type="dxa"/>
            <w:tcBorders/>
            <w:shd w:fill="CCEEFF" w:val="clear"/>
            <w:vAlign w:val="center"/>
          </w:tcPr>
          <w:p>
            <w:pPr>
              <w:pStyle w:val="TableContents"/>
              <w:bidi w:val="0"/>
              <w:spacing w:before="0" w:after="283"/>
              <w:ind w:left="0" w:right="0" w:hanging="180"/>
              <w:jc w:val="left"/>
              <w:rPr/>
            </w:pPr>
            <w:r>
              <w:rPr/>
              <w:t> </w:t>
            </w:r>
          </w:p>
        </w:tc>
      </w:tr>
      <w:tr>
        <w:trPr/>
        <w:tc>
          <w:tcPr>
            <w:tcW w:w="7170" w:type="dxa"/>
            <w:tcBorders/>
            <w:shd w:fill="FFFFFF" w:val="clear"/>
            <w:vAlign w:val="center"/>
          </w:tcPr>
          <w:p>
            <w:pPr>
              <w:pStyle w:val="TableContents"/>
              <w:bidi w:val="0"/>
              <w:spacing w:before="0" w:after="283"/>
              <w:jc w:val="left"/>
              <w:rPr/>
            </w:pPr>
            <w:r>
              <w:rPr/>
              <w:t>Comprehensive income (net of tax)</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10" w:space="0" w:color="000000"/>
            </w:tcBorders>
            <w:shd w:fill="FFFFFF" w:val="clear"/>
            <w:tcMar>
              <w:bottom w:w="28" w:type="dxa"/>
            </w:tcMar>
            <w:vAlign w:val="center"/>
          </w:tcPr>
          <w:p>
            <w:pPr>
              <w:pStyle w:val="TableContents"/>
              <w:bidi w:val="0"/>
              <w:spacing w:before="0" w:after="283"/>
              <w:jc w:val="left"/>
              <w:rPr/>
            </w:pPr>
            <w:r>
              <w:rPr/>
              <w:t>$</w:t>
            </w:r>
          </w:p>
        </w:tc>
        <w:tc>
          <w:tcPr>
            <w:tcW w:w="1220" w:type="dxa"/>
            <w:tcBorders>
              <w:bottom w:val="double" w:sz="10" w:space="0" w:color="000000"/>
            </w:tcBorders>
            <w:shd w:fill="FFFFFF" w:val="clear"/>
            <w:tcMar>
              <w:bottom w:w="28" w:type="dxa"/>
            </w:tcMar>
            <w:vAlign w:val="center"/>
          </w:tcPr>
          <w:p>
            <w:pPr>
              <w:pStyle w:val="TableContents"/>
              <w:bidi w:val="0"/>
              <w:spacing w:before="0" w:after="283"/>
              <w:jc w:val="right"/>
              <w:rPr/>
            </w:pPr>
            <w:r>
              <w:rPr/>
              <w:t>5,250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10" w:space="0" w:color="000000"/>
            </w:tcBorders>
            <w:shd w:fill="FFFFFF" w:val="clear"/>
            <w:tcMar>
              <w:bottom w:w="28" w:type="dxa"/>
            </w:tcMar>
            <w:vAlign w:val="center"/>
          </w:tcPr>
          <w:p>
            <w:pPr>
              <w:pStyle w:val="TableContents"/>
              <w:bidi w:val="0"/>
              <w:spacing w:before="0" w:after="283"/>
              <w:jc w:val="left"/>
              <w:rPr/>
            </w:pPr>
            <w:r>
              <w:rPr/>
              <w:t>$</w:t>
            </w:r>
          </w:p>
        </w:tc>
        <w:tc>
          <w:tcPr>
            <w:tcW w:w="1220" w:type="dxa"/>
            <w:tcBorders>
              <w:bottom w:val="double" w:sz="10" w:space="0" w:color="000000"/>
            </w:tcBorders>
            <w:shd w:fill="FFFFFF" w:val="clear"/>
            <w:tcMar>
              <w:bottom w:w="28" w:type="dxa"/>
            </w:tcMar>
            <w:vAlign w:val="center"/>
          </w:tcPr>
          <w:p>
            <w:pPr>
              <w:pStyle w:val="TableContents"/>
              <w:bidi w:val="0"/>
              <w:spacing w:before="0" w:after="283"/>
              <w:jc w:val="right"/>
              <w:rPr/>
            </w:pPr>
            <w:r>
              <w:rPr/>
              <w:t>4,812</w:t>
            </w:r>
          </w:p>
        </w:tc>
        <w:tc>
          <w:tcPr>
            <w:tcW w:w="100" w:type="dxa"/>
            <w:tcBorders/>
            <w:shd w:fill="FFFFFF" w:val="clear"/>
            <w:vAlign w:val="center"/>
          </w:tcPr>
          <w:p>
            <w:pPr>
              <w:pStyle w:val="TableContents"/>
              <w:bidi w:val="0"/>
              <w:spacing w:before="0" w:after="283"/>
              <w:jc w:val="left"/>
              <w:rPr/>
            </w:pPr>
            <w:r>
              <w:rPr/>
              <w:t> </w:t>
            </w:r>
          </w:p>
        </w:tc>
      </w:tr>
      <w:tr>
        <w:trPr/>
        <w:tc>
          <w:tcPr>
            <w:tcW w:w="7170" w:type="dxa"/>
            <w:tcBorders/>
            <w:shd w:fill="CCEEFF" w:val="clear"/>
            <w:vAlign w:val="center"/>
          </w:tcPr>
          <w:p>
            <w:pPr>
              <w:pStyle w:val="TableContents"/>
              <w:bidi w:val="0"/>
              <w:spacing w:before="0" w:after="283"/>
              <w:jc w:val="left"/>
              <w:rPr/>
            </w:pPr>
            <w:r>
              <w:rPr/>
              <w:t>Net income per share attributable to common stockholders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 </w:t>
            </w:r>
          </w:p>
        </w:tc>
        <w:tc>
          <w:tcPr>
            <w:tcW w:w="100" w:type="dxa"/>
            <w:tcBorders/>
            <w:shd w:fill="CCEEFF" w:val="clear"/>
            <w:vAlign w:val="center"/>
          </w:tcPr>
          <w:p>
            <w:pPr>
              <w:pStyle w:val="TableContents"/>
              <w:bidi w:val="0"/>
              <w:spacing w:before="0" w:after="283"/>
              <w:ind w:left="0" w:right="0" w:hanging="180"/>
              <w:jc w:val="left"/>
              <w:rPr/>
            </w:pPr>
            <w:r>
              <w:rPr/>
              <w:t> </w:t>
            </w:r>
          </w:p>
        </w:tc>
      </w:tr>
      <w:tr>
        <w:trPr/>
        <w:tc>
          <w:tcPr>
            <w:tcW w:w="7170" w:type="dxa"/>
            <w:tcBorders/>
            <w:shd w:fill="FFFFFF" w:val="clear"/>
            <w:vAlign w:val="center"/>
          </w:tcPr>
          <w:p>
            <w:pPr>
              <w:pStyle w:val="TableContents"/>
              <w:bidi w:val="0"/>
              <w:spacing w:before="0" w:after="283"/>
              <w:jc w:val="left"/>
              <w:rPr/>
            </w:pPr>
            <w:r>
              <w:rPr/>
              <w:t>Basic</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10" w:space="0" w:color="000000"/>
            </w:tcBorders>
            <w:shd w:fill="FFFFFF" w:val="clear"/>
            <w:tcMar>
              <w:bottom w:w="28" w:type="dxa"/>
            </w:tcMar>
            <w:vAlign w:val="center"/>
          </w:tcPr>
          <w:p>
            <w:pPr>
              <w:pStyle w:val="TableContents"/>
              <w:bidi w:val="0"/>
              <w:spacing w:before="0" w:after="283"/>
              <w:jc w:val="left"/>
              <w:rPr/>
            </w:pPr>
            <w:r>
              <w:rPr/>
              <w:t>$</w:t>
            </w:r>
          </w:p>
        </w:tc>
        <w:tc>
          <w:tcPr>
            <w:tcW w:w="1220" w:type="dxa"/>
            <w:tcBorders>
              <w:bottom w:val="double" w:sz="10" w:space="0" w:color="000000"/>
            </w:tcBorders>
            <w:shd w:fill="FFFFFF" w:val="clear"/>
            <w:tcMar>
              <w:bottom w:w="28" w:type="dxa"/>
            </w:tcMar>
            <w:vAlign w:val="center"/>
          </w:tcPr>
          <w:p>
            <w:pPr>
              <w:pStyle w:val="TableContents"/>
              <w:bidi w:val="0"/>
              <w:spacing w:before="0" w:after="283"/>
              <w:jc w:val="right"/>
              <w:rPr/>
            </w:pPr>
            <w:r>
              <w:rPr/>
              <w:t>0.04</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10" w:space="0" w:color="000000"/>
            </w:tcBorders>
            <w:shd w:fill="FFFFFF" w:val="clear"/>
            <w:tcMar>
              <w:bottom w:w="28" w:type="dxa"/>
            </w:tcMar>
            <w:vAlign w:val="center"/>
          </w:tcPr>
          <w:p>
            <w:pPr>
              <w:pStyle w:val="TableContents"/>
              <w:bidi w:val="0"/>
              <w:spacing w:before="0" w:after="283"/>
              <w:jc w:val="left"/>
              <w:rPr/>
            </w:pPr>
            <w:r>
              <w:rPr/>
              <w:t>$</w:t>
            </w:r>
          </w:p>
        </w:tc>
        <w:tc>
          <w:tcPr>
            <w:tcW w:w="1220" w:type="dxa"/>
            <w:tcBorders>
              <w:bottom w:val="double" w:sz="10" w:space="0" w:color="000000"/>
            </w:tcBorders>
            <w:shd w:fill="FFFFFF" w:val="clear"/>
            <w:tcMar>
              <w:bottom w:w="28" w:type="dxa"/>
            </w:tcMar>
            <w:vAlign w:val="center"/>
          </w:tcPr>
          <w:p>
            <w:pPr>
              <w:pStyle w:val="TableContents"/>
              <w:bidi w:val="0"/>
              <w:spacing w:before="0" w:after="283"/>
              <w:jc w:val="right"/>
              <w:rPr/>
            </w:pPr>
            <w:r>
              <w:rPr/>
              <w:t>0.06</w:t>
            </w:r>
          </w:p>
        </w:tc>
        <w:tc>
          <w:tcPr>
            <w:tcW w:w="100" w:type="dxa"/>
            <w:tcBorders/>
            <w:shd w:fill="FFFFFF" w:val="clear"/>
            <w:vAlign w:val="center"/>
          </w:tcPr>
          <w:p>
            <w:pPr>
              <w:pStyle w:val="TableContents"/>
              <w:bidi w:val="0"/>
              <w:spacing w:before="0" w:after="283"/>
              <w:ind w:left="0" w:right="0" w:hanging="180"/>
              <w:jc w:val="left"/>
              <w:rPr/>
            </w:pPr>
            <w:r>
              <w:rPr/>
              <w:t> </w:t>
            </w:r>
          </w:p>
        </w:tc>
      </w:tr>
      <w:tr>
        <w:trPr/>
        <w:tc>
          <w:tcPr>
            <w:tcW w:w="7170" w:type="dxa"/>
            <w:tcBorders/>
            <w:shd w:fill="CCEEFF" w:val="clear"/>
            <w:vAlign w:val="center"/>
          </w:tcPr>
          <w:p>
            <w:pPr>
              <w:pStyle w:val="TableContents"/>
              <w:bidi w:val="0"/>
              <w:spacing w:before="0" w:after="283"/>
              <w:jc w:val="left"/>
              <w:rPr/>
            </w:pPr>
            <w:r>
              <w:rPr/>
              <w:t>Diluted</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220" w:type="dxa"/>
            <w:tcBorders>
              <w:bottom w:val="double" w:sz="10" w:space="0" w:color="000000"/>
            </w:tcBorders>
            <w:shd w:fill="CCEEFF" w:val="clear"/>
            <w:tcMar>
              <w:bottom w:w="28" w:type="dxa"/>
            </w:tcMar>
            <w:vAlign w:val="center"/>
          </w:tcPr>
          <w:p>
            <w:pPr>
              <w:pStyle w:val="TableContents"/>
              <w:bidi w:val="0"/>
              <w:spacing w:before="0" w:after="283"/>
              <w:jc w:val="right"/>
              <w:rPr/>
            </w:pPr>
            <w:r>
              <w:rPr/>
              <w:t>0.00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220" w:type="dxa"/>
            <w:tcBorders>
              <w:bottom w:val="double" w:sz="10" w:space="0" w:color="000000"/>
            </w:tcBorders>
            <w:shd w:fill="CCEEFF" w:val="clear"/>
            <w:tcMar>
              <w:bottom w:w="28" w:type="dxa"/>
            </w:tcMar>
            <w:vAlign w:val="center"/>
          </w:tcPr>
          <w:p>
            <w:pPr>
              <w:pStyle w:val="TableContents"/>
              <w:bidi w:val="0"/>
              <w:spacing w:before="0" w:after="283"/>
              <w:jc w:val="right"/>
              <w:rPr/>
            </w:pPr>
            <w:r>
              <w:rPr/>
              <w:t>0.02</w:t>
            </w:r>
          </w:p>
        </w:tc>
        <w:tc>
          <w:tcPr>
            <w:tcW w:w="100" w:type="dxa"/>
            <w:tcBorders/>
            <w:shd w:fill="CCEEFF" w:val="clear"/>
            <w:vAlign w:val="center"/>
          </w:tcPr>
          <w:p>
            <w:pPr>
              <w:pStyle w:val="TableContents"/>
              <w:bidi w:val="0"/>
              <w:spacing w:before="0" w:after="283"/>
              <w:ind w:left="0" w:right="0" w:hanging="180"/>
              <w:jc w:val="left"/>
              <w:rPr/>
            </w:pPr>
            <w:r>
              <w:rPr/>
              <w:t> </w:t>
            </w:r>
          </w:p>
        </w:tc>
      </w:tr>
      <w:tr>
        <w:trPr/>
        <w:tc>
          <w:tcPr>
            <w:tcW w:w="7170" w:type="dxa"/>
            <w:tcBorders/>
            <w:shd w:fill="FFFFFF" w:val="clear"/>
            <w:vAlign w:val="center"/>
          </w:tcPr>
          <w:p>
            <w:pPr>
              <w:pStyle w:val="TableContents"/>
              <w:bidi w:val="0"/>
              <w:spacing w:before="0" w:after="283"/>
              <w:jc w:val="left"/>
              <w:rPr/>
            </w:pPr>
            <w:r>
              <w:rPr/>
              <w:t>Weighted-average shares used to compute net income per share attributable to common stockholders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 </w:t>
            </w:r>
          </w:p>
        </w:tc>
        <w:tc>
          <w:tcPr>
            <w:tcW w:w="100" w:type="dxa"/>
            <w:tcBorders/>
            <w:shd w:fill="FFFFFF" w:val="clear"/>
            <w:vAlign w:val="center"/>
          </w:tcPr>
          <w:p>
            <w:pPr>
              <w:pStyle w:val="TableContents"/>
              <w:bidi w:val="0"/>
              <w:spacing w:before="0" w:after="283"/>
              <w:ind w:left="0" w:right="0" w:hanging="180"/>
              <w:jc w:val="left"/>
              <w:rPr/>
            </w:pPr>
            <w:r>
              <w:rPr/>
              <w:t> </w:t>
            </w:r>
          </w:p>
        </w:tc>
      </w:tr>
      <w:tr>
        <w:trPr/>
        <w:tc>
          <w:tcPr>
            <w:tcW w:w="7170" w:type="dxa"/>
            <w:tcBorders/>
            <w:shd w:fill="CCEEFF" w:val="clear"/>
            <w:vAlign w:val="center"/>
          </w:tcPr>
          <w:p>
            <w:pPr>
              <w:pStyle w:val="TableContents"/>
              <w:bidi w:val="0"/>
              <w:spacing w:before="0" w:after="283"/>
              <w:jc w:val="left"/>
              <w:rPr/>
            </w:pPr>
            <w:r>
              <w:rPr/>
              <w:t>Basic</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1220" w:type="dxa"/>
            <w:tcBorders>
              <w:bottom w:val="double" w:sz="10" w:space="0" w:color="000000"/>
            </w:tcBorders>
            <w:shd w:fill="CCEEFF" w:val="clear"/>
            <w:tcMar>
              <w:bottom w:w="28" w:type="dxa"/>
            </w:tcMar>
            <w:vAlign w:val="center"/>
          </w:tcPr>
          <w:p>
            <w:pPr>
              <w:pStyle w:val="TableContents"/>
              <w:bidi w:val="0"/>
              <w:spacing w:before="0" w:after="283"/>
              <w:jc w:val="right"/>
              <w:rPr/>
            </w:pPr>
            <w:r>
              <w:rPr/>
              <w:t>124,279,055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1220" w:type="dxa"/>
            <w:tcBorders>
              <w:bottom w:val="double" w:sz="10" w:space="0" w:color="000000"/>
            </w:tcBorders>
            <w:shd w:fill="CCEEFF" w:val="clear"/>
            <w:tcMar>
              <w:bottom w:w="28" w:type="dxa"/>
            </w:tcMar>
            <w:vAlign w:val="center"/>
          </w:tcPr>
          <w:p>
            <w:pPr>
              <w:pStyle w:val="TableContents"/>
              <w:bidi w:val="0"/>
              <w:spacing w:before="0" w:after="283"/>
              <w:jc w:val="right"/>
              <w:rPr/>
            </w:pPr>
            <w:r>
              <w:rPr/>
              <w:t>80,209,585</w:t>
            </w:r>
          </w:p>
        </w:tc>
        <w:tc>
          <w:tcPr>
            <w:tcW w:w="100" w:type="dxa"/>
            <w:tcBorders/>
            <w:shd w:fill="CCEEFF" w:val="clear"/>
            <w:vAlign w:val="center"/>
          </w:tcPr>
          <w:p>
            <w:pPr>
              <w:pStyle w:val="TableContents"/>
              <w:bidi w:val="0"/>
              <w:spacing w:before="0" w:after="283"/>
              <w:ind w:left="0" w:right="0" w:hanging="180"/>
              <w:jc w:val="left"/>
              <w:rPr/>
            </w:pPr>
            <w:r>
              <w:rPr/>
              <w:t> </w:t>
            </w:r>
          </w:p>
        </w:tc>
      </w:tr>
      <w:tr>
        <w:trPr/>
        <w:tc>
          <w:tcPr>
            <w:tcW w:w="7170" w:type="dxa"/>
            <w:tcBorders/>
            <w:shd w:fill="FFFFFF" w:val="clear"/>
            <w:vAlign w:val="center"/>
          </w:tcPr>
          <w:p>
            <w:pPr>
              <w:pStyle w:val="TableContents"/>
              <w:bidi w:val="0"/>
              <w:spacing w:before="0" w:after="283"/>
              <w:jc w:val="left"/>
              <w:rPr/>
            </w:pPr>
            <w:r>
              <w:rPr/>
              <w:t>Diluted</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10" w:space="0" w:color="000000"/>
            </w:tcBorders>
            <w:shd w:fill="FFFFFF" w:val="clear"/>
            <w:tcMar>
              <w:bottom w:w="28" w:type="dxa"/>
            </w:tcMar>
            <w:vAlign w:val="center"/>
          </w:tcPr>
          <w:p>
            <w:pPr>
              <w:pStyle w:val="TableContents"/>
              <w:bidi w:val="0"/>
              <w:spacing w:before="0" w:after="283"/>
              <w:jc w:val="left"/>
              <w:rPr/>
            </w:pPr>
            <w:r>
              <w:rPr/>
              <w:t> </w:t>
            </w:r>
          </w:p>
        </w:tc>
        <w:tc>
          <w:tcPr>
            <w:tcW w:w="1220" w:type="dxa"/>
            <w:tcBorders>
              <w:bottom w:val="double" w:sz="10" w:space="0" w:color="000000"/>
            </w:tcBorders>
            <w:shd w:fill="FFFFFF" w:val="clear"/>
            <w:tcMar>
              <w:bottom w:w="28" w:type="dxa"/>
            </w:tcMar>
            <w:vAlign w:val="center"/>
          </w:tcPr>
          <w:p>
            <w:pPr>
              <w:pStyle w:val="TableContents"/>
              <w:bidi w:val="0"/>
              <w:spacing w:before="0" w:after="283"/>
              <w:jc w:val="right"/>
              <w:rPr/>
            </w:pPr>
            <w:r>
              <w:rPr/>
              <w:t>163,787,402</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10" w:space="0" w:color="000000"/>
            </w:tcBorders>
            <w:shd w:fill="FFFFFF" w:val="clear"/>
            <w:tcMar>
              <w:bottom w:w="28" w:type="dxa"/>
            </w:tcMar>
            <w:vAlign w:val="center"/>
          </w:tcPr>
          <w:p>
            <w:pPr>
              <w:pStyle w:val="TableContents"/>
              <w:bidi w:val="0"/>
              <w:spacing w:before="0" w:after="283"/>
              <w:jc w:val="left"/>
              <w:rPr/>
            </w:pPr>
            <w:r>
              <w:rPr/>
              <w:t> </w:t>
            </w:r>
          </w:p>
        </w:tc>
        <w:tc>
          <w:tcPr>
            <w:tcW w:w="1220" w:type="dxa"/>
            <w:tcBorders>
              <w:bottom w:val="double" w:sz="10" w:space="0" w:color="000000"/>
            </w:tcBorders>
            <w:shd w:fill="FFFFFF" w:val="clear"/>
            <w:tcMar>
              <w:bottom w:w="28" w:type="dxa"/>
            </w:tcMar>
            <w:vAlign w:val="center"/>
          </w:tcPr>
          <w:p>
            <w:pPr>
              <w:pStyle w:val="TableContents"/>
              <w:bidi w:val="0"/>
              <w:spacing w:before="0" w:after="283"/>
              <w:jc w:val="right"/>
              <w:rPr/>
            </w:pPr>
            <w:r>
              <w:rPr/>
              <w:t>112,302,063</w:t>
            </w:r>
          </w:p>
        </w:tc>
        <w:tc>
          <w:tcPr>
            <w:tcW w:w="10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00"/>
        <w:gridCol w:w="9967"/>
      </w:tblGrid>
      <w:tr>
        <w:trPr/>
        <w:tc>
          <w:tcPr>
            <w:tcW w:w="3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rFonts w:ascii="Times New Roman;Times;Serif" w:hAnsi="Times New Roman;Times;Serif"/>
                <w:position w:val="7"/>
                <w:sz w:val="16"/>
                <w:sz w:val="20"/>
              </w:rPr>
            </w:pPr>
            <w:r>
              <w:rPr>
                <w:rFonts w:ascii="Times New Roman;Times;Serif" w:hAnsi="Times New Roman;Times;Serif"/>
                <w:position w:val="7"/>
                <w:sz w:val="16"/>
                <w:sz w:val="20"/>
              </w:rPr>
              <w:t>(1)</w:t>
            </w:r>
          </w:p>
        </w:tc>
        <w:tc>
          <w:tcPr>
            <w:tcW w:w="996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 xml:space="preserve">Cost of revenue with SameDay Solar, a related party, was $0.5 million and $0.2 million in the thirteen weeks ended March 29, 2026 and March 30, 2025, respectively. Refer to </w:t>
            </w:r>
            <w:r>
              <w:rPr>
                <w:rFonts w:ascii="Times New Roman;Times;Serif" w:hAnsi="Times New Roman;Times;Serif"/>
                <w:b/>
                <w:sz w:val="20"/>
              </w:rPr>
              <w:t>Note 17 – Related Party Transactions</w:t>
            </w:r>
            <w:r>
              <w:rPr>
                <w:rFonts w:ascii="Times New Roman;Times;Serif" w:hAnsi="Times New Roman;Times;Serif"/>
                <w:sz w:val="20"/>
              </w:rPr>
              <w:t xml:space="preserve"> for details.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22"/>
        <w:gridCol w:w="9983"/>
      </w:tblGrid>
      <w:tr>
        <w:trPr/>
        <w:tc>
          <w:tcPr>
            <w:tcW w:w="222" w:type="dxa"/>
            <w:tcBorders/>
            <w:vAlign w:val="center"/>
          </w:tcPr>
          <w:p>
            <w:pPr>
              <w:pStyle w:val="TableContents"/>
              <w:bidi w:val="0"/>
              <w:spacing w:before="0" w:after="283"/>
              <w:jc w:val="both"/>
              <w:rPr>
                <w:rFonts w:ascii="Times New Roman;Times;Serif" w:hAnsi="Times New Roman;Times;Serif"/>
                <w:position w:val="7"/>
                <w:sz w:val="16"/>
                <w:sz w:val="20"/>
              </w:rPr>
            </w:pPr>
            <w:r>
              <w:rPr>
                <w:rFonts w:ascii="Times New Roman;Times;Serif" w:hAnsi="Times New Roman;Times;Serif"/>
                <w:position w:val="7"/>
                <w:sz w:val="16"/>
                <w:sz w:val="20"/>
              </w:rPr>
              <w:t>(2)</w:t>
            </w:r>
          </w:p>
        </w:tc>
        <w:tc>
          <w:tcPr>
            <w:tcW w:w="9983"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 xml:space="preserve">Includes related party interest expense and amortization of debt issuance costs of $2.3 million and $1.4 million in the thirteen weeks ended March 29, 2026 and March 30, 2025, respectively. </w:t>
            </w:r>
          </w:p>
        </w:tc>
      </w:tr>
    </w:tbl>
    <w:p>
      <w:pPr>
        <w:pStyle w:val="TextBody"/>
        <w:bidi w:val="0"/>
        <w:spacing w:before="0" w:after="0"/>
        <w:ind w:left="0" w:right="0" w:hanging="0"/>
        <w:jc w:val="both"/>
        <w:rPr>
          <w:caps w:val="false"/>
          <w:smallCaps w:val="false"/>
        </w:rPr>
      </w:pPr>
      <w:r>
        <w:rPr>
          <w:caps w:val="false"/>
          <w:smallCaps w:val="false"/>
        </w:rPr>
        <w:t> </w:t>
      </w:r>
    </w:p>
    <w:tbl>
      <w:tblPr>
        <w:tblW w:w="5290" w:type="dxa"/>
        <w:jc w:val="left"/>
        <w:tblInd w:w="0" w:type="dxa"/>
        <w:tblLayout w:type="fixed"/>
        <w:tblCellMar>
          <w:top w:w="0" w:type="dxa"/>
          <w:left w:w="0" w:type="dxa"/>
          <w:bottom w:w="0" w:type="dxa"/>
          <w:right w:w="0" w:type="dxa"/>
        </w:tblCellMar>
      </w:tblPr>
      <w:tblGrid>
        <w:gridCol w:w="245"/>
        <w:gridCol w:w="5045"/>
      </w:tblGrid>
      <w:tr>
        <w:trPr/>
        <w:tc>
          <w:tcPr>
            <w:tcW w:w="245" w:type="dxa"/>
            <w:tcBorders/>
            <w:vAlign w:val="center"/>
          </w:tcPr>
          <w:p>
            <w:pPr>
              <w:pStyle w:val="TableContents"/>
              <w:bidi w:val="0"/>
              <w:spacing w:before="0" w:after="283"/>
              <w:jc w:val="both"/>
              <w:rPr>
                <w:rFonts w:ascii="Times New Roman;Times;Serif" w:hAnsi="Times New Roman;Times;Serif"/>
                <w:position w:val="7"/>
                <w:sz w:val="16"/>
                <w:sz w:val="20"/>
              </w:rPr>
            </w:pPr>
            <w:r>
              <w:rPr>
                <w:rFonts w:ascii="Times New Roman;Times;Serif" w:hAnsi="Times New Roman;Times;Serif"/>
                <w:position w:val="7"/>
                <w:sz w:val="16"/>
                <w:sz w:val="20"/>
              </w:rPr>
              <w:t>(3)</w:t>
            </w:r>
          </w:p>
        </w:tc>
        <w:tc>
          <w:tcPr>
            <w:tcW w:w="50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Includes the following related party transactions </w:t>
            </w:r>
            <w:r>
              <w:rPr>
                <w:rFonts w:ascii="Times New Roman;Times;Serif" w:hAnsi="Times New Roman;Times;Serif"/>
                <w:i/>
                <w:sz w:val="20"/>
              </w:rPr>
              <w:t>(in millions)</w:t>
            </w:r>
            <w:r>
              <w:rPr>
                <w:rFonts w:ascii="Times New Roman;Times;Serif" w:hAnsi="Times New Roman;Times;Serif"/>
                <w:sz w:val="20"/>
              </w:rPr>
              <w:t>:</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93"/>
        <w:gridCol w:w="60"/>
        <w:gridCol w:w="341"/>
        <w:gridCol w:w="763"/>
        <w:gridCol w:w="132"/>
        <w:gridCol w:w="132"/>
        <w:gridCol w:w="341"/>
        <w:gridCol w:w="763"/>
        <w:gridCol w:w="80"/>
      </w:tblGrid>
      <w:tr>
        <w:trPr/>
        <w:tc>
          <w:tcPr>
            <w:tcW w:w="7593"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2472" w:type="dxa"/>
            <w:gridSpan w:val="6"/>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Thirteen Weeks Ended</w:t>
            </w:r>
          </w:p>
        </w:tc>
        <w:tc>
          <w:tcPr>
            <w:tcW w:w="80" w:type="dxa"/>
            <w:tcBorders/>
            <w:vAlign w:val="center"/>
          </w:tcPr>
          <w:p>
            <w:pPr>
              <w:pStyle w:val="TableContents"/>
              <w:bidi w:val="0"/>
              <w:spacing w:before="0" w:after="283"/>
              <w:jc w:val="left"/>
              <w:rPr/>
            </w:pPr>
            <w:r>
              <w:rPr/>
              <w:t> </w:t>
            </w:r>
          </w:p>
        </w:tc>
      </w:tr>
      <w:tr>
        <w:trPr/>
        <w:tc>
          <w:tcPr>
            <w:tcW w:w="7593"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104"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 xml:space="preserve">March 29, </w:t>
              <w:br/>
              <w:t>2026</w:t>
            </w:r>
          </w:p>
        </w:tc>
        <w:tc>
          <w:tcPr>
            <w:tcW w:w="132" w:type="dxa"/>
            <w:tcBorders/>
            <w:vAlign w:val="center"/>
          </w:tcPr>
          <w:p>
            <w:pPr>
              <w:pStyle w:val="TableContents"/>
              <w:bidi w:val="0"/>
              <w:spacing w:before="0" w:after="283"/>
              <w:jc w:val="left"/>
              <w:rPr/>
            </w:pPr>
            <w:r>
              <w:rPr/>
              <w:t> </w:t>
            </w:r>
          </w:p>
        </w:tc>
        <w:tc>
          <w:tcPr>
            <w:tcW w:w="132" w:type="dxa"/>
            <w:tcBorders/>
            <w:vAlign w:val="center"/>
          </w:tcPr>
          <w:p>
            <w:pPr>
              <w:pStyle w:val="TableContents"/>
              <w:bidi w:val="0"/>
              <w:spacing w:before="0" w:after="283"/>
              <w:jc w:val="left"/>
              <w:rPr/>
            </w:pPr>
            <w:r>
              <w:rPr/>
              <w:t> </w:t>
            </w:r>
          </w:p>
        </w:tc>
        <w:tc>
          <w:tcPr>
            <w:tcW w:w="1104"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 xml:space="preserve">March 30, </w:t>
              <w:br/>
              <w:t>2025</w:t>
            </w:r>
          </w:p>
        </w:tc>
        <w:tc>
          <w:tcPr>
            <w:tcW w:w="80" w:type="dxa"/>
            <w:tcBorders/>
            <w:vAlign w:val="center"/>
          </w:tcPr>
          <w:p>
            <w:pPr>
              <w:pStyle w:val="TableContents"/>
              <w:bidi w:val="0"/>
              <w:spacing w:before="0" w:after="283"/>
              <w:ind w:left="0" w:right="0" w:hanging="180"/>
              <w:jc w:val="left"/>
              <w:rPr/>
            </w:pPr>
            <w:r>
              <w:rPr/>
              <w:t> </w:t>
            </w:r>
          </w:p>
        </w:tc>
      </w:tr>
      <w:tr>
        <w:trPr/>
        <w:tc>
          <w:tcPr>
            <w:tcW w:w="7593"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Gain on remeasurement of derivative liabilities (</w:t>
            </w:r>
            <w:r>
              <w:rPr>
                <w:rFonts w:ascii="Times New Roman;Times;Serif" w:hAnsi="Times New Roman;Times;Serif"/>
                <w:b/>
                <w:sz w:val="20"/>
              </w:rPr>
              <w:t>Note 9 – Borrowings and Derivative Liabilities</w:t>
            </w: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341"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763"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7.5</w:t>
            </w:r>
          </w:p>
        </w:tc>
        <w:tc>
          <w:tcPr>
            <w:tcW w:w="132" w:type="dxa"/>
            <w:tcBorders/>
            <w:shd w:fill="CCEEFF" w:val="clear"/>
            <w:vAlign w:val="center"/>
          </w:tcPr>
          <w:p>
            <w:pPr>
              <w:pStyle w:val="TableContents"/>
              <w:bidi w:val="0"/>
              <w:spacing w:before="0" w:after="283"/>
              <w:jc w:val="left"/>
              <w:rPr/>
            </w:pPr>
            <w:r>
              <w:rPr/>
              <w:t> </w:t>
            </w:r>
          </w:p>
        </w:tc>
        <w:tc>
          <w:tcPr>
            <w:tcW w:w="132" w:type="dxa"/>
            <w:tcBorders/>
            <w:shd w:fill="CCEEFF" w:val="clear"/>
            <w:vAlign w:val="center"/>
          </w:tcPr>
          <w:p>
            <w:pPr>
              <w:pStyle w:val="TableContents"/>
              <w:bidi w:val="0"/>
              <w:spacing w:before="0" w:after="283"/>
              <w:jc w:val="left"/>
              <w:rPr/>
            </w:pPr>
            <w:r>
              <w:rPr/>
              <w:t> </w:t>
            </w:r>
          </w:p>
        </w:tc>
        <w:tc>
          <w:tcPr>
            <w:tcW w:w="341"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763"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3.7</w:t>
            </w:r>
          </w:p>
        </w:tc>
        <w:tc>
          <w:tcPr>
            <w:tcW w:w="80" w:type="dxa"/>
            <w:tcBorders/>
            <w:shd w:fill="CCEEFF" w:val="clear"/>
            <w:vAlign w:val="center"/>
          </w:tcPr>
          <w:p>
            <w:pPr>
              <w:pStyle w:val="TableContents"/>
              <w:bidi w:val="0"/>
              <w:spacing w:before="0" w:after="283"/>
              <w:jc w:val="left"/>
              <w:rPr/>
            </w:pPr>
            <w:r>
              <w:rPr/>
              <w:t> </w:t>
            </w:r>
          </w:p>
        </w:tc>
      </w:tr>
      <w:tr>
        <w:trPr/>
        <w:tc>
          <w:tcPr>
            <w:tcW w:w="7593"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Gain due to change in fair value of forward purchase agreements</w:t>
            </w:r>
          </w:p>
        </w:tc>
        <w:tc>
          <w:tcPr>
            <w:tcW w:w="60" w:type="dxa"/>
            <w:tcBorders/>
            <w:shd w:fill="FFFFFF" w:val="clear"/>
            <w:vAlign w:val="center"/>
          </w:tcPr>
          <w:p>
            <w:pPr>
              <w:pStyle w:val="TableContents"/>
              <w:bidi w:val="0"/>
              <w:spacing w:before="0" w:after="283"/>
              <w:jc w:val="left"/>
              <w:rPr/>
            </w:pPr>
            <w:r>
              <w:rPr/>
              <w:t> </w:t>
            </w:r>
          </w:p>
        </w:tc>
        <w:tc>
          <w:tcPr>
            <w:tcW w:w="341" w:type="dxa"/>
            <w:tcBorders/>
            <w:shd w:fill="FFFFFF" w:val="clear"/>
            <w:vAlign w:val="center"/>
          </w:tcPr>
          <w:p>
            <w:pPr>
              <w:pStyle w:val="TableContents"/>
              <w:bidi w:val="0"/>
              <w:spacing w:before="0" w:after="283"/>
              <w:jc w:val="left"/>
              <w:rPr/>
            </w:pPr>
            <w:r>
              <w:rPr/>
              <w:t> </w:t>
            </w:r>
          </w:p>
        </w:tc>
        <w:tc>
          <w:tcPr>
            <w:tcW w:w="763" w:type="dxa"/>
            <w:tcBorders/>
            <w:shd w:fill="FFFFFF" w:val="clear"/>
            <w:vAlign w:val="center"/>
          </w:tcPr>
          <w:p>
            <w:pPr>
              <w:pStyle w:val="TableContents"/>
              <w:bidi w:val="0"/>
              <w:spacing w:before="0" w:after="283"/>
              <w:jc w:val="right"/>
              <w:rPr/>
            </w:pPr>
            <w:r>
              <w:rPr/>
              <w:t>—</w:t>
            </w:r>
          </w:p>
        </w:tc>
        <w:tc>
          <w:tcPr>
            <w:tcW w:w="132" w:type="dxa"/>
            <w:tcBorders/>
            <w:shd w:fill="FFFFFF" w:val="clear"/>
            <w:vAlign w:val="center"/>
          </w:tcPr>
          <w:p>
            <w:pPr>
              <w:pStyle w:val="TableContents"/>
              <w:bidi w:val="0"/>
              <w:spacing w:before="0" w:after="283"/>
              <w:jc w:val="left"/>
              <w:rPr/>
            </w:pPr>
            <w:r>
              <w:rPr/>
              <w:t> </w:t>
            </w:r>
          </w:p>
        </w:tc>
        <w:tc>
          <w:tcPr>
            <w:tcW w:w="132" w:type="dxa"/>
            <w:tcBorders/>
            <w:shd w:fill="FFFFFF" w:val="clear"/>
            <w:vAlign w:val="center"/>
          </w:tcPr>
          <w:p>
            <w:pPr>
              <w:pStyle w:val="TableContents"/>
              <w:bidi w:val="0"/>
              <w:spacing w:before="0" w:after="283"/>
              <w:jc w:val="left"/>
              <w:rPr/>
            </w:pPr>
            <w:r>
              <w:rPr/>
              <w:t> </w:t>
            </w:r>
          </w:p>
        </w:tc>
        <w:tc>
          <w:tcPr>
            <w:tcW w:w="341" w:type="dxa"/>
            <w:tcBorders/>
            <w:shd w:fill="FFFFFF" w:val="clear"/>
            <w:vAlign w:val="center"/>
          </w:tcPr>
          <w:p>
            <w:pPr>
              <w:pStyle w:val="TableContents"/>
              <w:bidi w:val="0"/>
              <w:spacing w:before="0" w:after="283"/>
              <w:jc w:val="left"/>
              <w:rPr/>
            </w:pPr>
            <w:r>
              <w:rPr/>
              <w:t> </w:t>
            </w:r>
          </w:p>
        </w:tc>
        <w:tc>
          <w:tcPr>
            <w:tcW w:w="763"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0.1</w:t>
            </w:r>
          </w:p>
        </w:tc>
        <w:tc>
          <w:tcPr>
            <w:tcW w:w="80" w:type="dxa"/>
            <w:tcBorders/>
            <w:shd w:fill="FFFFFF" w:val="clear"/>
            <w:vAlign w:val="center"/>
          </w:tcPr>
          <w:p>
            <w:pPr>
              <w:pStyle w:val="TableContents"/>
              <w:bidi w:val="0"/>
              <w:spacing w:before="0" w:after="283"/>
              <w:ind w:left="0" w:right="0" w:hanging="180"/>
              <w:jc w:val="left"/>
              <w:rPr/>
            </w:pPr>
            <w:r>
              <w:rPr/>
              <w:t> </w:t>
            </w:r>
          </w:p>
        </w:tc>
      </w:tr>
      <w:tr>
        <w:trPr/>
        <w:tc>
          <w:tcPr>
            <w:tcW w:w="7593"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Other income</w:t>
            </w:r>
          </w:p>
        </w:tc>
        <w:tc>
          <w:tcPr>
            <w:tcW w:w="60" w:type="dxa"/>
            <w:tcBorders/>
            <w:shd w:fill="CCEEFF" w:val="clear"/>
            <w:vAlign w:val="center"/>
          </w:tcPr>
          <w:p>
            <w:pPr>
              <w:pStyle w:val="TableContents"/>
              <w:bidi w:val="0"/>
              <w:spacing w:before="0" w:after="283"/>
              <w:jc w:val="left"/>
              <w:rPr/>
            </w:pPr>
            <w:r>
              <w:rPr/>
              <w:t> </w:t>
            </w:r>
          </w:p>
        </w:tc>
        <w:tc>
          <w:tcPr>
            <w:tcW w:w="341" w:type="dxa"/>
            <w:tcBorders/>
            <w:shd w:fill="CCEEFF" w:val="clear"/>
            <w:vAlign w:val="center"/>
          </w:tcPr>
          <w:p>
            <w:pPr>
              <w:pStyle w:val="TableContents"/>
              <w:bidi w:val="0"/>
              <w:spacing w:before="0" w:after="283"/>
              <w:jc w:val="left"/>
              <w:rPr/>
            </w:pPr>
            <w:r>
              <w:rPr/>
              <w:t> </w:t>
            </w:r>
          </w:p>
        </w:tc>
        <w:tc>
          <w:tcPr>
            <w:tcW w:w="763" w:type="dxa"/>
            <w:tcBorders/>
            <w:shd w:fill="CCEEFF" w:val="clear"/>
            <w:vAlign w:val="center"/>
          </w:tcPr>
          <w:p>
            <w:pPr>
              <w:pStyle w:val="TableContents"/>
              <w:bidi w:val="0"/>
              <w:spacing w:before="0" w:after="283"/>
              <w:jc w:val="right"/>
              <w:rPr/>
            </w:pPr>
            <w:r>
              <w:rPr/>
              <w:t>—</w:t>
            </w:r>
          </w:p>
        </w:tc>
        <w:tc>
          <w:tcPr>
            <w:tcW w:w="132" w:type="dxa"/>
            <w:tcBorders/>
            <w:shd w:fill="CCEEFF" w:val="clear"/>
            <w:vAlign w:val="center"/>
          </w:tcPr>
          <w:p>
            <w:pPr>
              <w:pStyle w:val="TableContents"/>
              <w:bidi w:val="0"/>
              <w:spacing w:before="0" w:after="283"/>
              <w:jc w:val="left"/>
              <w:rPr/>
            </w:pPr>
            <w:r>
              <w:rPr/>
              <w:t> </w:t>
            </w:r>
          </w:p>
        </w:tc>
        <w:tc>
          <w:tcPr>
            <w:tcW w:w="132" w:type="dxa"/>
            <w:tcBorders/>
            <w:shd w:fill="CCEEFF" w:val="clear"/>
            <w:vAlign w:val="center"/>
          </w:tcPr>
          <w:p>
            <w:pPr>
              <w:pStyle w:val="TableContents"/>
              <w:bidi w:val="0"/>
              <w:spacing w:before="0" w:after="283"/>
              <w:jc w:val="left"/>
              <w:rPr/>
            </w:pPr>
            <w:r>
              <w:rPr/>
              <w:t> </w:t>
            </w:r>
          </w:p>
        </w:tc>
        <w:tc>
          <w:tcPr>
            <w:tcW w:w="341" w:type="dxa"/>
            <w:tcBorders/>
            <w:shd w:fill="CCEEFF" w:val="clear"/>
            <w:vAlign w:val="center"/>
          </w:tcPr>
          <w:p>
            <w:pPr>
              <w:pStyle w:val="TableContents"/>
              <w:bidi w:val="0"/>
              <w:spacing w:before="0" w:after="283"/>
              <w:jc w:val="left"/>
              <w:rPr/>
            </w:pPr>
            <w:r>
              <w:rPr/>
              <w:t> </w:t>
            </w:r>
          </w:p>
        </w:tc>
        <w:tc>
          <w:tcPr>
            <w:tcW w:w="763"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0.1</w:t>
            </w:r>
          </w:p>
        </w:tc>
        <w:tc>
          <w:tcPr>
            <w:tcW w:w="8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The accompanying notes are an integral part of these unaudited condensed consolidated financial statements.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center"/>
        <w:rPr>
          <w:sz w:val="20"/>
          <w:bdr w:val="single" w:sz="12" w:space="1" w:color="000000"/>
        </w:rPr>
      </w:pPr>
      <w:r>
        <w:rPr>
          <w:sz w:val="20"/>
          <w:bdr w:val="single" w:sz="12" w:space="1" w:color="000000"/>
        </w:rPr>
        <w:t>F-5</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24" w:name="q_003"/>
      <w:bookmarkEnd w:id="24"/>
      <w:r>
        <w:rPr>
          <w:rFonts w:ascii="Times New Roman;Times;Serif" w:hAnsi="Times New Roman;Times;Serif"/>
          <w:b/>
          <w:i w:val="false"/>
          <w:caps w:val="false"/>
          <w:smallCaps w:val="false"/>
          <w:sz w:val="20"/>
        </w:rPr>
        <w:t xml:space="preserve">SUNPOWER INC.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Unaudited Condensed Consolidated Statements of Stockholders’ Deficit</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r>
        <w:rPr>
          <w:rFonts w:ascii="Times New Roman;Times;Serif" w:hAnsi="Times New Roman;Times;Serif"/>
          <w:b/>
          <w:i/>
          <w:caps w:val="false"/>
          <w:smallCaps w:val="false"/>
          <w:sz w:val="20"/>
        </w:rPr>
        <w:t>in thousands except number of shares</w:t>
      </w:r>
      <w:r>
        <w:rPr>
          <w:rFonts w:ascii="Times New Roman;Times;Serif" w:hAnsi="Times New Roman;Times;Serif"/>
          <w:b/>
          <w:i w:val="false"/>
          <w:caps w:val="false"/>
          <w:smallCaps w:val="false"/>
          <w:sz w:val="20"/>
        </w:rPr>
        <w:t>)</w:t>
      </w:r>
    </w:p>
    <w:p>
      <w:pPr>
        <w:pStyle w:val="TextBody"/>
        <w:bidi w:val="0"/>
        <w:spacing w:before="0" w:after="0"/>
        <w:ind w:left="0" w:right="0" w:hanging="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835"/>
        <w:gridCol w:w="60"/>
        <w:gridCol w:w="60"/>
        <w:gridCol w:w="1220"/>
        <w:gridCol w:w="60"/>
        <w:gridCol w:w="60"/>
        <w:gridCol w:w="301"/>
        <w:gridCol w:w="559"/>
        <w:gridCol w:w="60"/>
        <w:gridCol w:w="60"/>
        <w:gridCol w:w="163"/>
        <w:gridCol w:w="937"/>
        <w:gridCol w:w="60"/>
        <w:gridCol w:w="60"/>
        <w:gridCol w:w="188"/>
        <w:gridCol w:w="1182"/>
        <w:gridCol w:w="95"/>
        <w:gridCol w:w="60"/>
        <w:gridCol w:w="433"/>
        <w:gridCol w:w="1177"/>
        <w:gridCol w:w="60"/>
        <w:gridCol w:w="60"/>
        <w:gridCol w:w="209"/>
        <w:gridCol w:w="1134"/>
        <w:gridCol w:w="112"/>
      </w:tblGrid>
      <w:tr>
        <w:trPr/>
        <w:tc>
          <w:tcPr>
            <w:tcW w:w="183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198" w:type="dxa"/>
            <w:gridSpan w:val="2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Thirteen Weeks Ended March 29, 2026</w:t>
            </w:r>
          </w:p>
        </w:tc>
        <w:tc>
          <w:tcPr>
            <w:tcW w:w="112" w:type="dxa"/>
            <w:tcBorders/>
            <w:vAlign w:val="center"/>
          </w:tcPr>
          <w:p>
            <w:pPr>
              <w:pStyle w:val="TableContents"/>
              <w:bidi w:val="0"/>
              <w:spacing w:before="0" w:after="283"/>
              <w:jc w:val="left"/>
              <w:rPr/>
            </w:pPr>
            <w:r>
              <w:rPr/>
              <w:t> </w:t>
            </w:r>
          </w:p>
        </w:tc>
      </w:tr>
      <w:tr>
        <w:trPr/>
        <w:tc>
          <w:tcPr>
            <w:tcW w:w="183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260" w:type="dxa"/>
            <w:gridSpan w:val="6"/>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Common Stock</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gridSpan w:val="2"/>
            <w:tcBorders/>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Additional</w:t>
              <w:br/>
              <w:t>Paid-in</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70" w:type="dxa"/>
            <w:gridSpan w:val="2"/>
            <w:tcBorders/>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Accumulated</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10" w:type="dxa"/>
            <w:gridSpan w:val="2"/>
            <w:tcBorders/>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Accumulated</w:t>
              <w:br/>
              <w:t>Other</w:t>
              <w:br/>
              <w:t>Comprehensive</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43" w:type="dxa"/>
            <w:gridSpan w:val="2"/>
            <w:tcBorders/>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Total</w:t>
              <w:br/>
              <w:t>Stockholders’</w:t>
            </w:r>
          </w:p>
        </w:tc>
        <w:tc>
          <w:tcPr>
            <w:tcW w:w="112" w:type="dxa"/>
            <w:tcBorders/>
            <w:vAlign w:val="center"/>
          </w:tcPr>
          <w:p>
            <w:pPr>
              <w:pStyle w:val="TableContents"/>
              <w:bidi w:val="0"/>
              <w:spacing w:before="0" w:after="283"/>
              <w:jc w:val="left"/>
              <w:rPr/>
            </w:pPr>
            <w:r>
              <w:rPr/>
              <w:t> </w:t>
            </w:r>
          </w:p>
        </w:tc>
      </w:tr>
      <w:tr>
        <w:trPr/>
        <w:tc>
          <w:tcPr>
            <w:tcW w:w="183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80"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Shares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60"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Amount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Capital</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70"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Deficit</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10"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Income</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43"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Deficit</w:t>
            </w:r>
          </w:p>
        </w:tc>
        <w:tc>
          <w:tcPr>
            <w:tcW w:w="112" w:type="dxa"/>
            <w:tcBorders/>
            <w:vAlign w:val="center"/>
          </w:tcPr>
          <w:p>
            <w:pPr>
              <w:pStyle w:val="TableContents"/>
              <w:bidi w:val="0"/>
              <w:spacing w:before="0" w:after="283"/>
              <w:ind w:left="0" w:right="0" w:hanging="180"/>
              <w:jc w:val="left"/>
              <w:rPr/>
            </w:pPr>
            <w:r>
              <w:rPr/>
              <w:t> </w:t>
            </w:r>
          </w:p>
        </w:tc>
      </w:tr>
      <w:tr>
        <w:trPr/>
        <w:tc>
          <w:tcPr>
            <w:tcW w:w="1835" w:type="dxa"/>
            <w:tcBorders/>
            <w:shd w:fill="CCEE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Balance as of December 28, 2025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111,334,959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1" w:type="dxa"/>
            <w:tcBorders/>
            <w:shd w:fill="CCEE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w:t>
            </w:r>
          </w:p>
        </w:tc>
        <w:tc>
          <w:tcPr>
            <w:tcW w:w="559" w:type="dxa"/>
            <w:tcBorders/>
            <w:shd w:fill="CCEEFF" w:val="cle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16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3" w:type="dxa"/>
            <w:tcBorders/>
            <w:shd w:fill="CCEE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w:t>
            </w:r>
          </w:p>
        </w:tc>
        <w:tc>
          <w:tcPr>
            <w:tcW w:w="937" w:type="dxa"/>
            <w:tcBorders/>
            <w:shd w:fill="CCEEFF" w:val="cle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366,408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8" w:type="dxa"/>
            <w:tcBorders/>
            <w:shd w:fill="CCEE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w:t>
            </w:r>
          </w:p>
        </w:tc>
        <w:tc>
          <w:tcPr>
            <w:tcW w:w="1182" w:type="dxa"/>
            <w:tcBorders/>
            <w:shd w:fill="CCEEFF" w:val="cle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(456,733</w:t>
            </w:r>
          </w:p>
        </w:tc>
        <w:tc>
          <w:tcPr>
            <w:tcW w:w="95" w:type="dxa"/>
            <w:tcBorders/>
            <w:shd w:fill="CCEE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w:t>
            </w:r>
          </w:p>
        </w:tc>
        <w:tc>
          <w:tcPr>
            <w:tcW w:w="60" w:type="dxa"/>
            <w:tcBorders/>
            <w:shd w:fill="CCEEFF" w:val="clear"/>
            <w:vAlign w:val="center"/>
          </w:tcPr>
          <w:p>
            <w:pPr>
              <w:pStyle w:val="TableContents"/>
              <w:bidi w:val="0"/>
              <w:spacing w:before="0" w:after="283"/>
              <w:jc w:val="left"/>
              <w:rPr/>
            </w:pPr>
            <w:r>
              <w:rPr/>
              <w:t> </w:t>
            </w:r>
          </w:p>
        </w:tc>
        <w:tc>
          <w:tcPr>
            <w:tcW w:w="433" w:type="dxa"/>
            <w:tcBorders/>
            <w:shd w:fill="CCEE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w:t>
            </w:r>
          </w:p>
        </w:tc>
        <w:tc>
          <w:tcPr>
            <w:tcW w:w="1177" w:type="dxa"/>
            <w:tcBorders/>
            <w:shd w:fill="CCEEFF" w:val="cle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165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9" w:type="dxa"/>
            <w:tcBorders/>
            <w:shd w:fill="CCEE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w:t>
            </w:r>
          </w:p>
        </w:tc>
        <w:tc>
          <w:tcPr>
            <w:tcW w:w="1134" w:type="dxa"/>
            <w:tcBorders/>
            <w:shd w:fill="CCEEFF" w:val="cle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(90,144</w:t>
            </w:r>
          </w:p>
        </w:tc>
        <w:tc>
          <w:tcPr>
            <w:tcW w:w="112" w:type="dxa"/>
            <w:tcBorders/>
            <w:shd w:fill="CCEEFF" w:val="clear"/>
            <w:vAlign w:val="center"/>
          </w:tcPr>
          <w:p>
            <w:pPr>
              <w:pStyle w:val="TableContents"/>
              <w:bidi w:val="0"/>
              <w:spacing w:before="0" w:after="283"/>
              <w:ind w:left="0" w:right="0" w:hanging="180"/>
              <w:jc w:val="left"/>
              <w:rPr>
                <w:rFonts w:ascii="Times New Roman;Times;Serif" w:hAnsi="Times New Roman;Times;Serif"/>
                <w:b/>
              </w:rPr>
            </w:pPr>
            <w:r>
              <w:rPr>
                <w:rFonts w:ascii="Times New Roman;Times;Serif" w:hAnsi="Times New Roman;Times;Serif"/>
                <w:b/>
              </w:rPr>
              <w:t>)</w:t>
            </w:r>
          </w:p>
        </w:tc>
      </w:tr>
      <w:tr>
        <w:trPr/>
        <w:tc>
          <w:tcPr>
            <w:tcW w:w="183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Conversion of 7.0% senior unsecured convertible notes for shares of common stock</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1,608,769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01" w:type="dxa"/>
            <w:tcBorders/>
            <w:shd w:fill="FFFFFF" w:val="clear"/>
            <w:vAlign w:val="center"/>
          </w:tcPr>
          <w:p>
            <w:pPr>
              <w:pStyle w:val="TableContents"/>
              <w:bidi w:val="0"/>
              <w:spacing w:before="0" w:after="283"/>
              <w:jc w:val="left"/>
              <w:rPr/>
            </w:pPr>
            <w:r>
              <w:rPr/>
              <w:t> </w:t>
            </w:r>
          </w:p>
        </w:tc>
        <w:tc>
          <w:tcPr>
            <w:tcW w:w="559"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3" w:type="dxa"/>
            <w:tcBorders/>
            <w:shd w:fill="FFFFFF" w:val="clear"/>
            <w:vAlign w:val="center"/>
          </w:tcPr>
          <w:p>
            <w:pPr>
              <w:pStyle w:val="TableContents"/>
              <w:bidi w:val="0"/>
              <w:spacing w:before="0" w:after="283"/>
              <w:jc w:val="left"/>
              <w:rPr/>
            </w:pPr>
            <w:r>
              <w:rPr/>
              <w:t> </w:t>
            </w:r>
          </w:p>
        </w:tc>
        <w:tc>
          <w:tcPr>
            <w:tcW w:w="937"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2,646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8" w:type="dxa"/>
            <w:tcBorders/>
            <w:shd w:fill="FFFFFF" w:val="clear"/>
            <w:vAlign w:val="center"/>
          </w:tcPr>
          <w:p>
            <w:pPr>
              <w:pStyle w:val="TableContents"/>
              <w:bidi w:val="0"/>
              <w:spacing w:before="0" w:after="283"/>
              <w:jc w:val="left"/>
              <w:rPr/>
            </w:pPr>
            <w:r>
              <w:rPr/>
              <w:t> </w:t>
            </w:r>
          </w:p>
        </w:tc>
        <w:tc>
          <w:tcPr>
            <w:tcW w:w="1182"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33" w:type="dxa"/>
            <w:tcBorders/>
            <w:shd w:fill="FFFFFF" w:val="clear"/>
            <w:vAlign w:val="center"/>
          </w:tcPr>
          <w:p>
            <w:pPr>
              <w:pStyle w:val="TableContents"/>
              <w:bidi w:val="0"/>
              <w:spacing w:before="0" w:after="283"/>
              <w:jc w:val="left"/>
              <w:rPr/>
            </w:pPr>
            <w:r>
              <w:rPr/>
              <w:t> </w:t>
            </w:r>
          </w:p>
        </w:tc>
        <w:tc>
          <w:tcPr>
            <w:tcW w:w="1177"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9" w:type="dxa"/>
            <w:tcBorders/>
            <w:shd w:fill="FFFFFF" w:val="clear"/>
            <w:vAlign w:val="center"/>
          </w:tcPr>
          <w:p>
            <w:pPr>
              <w:pStyle w:val="TableContents"/>
              <w:bidi w:val="0"/>
              <w:spacing w:before="0" w:after="283"/>
              <w:jc w:val="left"/>
              <w:rPr/>
            </w:pPr>
            <w:r>
              <w:rPr/>
              <w:t> </w:t>
            </w:r>
          </w:p>
        </w:tc>
        <w:tc>
          <w:tcPr>
            <w:tcW w:w="1134"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2,646</w:t>
            </w:r>
          </w:p>
        </w:tc>
        <w:tc>
          <w:tcPr>
            <w:tcW w:w="112" w:type="dxa"/>
            <w:tcBorders/>
            <w:shd w:fill="FFFFFF" w:val="clear"/>
            <w:vAlign w:val="center"/>
          </w:tcPr>
          <w:p>
            <w:pPr>
              <w:pStyle w:val="TableContents"/>
              <w:bidi w:val="0"/>
              <w:spacing w:before="0" w:after="283"/>
              <w:ind w:left="0" w:right="0" w:hanging="180"/>
              <w:jc w:val="left"/>
              <w:rPr/>
            </w:pPr>
            <w:r>
              <w:rPr/>
              <w:t> </w:t>
            </w:r>
          </w:p>
        </w:tc>
      </w:tr>
      <w:tr>
        <w:trPr/>
        <w:tc>
          <w:tcPr>
            <w:tcW w:w="183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Issuance of common stock as consideration for acquisition of businesses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1,805,705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1" w:type="dxa"/>
            <w:tcBorders/>
            <w:shd w:fill="CCEEFF" w:val="clear"/>
            <w:vAlign w:val="center"/>
          </w:tcPr>
          <w:p>
            <w:pPr>
              <w:pStyle w:val="TableContents"/>
              <w:bidi w:val="0"/>
              <w:spacing w:before="0" w:after="283"/>
              <w:jc w:val="left"/>
              <w:rPr/>
            </w:pPr>
            <w:r>
              <w:rPr/>
              <w:t> </w:t>
            </w:r>
          </w:p>
        </w:tc>
        <w:tc>
          <w:tcPr>
            <w:tcW w:w="559"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3" w:type="dxa"/>
            <w:tcBorders/>
            <w:shd w:fill="CCEEFF" w:val="clear"/>
            <w:vAlign w:val="center"/>
          </w:tcPr>
          <w:p>
            <w:pPr>
              <w:pStyle w:val="TableContents"/>
              <w:bidi w:val="0"/>
              <w:spacing w:before="0" w:after="283"/>
              <w:jc w:val="left"/>
              <w:rPr/>
            </w:pPr>
            <w:r>
              <w:rPr/>
              <w:t> </w:t>
            </w:r>
          </w:p>
        </w:tc>
        <w:tc>
          <w:tcPr>
            <w:tcW w:w="937"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3,333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8" w:type="dxa"/>
            <w:tcBorders/>
            <w:shd w:fill="CCEEFF" w:val="clear"/>
            <w:vAlign w:val="center"/>
          </w:tcPr>
          <w:p>
            <w:pPr>
              <w:pStyle w:val="TableContents"/>
              <w:bidi w:val="0"/>
              <w:spacing w:before="0" w:after="283"/>
              <w:jc w:val="left"/>
              <w:rPr/>
            </w:pPr>
            <w:r>
              <w:rPr/>
              <w:t> </w:t>
            </w:r>
          </w:p>
        </w:tc>
        <w:tc>
          <w:tcPr>
            <w:tcW w:w="1182"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33" w:type="dxa"/>
            <w:tcBorders/>
            <w:shd w:fill="CCEEFF" w:val="clear"/>
            <w:vAlign w:val="center"/>
          </w:tcPr>
          <w:p>
            <w:pPr>
              <w:pStyle w:val="TableContents"/>
              <w:bidi w:val="0"/>
              <w:spacing w:before="0" w:after="283"/>
              <w:jc w:val="left"/>
              <w:rPr/>
            </w:pPr>
            <w:r>
              <w:rPr/>
              <w:t> </w:t>
            </w:r>
          </w:p>
        </w:tc>
        <w:tc>
          <w:tcPr>
            <w:tcW w:w="1177"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9" w:type="dxa"/>
            <w:tcBorders/>
            <w:shd w:fill="CCEEFF" w:val="clear"/>
            <w:vAlign w:val="center"/>
          </w:tcPr>
          <w:p>
            <w:pPr>
              <w:pStyle w:val="TableContents"/>
              <w:bidi w:val="0"/>
              <w:spacing w:before="0" w:after="283"/>
              <w:jc w:val="left"/>
              <w:rPr/>
            </w:pPr>
            <w:r>
              <w:rPr/>
              <w:t> </w:t>
            </w:r>
          </w:p>
        </w:tc>
        <w:tc>
          <w:tcPr>
            <w:tcW w:w="1134"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3,333</w:t>
            </w:r>
          </w:p>
        </w:tc>
        <w:tc>
          <w:tcPr>
            <w:tcW w:w="112" w:type="dxa"/>
            <w:tcBorders/>
            <w:shd w:fill="CCEEFF" w:val="clear"/>
            <w:vAlign w:val="center"/>
          </w:tcPr>
          <w:p>
            <w:pPr>
              <w:pStyle w:val="TableContents"/>
              <w:bidi w:val="0"/>
              <w:spacing w:before="0" w:after="283"/>
              <w:ind w:left="0" w:right="0" w:hanging="180"/>
              <w:jc w:val="left"/>
              <w:rPr/>
            </w:pPr>
            <w:r>
              <w:rPr/>
              <w:t> </w:t>
            </w:r>
          </w:p>
        </w:tc>
      </w:tr>
      <w:tr>
        <w:trPr/>
        <w:tc>
          <w:tcPr>
            <w:tcW w:w="183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Non-cash issuance of shares of common stock for debt commitment fees, capitalized as debt issuance costs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175,000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01" w:type="dxa"/>
            <w:tcBorders/>
            <w:shd w:fill="FFFFFF" w:val="clear"/>
            <w:vAlign w:val="center"/>
          </w:tcPr>
          <w:p>
            <w:pPr>
              <w:pStyle w:val="TableContents"/>
              <w:bidi w:val="0"/>
              <w:spacing w:before="0" w:after="283"/>
              <w:jc w:val="left"/>
              <w:rPr/>
            </w:pPr>
            <w:r>
              <w:rPr/>
              <w:t> </w:t>
            </w:r>
          </w:p>
        </w:tc>
        <w:tc>
          <w:tcPr>
            <w:tcW w:w="559"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3" w:type="dxa"/>
            <w:tcBorders/>
            <w:shd w:fill="FFFFFF" w:val="clear"/>
            <w:vAlign w:val="center"/>
          </w:tcPr>
          <w:p>
            <w:pPr>
              <w:pStyle w:val="TableContents"/>
              <w:bidi w:val="0"/>
              <w:spacing w:before="0" w:after="283"/>
              <w:jc w:val="left"/>
              <w:rPr/>
            </w:pPr>
            <w:r>
              <w:rPr/>
              <w:t> </w:t>
            </w:r>
          </w:p>
        </w:tc>
        <w:tc>
          <w:tcPr>
            <w:tcW w:w="937"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333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8" w:type="dxa"/>
            <w:tcBorders/>
            <w:shd w:fill="FFFFFF" w:val="clear"/>
            <w:vAlign w:val="center"/>
          </w:tcPr>
          <w:p>
            <w:pPr>
              <w:pStyle w:val="TableContents"/>
              <w:bidi w:val="0"/>
              <w:spacing w:before="0" w:after="283"/>
              <w:jc w:val="left"/>
              <w:rPr/>
            </w:pPr>
            <w:r>
              <w:rPr/>
              <w:t> </w:t>
            </w:r>
          </w:p>
        </w:tc>
        <w:tc>
          <w:tcPr>
            <w:tcW w:w="1182"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33" w:type="dxa"/>
            <w:tcBorders/>
            <w:shd w:fill="FFFFFF" w:val="clear"/>
            <w:vAlign w:val="center"/>
          </w:tcPr>
          <w:p>
            <w:pPr>
              <w:pStyle w:val="TableContents"/>
              <w:bidi w:val="0"/>
              <w:spacing w:before="0" w:after="283"/>
              <w:jc w:val="left"/>
              <w:rPr/>
            </w:pPr>
            <w:r>
              <w:rPr/>
              <w:t> </w:t>
            </w:r>
          </w:p>
        </w:tc>
        <w:tc>
          <w:tcPr>
            <w:tcW w:w="1177"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9" w:type="dxa"/>
            <w:tcBorders/>
            <w:shd w:fill="FFFFFF" w:val="clear"/>
            <w:vAlign w:val="center"/>
          </w:tcPr>
          <w:p>
            <w:pPr>
              <w:pStyle w:val="TableContents"/>
              <w:bidi w:val="0"/>
              <w:spacing w:before="0" w:after="283"/>
              <w:jc w:val="left"/>
              <w:rPr/>
            </w:pPr>
            <w:r>
              <w:rPr/>
              <w:t> </w:t>
            </w:r>
          </w:p>
        </w:tc>
        <w:tc>
          <w:tcPr>
            <w:tcW w:w="1134"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333</w:t>
            </w:r>
          </w:p>
        </w:tc>
        <w:tc>
          <w:tcPr>
            <w:tcW w:w="112" w:type="dxa"/>
            <w:tcBorders/>
            <w:shd w:fill="FFFFFF" w:val="clear"/>
            <w:vAlign w:val="center"/>
          </w:tcPr>
          <w:p>
            <w:pPr>
              <w:pStyle w:val="TableContents"/>
              <w:bidi w:val="0"/>
              <w:spacing w:before="0" w:after="283"/>
              <w:ind w:left="0" w:right="0" w:hanging="180"/>
              <w:jc w:val="left"/>
              <w:rPr/>
            </w:pPr>
            <w:r>
              <w:rPr/>
              <w:t> </w:t>
            </w:r>
          </w:p>
        </w:tc>
      </w:tr>
      <w:tr>
        <w:trPr/>
        <w:tc>
          <w:tcPr>
            <w:tcW w:w="183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Vesting of restricted stock units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863,030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1" w:type="dxa"/>
            <w:tcBorders/>
            <w:shd w:fill="CCEEFF" w:val="clear"/>
            <w:vAlign w:val="center"/>
          </w:tcPr>
          <w:p>
            <w:pPr>
              <w:pStyle w:val="TableContents"/>
              <w:bidi w:val="0"/>
              <w:spacing w:before="0" w:after="283"/>
              <w:jc w:val="left"/>
              <w:rPr/>
            </w:pPr>
            <w:r>
              <w:rPr/>
              <w:t> </w:t>
            </w:r>
          </w:p>
        </w:tc>
        <w:tc>
          <w:tcPr>
            <w:tcW w:w="559"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3" w:type="dxa"/>
            <w:tcBorders/>
            <w:shd w:fill="CCEEFF" w:val="clear"/>
            <w:vAlign w:val="center"/>
          </w:tcPr>
          <w:p>
            <w:pPr>
              <w:pStyle w:val="TableContents"/>
              <w:bidi w:val="0"/>
              <w:spacing w:before="0" w:after="283"/>
              <w:jc w:val="left"/>
              <w:rPr/>
            </w:pPr>
            <w:r>
              <w:rPr/>
              <w:t> </w:t>
            </w:r>
          </w:p>
        </w:tc>
        <w:tc>
          <w:tcPr>
            <w:tcW w:w="937"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8" w:type="dxa"/>
            <w:tcBorders/>
            <w:shd w:fill="CCEEFF" w:val="clear"/>
            <w:vAlign w:val="center"/>
          </w:tcPr>
          <w:p>
            <w:pPr>
              <w:pStyle w:val="TableContents"/>
              <w:bidi w:val="0"/>
              <w:spacing w:before="0" w:after="283"/>
              <w:jc w:val="left"/>
              <w:rPr/>
            </w:pPr>
            <w:r>
              <w:rPr/>
              <w:t> </w:t>
            </w:r>
          </w:p>
        </w:tc>
        <w:tc>
          <w:tcPr>
            <w:tcW w:w="1182"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33" w:type="dxa"/>
            <w:tcBorders/>
            <w:shd w:fill="CCEEFF" w:val="clear"/>
            <w:vAlign w:val="center"/>
          </w:tcPr>
          <w:p>
            <w:pPr>
              <w:pStyle w:val="TableContents"/>
              <w:bidi w:val="0"/>
              <w:spacing w:before="0" w:after="283"/>
              <w:jc w:val="left"/>
              <w:rPr/>
            </w:pPr>
            <w:r>
              <w:rPr/>
              <w:t> </w:t>
            </w:r>
          </w:p>
        </w:tc>
        <w:tc>
          <w:tcPr>
            <w:tcW w:w="1177"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9" w:type="dxa"/>
            <w:tcBorders/>
            <w:shd w:fill="CCEEFF" w:val="clear"/>
            <w:vAlign w:val="center"/>
          </w:tcPr>
          <w:p>
            <w:pPr>
              <w:pStyle w:val="TableContents"/>
              <w:bidi w:val="0"/>
              <w:spacing w:before="0" w:after="283"/>
              <w:jc w:val="left"/>
              <w:rPr/>
            </w:pPr>
            <w:r>
              <w:rPr/>
              <w:t> </w:t>
            </w:r>
          </w:p>
        </w:tc>
        <w:tc>
          <w:tcPr>
            <w:tcW w:w="1134" w:type="dxa"/>
            <w:tcBorders/>
            <w:shd w:fill="CCEEFF" w:val="clear"/>
            <w:vAlign w:val="center"/>
          </w:tcPr>
          <w:p>
            <w:pPr>
              <w:pStyle w:val="TableContents"/>
              <w:bidi w:val="0"/>
              <w:spacing w:before="0" w:after="283"/>
              <w:jc w:val="right"/>
              <w:rPr/>
            </w:pPr>
            <w:r>
              <w:rPr/>
              <w:t>—</w:t>
            </w:r>
          </w:p>
        </w:tc>
        <w:tc>
          <w:tcPr>
            <w:tcW w:w="112" w:type="dxa"/>
            <w:tcBorders/>
            <w:shd w:fill="CCEEFF" w:val="clear"/>
            <w:vAlign w:val="center"/>
          </w:tcPr>
          <w:p>
            <w:pPr>
              <w:pStyle w:val="TableContents"/>
              <w:bidi w:val="0"/>
              <w:spacing w:before="0" w:after="283"/>
              <w:ind w:left="0" w:right="0" w:hanging="180"/>
              <w:jc w:val="left"/>
              <w:rPr/>
            </w:pPr>
            <w:r>
              <w:rPr/>
              <w:t> </w:t>
            </w:r>
          </w:p>
        </w:tc>
      </w:tr>
      <w:tr>
        <w:trPr/>
        <w:tc>
          <w:tcPr>
            <w:tcW w:w="183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Issuance of common stock</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4,560,000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01" w:type="dxa"/>
            <w:tcBorders/>
            <w:shd w:fill="FFFFFF" w:val="clear"/>
            <w:vAlign w:val="center"/>
          </w:tcPr>
          <w:p>
            <w:pPr>
              <w:pStyle w:val="TableContents"/>
              <w:bidi w:val="0"/>
              <w:spacing w:before="0" w:after="283"/>
              <w:jc w:val="left"/>
              <w:rPr/>
            </w:pPr>
            <w:r>
              <w:rPr/>
              <w:t> </w:t>
            </w:r>
          </w:p>
        </w:tc>
        <w:tc>
          <w:tcPr>
            <w:tcW w:w="559"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3" w:type="dxa"/>
            <w:tcBorders/>
            <w:shd w:fill="FFFFFF" w:val="clear"/>
            <w:vAlign w:val="center"/>
          </w:tcPr>
          <w:p>
            <w:pPr>
              <w:pStyle w:val="TableContents"/>
              <w:bidi w:val="0"/>
              <w:spacing w:before="0" w:after="283"/>
              <w:jc w:val="left"/>
              <w:rPr/>
            </w:pPr>
            <w:r>
              <w:rPr/>
              <w:t> </w:t>
            </w:r>
          </w:p>
        </w:tc>
        <w:tc>
          <w:tcPr>
            <w:tcW w:w="937"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6,991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8" w:type="dxa"/>
            <w:tcBorders/>
            <w:shd w:fill="FFFFFF" w:val="clear"/>
            <w:vAlign w:val="center"/>
          </w:tcPr>
          <w:p>
            <w:pPr>
              <w:pStyle w:val="TableContents"/>
              <w:bidi w:val="0"/>
              <w:spacing w:before="0" w:after="283"/>
              <w:jc w:val="left"/>
              <w:rPr/>
            </w:pPr>
            <w:r>
              <w:rPr/>
              <w:t> </w:t>
            </w:r>
          </w:p>
        </w:tc>
        <w:tc>
          <w:tcPr>
            <w:tcW w:w="1182"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33" w:type="dxa"/>
            <w:tcBorders/>
            <w:shd w:fill="FFFFFF" w:val="clear"/>
            <w:vAlign w:val="center"/>
          </w:tcPr>
          <w:p>
            <w:pPr>
              <w:pStyle w:val="TableContents"/>
              <w:bidi w:val="0"/>
              <w:spacing w:before="0" w:after="283"/>
              <w:jc w:val="left"/>
              <w:rPr/>
            </w:pPr>
            <w:r>
              <w:rPr/>
              <w:t> </w:t>
            </w:r>
          </w:p>
        </w:tc>
        <w:tc>
          <w:tcPr>
            <w:tcW w:w="1177"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9" w:type="dxa"/>
            <w:tcBorders/>
            <w:shd w:fill="FFFFFF" w:val="clear"/>
            <w:vAlign w:val="center"/>
          </w:tcPr>
          <w:p>
            <w:pPr>
              <w:pStyle w:val="TableContents"/>
              <w:bidi w:val="0"/>
              <w:spacing w:before="0" w:after="283"/>
              <w:jc w:val="left"/>
              <w:rPr/>
            </w:pPr>
            <w:r>
              <w:rPr/>
              <w:t> </w:t>
            </w:r>
          </w:p>
        </w:tc>
        <w:tc>
          <w:tcPr>
            <w:tcW w:w="1134"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6,991</w:t>
            </w:r>
          </w:p>
        </w:tc>
        <w:tc>
          <w:tcPr>
            <w:tcW w:w="112" w:type="dxa"/>
            <w:tcBorders/>
            <w:shd w:fill="FFFFFF" w:val="clear"/>
            <w:vAlign w:val="center"/>
          </w:tcPr>
          <w:p>
            <w:pPr>
              <w:pStyle w:val="TableContents"/>
              <w:bidi w:val="0"/>
              <w:spacing w:before="0" w:after="283"/>
              <w:ind w:left="0" w:right="0" w:hanging="180"/>
              <w:jc w:val="left"/>
              <w:rPr/>
            </w:pPr>
            <w:r>
              <w:rPr/>
              <w:t> </w:t>
            </w:r>
          </w:p>
        </w:tc>
      </w:tr>
      <w:tr>
        <w:trPr/>
        <w:tc>
          <w:tcPr>
            <w:tcW w:w="183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Stock-based compensation</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1" w:type="dxa"/>
            <w:tcBorders/>
            <w:shd w:fill="CCEEFF" w:val="clear"/>
            <w:vAlign w:val="center"/>
          </w:tcPr>
          <w:p>
            <w:pPr>
              <w:pStyle w:val="TableContents"/>
              <w:bidi w:val="0"/>
              <w:spacing w:before="0" w:after="283"/>
              <w:jc w:val="left"/>
              <w:rPr/>
            </w:pPr>
            <w:r>
              <w:rPr/>
              <w:t> </w:t>
            </w:r>
          </w:p>
        </w:tc>
        <w:tc>
          <w:tcPr>
            <w:tcW w:w="559"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3" w:type="dxa"/>
            <w:tcBorders/>
            <w:shd w:fill="CCEEFF" w:val="clear"/>
            <w:vAlign w:val="center"/>
          </w:tcPr>
          <w:p>
            <w:pPr>
              <w:pStyle w:val="TableContents"/>
              <w:bidi w:val="0"/>
              <w:spacing w:before="0" w:after="283"/>
              <w:jc w:val="left"/>
              <w:rPr/>
            </w:pPr>
            <w:r>
              <w:rPr/>
              <w:t> </w:t>
            </w:r>
          </w:p>
        </w:tc>
        <w:tc>
          <w:tcPr>
            <w:tcW w:w="937"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1,605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8" w:type="dxa"/>
            <w:tcBorders/>
            <w:shd w:fill="CCEEFF" w:val="clear"/>
            <w:vAlign w:val="center"/>
          </w:tcPr>
          <w:p>
            <w:pPr>
              <w:pStyle w:val="TableContents"/>
              <w:bidi w:val="0"/>
              <w:spacing w:before="0" w:after="283"/>
              <w:jc w:val="left"/>
              <w:rPr/>
            </w:pPr>
            <w:r>
              <w:rPr/>
              <w:t> </w:t>
            </w:r>
          </w:p>
        </w:tc>
        <w:tc>
          <w:tcPr>
            <w:tcW w:w="1182"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33" w:type="dxa"/>
            <w:tcBorders/>
            <w:shd w:fill="CCEEFF" w:val="clear"/>
            <w:vAlign w:val="center"/>
          </w:tcPr>
          <w:p>
            <w:pPr>
              <w:pStyle w:val="TableContents"/>
              <w:bidi w:val="0"/>
              <w:spacing w:before="0" w:after="283"/>
              <w:jc w:val="left"/>
              <w:rPr/>
            </w:pPr>
            <w:r>
              <w:rPr/>
              <w:t> </w:t>
            </w:r>
          </w:p>
        </w:tc>
        <w:tc>
          <w:tcPr>
            <w:tcW w:w="1177"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9" w:type="dxa"/>
            <w:tcBorders/>
            <w:shd w:fill="CCEEFF" w:val="clear"/>
            <w:vAlign w:val="center"/>
          </w:tcPr>
          <w:p>
            <w:pPr>
              <w:pStyle w:val="TableContents"/>
              <w:bidi w:val="0"/>
              <w:spacing w:before="0" w:after="283"/>
              <w:jc w:val="left"/>
              <w:rPr/>
            </w:pPr>
            <w:r>
              <w:rPr/>
              <w:t> </w:t>
            </w:r>
          </w:p>
        </w:tc>
        <w:tc>
          <w:tcPr>
            <w:tcW w:w="1134"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1,605</w:t>
            </w:r>
          </w:p>
        </w:tc>
        <w:tc>
          <w:tcPr>
            <w:tcW w:w="112" w:type="dxa"/>
            <w:tcBorders/>
            <w:shd w:fill="CCEEFF" w:val="clear"/>
            <w:vAlign w:val="center"/>
          </w:tcPr>
          <w:p>
            <w:pPr>
              <w:pStyle w:val="TableContents"/>
              <w:bidi w:val="0"/>
              <w:spacing w:before="0" w:after="283"/>
              <w:ind w:left="0" w:right="0" w:hanging="180"/>
              <w:jc w:val="left"/>
              <w:rPr/>
            </w:pPr>
            <w:r>
              <w:rPr/>
              <w:t> </w:t>
            </w:r>
          </w:p>
        </w:tc>
      </w:tr>
      <w:tr>
        <w:trPr/>
        <w:tc>
          <w:tcPr>
            <w:tcW w:w="183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Sunder deferred consideration</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01" w:type="dxa"/>
            <w:tcBorders/>
            <w:shd w:fill="FFFFFF" w:val="clear"/>
            <w:vAlign w:val="center"/>
          </w:tcPr>
          <w:p>
            <w:pPr>
              <w:pStyle w:val="TableContents"/>
              <w:bidi w:val="0"/>
              <w:spacing w:before="0" w:after="283"/>
              <w:jc w:val="left"/>
              <w:rPr/>
            </w:pPr>
            <w:r>
              <w:rPr/>
              <w:t> </w:t>
            </w:r>
          </w:p>
        </w:tc>
        <w:tc>
          <w:tcPr>
            <w:tcW w:w="559"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3" w:type="dxa"/>
            <w:tcBorders/>
            <w:shd w:fill="FFFFFF" w:val="clear"/>
            <w:vAlign w:val="center"/>
          </w:tcPr>
          <w:p>
            <w:pPr>
              <w:pStyle w:val="TableContents"/>
              <w:bidi w:val="0"/>
              <w:spacing w:before="0" w:after="283"/>
              <w:jc w:val="left"/>
              <w:rPr/>
            </w:pPr>
            <w:r>
              <w:rPr/>
              <w:t> </w:t>
            </w:r>
          </w:p>
        </w:tc>
        <w:tc>
          <w:tcPr>
            <w:tcW w:w="937"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8,533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8" w:type="dxa"/>
            <w:tcBorders/>
            <w:shd w:fill="FFFFFF" w:val="clear"/>
            <w:vAlign w:val="center"/>
          </w:tcPr>
          <w:p>
            <w:pPr>
              <w:pStyle w:val="TableContents"/>
              <w:bidi w:val="0"/>
              <w:spacing w:before="0" w:after="283"/>
              <w:jc w:val="left"/>
              <w:rPr/>
            </w:pPr>
            <w:r>
              <w:rPr/>
              <w:t> </w:t>
            </w:r>
          </w:p>
        </w:tc>
        <w:tc>
          <w:tcPr>
            <w:tcW w:w="1182"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33" w:type="dxa"/>
            <w:tcBorders/>
            <w:shd w:fill="FFFFFF" w:val="clear"/>
            <w:vAlign w:val="center"/>
          </w:tcPr>
          <w:p>
            <w:pPr>
              <w:pStyle w:val="TableContents"/>
              <w:bidi w:val="0"/>
              <w:spacing w:before="0" w:after="283"/>
              <w:jc w:val="left"/>
              <w:rPr/>
            </w:pPr>
            <w:r>
              <w:rPr/>
              <w:t> </w:t>
            </w:r>
          </w:p>
        </w:tc>
        <w:tc>
          <w:tcPr>
            <w:tcW w:w="1177"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9" w:type="dxa"/>
            <w:tcBorders/>
            <w:shd w:fill="FFFFFF" w:val="clear"/>
            <w:vAlign w:val="center"/>
          </w:tcPr>
          <w:p>
            <w:pPr>
              <w:pStyle w:val="TableContents"/>
              <w:bidi w:val="0"/>
              <w:spacing w:before="0" w:after="283"/>
              <w:jc w:val="left"/>
              <w:rPr/>
            </w:pPr>
            <w:r>
              <w:rPr/>
              <w:t> </w:t>
            </w:r>
          </w:p>
        </w:tc>
        <w:tc>
          <w:tcPr>
            <w:tcW w:w="1134"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8,533</w:t>
            </w:r>
          </w:p>
        </w:tc>
        <w:tc>
          <w:tcPr>
            <w:tcW w:w="112" w:type="dxa"/>
            <w:tcBorders/>
            <w:shd w:fill="FFFFFF" w:val="clear"/>
            <w:vAlign w:val="center"/>
          </w:tcPr>
          <w:p>
            <w:pPr>
              <w:pStyle w:val="TableContents"/>
              <w:bidi w:val="0"/>
              <w:spacing w:before="0" w:after="283"/>
              <w:ind w:left="0" w:right="0" w:hanging="180"/>
              <w:jc w:val="left"/>
              <w:rPr/>
            </w:pPr>
            <w:r>
              <w:rPr/>
              <w:t> </w:t>
            </w:r>
          </w:p>
        </w:tc>
      </w:tr>
      <w:tr>
        <w:trPr/>
        <w:tc>
          <w:tcPr>
            <w:tcW w:w="183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Net income</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20"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1"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559"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3"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37"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8"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82"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5,250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33"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77"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9"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34"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5,250</w:t>
            </w:r>
          </w:p>
        </w:tc>
        <w:tc>
          <w:tcPr>
            <w:tcW w:w="112" w:type="dxa"/>
            <w:tcBorders/>
            <w:shd w:fill="CCEEFF" w:val="clear"/>
            <w:vAlign w:val="center"/>
          </w:tcPr>
          <w:p>
            <w:pPr>
              <w:pStyle w:val="TableContents"/>
              <w:bidi w:val="0"/>
              <w:spacing w:before="0" w:after="283"/>
              <w:ind w:left="0" w:right="0" w:hanging="180"/>
              <w:jc w:val="left"/>
              <w:rPr/>
            </w:pPr>
            <w:r>
              <w:rPr/>
              <w:t> </w:t>
            </w:r>
          </w:p>
        </w:tc>
      </w:tr>
      <w:tr>
        <w:trPr/>
        <w:tc>
          <w:tcPr>
            <w:tcW w:w="1835" w:type="dxa"/>
            <w:tcBorders/>
            <w:shd w:fill="FFFF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Balance as of March 29, 2026</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10" w:space="0" w:color="000000"/>
            </w:tcBorders>
            <w:shd w:fill="FFFFFF" w:val="clear"/>
            <w:tcMar>
              <w:bottom w:w="28" w:type="dxa"/>
            </w:tcMar>
            <w:vAlign w:val="center"/>
          </w:tcPr>
          <w:p>
            <w:pPr>
              <w:pStyle w:val="TableContents"/>
              <w:bidi w:val="0"/>
              <w:spacing w:before="0" w:after="283"/>
              <w:jc w:val="left"/>
              <w:rPr/>
            </w:pPr>
            <w:r>
              <w:rPr/>
              <w:t> </w:t>
            </w:r>
          </w:p>
        </w:tc>
        <w:tc>
          <w:tcPr>
            <w:tcW w:w="1220" w:type="dxa"/>
            <w:tcBorders>
              <w:bottom w:val="double" w:sz="10"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120,347,463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01" w:type="dxa"/>
            <w:tcBorders>
              <w:bottom w:val="double" w:sz="10"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w:t>
            </w:r>
          </w:p>
        </w:tc>
        <w:tc>
          <w:tcPr>
            <w:tcW w:w="559" w:type="dxa"/>
            <w:tcBorders>
              <w:bottom w:val="double" w:sz="10"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16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3" w:type="dxa"/>
            <w:tcBorders>
              <w:bottom w:val="double" w:sz="10"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w:t>
            </w:r>
          </w:p>
        </w:tc>
        <w:tc>
          <w:tcPr>
            <w:tcW w:w="937" w:type="dxa"/>
            <w:tcBorders>
              <w:bottom w:val="double" w:sz="10"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389,849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8" w:type="dxa"/>
            <w:tcBorders>
              <w:bottom w:val="double" w:sz="10"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w:t>
            </w:r>
          </w:p>
        </w:tc>
        <w:tc>
          <w:tcPr>
            <w:tcW w:w="1182" w:type="dxa"/>
            <w:tcBorders>
              <w:bottom w:val="double" w:sz="10"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(451,483</w:t>
            </w:r>
          </w:p>
        </w:tc>
        <w:tc>
          <w:tcPr>
            <w:tcW w:w="95" w:type="dxa"/>
            <w:tcBorders/>
            <w:shd w:fill="FFFF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w:t>
            </w:r>
          </w:p>
        </w:tc>
        <w:tc>
          <w:tcPr>
            <w:tcW w:w="60" w:type="dxa"/>
            <w:tcBorders/>
            <w:shd w:fill="FFFFFF" w:val="clear"/>
            <w:vAlign w:val="center"/>
          </w:tcPr>
          <w:p>
            <w:pPr>
              <w:pStyle w:val="TableContents"/>
              <w:bidi w:val="0"/>
              <w:spacing w:before="0" w:after="283"/>
              <w:jc w:val="left"/>
              <w:rPr/>
            </w:pPr>
            <w:r>
              <w:rPr/>
              <w:t> </w:t>
            </w:r>
          </w:p>
        </w:tc>
        <w:tc>
          <w:tcPr>
            <w:tcW w:w="433" w:type="dxa"/>
            <w:tcBorders>
              <w:bottom w:val="double" w:sz="10"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w:t>
            </w:r>
          </w:p>
        </w:tc>
        <w:tc>
          <w:tcPr>
            <w:tcW w:w="1177" w:type="dxa"/>
            <w:tcBorders>
              <w:bottom w:val="double" w:sz="10"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165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9" w:type="dxa"/>
            <w:tcBorders>
              <w:bottom w:val="double" w:sz="10"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w:t>
            </w:r>
          </w:p>
        </w:tc>
        <w:tc>
          <w:tcPr>
            <w:tcW w:w="1134" w:type="dxa"/>
            <w:tcBorders>
              <w:bottom w:val="double" w:sz="10"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(61,453</w:t>
            </w:r>
          </w:p>
        </w:tc>
        <w:tc>
          <w:tcPr>
            <w:tcW w:w="112" w:type="dxa"/>
            <w:tcBorders/>
            <w:shd w:fill="FFFF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w:t>
            </w:r>
          </w:p>
        </w:tc>
      </w:tr>
    </w:tbl>
    <w:p>
      <w:pPr>
        <w:pStyle w:val="TextBody"/>
        <w:bidi w:val="0"/>
        <w:spacing w:before="0" w:after="0"/>
        <w:ind w:left="0" w:right="0" w:hanging="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938"/>
        <w:gridCol w:w="60"/>
        <w:gridCol w:w="60"/>
        <w:gridCol w:w="1100"/>
        <w:gridCol w:w="60"/>
        <w:gridCol w:w="60"/>
        <w:gridCol w:w="301"/>
        <w:gridCol w:w="559"/>
        <w:gridCol w:w="60"/>
        <w:gridCol w:w="60"/>
        <w:gridCol w:w="163"/>
        <w:gridCol w:w="937"/>
        <w:gridCol w:w="60"/>
        <w:gridCol w:w="60"/>
        <w:gridCol w:w="188"/>
        <w:gridCol w:w="1182"/>
        <w:gridCol w:w="95"/>
        <w:gridCol w:w="60"/>
        <w:gridCol w:w="433"/>
        <w:gridCol w:w="1177"/>
        <w:gridCol w:w="60"/>
        <w:gridCol w:w="60"/>
        <w:gridCol w:w="212"/>
        <w:gridCol w:w="1149"/>
        <w:gridCol w:w="111"/>
      </w:tblGrid>
      <w:tr>
        <w:trPr/>
        <w:tc>
          <w:tcPr>
            <w:tcW w:w="1938"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96" w:type="dxa"/>
            <w:gridSpan w:val="2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Thirteen Weeks Ended March 30, 2025</w:t>
            </w:r>
          </w:p>
        </w:tc>
        <w:tc>
          <w:tcPr>
            <w:tcW w:w="111" w:type="dxa"/>
            <w:tcBorders/>
            <w:vAlign w:val="center"/>
          </w:tcPr>
          <w:p>
            <w:pPr>
              <w:pStyle w:val="TableContents"/>
              <w:bidi w:val="0"/>
              <w:spacing w:before="0" w:after="283"/>
              <w:jc w:val="left"/>
              <w:rPr/>
            </w:pPr>
            <w:r>
              <w:rPr/>
              <w:t> </w:t>
            </w:r>
          </w:p>
        </w:tc>
      </w:tr>
      <w:tr>
        <w:trPr/>
        <w:tc>
          <w:tcPr>
            <w:tcW w:w="1938"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140" w:type="dxa"/>
            <w:gridSpan w:val="6"/>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Common Stock</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gridSpan w:val="2"/>
            <w:tcBorders/>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Additional</w:t>
              <w:br/>
              <w:t>Paid-in</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70" w:type="dxa"/>
            <w:gridSpan w:val="2"/>
            <w:tcBorders/>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Accumulated</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10" w:type="dxa"/>
            <w:gridSpan w:val="2"/>
            <w:tcBorders/>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Accumulated</w:t>
              <w:br/>
              <w:t>Other</w:t>
              <w:br/>
              <w:t>Comprehensive</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61" w:type="dxa"/>
            <w:gridSpan w:val="2"/>
            <w:tcBorders/>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Total</w:t>
              <w:br/>
              <w:t>Stockholders’</w:t>
            </w:r>
          </w:p>
        </w:tc>
        <w:tc>
          <w:tcPr>
            <w:tcW w:w="111" w:type="dxa"/>
            <w:tcBorders/>
            <w:vAlign w:val="center"/>
          </w:tcPr>
          <w:p>
            <w:pPr>
              <w:pStyle w:val="TableContents"/>
              <w:bidi w:val="0"/>
              <w:spacing w:before="0" w:after="283"/>
              <w:jc w:val="left"/>
              <w:rPr/>
            </w:pPr>
            <w:r>
              <w:rPr/>
              <w:t> </w:t>
            </w:r>
          </w:p>
        </w:tc>
      </w:tr>
      <w:tr>
        <w:trPr/>
        <w:tc>
          <w:tcPr>
            <w:tcW w:w="1938"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60"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Shares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60"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Amount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Capital</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70"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Deficit</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10"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Income</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61"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Deficit</w:t>
            </w:r>
          </w:p>
        </w:tc>
        <w:tc>
          <w:tcPr>
            <w:tcW w:w="111" w:type="dxa"/>
            <w:tcBorders/>
            <w:vAlign w:val="center"/>
          </w:tcPr>
          <w:p>
            <w:pPr>
              <w:pStyle w:val="TableContents"/>
              <w:bidi w:val="0"/>
              <w:spacing w:before="0" w:after="283"/>
              <w:ind w:left="0" w:right="0" w:hanging="180"/>
              <w:jc w:val="left"/>
              <w:rPr/>
            </w:pPr>
            <w:r>
              <w:rPr/>
              <w:t> </w:t>
            </w:r>
          </w:p>
        </w:tc>
      </w:tr>
      <w:tr>
        <w:trPr/>
        <w:tc>
          <w:tcPr>
            <w:tcW w:w="1938" w:type="dxa"/>
            <w:tcBorders/>
            <w:shd w:fill="CCEE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Balance as of December 29, 2024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73,784,645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1" w:type="dxa"/>
            <w:tcBorders/>
            <w:shd w:fill="CCEE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w:t>
            </w:r>
          </w:p>
        </w:tc>
        <w:tc>
          <w:tcPr>
            <w:tcW w:w="559" w:type="dxa"/>
            <w:tcBorders/>
            <w:shd w:fill="CCEEFF" w:val="cle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14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3" w:type="dxa"/>
            <w:tcBorders/>
            <w:shd w:fill="CCEE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w:t>
            </w:r>
          </w:p>
        </w:tc>
        <w:tc>
          <w:tcPr>
            <w:tcW w:w="937" w:type="dxa"/>
            <w:tcBorders/>
            <w:shd w:fill="CCEEFF" w:val="cle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313,661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8" w:type="dxa"/>
            <w:tcBorders/>
            <w:shd w:fill="CCEE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w:t>
            </w:r>
          </w:p>
        </w:tc>
        <w:tc>
          <w:tcPr>
            <w:tcW w:w="1182" w:type="dxa"/>
            <w:tcBorders/>
            <w:shd w:fill="CCEEFF" w:val="cle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(411,379</w:t>
            </w:r>
          </w:p>
        </w:tc>
        <w:tc>
          <w:tcPr>
            <w:tcW w:w="95" w:type="dxa"/>
            <w:tcBorders/>
            <w:shd w:fill="CCEE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w:t>
            </w:r>
          </w:p>
        </w:tc>
        <w:tc>
          <w:tcPr>
            <w:tcW w:w="60" w:type="dxa"/>
            <w:tcBorders/>
            <w:shd w:fill="CCEEFF" w:val="clear"/>
            <w:vAlign w:val="center"/>
          </w:tcPr>
          <w:p>
            <w:pPr>
              <w:pStyle w:val="TableContents"/>
              <w:bidi w:val="0"/>
              <w:spacing w:before="0" w:after="283"/>
              <w:jc w:val="left"/>
              <w:rPr/>
            </w:pPr>
            <w:r>
              <w:rPr/>
              <w:t> </w:t>
            </w:r>
          </w:p>
        </w:tc>
        <w:tc>
          <w:tcPr>
            <w:tcW w:w="433" w:type="dxa"/>
            <w:tcBorders/>
            <w:shd w:fill="CCEE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w:t>
            </w:r>
          </w:p>
        </w:tc>
        <w:tc>
          <w:tcPr>
            <w:tcW w:w="1177" w:type="dxa"/>
            <w:tcBorders/>
            <w:shd w:fill="CCEEFF" w:val="cle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165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2" w:type="dxa"/>
            <w:tcBorders/>
            <w:shd w:fill="CCEE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w:t>
            </w:r>
          </w:p>
        </w:tc>
        <w:tc>
          <w:tcPr>
            <w:tcW w:w="1149" w:type="dxa"/>
            <w:tcBorders/>
            <w:shd w:fill="CCEEFF" w:val="cle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(97,539</w:t>
            </w:r>
          </w:p>
        </w:tc>
        <w:tc>
          <w:tcPr>
            <w:tcW w:w="111" w:type="dxa"/>
            <w:tcBorders/>
            <w:shd w:fill="CCEEFF" w:val="clear"/>
            <w:vAlign w:val="center"/>
          </w:tcPr>
          <w:p>
            <w:pPr>
              <w:pStyle w:val="TableContents"/>
              <w:bidi w:val="0"/>
              <w:spacing w:before="0" w:after="283"/>
              <w:ind w:left="0" w:right="0" w:hanging="180"/>
              <w:jc w:val="left"/>
              <w:rPr>
                <w:rFonts w:ascii="Times New Roman;Times;Serif" w:hAnsi="Times New Roman;Times;Serif"/>
                <w:b/>
              </w:rPr>
            </w:pPr>
            <w:r>
              <w:rPr>
                <w:rFonts w:ascii="Times New Roman;Times;Serif" w:hAnsi="Times New Roman;Times;Serif"/>
                <w:b/>
              </w:rPr>
              <w:t>)</w:t>
            </w:r>
          </w:p>
        </w:tc>
      </w:tr>
      <w:tr>
        <w:trPr/>
        <w:tc>
          <w:tcPr>
            <w:tcW w:w="1938"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Exercise of common stock options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43,793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01" w:type="dxa"/>
            <w:tcBorders/>
            <w:shd w:fill="FFFFFF" w:val="clear"/>
            <w:vAlign w:val="center"/>
          </w:tcPr>
          <w:p>
            <w:pPr>
              <w:pStyle w:val="TableContents"/>
              <w:bidi w:val="0"/>
              <w:spacing w:before="0" w:after="283"/>
              <w:jc w:val="left"/>
              <w:rPr/>
            </w:pPr>
            <w:r>
              <w:rPr/>
              <w:t> </w:t>
            </w:r>
          </w:p>
        </w:tc>
        <w:tc>
          <w:tcPr>
            <w:tcW w:w="559"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3" w:type="dxa"/>
            <w:tcBorders/>
            <w:shd w:fill="FFFFFF" w:val="clear"/>
            <w:vAlign w:val="center"/>
          </w:tcPr>
          <w:p>
            <w:pPr>
              <w:pStyle w:val="TableContents"/>
              <w:bidi w:val="0"/>
              <w:spacing w:before="0" w:after="283"/>
              <w:jc w:val="left"/>
              <w:rPr/>
            </w:pPr>
            <w:r>
              <w:rPr/>
              <w:t> </w:t>
            </w:r>
          </w:p>
        </w:tc>
        <w:tc>
          <w:tcPr>
            <w:tcW w:w="937"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8" w:type="dxa"/>
            <w:tcBorders/>
            <w:shd w:fill="FFFFFF" w:val="clear"/>
            <w:vAlign w:val="center"/>
          </w:tcPr>
          <w:p>
            <w:pPr>
              <w:pStyle w:val="TableContents"/>
              <w:bidi w:val="0"/>
              <w:spacing w:before="0" w:after="283"/>
              <w:jc w:val="left"/>
              <w:rPr/>
            </w:pPr>
            <w:r>
              <w:rPr/>
              <w:t> </w:t>
            </w:r>
          </w:p>
        </w:tc>
        <w:tc>
          <w:tcPr>
            <w:tcW w:w="1182"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33" w:type="dxa"/>
            <w:tcBorders/>
            <w:shd w:fill="FFFFFF" w:val="clear"/>
            <w:vAlign w:val="center"/>
          </w:tcPr>
          <w:p>
            <w:pPr>
              <w:pStyle w:val="TableContents"/>
              <w:bidi w:val="0"/>
              <w:spacing w:before="0" w:after="283"/>
              <w:jc w:val="left"/>
              <w:rPr/>
            </w:pPr>
            <w:r>
              <w:rPr/>
              <w:t> </w:t>
            </w:r>
          </w:p>
        </w:tc>
        <w:tc>
          <w:tcPr>
            <w:tcW w:w="1177"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2" w:type="dxa"/>
            <w:tcBorders/>
            <w:shd w:fill="FFFFFF" w:val="clear"/>
            <w:vAlign w:val="center"/>
          </w:tcPr>
          <w:p>
            <w:pPr>
              <w:pStyle w:val="TableContents"/>
              <w:bidi w:val="0"/>
              <w:spacing w:before="0" w:after="283"/>
              <w:jc w:val="left"/>
              <w:rPr/>
            </w:pPr>
            <w:r>
              <w:rPr/>
              <w:t> </w:t>
            </w:r>
          </w:p>
        </w:tc>
        <w:tc>
          <w:tcPr>
            <w:tcW w:w="1149"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57</w:t>
            </w:r>
          </w:p>
        </w:tc>
        <w:tc>
          <w:tcPr>
            <w:tcW w:w="111" w:type="dxa"/>
            <w:tcBorders/>
            <w:shd w:fill="FFFFFF" w:val="clear"/>
            <w:vAlign w:val="center"/>
          </w:tcPr>
          <w:p>
            <w:pPr>
              <w:pStyle w:val="TableContents"/>
              <w:bidi w:val="0"/>
              <w:spacing w:before="0" w:after="283"/>
              <w:ind w:left="0" w:right="0" w:hanging="180"/>
              <w:jc w:val="left"/>
              <w:rPr/>
            </w:pPr>
            <w:r>
              <w:rPr/>
              <w:t> </w:t>
            </w:r>
          </w:p>
        </w:tc>
      </w:tr>
      <w:tr>
        <w:trPr/>
        <w:tc>
          <w:tcPr>
            <w:tcW w:w="1938"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Vesting of restricted stock units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192,398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1" w:type="dxa"/>
            <w:tcBorders/>
            <w:shd w:fill="CCEEFF" w:val="clear"/>
            <w:vAlign w:val="center"/>
          </w:tcPr>
          <w:p>
            <w:pPr>
              <w:pStyle w:val="TableContents"/>
              <w:bidi w:val="0"/>
              <w:spacing w:before="0" w:after="283"/>
              <w:jc w:val="left"/>
              <w:rPr/>
            </w:pPr>
            <w:r>
              <w:rPr/>
              <w:t> </w:t>
            </w:r>
          </w:p>
        </w:tc>
        <w:tc>
          <w:tcPr>
            <w:tcW w:w="559"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3" w:type="dxa"/>
            <w:tcBorders/>
            <w:shd w:fill="CCEEFF" w:val="clear"/>
            <w:vAlign w:val="center"/>
          </w:tcPr>
          <w:p>
            <w:pPr>
              <w:pStyle w:val="TableContents"/>
              <w:bidi w:val="0"/>
              <w:spacing w:before="0" w:after="283"/>
              <w:jc w:val="left"/>
              <w:rPr/>
            </w:pPr>
            <w:r>
              <w:rPr/>
              <w:t> </w:t>
            </w:r>
          </w:p>
        </w:tc>
        <w:tc>
          <w:tcPr>
            <w:tcW w:w="937"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8" w:type="dxa"/>
            <w:tcBorders/>
            <w:shd w:fill="CCEEFF" w:val="clear"/>
            <w:vAlign w:val="center"/>
          </w:tcPr>
          <w:p>
            <w:pPr>
              <w:pStyle w:val="TableContents"/>
              <w:bidi w:val="0"/>
              <w:spacing w:before="0" w:after="283"/>
              <w:jc w:val="left"/>
              <w:rPr/>
            </w:pPr>
            <w:r>
              <w:rPr/>
              <w:t> </w:t>
            </w:r>
          </w:p>
        </w:tc>
        <w:tc>
          <w:tcPr>
            <w:tcW w:w="1182"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33" w:type="dxa"/>
            <w:tcBorders/>
            <w:shd w:fill="CCEEFF" w:val="clear"/>
            <w:vAlign w:val="center"/>
          </w:tcPr>
          <w:p>
            <w:pPr>
              <w:pStyle w:val="TableContents"/>
              <w:bidi w:val="0"/>
              <w:spacing w:before="0" w:after="283"/>
              <w:jc w:val="left"/>
              <w:rPr/>
            </w:pPr>
            <w:r>
              <w:rPr/>
              <w:t> </w:t>
            </w:r>
          </w:p>
        </w:tc>
        <w:tc>
          <w:tcPr>
            <w:tcW w:w="1177"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2" w:type="dxa"/>
            <w:tcBorders/>
            <w:shd w:fill="CCEEFF" w:val="clear"/>
            <w:vAlign w:val="center"/>
          </w:tcPr>
          <w:p>
            <w:pPr>
              <w:pStyle w:val="TableContents"/>
              <w:bidi w:val="0"/>
              <w:spacing w:before="0" w:after="283"/>
              <w:jc w:val="left"/>
              <w:rPr/>
            </w:pPr>
            <w:r>
              <w:rPr/>
              <w:t> </w:t>
            </w:r>
          </w:p>
        </w:tc>
        <w:tc>
          <w:tcPr>
            <w:tcW w:w="1149" w:type="dxa"/>
            <w:tcBorders/>
            <w:shd w:fill="CCEEFF" w:val="clear"/>
            <w:vAlign w:val="center"/>
          </w:tcPr>
          <w:p>
            <w:pPr>
              <w:pStyle w:val="TableContents"/>
              <w:bidi w:val="0"/>
              <w:spacing w:before="0" w:after="283"/>
              <w:jc w:val="right"/>
              <w:rPr/>
            </w:pPr>
            <w:r>
              <w:rPr/>
              <w:t>—</w:t>
            </w:r>
          </w:p>
        </w:tc>
        <w:tc>
          <w:tcPr>
            <w:tcW w:w="111" w:type="dxa"/>
            <w:tcBorders/>
            <w:shd w:fill="CCEEFF" w:val="clear"/>
            <w:vAlign w:val="center"/>
          </w:tcPr>
          <w:p>
            <w:pPr>
              <w:pStyle w:val="TableContents"/>
              <w:bidi w:val="0"/>
              <w:spacing w:before="0" w:after="283"/>
              <w:ind w:left="0" w:right="0" w:hanging="180"/>
              <w:jc w:val="left"/>
              <w:rPr/>
            </w:pPr>
            <w:r>
              <w:rPr/>
              <w:t> </w:t>
            </w:r>
          </w:p>
        </w:tc>
      </w:tr>
      <w:tr>
        <w:trPr/>
        <w:tc>
          <w:tcPr>
            <w:tcW w:w="1938"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Exercise of common stock warrants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6,000,000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01" w:type="dxa"/>
            <w:tcBorders/>
            <w:shd w:fill="FFFFFF" w:val="clear"/>
            <w:vAlign w:val="center"/>
          </w:tcPr>
          <w:p>
            <w:pPr>
              <w:pStyle w:val="TableContents"/>
              <w:bidi w:val="0"/>
              <w:spacing w:before="0" w:after="283"/>
              <w:jc w:val="left"/>
              <w:rPr/>
            </w:pPr>
            <w:r>
              <w:rPr/>
              <w:t> </w:t>
            </w:r>
          </w:p>
        </w:tc>
        <w:tc>
          <w:tcPr>
            <w:tcW w:w="559"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3" w:type="dxa"/>
            <w:tcBorders/>
            <w:shd w:fill="FFFFFF" w:val="clear"/>
            <w:vAlign w:val="center"/>
          </w:tcPr>
          <w:p>
            <w:pPr>
              <w:pStyle w:val="TableContents"/>
              <w:bidi w:val="0"/>
              <w:spacing w:before="0" w:after="283"/>
              <w:jc w:val="left"/>
              <w:rPr/>
            </w:pPr>
            <w:r>
              <w:rPr/>
              <w:t> </w:t>
            </w:r>
          </w:p>
        </w:tc>
        <w:tc>
          <w:tcPr>
            <w:tcW w:w="937"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8" w:type="dxa"/>
            <w:tcBorders/>
            <w:shd w:fill="FFFFFF" w:val="clear"/>
            <w:vAlign w:val="center"/>
          </w:tcPr>
          <w:p>
            <w:pPr>
              <w:pStyle w:val="TableContents"/>
              <w:bidi w:val="0"/>
              <w:spacing w:before="0" w:after="283"/>
              <w:jc w:val="left"/>
              <w:rPr/>
            </w:pPr>
            <w:r>
              <w:rPr/>
              <w:t> </w:t>
            </w:r>
          </w:p>
        </w:tc>
        <w:tc>
          <w:tcPr>
            <w:tcW w:w="1182"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33" w:type="dxa"/>
            <w:tcBorders/>
            <w:shd w:fill="FFFFFF" w:val="clear"/>
            <w:vAlign w:val="center"/>
          </w:tcPr>
          <w:p>
            <w:pPr>
              <w:pStyle w:val="TableContents"/>
              <w:bidi w:val="0"/>
              <w:spacing w:before="0" w:after="283"/>
              <w:jc w:val="left"/>
              <w:rPr/>
            </w:pPr>
            <w:r>
              <w:rPr/>
              <w:t> </w:t>
            </w:r>
          </w:p>
        </w:tc>
        <w:tc>
          <w:tcPr>
            <w:tcW w:w="1177"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2" w:type="dxa"/>
            <w:tcBorders/>
            <w:shd w:fill="FFFFFF" w:val="clear"/>
            <w:vAlign w:val="center"/>
          </w:tcPr>
          <w:p>
            <w:pPr>
              <w:pStyle w:val="TableContents"/>
              <w:bidi w:val="0"/>
              <w:spacing w:before="0" w:after="283"/>
              <w:jc w:val="left"/>
              <w:rPr/>
            </w:pPr>
            <w:r>
              <w:rPr/>
              <w:t> </w:t>
            </w:r>
          </w:p>
        </w:tc>
        <w:tc>
          <w:tcPr>
            <w:tcW w:w="1149"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60</w:t>
            </w:r>
          </w:p>
        </w:tc>
        <w:tc>
          <w:tcPr>
            <w:tcW w:w="111" w:type="dxa"/>
            <w:tcBorders/>
            <w:shd w:fill="FFFFFF" w:val="clear"/>
            <w:vAlign w:val="center"/>
          </w:tcPr>
          <w:p>
            <w:pPr>
              <w:pStyle w:val="TableContents"/>
              <w:bidi w:val="0"/>
              <w:spacing w:before="0" w:after="283"/>
              <w:ind w:left="0" w:right="0" w:hanging="180"/>
              <w:jc w:val="left"/>
              <w:rPr/>
            </w:pPr>
            <w:r>
              <w:rPr/>
              <w:t> </w:t>
            </w:r>
          </w:p>
        </w:tc>
      </w:tr>
      <w:tr>
        <w:trPr/>
        <w:tc>
          <w:tcPr>
            <w:tcW w:w="1938"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Stock-based compensation</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1" w:type="dxa"/>
            <w:tcBorders/>
            <w:shd w:fill="CCEEFF" w:val="clear"/>
            <w:vAlign w:val="center"/>
          </w:tcPr>
          <w:p>
            <w:pPr>
              <w:pStyle w:val="TableContents"/>
              <w:bidi w:val="0"/>
              <w:spacing w:before="0" w:after="283"/>
              <w:jc w:val="left"/>
              <w:rPr/>
            </w:pPr>
            <w:r>
              <w:rPr/>
              <w:t> </w:t>
            </w:r>
          </w:p>
        </w:tc>
        <w:tc>
          <w:tcPr>
            <w:tcW w:w="559"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3" w:type="dxa"/>
            <w:tcBorders/>
            <w:shd w:fill="CCEEFF" w:val="clear"/>
            <w:vAlign w:val="center"/>
          </w:tcPr>
          <w:p>
            <w:pPr>
              <w:pStyle w:val="TableContents"/>
              <w:bidi w:val="0"/>
              <w:spacing w:before="0" w:after="283"/>
              <w:jc w:val="left"/>
              <w:rPr/>
            </w:pPr>
            <w:r>
              <w:rPr/>
              <w:t> </w:t>
            </w:r>
          </w:p>
        </w:tc>
        <w:tc>
          <w:tcPr>
            <w:tcW w:w="937"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469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8" w:type="dxa"/>
            <w:tcBorders/>
            <w:shd w:fill="CCEEFF" w:val="clear"/>
            <w:vAlign w:val="center"/>
          </w:tcPr>
          <w:p>
            <w:pPr>
              <w:pStyle w:val="TableContents"/>
              <w:bidi w:val="0"/>
              <w:spacing w:before="0" w:after="283"/>
              <w:jc w:val="left"/>
              <w:rPr/>
            </w:pPr>
            <w:r>
              <w:rPr/>
              <w:t> </w:t>
            </w:r>
          </w:p>
        </w:tc>
        <w:tc>
          <w:tcPr>
            <w:tcW w:w="1182"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33" w:type="dxa"/>
            <w:tcBorders/>
            <w:shd w:fill="CCEEFF" w:val="clear"/>
            <w:vAlign w:val="center"/>
          </w:tcPr>
          <w:p>
            <w:pPr>
              <w:pStyle w:val="TableContents"/>
              <w:bidi w:val="0"/>
              <w:spacing w:before="0" w:after="283"/>
              <w:jc w:val="left"/>
              <w:rPr/>
            </w:pPr>
            <w:r>
              <w:rPr/>
              <w:t> </w:t>
            </w:r>
          </w:p>
        </w:tc>
        <w:tc>
          <w:tcPr>
            <w:tcW w:w="1177"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2" w:type="dxa"/>
            <w:tcBorders/>
            <w:shd w:fill="CCEEFF" w:val="clear"/>
            <w:vAlign w:val="center"/>
          </w:tcPr>
          <w:p>
            <w:pPr>
              <w:pStyle w:val="TableContents"/>
              <w:bidi w:val="0"/>
              <w:spacing w:before="0" w:after="283"/>
              <w:jc w:val="left"/>
              <w:rPr/>
            </w:pPr>
            <w:r>
              <w:rPr/>
              <w:t> </w:t>
            </w:r>
          </w:p>
        </w:tc>
        <w:tc>
          <w:tcPr>
            <w:tcW w:w="1149"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469</w:t>
            </w:r>
          </w:p>
        </w:tc>
        <w:tc>
          <w:tcPr>
            <w:tcW w:w="111" w:type="dxa"/>
            <w:tcBorders/>
            <w:shd w:fill="CCEEFF" w:val="clear"/>
            <w:vAlign w:val="center"/>
          </w:tcPr>
          <w:p>
            <w:pPr>
              <w:pStyle w:val="TableContents"/>
              <w:bidi w:val="0"/>
              <w:spacing w:before="0" w:after="283"/>
              <w:ind w:left="0" w:right="0" w:hanging="180"/>
              <w:jc w:val="left"/>
              <w:rPr/>
            </w:pPr>
            <w:r>
              <w:rPr/>
              <w:t> </w:t>
            </w:r>
          </w:p>
        </w:tc>
      </w:tr>
      <w:tr>
        <w:trPr/>
        <w:tc>
          <w:tcPr>
            <w:tcW w:w="1938"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Net income</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01"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559"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3"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937"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8"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82"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4,812</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33"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77"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2"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49"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4,812</w:t>
            </w:r>
          </w:p>
        </w:tc>
        <w:tc>
          <w:tcPr>
            <w:tcW w:w="111" w:type="dxa"/>
            <w:tcBorders/>
            <w:shd w:fill="FFFFFF" w:val="clear"/>
            <w:vAlign w:val="center"/>
          </w:tcPr>
          <w:p>
            <w:pPr>
              <w:pStyle w:val="TableContents"/>
              <w:bidi w:val="0"/>
              <w:spacing w:before="0" w:after="283"/>
              <w:ind w:left="0" w:right="0" w:hanging="180"/>
              <w:jc w:val="left"/>
              <w:rPr/>
            </w:pPr>
            <w:r>
              <w:rPr/>
              <w:t> </w:t>
            </w:r>
          </w:p>
        </w:tc>
      </w:tr>
      <w:tr>
        <w:trPr/>
        <w:tc>
          <w:tcPr>
            <w:tcW w:w="1938" w:type="dxa"/>
            <w:tcBorders/>
            <w:shd w:fill="CCEE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Balance as of March 30, 2025</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double" w:sz="10"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80,020,836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1" w:type="dxa"/>
            <w:tcBorders>
              <w:bottom w:val="double" w:sz="10"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w:t>
            </w:r>
          </w:p>
        </w:tc>
        <w:tc>
          <w:tcPr>
            <w:tcW w:w="559" w:type="dxa"/>
            <w:tcBorders>
              <w:bottom w:val="double" w:sz="10"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14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3" w:type="dxa"/>
            <w:tcBorders>
              <w:bottom w:val="double" w:sz="10"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w:t>
            </w:r>
          </w:p>
        </w:tc>
        <w:tc>
          <w:tcPr>
            <w:tcW w:w="937" w:type="dxa"/>
            <w:tcBorders>
              <w:bottom w:val="double" w:sz="10"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314,247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8" w:type="dxa"/>
            <w:tcBorders>
              <w:bottom w:val="double" w:sz="10"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w:t>
            </w:r>
          </w:p>
        </w:tc>
        <w:tc>
          <w:tcPr>
            <w:tcW w:w="1182" w:type="dxa"/>
            <w:tcBorders>
              <w:bottom w:val="double" w:sz="10"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(406,567</w:t>
            </w:r>
          </w:p>
        </w:tc>
        <w:tc>
          <w:tcPr>
            <w:tcW w:w="95" w:type="dxa"/>
            <w:tcBorders/>
            <w:shd w:fill="CCEE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w:t>
            </w:r>
          </w:p>
        </w:tc>
        <w:tc>
          <w:tcPr>
            <w:tcW w:w="60" w:type="dxa"/>
            <w:tcBorders/>
            <w:shd w:fill="CCEEFF" w:val="clear"/>
            <w:vAlign w:val="center"/>
          </w:tcPr>
          <w:p>
            <w:pPr>
              <w:pStyle w:val="TableContents"/>
              <w:bidi w:val="0"/>
              <w:spacing w:before="0" w:after="283"/>
              <w:jc w:val="left"/>
              <w:rPr/>
            </w:pPr>
            <w:r>
              <w:rPr/>
              <w:t> </w:t>
            </w:r>
          </w:p>
        </w:tc>
        <w:tc>
          <w:tcPr>
            <w:tcW w:w="433" w:type="dxa"/>
            <w:tcBorders>
              <w:bottom w:val="double" w:sz="10"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w:t>
            </w:r>
          </w:p>
        </w:tc>
        <w:tc>
          <w:tcPr>
            <w:tcW w:w="1177" w:type="dxa"/>
            <w:tcBorders>
              <w:bottom w:val="double" w:sz="10"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165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2" w:type="dxa"/>
            <w:tcBorders>
              <w:bottom w:val="double" w:sz="10"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w:t>
            </w:r>
          </w:p>
        </w:tc>
        <w:tc>
          <w:tcPr>
            <w:tcW w:w="1149" w:type="dxa"/>
            <w:tcBorders>
              <w:bottom w:val="double" w:sz="10"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(92,141</w:t>
            </w:r>
          </w:p>
        </w:tc>
        <w:tc>
          <w:tcPr>
            <w:tcW w:w="111" w:type="dxa"/>
            <w:tcBorders/>
            <w:shd w:fill="CCEE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The accompanying notes are an integral part of these unaudited condensed consolidated financial statements.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center"/>
        <w:rPr>
          <w:sz w:val="20"/>
          <w:bdr w:val="single" w:sz="12" w:space="1" w:color="000000"/>
        </w:rPr>
      </w:pPr>
      <w:r>
        <w:rPr>
          <w:sz w:val="20"/>
          <w:bdr w:val="single" w:sz="12" w:space="1" w:color="000000"/>
        </w:rPr>
        <w:t>F-6</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25" w:name="q_004"/>
      <w:bookmarkEnd w:id="25"/>
      <w:r>
        <w:rPr>
          <w:rFonts w:ascii="Times New Roman;Times;Serif" w:hAnsi="Times New Roman;Times;Serif"/>
          <w:b/>
          <w:i w:val="false"/>
          <w:caps w:val="false"/>
          <w:smallCaps w:val="false"/>
          <w:sz w:val="20"/>
        </w:rPr>
        <w:t xml:space="preserve">SUNPOWER INC.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Unaudited Condensed Consolidated Statements of Cash Flows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r>
        <w:rPr>
          <w:rFonts w:ascii="Times New Roman;Times;Serif" w:hAnsi="Times New Roman;Times;Serif"/>
          <w:b/>
          <w:i/>
          <w:caps w:val="false"/>
          <w:smallCaps w:val="false"/>
          <w:sz w:val="20"/>
        </w:rPr>
        <w:t>in thousands except number of shares</w:t>
      </w:r>
      <w:r>
        <w:rPr>
          <w:rFonts w:ascii="Times New Roman;Times;Serif" w:hAnsi="Times New Roman;Times;Serif"/>
          <w:b/>
          <w:i w:val="false"/>
          <w:caps w:val="false"/>
          <w:smallCaps w:val="false"/>
          <w:sz w:val="20"/>
        </w:rPr>
        <w:t>)</w:t>
      </w:r>
    </w:p>
    <w:p>
      <w:pPr>
        <w:pStyle w:val="TextBody"/>
        <w:bidi w:val="0"/>
        <w:spacing w:before="0" w:after="0"/>
        <w:ind w:left="0" w:right="0" w:hanging="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690"/>
        <w:gridCol w:w="60"/>
        <w:gridCol w:w="165"/>
        <w:gridCol w:w="897"/>
        <w:gridCol w:w="113"/>
        <w:gridCol w:w="71"/>
        <w:gridCol w:w="170"/>
        <w:gridCol w:w="925"/>
        <w:gridCol w:w="114"/>
      </w:tblGrid>
      <w:tr>
        <w:trPr/>
        <w:tc>
          <w:tcPr>
            <w:tcW w:w="769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2341"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Thirteen Weeks Ended</w:t>
            </w:r>
          </w:p>
        </w:tc>
        <w:tc>
          <w:tcPr>
            <w:tcW w:w="114" w:type="dxa"/>
            <w:tcBorders/>
            <w:vAlign w:val="center"/>
          </w:tcPr>
          <w:p>
            <w:pPr>
              <w:pStyle w:val="TableContents"/>
              <w:bidi w:val="0"/>
              <w:spacing w:before="0" w:after="283"/>
              <w:jc w:val="left"/>
              <w:rPr/>
            </w:pPr>
            <w:r>
              <w:rPr/>
              <w:t> </w:t>
            </w:r>
          </w:p>
        </w:tc>
      </w:tr>
      <w:tr>
        <w:trPr/>
        <w:tc>
          <w:tcPr>
            <w:tcW w:w="769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062"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March 29,</w:t>
              <w:br/>
              <w:t>2026</w:t>
            </w:r>
          </w:p>
        </w:tc>
        <w:tc>
          <w:tcPr>
            <w:tcW w:w="113" w:type="dxa"/>
            <w:tcBorders/>
            <w:vAlign w:val="center"/>
          </w:tcPr>
          <w:p>
            <w:pPr>
              <w:pStyle w:val="TableContents"/>
              <w:bidi w:val="0"/>
              <w:spacing w:before="0" w:after="283"/>
              <w:jc w:val="left"/>
              <w:rPr/>
            </w:pPr>
            <w:r>
              <w:rPr/>
              <w:t> </w:t>
            </w:r>
          </w:p>
        </w:tc>
        <w:tc>
          <w:tcPr>
            <w:tcW w:w="71" w:type="dxa"/>
            <w:tcBorders/>
            <w:vAlign w:val="center"/>
          </w:tcPr>
          <w:p>
            <w:pPr>
              <w:pStyle w:val="TableContents"/>
              <w:bidi w:val="0"/>
              <w:spacing w:before="0" w:after="283"/>
              <w:jc w:val="left"/>
              <w:rPr/>
            </w:pPr>
            <w:r>
              <w:rPr/>
              <w:t> </w:t>
            </w:r>
          </w:p>
        </w:tc>
        <w:tc>
          <w:tcPr>
            <w:tcW w:w="109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 xml:space="preserve">March 30, </w:t>
              <w:br/>
              <w:t>2025</w:t>
            </w:r>
          </w:p>
        </w:tc>
        <w:tc>
          <w:tcPr>
            <w:tcW w:w="114" w:type="dxa"/>
            <w:tcBorders/>
            <w:vAlign w:val="center"/>
          </w:tcPr>
          <w:p>
            <w:pPr>
              <w:pStyle w:val="TableContents"/>
              <w:bidi w:val="0"/>
              <w:spacing w:before="0" w:after="283"/>
              <w:jc w:val="left"/>
              <w:rPr/>
            </w:pPr>
            <w:r>
              <w:rPr/>
              <w:t> </w:t>
            </w:r>
          </w:p>
        </w:tc>
      </w:tr>
      <w:tr>
        <w:trPr/>
        <w:tc>
          <w:tcPr>
            <w:tcW w:w="7690" w:type="dxa"/>
            <w:tcBorders/>
            <w:vAlign w:val="center"/>
          </w:tcPr>
          <w:p>
            <w:pPr>
              <w:pStyle w:val="TableContents"/>
              <w:bidi w:val="0"/>
              <w:spacing w:before="0" w:after="283"/>
              <w:jc w:val="left"/>
              <w:rPr>
                <w:b/>
              </w:rPr>
            </w:pPr>
            <w:r>
              <w:rPr>
                <w:b/>
              </w:rPr>
              <w:t>Cash flows from operating activities</w:t>
            </w:r>
          </w:p>
        </w:tc>
        <w:tc>
          <w:tcPr>
            <w:tcW w:w="60" w:type="dxa"/>
            <w:tcBorders/>
            <w:vAlign w:val="center"/>
          </w:tcPr>
          <w:p>
            <w:pPr>
              <w:pStyle w:val="TableContents"/>
              <w:bidi w:val="0"/>
              <w:spacing w:before="0" w:after="283"/>
              <w:jc w:val="left"/>
              <w:rPr/>
            </w:pPr>
            <w:r>
              <w:rPr/>
              <w:t> </w:t>
            </w:r>
          </w:p>
        </w:tc>
        <w:tc>
          <w:tcPr>
            <w:tcW w:w="1062" w:type="dxa"/>
            <w:gridSpan w:val="2"/>
            <w:tcBorders/>
            <w:vAlign w:val="center"/>
          </w:tcPr>
          <w:p>
            <w:pPr>
              <w:pStyle w:val="TableContents"/>
              <w:bidi w:val="0"/>
              <w:spacing w:before="0" w:after="283"/>
              <w:jc w:val="left"/>
              <w:rPr/>
            </w:pPr>
            <w:r>
              <w:rPr/>
              <w:t> </w:t>
            </w:r>
          </w:p>
        </w:tc>
        <w:tc>
          <w:tcPr>
            <w:tcW w:w="113" w:type="dxa"/>
            <w:tcBorders/>
            <w:vAlign w:val="center"/>
          </w:tcPr>
          <w:p>
            <w:pPr>
              <w:pStyle w:val="TableContents"/>
              <w:bidi w:val="0"/>
              <w:spacing w:before="0" w:after="283"/>
              <w:jc w:val="left"/>
              <w:rPr/>
            </w:pPr>
            <w:r>
              <w:rPr/>
              <w:t> </w:t>
            </w:r>
          </w:p>
        </w:tc>
        <w:tc>
          <w:tcPr>
            <w:tcW w:w="71" w:type="dxa"/>
            <w:tcBorders/>
            <w:vAlign w:val="center"/>
          </w:tcPr>
          <w:p>
            <w:pPr>
              <w:pStyle w:val="TableContents"/>
              <w:bidi w:val="0"/>
              <w:spacing w:before="0" w:after="283"/>
              <w:jc w:val="left"/>
              <w:rPr/>
            </w:pPr>
            <w:r>
              <w:rPr/>
              <w:t> </w:t>
            </w:r>
          </w:p>
        </w:tc>
        <w:tc>
          <w:tcPr>
            <w:tcW w:w="1095" w:type="dxa"/>
            <w:gridSpan w:val="2"/>
            <w:tcBorders/>
            <w:vAlign w:val="center"/>
          </w:tcPr>
          <w:p>
            <w:pPr>
              <w:pStyle w:val="TableContents"/>
              <w:bidi w:val="0"/>
              <w:spacing w:before="0" w:after="283"/>
              <w:jc w:val="left"/>
              <w:rPr/>
            </w:pPr>
            <w:r>
              <w:rPr/>
              <w:t> </w:t>
            </w:r>
          </w:p>
        </w:tc>
        <w:tc>
          <w:tcPr>
            <w:tcW w:w="114" w:type="dxa"/>
            <w:tcBorders/>
            <w:vAlign w:val="center"/>
          </w:tcPr>
          <w:p>
            <w:pPr>
              <w:pStyle w:val="TableContents"/>
              <w:bidi w:val="0"/>
              <w:spacing w:before="0" w:after="283"/>
              <w:jc w:val="left"/>
              <w:rPr/>
            </w:pPr>
            <w:r>
              <w:rPr/>
              <w:t> </w:t>
            </w:r>
          </w:p>
        </w:tc>
      </w:tr>
      <w:tr>
        <w:trPr/>
        <w:tc>
          <w:tcPr>
            <w:tcW w:w="7690" w:type="dxa"/>
            <w:tcBorders/>
            <w:shd w:fill="CCEEFF" w:val="clear"/>
            <w:vAlign w:val="center"/>
          </w:tcPr>
          <w:p>
            <w:pPr>
              <w:pStyle w:val="TableContents"/>
              <w:bidi w:val="0"/>
              <w:spacing w:before="0" w:after="283"/>
              <w:jc w:val="left"/>
              <w:rPr/>
            </w:pPr>
            <w:r>
              <w:rPr/>
              <w:t>Net income</w:t>
            </w:r>
          </w:p>
        </w:tc>
        <w:tc>
          <w:tcPr>
            <w:tcW w:w="60" w:type="dxa"/>
            <w:tcBorders/>
            <w:shd w:fill="CCEEFF" w:val="clear"/>
            <w:vAlign w:val="center"/>
          </w:tcPr>
          <w:p>
            <w:pPr>
              <w:pStyle w:val="TableContents"/>
              <w:bidi w:val="0"/>
              <w:spacing w:before="0" w:after="283"/>
              <w:jc w:val="left"/>
              <w:rPr/>
            </w:pPr>
            <w:r>
              <w:rPr/>
              <w:t> </w:t>
            </w:r>
          </w:p>
        </w:tc>
        <w:tc>
          <w:tcPr>
            <w:tcW w:w="165" w:type="dxa"/>
            <w:tcBorders/>
            <w:shd w:fill="CCEEFF" w:val="clear"/>
            <w:vAlign w:val="center"/>
          </w:tcPr>
          <w:p>
            <w:pPr>
              <w:pStyle w:val="TableContents"/>
              <w:bidi w:val="0"/>
              <w:spacing w:before="0" w:after="283"/>
              <w:jc w:val="left"/>
              <w:rPr/>
            </w:pPr>
            <w:r>
              <w:rPr/>
              <w:t>$</w:t>
            </w:r>
          </w:p>
        </w:tc>
        <w:tc>
          <w:tcPr>
            <w:tcW w:w="897" w:type="dxa"/>
            <w:tcBorders/>
            <w:shd w:fill="CCEEFF" w:val="clear"/>
            <w:vAlign w:val="center"/>
          </w:tcPr>
          <w:p>
            <w:pPr>
              <w:pStyle w:val="TableContents"/>
              <w:bidi w:val="0"/>
              <w:spacing w:before="0" w:after="283"/>
              <w:jc w:val="right"/>
              <w:rPr/>
            </w:pPr>
            <w:r>
              <w:rPr/>
              <w:t>5,250</w:t>
            </w:r>
          </w:p>
        </w:tc>
        <w:tc>
          <w:tcPr>
            <w:tcW w:w="113" w:type="dxa"/>
            <w:tcBorders/>
            <w:shd w:fill="CCEEFF" w:val="clear"/>
            <w:vAlign w:val="center"/>
          </w:tcPr>
          <w:p>
            <w:pPr>
              <w:pStyle w:val="TableContents"/>
              <w:bidi w:val="0"/>
              <w:spacing w:before="0" w:after="283"/>
              <w:jc w:val="left"/>
              <w:rPr/>
            </w:pPr>
            <w:r>
              <w:rPr/>
              <w:t> </w:t>
            </w:r>
          </w:p>
        </w:tc>
        <w:tc>
          <w:tcPr>
            <w:tcW w:w="71"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925" w:type="dxa"/>
            <w:tcBorders/>
            <w:shd w:fill="CCEEFF" w:val="clear"/>
            <w:vAlign w:val="center"/>
          </w:tcPr>
          <w:p>
            <w:pPr>
              <w:pStyle w:val="TableContents"/>
              <w:bidi w:val="0"/>
              <w:spacing w:before="0" w:after="283"/>
              <w:jc w:val="right"/>
              <w:rPr/>
            </w:pPr>
            <w:r>
              <w:rPr/>
              <w:t>4,812</w:t>
            </w:r>
          </w:p>
        </w:tc>
        <w:tc>
          <w:tcPr>
            <w:tcW w:w="114" w:type="dxa"/>
            <w:tcBorders/>
            <w:shd w:fill="CCEEFF" w:val="clear"/>
            <w:vAlign w:val="center"/>
          </w:tcPr>
          <w:p>
            <w:pPr>
              <w:pStyle w:val="TableContents"/>
              <w:bidi w:val="0"/>
              <w:spacing w:before="0" w:after="283"/>
              <w:jc w:val="left"/>
              <w:rPr/>
            </w:pPr>
            <w:r>
              <w:rPr/>
              <w:t> </w:t>
            </w:r>
          </w:p>
        </w:tc>
      </w:tr>
      <w:tr>
        <w:trPr/>
        <w:tc>
          <w:tcPr>
            <w:tcW w:w="7690" w:type="dxa"/>
            <w:tcBorders/>
            <w:shd w:fill="FFFFFF" w:val="clear"/>
            <w:vAlign w:val="center"/>
          </w:tcPr>
          <w:p>
            <w:pPr>
              <w:pStyle w:val="TableContents"/>
              <w:bidi w:val="0"/>
              <w:spacing w:before="0" w:after="283"/>
              <w:jc w:val="left"/>
              <w:rPr/>
            </w:pPr>
            <w:r>
              <w:rPr/>
              <w:t>Adjustments to reconcile net income from operations to net cash used in operating activities:</w:t>
            </w:r>
          </w:p>
        </w:tc>
        <w:tc>
          <w:tcPr>
            <w:tcW w:w="60" w:type="dxa"/>
            <w:tcBorders/>
            <w:shd w:fill="FFFFFF" w:val="clear"/>
            <w:vAlign w:val="center"/>
          </w:tcPr>
          <w:p>
            <w:pPr>
              <w:pStyle w:val="TableContents"/>
              <w:bidi w:val="0"/>
              <w:spacing w:before="0" w:after="283"/>
              <w:jc w:val="left"/>
              <w:rPr/>
            </w:pPr>
            <w:r>
              <w:rPr/>
              <w:t> </w:t>
            </w:r>
          </w:p>
        </w:tc>
        <w:tc>
          <w:tcPr>
            <w:tcW w:w="165" w:type="dxa"/>
            <w:tcBorders/>
            <w:shd w:fill="FFFFFF" w:val="clear"/>
            <w:vAlign w:val="center"/>
          </w:tcPr>
          <w:p>
            <w:pPr>
              <w:pStyle w:val="TableContents"/>
              <w:bidi w:val="0"/>
              <w:spacing w:before="0" w:after="283"/>
              <w:jc w:val="left"/>
              <w:rPr/>
            </w:pPr>
            <w:r>
              <w:rPr/>
              <w:t> </w:t>
            </w:r>
          </w:p>
        </w:tc>
        <w:tc>
          <w:tcPr>
            <w:tcW w:w="897" w:type="dxa"/>
            <w:tcBorders/>
            <w:shd w:fill="FFFFFF" w:val="clear"/>
            <w:vAlign w:val="center"/>
          </w:tcPr>
          <w:p>
            <w:pPr>
              <w:pStyle w:val="TableContents"/>
              <w:bidi w:val="0"/>
              <w:spacing w:before="0" w:after="283"/>
              <w:jc w:val="right"/>
              <w:rPr/>
            </w:pPr>
            <w:r>
              <w:rPr/>
              <w:t> </w:t>
            </w:r>
          </w:p>
        </w:tc>
        <w:tc>
          <w:tcPr>
            <w:tcW w:w="113" w:type="dxa"/>
            <w:tcBorders/>
            <w:shd w:fill="FFFFFF" w:val="clear"/>
            <w:vAlign w:val="center"/>
          </w:tcPr>
          <w:p>
            <w:pPr>
              <w:pStyle w:val="TableContents"/>
              <w:bidi w:val="0"/>
              <w:spacing w:before="0" w:after="283"/>
              <w:jc w:val="left"/>
              <w:rPr/>
            </w:pPr>
            <w:r>
              <w:rPr/>
              <w:t> </w:t>
            </w:r>
          </w:p>
        </w:tc>
        <w:tc>
          <w:tcPr>
            <w:tcW w:w="71"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925" w:type="dxa"/>
            <w:tcBorders/>
            <w:shd w:fill="FFFFFF" w:val="clear"/>
            <w:vAlign w:val="center"/>
          </w:tcPr>
          <w:p>
            <w:pPr>
              <w:pStyle w:val="TableContents"/>
              <w:bidi w:val="0"/>
              <w:spacing w:before="0" w:after="283"/>
              <w:jc w:val="right"/>
              <w:rPr/>
            </w:pPr>
            <w:r>
              <w:rPr/>
              <w:t> </w:t>
            </w:r>
          </w:p>
        </w:tc>
        <w:tc>
          <w:tcPr>
            <w:tcW w:w="114" w:type="dxa"/>
            <w:tcBorders/>
            <w:shd w:fill="FFFFFF" w:val="clear"/>
            <w:vAlign w:val="center"/>
          </w:tcPr>
          <w:p>
            <w:pPr>
              <w:pStyle w:val="TableContents"/>
              <w:bidi w:val="0"/>
              <w:spacing w:before="0" w:after="283"/>
              <w:jc w:val="left"/>
              <w:rPr/>
            </w:pPr>
            <w:r>
              <w:rPr/>
              <w:t> </w:t>
            </w:r>
          </w:p>
        </w:tc>
      </w:tr>
      <w:tr>
        <w:trPr/>
        <w:tc>
          <w:tcPr>
            <w:tcW w:w="7690" w:type="dxa"/>
            <w:tcBorders/>
            <w:shd w:fill="CCEEFF" w:val="clear"/>
            <w:vAlign w:val="center"/>
          </w:tcPr>
          <w:p>
            <w:pPr>
              <w:pStyle w:val="TableContents"/>
              <w:bidi w:val="0"/>
              <w:spacing w:before="0" w:after="283"/>
              <w:jc w:val="left"/>
              <w:rPr/>
            </w:pPr>
            <w:r>
              <w:rPr/>
              <w:t>Stock-based compensation expense</w:t>
            </w:r>
          </w:p>
        </w:tc>
        <w:tc>
          <w:tcPr>
            <w:tcW w:w="60" w:type="dxa"/>
            <w:tcBorders/>
            <w:shd w:fill="CCEEFF" w:val="clear"/>
            <w:vAlign w:val="center"/>
          </w:tcPr>
          <w:p>
            <w:pPr>
              <w:pStyle w:val="TableContents"/>
              <w:bidi w:val="0"/>
              <w:spacing w:before="0" w:after="283"/>
              <w:jc w:val="left"/>
              <w:rPr/>
            </w:pPr>
            <w:r>
              <w:rPr/>
              <w:t> </w:t>
            </w:r>
          </w:p>
        </w:tc>
        <w:tc>
          <w:tcPr>
            <w:tcW w:w="165" w:type="dxa"/>
            <w:tcBorders/>
            <w:shd w:fill="CCEEFF" w:val="clear"/>
            <w:vAlign w:val="center"/>
          </w:tcPr>
          <w:p>
            <w:pPr>
              <w:pStyle w:val="TableContents"/>
              <w:bidi w:val="0"/>
              <w:spacing w:before="0" w:after="283"/>
              <w:jc w:val="left"/>
              <w:rPr/>
            </w:pPr>
            <w:r>
              <w:rPr/>
              <w:t> </w:t>
            </w:r>
          </w:p>
        </w:tc>
        <w:tc>
          <w:tcPr>
            <w:tcW w:w="897" w:type="dxa"/>
            <w:tcBorders/>
            <w:shd w:fill="CCEEFF" w:val="clear"/>
            <w:vAlign w:val="center"/>
          </w:tcPr>
          <w:p>
            <w:pPr>
              <w:pStyle w:val="TableContents"/>
              <w:bidi w:val="0"/>
              <w:spacing w:before="0" w:after="283"/>
              <w:jc w:val="right"/>
              <w:rPr/>
            </w:pPr>
            <w:r>
              <w:rPr/>
              <w:t>1,605</w:t>
            </w:r>
          </w:p>
        </w:tc>
        <w:tc>
          <w:tcPr>
            <w:tcW w:w="113" w:type="dxa"/>
            <w:tcBorders/>
            <w:shd w:fill="CCEEFF" w:val="clear"/>
            <w:vAlign w:val="center"/>
          </w:tcPr>
          <w:p>
            <w:pPr>
              <w:pStyle w:val="TableContents"/>
              <w:bidi w:val="0"/>
              <w:spacing w:before="0" w:after="283"/>
              <w:jc w:val="left"/>
              <w:rPr/>
            </w:pPr>
            <w:r>
              <w:rPr/>
              <w:t> </w:t>
            </w:r>
          </w:p>
        </w:tc>
        <w:tc>
          <w:tcPr>
            <w:tcW w:w="71"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925" w:type="dxa"/>
            <w:tcBorders/>
            <w:shd w:fill="CCEEFF" w:val="clear"/>
            <w:vAlign w:val="center"/>
          </w:tcPr>
          <w:p>
            <w:pPr>
              <w:pStyle w:val="TableContents"/>
              <w:bidi w:val="0"/>
              <w:spacing w:before="0" w:after="283"/>
              <w:jc w:val="right"/>
              <w:rPr/>
            </w:pPr>
            <w:r>
              <w:rPr/>
              <w:t>469</w:t>
            </w:r>
          </w:p>
        </w:tc>
        <w:tc>
          <w:tcPr>
            <w:tcW w:w="114" w:type="dxa"/>
            <w:tcBorders/>
            <w:shd w:fill="CCEEFF" w:val="clear"/>
            <w:vAlign w:val="center"/>
          </w:tcPr>
          <w:p>
            <w:pPr>
              <w:pStyle w:val="TableContents"/>
              <w:bidi w:val="0"/>
              <w:spacing w:before="0" w:after="283"/>
              <w:jc w:val="left"/>
              <w:rPr/>
            </w:pPr>
            <w:r>
              <w:rPr/>
              <w:t> </w:t>
            </w:r>
          </w:p>
        </w:tc>
      </w:tr>
      <w:tr>
        <w:trPr/>
        <w:tc>
          <w:tcPr>
            <w:tcW w:w="7690" w:type="dxa"/>
            <w:tcBorders/>
            <w:shd w:fill="FFFFFF" w:val="clear"/>
            <w:vAlign w:val="center"/>
          </w:tcPr>
          <w:p>
            <w:pPr>
              <w:pStyle w:val="TableContents"/>
              <w:bidi w:val="0"/>
              <w:spacing w:before="0" w:after="283"/>
              <w:jc w:val="left"/>
              <w:rPr/>
            </w:pPr>
            <w:r>
              <w:rPr/>
              <w:t>Non-cash lease expense</w:t>
            </w:r>
          </w:p>
        </w:tc>
        <w:tc>
          <w:tcPr>
            <w:tcW w:w="60" w:type="dxa"/>
            <w:tcBorders/>
            <w:shd w:fill="FFFFFF" w:val="clear"/>
            <w:vAlign w:val="center"/>
          </w:tcPr>
          <w:p>
            <w:pPr>
              <w:pStyle w:val="TableContents"/>
              <w:bidi w:val="0"/>
              <w:spacing w:before="0" w:after="283"/>
              <w:jc w:val="left"/>
              <w:rPr/>
            </w:pPr>
            <w:r>
              <w:rPr/>
              <w:t> </w:t>
            </w:r>
          </w:p>
        </w:tc>
        <w:tc>
          <w:tcPr>
            <w:tcW w:w="165" w:type="dxa"/>
            <w:tcBorders/>
            <w:shd w:fill="FFFFFF" w:val="clear"/>
            <w:vAlign w:val="center"/>
          </w:tcPr>
          <w:p>
            <w:pPr>
              <w:pStyle w:val="TableContents"/>
              <w:bidi w:val="0"/>
              <w:spacing w:before="0" w:after="283"/>
              <w:jc w:val="left"/>
              <w:rPr/>
            </w:pPr>
            <w:r>
              <w:rPr/>
              <w:t> </w:t>
            </w:r>
          </w:p>
        </w:tc>
        <w:tc>
          <w:tcPr>
            <w:tcW w:w="897" w:type="dxa"/>
            <w:tcBorders/>
            <w:shd w:fill="FFFFFF" w:val="clear"/>
            <w:vAlign w:val="center"/>
          </w:tcPr>
          <w:p>
            <w:pPr>
              <w:pStyle w:val="TableContents"/>
              <w:bidi w:val="0"/>
              <w:spacing w:before="0" w:after="283"/>
              <w:jc w:val="right"/>
              <w:rPr/>
            </w:pPr>
            <w:r>
              <w:rPr/>
              <w:t>504</w:t>
            </w:r>
          </w:p>
        </w:tc>
        <w:tc>
          <w:tcPr>
            <w:tcW w:w="113" w:type="dxa"/>
            <w:tcBorders/>
            <w:shd w:fill="FFFFFF" w:val="clear"/>
            <w:vAlign w:val="center"/>
          </w:tcPr>
          <w:p>
            <w:pPr>
              <w:pStyle w:val="TableContents"/>
              <w:bidi w:val="0"/>
              <w:spacing w:before="0" w:after="283"/>
              <w:jc w:val="left"/>
              <w:rPr/>
            </w:pPr>
            <w:r>
              <w:rPr/>
              <w:t> </w:t>
            </w:r>
          </w:p>
        </w:tc>
        <w:tc>
          <w:tcPr>
            <w:tcW w:w="71"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925" w:type="dxa"/>
            <w:tcBorders/>
            <w:shd w:fill="FFFFFF" w:val="clear"/>
            <w:vAlign w:val="center"/>
          </w:tcPr>
          <w:p>
            <w:pPr>
              <w:pStyle w:val="TableContents"/>
              <w:bidi w:val="0"/>
              <w:spacing w:before="0" w:after="283"/>
              <w:jc w:val="right"/>
              <w:rPr/>
            </w:pPr>
            <w:r>
              <w:rPr/>
              <w:t>288</w:t>
            </w:r>
          </w:p>
        </w:tc>
        <w:tc>
          <w:tcPr>
            <w:tcW w:w="114" w:type="dxa"/>
            <w:tcBorders/>
            <w:shd w:fill="FFFFFF" w:val="clear"/>
            <w:vAlign w:val="center"/>
          </w:tcPr>
          <w:p>
            <w:pPr>
              <w:pStyle w:val="TableContents"/>
              <w:bidi w:val="0"/>
              <w:spacing w:before="0" w:after="283"/>
              <w:jc w:val="left"/>
              <w:rPr/>
            </w:pPr>
            <w:r>
              <w:rPr/>
              <w:t> </w:t>
            </w:r>
          </w:p>
        </w:tc>
      </w:tr>
      <w:tr>
        <w:trPr/>
        <w:tc>
          <w:tcPr>
            <w:tcW w:w="7690" w:type="dxa"/>
            <w:tcBorders/>
            <w:shd w:fill="CCEEFF" w:val="clear"/>
            <w:vAlign w:val="center"/>
          </w:tcPr>
          <w:p>
            <w:pPr>
              <w:pStyle w:val="TableContents"/>
              <w:bidi w:val="0"/>
              <w:spacing w:before="0" w:after="283"/>
              <w:jc w:val="left"/>
              <w:rPr/>
            </w:pPr>
            <w:r>
              <w:rPr/>
              <w:t>Deferred income tax benefit</w:t>
            </w:r>
          </w:p>
        </w:tc>
        <w:tc>
          <w:tcPr>
            <w:tcW w:w="60" w:type="dxa"/>
            <w:tcBorders/>
            <w:shd w:fill="CCEEFF" w:val="clear"/>
            <w:vAlign w:val="center"/>
          </w:tcPr>
          <w:p>
            <w:pPr>
              <w:pStyle w:val="TableContents"/>
              <w:bidi w:val="0"/>
              <w:spacing w:before="0" w:after="283"/>
              <w:jc w:val="left"/>
              <w:rPr/>
            </w:pPr>
            <w:r>
              <w:rPr/>
              <w:t> </w:t>
            </w:r>
          </w:p>
        </w:tc>
        <w:tc>
          <w:tcPr>
            <w:tcW w:w="165" w:type="dxa"/>
            <w:tcBorders/>
            <w:shd w:fill="CCEEFF" w:val="clear"/>
            <w:vAlign w:val="center"/>
          </w:tcPr>
          <w:p>
            <w:pPr>
              <w:pStyle w:val="TableContents"/>
              <w:bidi w:val="0"/>
              <w:spacing w:before="0" w:after="283"/>
              <w:jc w:val="left"/>
              <w:rPr/>
            </w:pPr>
            <w:r>
              <w:rPr/>
              <w:t> </w:t>
            </w:r>
          </w:p>
        </w:tc>
        <w:tc>
          <w:tcPr>
            <w:tcW w:w="897" w:type="dxa"/>
            <w:tcBorders/>
            <w:shd w:fill="CCEEFF" w:val="clear"/>
            <w:vAlign w:val="center"/>
          </w:tcPr>
          <w:p>
            <w:pPr>
              <w:pStyle w:val="TableContents"/>
              <w:bidi w:val="0"/>
              <w:spacing w:before="0" w:after="283"/>
              <w:jc w:val="right"/>
              <w:rPr/>
            </w:pPr>
            <w:r>
              <w:rPr/>
              <w:t>(608</w:t>
            </w:r>
          </w:p>
        </w:tc>
        <w:tc>
          <w:tcPr>
            <w:tcW w:w="113" w:type="dxa"/>
            <w:tcBorders/>
            <w:shd w:fill="CCEEFF" w:val="clear"/>
            <w:vAlign w:val="center"/>
          </w:tcPr>
          <w:p>
            <w:pPr>
              <w:pStyle w:val="TableContents"/>
              <w:bidi w:val="0"/>
              <w:spacing w:before="0" w:after="283"/>
              <w:jc w:val="left"/>
              <w:rPr/>
            </w:pPr>
            <w:r>
              <w:rPr/>
              <w:t>)</w:t>
            </w:r>
          </w:p>
        </w:tc>
        <w:tc>
          <w:tcPr>
            <w:tcW w:w="71"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925" w:type="dxa"/>
            <w:tcBorders/>
            <w:shd w:fill="CCEEFF" w:val="clear"/>
            <w:vAlign w:val="center"/>
          </w:tcPr>
          <w:p>
            <w:pPr>
              <w:pStyle w:val="TableContents"/>
              <w:bidi w:val="0"/>
              <w:spacing w:before="0" w:after="283"/>
              <w:jc w:val="right"/>
              <w:rPr/>
            </w:pPr>
            <w:r>
              <w:rPr/>
              <w:t>—</w:t>
            </w:r>
          </w:p>
        </w:tc>
        <w:tc>
          <w:tcPr>
            <w:tcW w:w="114" w:type="dxa"/>
            <w:tcBorders/>
            <w:shd w:fill="CCEEFF" w:val="clear"/>
            <w:vAlign w:val="center"/>
          </w:tcPr>
          <w:p>
            <w:pPr>
              <w:pStyle w:val="TableContents"/>
              <w:bidi w:val="0"/>
              <w:spacing w:before="0" w:after="283"/>
              <w:jc w:val="left"/>
              <w:rPr/>
            </w:pPr>
            <w:r>
              <w:rPr/>
              <w:t> </w:t>
            </w:r>
          </w:p>
        </w:tc>
      </w:tr>
      <w:tr>
        <w:trPr/>
        <w:tc>
          <w:tcPr>
            <w:tcW w:w="7690" w:type="dxa"/>
            <w:tcBorders/>
            <w:shd w:fill="FFFFFF" w:val="clear"/>
            <w:vAlign w:val="center"/>
          </w:tcPr>
          <w:p>
            <w:pPr>
              <w:pStyle w:val="TableContents"/>
              <w:bidi w:val="0"/>
              <w:spacing w:before="0" w:after="283"/>
              <w:jc w:val="left"/>
              <w:rPr/>
            </w:pPr>
            <w:r>
              <w:rPr/>
              <w:t>Depreciation and amortization</w:t>
            </w:r>
          </w:p>
        </w:tc>
        <w:tc>
          <w:tcPr>
            <w:tcW w:w="60" w:type="dxa"/>
            <w:tcBorders/>
            <w:shd w:fill="FFFFFF" w:val="clear"/>
            <w:vAlign w:val="center"/>
          </w:tcPr>
          <w:p>
            <w:pPr>
              <w:pStyle w:val="TableContents"/>
              <w:bidi w:val="0"/>
              <w:spacing w:before="0" w:after="283"/>
              <w:jc w:val="left"/>
              <w:rPr/>
            </w:pPr>
            <w:r>
              <w:rPr/>
              <w:t> </w:t>
            </w:r>
          </w:p>
        </w:tc>
        <w:tc>
          <w:tcPr>
            <w:tcW w:w="165" w:type="dxa"/>
            <w:tcBorders/>
            <w:shd w:fill="FFFFFF" w:val="clear"/>
            <w:vAlign w:val="center"/>
          </w:tcPr>
          <w:p>
            <w:pPr>
              <w:pStyle w:val="TableContents"/>
              <w:bidi w:val="0"/>
              <w:spacing w:before="0" w:after="283"/>
              <w:jc w:val="left"/>
              <w:rPr/>
            </w:pPr>
            <w:r>
              <w:rPr/>
              <w:t> </w:t>
            </w:r>
          </w:p>
        </w:tc>
        <w:tc>
          <w:tcPr>
            <w:tcW w:w="897" w:type="dxa"/>
            <w:tcBorders/>
            <w:shd w:fill="FFFFFF" w:val="clear"/>
            <w:vAlign w:val="center"/>
          </w:tcPr>
          <w:p>
            <w:pPr>
              <w:pStyle w:val="TableContents"/>
              <w:bidi w:val="0"/>
              <w:spacing w:before="0" w:after="283"/>
              <w:jc w:val="right"/>
              <w:rPr/>
            </w:pPr>
            <w:r>
              <w:rPr/>
              <w:t>3,609</w:t>
            </w:r>
          </w:p>
        </w:tc>
        <w:tc>
          <w:tcPr>
            <w:tcW w:w="113" w:type="dxa"/>
            <w:tcBorders/>
            <w:shd w:fill="FFFFFF" w:val="clear"/>
            <w:vAlign w:val="center"/>
          </w:tcPr>
          <w:p>
            <w:pPr>
              <w:pStyle w:val="TableContents"/>
              <w:bidi w:val="0"/>
              <w:spacing w:before="0" w:after="283"/>
              <w:jc w:val="left"/>
              <w:rPr/>
            </w:pPr>
            <w:r>
              <w:rPr/>
              <w:t> </w:t>
            </w:r>
          </w:p>
        </w:tc>
        <w:tc>
          <w:tcPr>
            <w:tcW w:w="71"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925" w:type="dxa"/>
            <w:tcBorders/>
            <w:shd w:fill="FFFFFF" w:val="clear"/>
            <w:vAlign w:val="center"/>
          </w:tcPr>
          <w:p>
            <w:pPr>
              <w:pStyle w:val="TableContents"/>
              <w:bidi w:val="0"/>
              <w:spacing w:before="0" w:after="283"/>
              <w:jc w:val="right"/>
              <w:rPr/>
            </w:pPr>
            <w:r>
              <w:rPr/>
              <w:t>1,583</w:t>
            </w:r>
          </w:p>
        </w:tc>
        <w:tc>
          <w:tcPr>
            <w:tcW w:w="114" w:type="dxa"/>
            <w:tcBorders/>
            <w:shd w:fill="FFFFFF" w:val="clear"/>
            <w:vAlign w:val="center"/>
          </w:tcPr>
          <w:p>
            <w:pPr>
              <w:pStyle w:val="TableContents"/>
              <w:bidi w:val="0"/>
              <w:spacing w:before="0" w:after="283"/>
              <w:jc w:val="left"/>
              <w:rPr/>
            </w:pPr>
            <w:r>
              <w:rPr/>
              <w:t> </w:t>
            </w:r>
          </w:p>
        </w:tc>
      </w:tr>
      <w:tr>
        <w:trPr/>
        <w:tc>
          <w:tcPr>
            <w:tcW w:w="7690" w:type="dxa"/>
            <w:tcBorders/>
            <w:shd w:fill="CCEEFF" w:val="clear"/>
            <w:vAlign w:val="center"/>
          </w:tcPr>
          <w:p>
            <w:pPr>
              <w:pStyle w:val="TableContents"/>
              <w:bidi w:val="0"/>
              <w:spacing w:before="0" w:after="283"/>
              <w:jc w:val="left"/>
              <w:rPr/>
            </w:pPr>
            <w:r>
              <w:rPr/>
              <w:t>Provision for credit losses</w:t>
            </w:r>
          </w:p>
        </w:tc>
        <w:tc>
          <w:tcPr>
            <w:tcW w:w="60" w:type="dxa"/>
            <w:tcBorders/>
            <w:shd w:fill="CCEEFF" w:val="clear"/>
            <w:vAlign w:val="center"/>
          </w:tcPr>
          <w:p>
            <w:pPr>
              <w:pStyle w:val="TableContents"/>
              <w:bidi w:val="0"/>
              <w:spacing w:before="0" w:after="283"/>
              <w:jc w:val="left"/>
              <w:rPr/>
            </w:pPr>
            <w:r>
              <w:rPr/>
              <w:t> </w:t>
            </w:r>
          </w:p>
        </w:tc>
        <w:tc>
          <w:tcPr>
            <w:tcW w:w="165" w:type="dxa"/>
            <w:tcBorders/>
            <w:shd w:fill="CCEEFF" w:val="clear"/>
            <w:vAlign w:val="center"/>
          </w:tcPr>
          <w:p>
            <w:pPr>
              <w:pStyle w:val="TableContents"/>
              <w:bidi w:val="0"/>
              <w:spacing w:before="0" w:after="283"/>
              <w:jc w:val="left"/>
              <w:rPr/>
            </w:pPr>
            <w:r>
              <w:rPr/>
              <w:t> </w:t>
            </w:r>
          </w:p>
        </w:tc>
        <w:tc>
          <w:tcPr>
            <w:tcW w:w="897" w:type="dxa"/>
            <w:tcBorders/>
            <w:shd w:fill="CCEEFF" w:val="clear"/>
            <w:vAlign w:val="center"/>
          </w:tcPr>
          <w:p>
            <w:pPr>
              <w:pStyle w:val="TableContents"/>
              <w:bidi w:val="0"/>
              <w:spacing w:before="0" w:after="283"/>
              <w:jc w:val="right"/>
              <w:rPr/>
            </w:pPr>
            <w:r>
              <w:rPr/>
              <w:t>—</w:t>
            </w:r>
          </w:p>
        </w:tc>
        <w:tc>
          <w:tcPr>
            <w:tcW w:w="113" w:type="dxa"/>
            <w:tcBorders/>
            <w:shd w:fill="CCEEFF" w:val="clear"/>
            <w:vAlign w:val="center"/>
          </w:tcPr>
          <w:p>
            <w:pPr>
              <w:pStyle w:val="TableContents"/>
              <w:bidi w:val="0"/>
              <w:spacing w:before="0" w:after="283"/>
              <w:jc w:val="left"/>
              <w:rPr/>
            </w:pPr>
            <w:r>
              <w:rPr/>
              <w:t> </w:t>
            </w:r>
          </w:p>
        </w:tc>
        <w:tc>
          <w:tcPr>
            <w:tcW w:w="71"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925" w:type="dxa"/>
            <w:tcBorders/>
            <w:shd w:fill="CCEEFF" w:val="clear"/>
            <w:vAlign w:val="center"/>
          </w:tcPr>
          <w:p>
            <w:pPr>
              <w:pStyle w:val="TableContents"/>
              <w:bidi w:val="0"/>
              <w:spacing w:before="0" w:after="283"/>
              <w:jc w:val="right"/>
              <w:rPr/>
            </w:pPr>
            <w:r>
              <w:rPr/>
              <w:t>1,087</w:t>
            </w:r>
          </w:p>
        </w:tc>
        <w:tc>
          <w:tcPr>
            <w:tcW w:w="114" w:type="dxa"/>
            <w:tcBorders/>
            <w:shd w:fill="CCEEFF" w:val="clear"/>
            <w:vAlign w:val="center"/>
          </w:tcPr>
          <w:p>
            <w:pPr>
              <w:pStyle w:val="TableContents"/>
              <w:bidi w:val="0"/>
              <w:spacing w:before="0" w:after="283"/>
              <w:jc w:val="left"/>
              <w:rPr/>
            </w:pPr>
            <w:r>
              <w:rPr/>
              <w:t> </w:t>
            </w:r>
          </w:p>
        </w:tc>
      </w:tr>
      <w:tr>
        <w:trPr/>
        <w:tc>
          <w:tcPr>
            <w:tcW w:w="7690" w:type="dxa"/>
            <w:tcBorders/>
            <w:shd w:fill="FFFFFF" w:val="clear"/>
            <w:vAlign w:val="center"/>
          </w:tcPr>
          <w:p>
            <w:pPr>
              <w:pStyle w:val="TableContents"/>
              <w:bidi w:val="0"/>
              <w:spacing w:before="0" w:after="283"/>
              <w:jc w:val="left"/>
              <w:rPr/>
            </w:pPr>
            <w:r>
              <w:rPr/>
              <w:t>Change in fair value of SAFE Agreement – related party</w:t>
            </w:r>
          </w:p>
        </w:tc>
        <w:tc>
          <w:tcPr>
            <w:tcW w:w="60" w:type="dxa"/>
            <w:tcBorders/>
            <w:shd w:fill="FFFFFF" w:val="clear"/>
            <w:vAlign w:val="center"/>
          </w:tcPr>
          <w:p>
            <w:pPr>
              <w:pStyle w:val="TableContents"/>
              <w:bidi w:val="0"/>
              <w:spacing w:before="0" w:after="283"/>
              <w:jc w:val="left"/>
              <w:rPr/>
            </w:pPr>
            <w:r>
              <w:rPr/>
              <w:t> </w:t>
            </w:r>
          </w:p>
        </w:tc>
        <w:tc>
          <w:tcPr>
            <w:tcW w:w="165" w:type="dxa"/>
            <w:tcBorders/>
            <w:shd w:fill="FFFFFF" w:val="clear"/>
            <w:vAlign w:val="center"/>
          </w:tcPr>
          <w:p>
            <w:pPr>
              <w:pStyle w:val="TableContents"/>
              <w:bidi w:val="0"/>
              <w:spacing w:before="0" w:after="283"/>
              <w:jc w:val="left"/>
              <w:rPr/>
            </w:pPr>
            <w:r>
              <w:rPr/>
              <w:t> </w:t>
            </w:r>
          </w:p>
        </w:tc>
        <w:tc>
          <w:tcPr>
            <w:tcW w:w="897" w:type="dxa"/>
            <w:tcBorders/>
            <w:shd w:fill="FFFFFF" w:val="clear"/>
            <w:vAlign w:val="center"/>
          </w:tcPr>
          <w:p>
            <w:pPr>
              <w:pStyle w:val="TableContents"/>
              <w:bidi w:val="0"/>
              <w:spacing w:before="0" w:after="283"/>
              <w:jc w:val="right"/>
              <w:rPr/>
            </w:pPr>
            <w:r>
              <w:rPr/>
              <w:t>44</w:t>
            </w:r>
          </w:p>
        </w:tc>
        <w:tc>
          <w:tcPr>
            <w:tcW w:w="113" w:type="dxa"/>
            <w:tcBorders/>
            <w:shd w:fill="FFFFFF" w:val="clear"/>
            <w:vAlign w:val="center"/>
          </w:tcPr>
          <w:p>
            <w:pPr>
              <w:pStyle w:val="TableContents"/>
              <w:bidi w:val="0"/>
              <w:spacing w:before="0" w:after="283"/>
              <w:jc w:val="left"/>
              <w:rPr/>
            </w:pPr>
            <w:r>
              <w:rPr/>
              <w:t> </w:t>
            </w:r>
          </w:p>
        </w:tc>
        <w:tc>
          <w:tcPr>
            <w:tcW w:w="71"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925" w:type="dxa"/>
            <w:tcBorders/>
            <w:shd w:fill="FFFFFF" w:val="clear"/>
            <w:vAlign w:val="center"/>
          </w:tcPr>
          <w:p>
            <w:pPr>
              <w:pStyle w:val="TableContents"/>
              <w:bidi w:val="0"/>
              <w:spacing w:before="0" w:after="283"/>
              <w:jc w:val="right"/>
              <w:rPr/>
            </w:pPr>
            <w:r>
              <w:rPr/>
              <w:t>20</w:t>
            </w:r>
          </w:p>
        </w:tc>
        <w:tc>
          <w:tcPr>
            <w:tcW w:w="114" w:type="dxa"/>
            <w:tcBorders/>
            <w:shd w:fill="FFFFFF" w:val="clear"/>
            <w:vAlign w:val="center"/>
          </w:tcPr>
          <w:p>
            <w:pPr>
              <w:pStyle w:val="TableContents"/>
              <w:bidi w:val="0"/>
              <w:spacing w:before="0" w:after="283"/>
              <w:jc w:val="left"/>
              <w:rPr/>
            </w:pPr>
            <w:r>
              <w:rPr/>
              <w:t> </w:t>
            </w:r>
          </w:p>
        </w:tc>
      </w:tr>
      <w:tr>
        <w:trPr/>
        <w:tc>
          <w:tcPr>
            <w:tcW w:w="769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Change in fair value of forward purchase agreement liabilities </w:t>
            </w:r>
            <w:r>
              <w:rPr>
                <w:rFonts w:ascii="Times New Roman;Times;Serif" w:hAnsi="Times New Roman;Times;Serif"/>
                <w:position w:val="7"/>
                <w:sz w:val="16"/>
                <w:sz w:val="20"/>
              </w:rPr>
              <w:t>(1)</w:t>
            </w:r>
          </w:p>
        </w:tc>
        <w:tc>
          <w:tcPr>
            <w:tcW w:w="60" w:type="dxa"/>
            <w:tcBorders/>
            <w:shd w:fill="CCEEFF" w:val="clear"/>
            <w:vAlign w:val="center"/>
          </w:tcPr>
          <w:p>
            <w:pPr>
              <w:pStyle w:val="TableContents"/>
              <w:bidi w:val="0"/>
              <w:spacing w:before="0" w:after="283"/>
              <w:jc w:val="left"/>
              <w:rPr/>
            </w:pPr>
            <w:r>
              <w:rPr/>
              <w:t> </w:t>
            </w:r>
          </w:p>
        </w:tc>
        <w:tc>
          <w:tcPr>
            <w:tcW w:w="165" w:type="dxa"/>
            <w:tcBorders/>
            <w:shd w:fill="CCEEFF" w:val="clear"/>
            <w:vAlign w:val="center"/>
          </w:tcPr>
          <w:p>
            <w:pPr>
              <w:pStyle w:val="TableContents"/>
              <w:bidi w:val="0"/>
              <w:spacing w:before="0" w:after="283"/>
              <w:jc w:val="left"/>
              <w:rPr/>
            </w:pPr>
            <w:r>
              <w:rPr/>
              <w:t> </w:t>
            </w:r>
          </w:p>
        </w:tc>
        <w:tc>
          <w:tcPr>
            <w:tcW w:w="897" w:type="dxa"/>
            <w:tcBorders/>
            <w:shd w:fill="CCEEFF" w:val="clear"/>
            <w:vAlign w:val="center"/>
          </w:tcPr>
          <w:p>
            <w:pPr>
              <w:pStyle w:val="TableContents"/>
              <w:bidi w:val="0"/>
              <w:spacing w:before="0" w:after="283"/>
              <w:jc w:val="right"/>
              <w:rPr/>
            </w:pPr>
            <w:r>
              <w:rPr/>
              <w:t>1,142</w:t>
            </w:r>
          </w:p>
        </w:tc>
        <w:tc>
          <w:tcPr>
            <w:tcW w:w="113" w:type="dxa"/>
            <w:tcBorders/>
            <w:shd w:fill="CCEEFF" w:val="clear"/>
            <w:vAlign w:val="center"/>
          </w:tcPr>
          <w:p>
            <w:pPr>
              <w:pStyle w:val="TableContents"/>
              <w:bidi w:val="0"/>
              <w:spacing w:before="0" w:after="283"/>
              <w:jc w:val="left"/>
              <w:rPr/>
            </w:pPr>
            <w:r>
              <w:rPr/>
              <w:t> </w:t>
            </w:r>
          </w:p>
        </w:tc>
        <w:tc>
          <w:tcPr>
            <w:tcW w:w="71"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925" w:type="dxa"/>
            <w:tcBorders/>
            <w:shd w:fill="CCEEFF" w:val="clear"/>
            <w:vAlign w:val="center"/>
          </w:tcPr>
          <w:p>
            <w:pPr>
              <w:pStyle w:val="TableContents"/>
              <w:bidi w:val="0"/>
              <w:spacing w:before="0" w:after="283"/>
              <w:jc w:val="right"/>
              <w:rPr/>
            </w:pPr>
            <w:r>
              <w:rPr/>
              <w:t>(268</w:t>
            </w:r>
          </w:p>
        </w:tc>
        <w:tc>
          <w:tcPr>
            <w:tcW w:w="114" w:type="dxa"/>
            <w:tcBorders/>
            <w:shd w:fill="CCEEFF" w:val="clear"/>
            <w:vAlign w:val="center"/>
          </w:tcPr>
          <w:p>
            <w:pPr>
              <w:pStyle w:val="TableContents"/>
              <w:bidi w:val="0"/>
              <w:spacing w:before="0" w:after="283"/>
              <w:jc w:val="left"/>
              <w:rPr/>
            </w:pPr>
            <w:r>
              <w:rPr/>
              <w:t>)</w:t>
            </w:r>
          </w:p>
        </w:tc>
      </w:tr>
      <w:tr>
        <w:trPr/>
        <w:tc>
          <w:tcPr>
            <w:tcW w:w="769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Change in fair value of derivative liabilities </w:t>
            </w:r>
            <w:r>
              <w:rPr>
                <w:rFonts w:ascii="Times New Roman;Times;Serif" w:hAnsi="Times New Roman;Times;Serif"/>
                <w:position w:val="7"/>
                <w:sz w:val="16"/>
                <w:sz w:val="20"/>
              </w:rPr>
              <w:t>(2)</w:t>
            </w:r>
          </w:p>
        </w:tc>
        <w:tc>
          <w:tcPr>
            <w:tcW w:w="60" w:type="dxa"/>
            <w:tcBorders/>
            <w:shd w:fill="FFFFFF" w:val="clear"/>
            <w:vAlign w:val="center"/>
          </w:tcPr>
          <w:p>
            <w:pPr>
              <w:pStyle w:val="TableContents"/>
              <w:bidi w:val="0"/>
              <w:spacing w:before="0" w:after="283"/>
              <w:jc w:val="left"/>
              <w:rPr/>
            </w:pPr>
            <w:r>
              <w:rPr/>
              <w:t> </w:t>
            </w:r>
          </w:p>
        </w:tc>
        <w:tc>
          <w:tcPr>
            <w:tcW w:w="165" w:type="dxa"/>
            <w:tcBorders/>
            <w:shd w:fill="FFFFFF" w:val="clear"/>
            <w:vAlign w:val="center"/>
          </w:tcPr>
          <w:p>
            <w:pPr>
              <w:pStyle w:val="TableContents"/>
              <w:bidi w:val="0"/>
              <w:spacing w:before="0" w:after="283"/>
              <w:jc w:val="left"/>
              <w:rPr/>
            </w:pPr>
            <w:r>
              <w:rPr/>
              <w:t> </w:t>
            </w:r>
          </w:p>
        </w:tc>
        <w:tc>
          <w:tcPr>
            <w:tcW w:w="897" w:type="dxa"/>
            <w:tcBorders/>
            <w:shd w:fill="FFFFFF" w:val="clear"/>
            <w:vAlign w:val="center"/>
          </w:tcPr>
          <w:p>
            <w:pPr>
              <w:pStyle w:val="TableContents"/>
              <w:bidi w:val="0"/>
              <w:spacing w:before="0" w:after="283"/>
              <w:jc w:val="right"/>
              <w:rPr/>
            </w:pPr>
            <w:r>
              <w:rPr/>
              <w:t>(26,608</w:t>
            </w:r>
          </w:p>
        </w:tc>
        <w:tc>
          <w:tcPr>
            <w:tcW w:w="113" w:type="dxa"/>
            <w:tcBorders/>
            <w:shd w:fill="FFFFFF" w:val="clear"/>
            <w:vAlign w:val="center"/>
          </w:tcPr>
          <w:p>
            <w:pPr>
              <w:pStyle w:val="TableContents"/>
              <w:bidi w:val="0"/>
              <w:spacing w:before="0" w:after="283"/>
              <w:jc w:val="left"/>
              <w:rPr/>
            </w:pPr>
            <w:r>
              <w:rPr/>
              <w:t>)</w:t>
            </w:r>
          </w:p>
        </w:tc>
        <w:tc>
          <w:tcPr>
            <w:tcW w:w="71"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925" w:type="dxa"/>
            <w:tcBorders/>
            <w:shd w:fill="FFFFFF" w:val="clear"/>
            <w:vAlign w:val="center"/>
          </w:tcPr>
          <w:p>
            <w:pPr>
              <w:pStyle w:val="TableContents"/>
              <w:bidi w:val="0"/>
              <w:spacing w:before="0" w:after="283"/>
              <w:jc w:val="right"/>
              <w:rPr/>
            </w:pPr>
            <w:r>
              <w:rPr/>
              <w:t>(15,127</w:t>
            </w:r>
          </w:p>
        </w:tc>
        <w:tc>
          <w:tcPr>
            <w:tcW w:w="114" w:type="dxa"/>
            <w:tcBorders/>
            <w:shd w:fill="FFFFFF" w:val="clear"/>
            <w:vAlign w:val="center"/>
          </w:tcPr>
          <w:p>
            <w:pPr>
              <w:pStyle w:val="TableContents"/>
              <w:bidi w:val="0"/>
              <w:spacing w:before="0" w:after="283"/>
              <w:jc w:val="left"/>
              <w:rPr/>
            </w:pPr>
            <w:r>
              <w:rPr/>
              <w:t>)</w:t>
            </w:r>
          </w:p>
        </w:tc>
      </w:tr>
      <w:tr>
        <w:trPr/>
        <w:tc>
          <w:tcPr>
            <w:tcW w:w="7690" w:type="dxa"/>
            <w:tcBorders/>
            <w:shd w:fill="CCEEFF" w:val="clear"/>
            <w:vAlign w:val="center"/>
          </w:tcPr>
          <w:p>
            <w:pPr>
              <w:pStyle w:val="TableContents"/>
              <w:bidi w:val="0"/>
              <w:spacing w:before="0" w:after="283"/>
              <w:jc w:val="left"/>
              <w:rPr/>
            </w:pPr>
            <w:r>
              <w:rPr/>
              <w:t>Change in fair value of warrant liabilities</w:t>
            </w:r>
          </w:p>
        </w:tc>
        <w:tc>
          <w:tcPr>
            <w:tcW w:w="60" w:type="dxa"/>
            <w:tcBorders/>
            <w:shd w:fill="CCEEFF" w:val="clear"/>
            <w:vAlign w:val="center"/>
          </w:tcPr>
          <w:p>
            <w:pPr>
              <w:pStyle w:val="TableContents"/>
              <w:bidi w:val="0"/>
              <w:spacing w:before="0" w:after="283"/>
              <w:jc w:val="left"/>
              <w:rPr/>
            </w:pPr>
            <w:r>
              <w:rPr/>
              <w:t> </w:t>
            </w:r>
          </w:p>
        </w:tc>
        <w:tc>
          <w:tcPr>
            <w:tcW w:w="165" w:type="dxa"/>
            <w:tcBorders/>
            <w:shd w:fill="CCEEFF" w:val="clear"/>
            <w:vAlign w:val="center"/>
          </w:tcPr>
          <w:p>
            <w:pPr>
              <w:pStyle w:val="TableContents"/>
              <w:bidi w:val="0"/>
              <w:spacing w:before="0" w:after="283"/>
              <w:jc w:val="left"/>
              <w:rPr/>
            </w:pPr>
            <w:r>
              <w:rPr/>
              <w:t> </w:t>
            </w:r>
          </w:p>
        </w:tc>
        <w:tc>
          <w:tcPr>
            <w:tcW w:w="897" w:type="dxa"/>
            <w:tcBorders/>
            <w:shd w:fill="CCEEFF" w:val="clear"/>
            <w:vAlign w:val="center"/>
          </w:tcPr>
          <w:p>
            <w:pPr>
              <w:pStyle w:val="TableContents"/>
              <w:bidi w:val="0"/>
              <w:spacing w:before="0" w:after="283"/>
              <w:jc w:val="right"/>
              <w:rPr/>
            </w:pPr>
            <w:r>
              <w:rPr/>
              <w:t>(615</w:t>
            </w:r>
          </w:p>
        </w:tc>
        <w:tc>
          <w:tcPr>
            <w:tcW w:w="113" w:type="dxa"/>
            <w:tcBorders/>
            <w:shd w:fill="CCEEFF" w:val="clear"/>
            <w:vAlign w:val="center"/>
          </w:tcPr>
          <w:p>
            <w:pPr>
              <w:pStyle w:val="TableContents"/>
              <w:bidi w:val="0"/>
              <w:spacing w:before="0" w:after="283"/>
              <w:jc w:val="left"/>
              <w:rPr/>
            </w:pPr>
            <w:r>
              <w:rPr/>
              <w:t>)</w:t>
            </w:r>
          </w:p>
        </w:tc>
        <w:tc>
          <w:tcPr>
            <w:tcW w:w="71"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925" w:type="dxa"/>
            <w:tcBorders/>
            <w:shd w:fill="CCEEFF" w:val="clear"/>
            <w:vAlign w:val="center"/>
          </w:tcPr>
          <w:p>
            <w:pPr>
              <w:pStyle w:val="TableContents"/>
              <w:bidi w:val="0"/>
              <w:spacing w:before="0" w:after="283"/>
              <w:jc w:val="right"/>
              <w:rPr/>
            </w:pPr>
            <w:r>
              <w:rPr/>
              <w:t>1,092</w:t>
            </w:r>
          </w:p>
        </w:tc>
        <w:tc>
          <w:tcPr>
            <w:tcW w:w="114" w:type="dxa"/>
            <w:tcBorders/>
            <w:shd w:fill="CCEEFF" w:val="clear"/>
            <w:vAlign w:val="center"/>
          </w:tcPr>
          <w:p>
            <w:pPr>
              <w:pStyle w:val="TableContents"/>
              <w:bidi w:val="0"/>
              <w:spacing w:before="0" w:after="283"/>
              <w:jc w:val="left"/>
              <w:rPr/>
            </w:pPr>
            <w:r>
              <w:rPr/>
              <w:t> </w:t>
            </w:r>
          </w:p>
        </w:tc>
      </w:tr>
      <w:tr>
        <w:trPr/>
        <w:tc>
          <w:tcPr>
            <w:tcW w:w="7690" w:type="dxa"/>
            <w:tcBorders/>
            <w:shd w:fill="FFFFFF" w:val="clear"/>
            <w:vAlign w:val="center"/>
          </w:tcPr>
          <w:p>
            <w:pPr>
              <w:pStyle w:val="TableContents"/>
              <w:bidi w:val="0"/>
              <w:spacing w:before="0" w:after="283"/>
              <w:jc w:val="left"/>
              <w:rPr/>
            </w:pPr>
            <w:r>
              <w:rPr/>
              <w:t>Change in fair value of deferred consideration</w:t>
            </w:r>
          </w:p>
        </w:tc>
        <w:tc>
          <w:tcPr>
            <w:tcW w:w="60" w:type="dxa"/>
            <w:tcBorders/>
            <w:shd w:fill="FFFFFF" w:val="clear"/>
            <w:vAlign w:val="center"/>
          </w:tcPr>
          <w:p>
            <w:pPr>
              <w:pStyle w:val="TableContents"/>
              <w:bidi w:val="0"/>
              <w:spacing w:before="0" w:after="283"/>
              <w:jc w:val="left"/>
              <w:rPr/>
            </w:pPr>
            <w:r>
              <w:rPr/>
              <w:t> </w:t>
            </w:r>
          </w:p>
        </w:tc>
        <w:tc>
          <w:tcPr>
            <w:tcW w:w="165" w:type="dxa"/>
            <w:tcBorders/>
            <w:shd w:fill="FFFFFF" w:val="clear"/>
            <w:vAlign w:val="center"/>
          </w:tcPr>
          <w:p>
            <w:pPr>
              <w:pStyle w:val="TableContents"/>
              <w:bidi w:val="0"/>
              <w:spacing w:before="0" w:after="283"/>
              <w:jc w:val="left"/>
              <w:rPr/>
            </w:pPr>
            <w:r>
              <w:rPr/>
              <w:t> </w:t>
            </w:r>
          </w:p>
        </w:tc>
        <w:tc>
          <w:tcPr>
            <w:tcW w:w="897" w:type="dxa"/>
            <w:tcBorders/>
            <w:shd w:fill="FFFFFF" w:val="clear"/>
            <w:vAlign w:val="center"/>
          </w:tcPr>
          <w:p>
            <w:pPr>
              <w:pStyle w:val="TableContents"/>
              <w:bidi w:val="0"/>
              <w:spacing w:before="0" w:after="283"/>
              <w:jc w:val="right"/>
              <w:rPr/>
            </w:pPr>
            <w:r>
              <w:rPr/>
              <w:t>(2,943</w:t>
            </w:r>
          </w:p>
        </w:tc>
        <w:tc>
          <w:tcPr>
            <w:tcW w:w="113" w:type="dxa"/>
            <w:tcBorders/>
            <w:shd w:fill="FFFFFF" w:val="clear"/>
            <w:vAlign w:val="center"/>
          </w:tcPr>
          <w:p>
            <w:pPr>
              <w:pStyle w:val="TableContents"/>
              <w:bidi w:val="0"/>
              <w:spacing w:before="0" w:after="283"/>
              <w:jc w:val="left"/>
              <w:rPr/>
            </w:pPr>
            <w:r>
              <w:rPr/>
              <w:t>)</w:t>
            </w:r>
          </w:p>
        </w:tc>
        <w:tc>
          <w:tcPr>
            <w:tcW w:w="71"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925" w:type="dxa"/>
            <w:tcBorders/>
            <w:shd w:fill="FFFFFF" w:val="clear"/>
            <w:vAlign w:val="center"/>
          </w:tcPr>
          <w:p>
            <w:pPr>
              <w:pStyle w:val="TableContents"/>
              <w:bidi w:val="0"/>
              <w:spacing w:before="0" w:after="283"/>
              <w:jc w:val="right"/>
              <w:rPr/>
            </w:pPr>
            <w:r>
              <w:rPr/>
              <w:t>—</w:t>
            </w:r>
          </w:p>
        </w:tc>
        <w:tc>
          <w:tcPr>
            <w:tcW w:w="114" w:type="dxa"/>
            <w:tcBorders/>
            <w:shd w:fill="FFFFFF" w:val="clear"/>
            <w:vAlign w:val="center"/>
          </w:tcPr>
          <w:p>
            <w:pPr>
              <w:pStyle w:val="TableContents"/>
              <w:bidi w:val="0"/>
              <w:spacing w:before="0" w:after="283"/>
              <w:jc w:val="left"/>
              <w:rPr/>
            </w:pPr>
            <w:r>
              <w:rPr/>
              <w:t> </w:t>
            </w:r>
          </w:p>
        </w:tc>
      </w:tr>
      <w:tr>
        <w:trPr/>
        <w:tc>
          <w:tcPr>
            <w:tcW w:w="7690" w:type="dxa"/>
            <w:tcBorders/>
            <w:shd w:fill="CCEEFF" w:val="clear"/>
            <w:vAlign w:val="center"/>
          </w:tcPr>
          <w:p>
            <w:pPr>
              <w:pStyle w:val="TableContents"/>
              <w:bidi w:val="0"/>
              <w:spacing w:before="0" w:after="283"/>
              <w:jc w:val="left"/>
              <w:rPr/>
            </w:pPr>
            <w:r>
              <w:rPr/>
              <w:t>Change in fair value of deferred consideration with related party</w:t>
            </w:r>
          </w:p>
        </w:tc>
        <w:tc>
          <w:tcPr>
            <w:tcW w:w="60" w:type="dxa"/>
            <w:tcBorders/>
            <w:shd w:fill="CCEEFF" w:val="clear"/>
            <w:vAlign w:val="center"/>
          </w:tcPr>
          <w:p>
            <w:pPr>
              <w:pStyle w:val="TableContents"/>
              <w:bidi w:val="0"/>
              <w:spacing w:before="0" w:after="283"/>
              <w:jc w:val="left"/>
              <w:rPr/>
            </w:pPr>
            <w:r>
              <w:rPr/>
              <w:t> </w:t>
            </w:r>
          </w:p>
        </w:tc>
        <w:tc>
          <w:tcPr>
            <w:tcW w:w="165" w:type="dxa"/>
            <w:tcBorders/>
            <w:shd w:fill="CCEEFF" w:val="clear"/>
            <w:vAlign w:val="center"/>
          </w:tcPr>
          <w:p>
            <w:pPr>
              <w:pStyle w:val="TableContents"/>
              <w:bidi w:val="0"/>
              <w:spacing w:before="0" w:after="283"/>
              <w:jc w:val="left"/>
              <w:rPr/>
            </w:pPr>
            <w:r>
              <w:rPr/>
              <w:t> </w:t>
            </w:r>
          </w:p>
        </w:tc>
        <w:tc>
          <w:tcPr>
            <w:tcW w:w="897" w:type="dxa"/>
            <w:tcBorders/>
            <w:shd w:fill="CCEEFF" w:val="clear"/>
            <w:vAlign w:val="center"/>
          </w:tcPr>
          <w:p>
            <w:pPr>
              <w:pStyle w:val="TableContents"/>
              <w:bidi w:val="0"/>
              <w:spacing w:before="0" w:after="283"/>
              <w:jc w:val="right"/>
              <w:rPr/>
            </w:pPr>
            <w:r>
              <w:rPr/>
              <w:t>(2,307</w:t>
            </w:r>
          </w:p>
        </w:tc>
        <w:tc>
          <w:tcPr>
            <w:tcW w:w="113" w:type="dxa"/>
            <w:tcBorders/>
            <w:shd w:fill="CCEEFF" w:val="clear"/>
            <w:vAlign w:val="center"/>
          </w:tcPr>
          <w:p>
            <w:pPr>
              <w:pStyle w:val="TableContents"/>
              <w:bidi w:val="0"/>
              <w:spacing w:before="0" w:after="283"/>
              <w:jc w:val="left"/>
              <w:rPr/>
            </w:pPr>
            <w:r>
              <w:rPr/>
              <w:t>)</w:t>
            </w:r>
          </w:p>
        </w:tc>
        <w:tc>
          <w:tcPr>
            <w:tcW w:w="71"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925" w:type="dxa"/>
            <w:tcBorders/>
            <w:shd w:fill="CCEEFF" w:val="clear"/>
            <w:vAlign w:val="center"/>
          </w:tcPr>
          <w:p>
            <w:pPr>
              <w:pStyle w:val="TableContents"/>
              <w:bidi w:val="0"/>
              <w:spacing w:before="0" w:after="283"/>
              <w:jc w:val="right"/>
              <w:rPr/>
            </w:pPr>
            <w:r>
              <w:rPr/>
              <w:t>—</w:t>
            </w:r>
          </w:p>
        </w:tc>
        <w:tc>
          <w:tcPr>
            <w:tcW w:w="114" w:type="dxa"/>
            <w:tcBorders/>
            <w:shd w:fill="CCEEFF" w:val="clear"/>
            <w:vAlign w:val="center"/>
          </w:tcPr>
          <w:p>
            <w:pPr>
              <w:pStyle w:val="TableContents"/>
              <w:bidi w:val="0"/>
              <w:spacing w:before="0" w:after="283"/>
              <w:jc w:val="left"/>
              <w:rPr/>
            </w:pPr>
            <w:r>
              <w:rPr/>
              <w:t> </w:t>
            </w:r>
          </w:p>
        </w:tc>
      </w:tr>
      <w:tr>
        <w:trPr/>
        <w:tc>
          <w:tcPr>
            <w:tcW w:w="7690" w:type="dxa"/>
            <w:tcBorders/>
            <w:shd w:fill="FFFFFF" w:val="clear"/>
            <w:vAlign w:val="center"/>
          </w:tcPr>
          <w:p>
            <w:pPr>
              <w:pStyle w:val="TableContents"/>
              <w:bidi w:val="0"/>
              <w:spacing w:before="0" w:after="283"/>
              <w:jc w:val="left"/>
              <w:rPr/>
            </w:pPr>
            <w:r>
              <w:rPr/>
              <w:t>Change in fair value of debt obligations</w:t>
            </w:r>
          </w:p>
        </w:tc>
        <w:tc>
          <w:tcPr>
            <w:tcW w:w="60" w:type="dxa"/>
            <w:tcBorders/>
            <w:shd w:fill="FFFFFF" w:val="clear"/>
            <w:vAlign w:val="center"/>
          </w:tcPr>
          <w:p>
            <w:pPr>
              <w:pStyle w:val="TableContents"/>
              <w:bidi w:val="0"/>
              <w:spacing w:before="0" w:after="283"/>
              <w:jc w:val="left"/>
              <w:rPr/>
            </w:pPr>
            <w:r>
              <w:rPr/>
              <w:t> </w:t>
            </w:r>
          </w:p>
        </w:tc>
        <w:tc>
          <w:tcPr>
            <w:tcW w:w="165" w:type="dxa"/>
            <w:tcBorders/>
            <w:shd w:fill="FFFFFF" w:val="clear"/>
            <w:vAlign w:val="center"/>
          </w:tcPr>
          <w:p>
            <w:pPr>
              <w:pStyle w:val="TableContents"/>
              <w:bidi w:val="0"/>
              <w:spacing w:before="0" w:after="283"/>
              <w:jc w:val="left"/>
              <w:rPr/>
            </w:pPr>
            <w:r>
              <w:rPr/>
              <w:t> </w:t>
            </w:r>
          </w:p>
        </w:tc>
        <w:tc>
          <w:tcPr>
            <w:tcW w:w="897" w:type="dxa"/>
            <w:tcBorders/>
            <w:shd w:fill="FFFFFF" w:val="clear"/>
            <w:vAlign w:val="center"/>
          </w:tcPr>
          <w:p>
            <w:pPr>
              <w:pStyle w:val="TableContents"/>
              <w:bidi w:val="0"/>
              <w:spacing w:before="0" w:after="283"/>
              <w:jc w:val="right"/>
              <w:rPr/>
            </w:pPr>
            <w:r>
              <w:rPr/>
              <w:t>320</w:t>
            </w:r>
          </w:p>
        </w:tc>
        <w:tc>
          <w:tcPr>
            <w:tcW w:w="113" w:type="dxa"/>
            <w:tcBorders/>
            <w:shd w:fill="FFFFFF" w:val="clear"/>
            <w:vAlign w:val="center"/>
          </w:tcPr>
          <w:p>
            <w:pPr>
              <w:pStyle w:val="TableContents"/>
              <w:bidi w:val="0"/>
              <w:spacing w:before="0" w:after="283"/>
              <w:jc w:val="left"/>
              <w:rPr/>
            </w:pPr>
            <w:r>
              <w:rPr/>
              <w:t> </w:t>
            </w:r>
          </w:p>
        </w:tc>
        <w:tc>
          <w:tcPr>
            <w:tcW w:w="71"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925" w:type="dxa"/>
            <w:tcBorders/>
            <w:shd w:fill="FFFFFF" w:val="clear"/>
            <w:vAlign w:val="center"/>
          </w:tcPr>
          <w:p>
            <w:pPr>
              <w:pStyle w:val="TableContents"/>
              <w:bidi w:val="0"/>
              <w:spacing w:before="0" w:after="283"/>
              <w:jc w:val="right"/>
              <w:rPr/>
            </w:pPr>
            <w:r>
              <w:rPr/>
              <w:t>—</w:t>
            </w:r>
          </w:p>
        </w:tc>
        <w:tc>
          <w:tcPr>
            <w:tcW w:w="114" w:type="dxa"/>
            <w:tcBorders/>
            <w:shd w:fill="FFFFFF" w:val="clear"/>
            <w:vAlign w:val="center"/>
          </w:tcPr>
          <w:p>
            <w:pPr>
              <w:pStyle w:val="TableContents"/>
              <w:bidi w:val="0"/>
              <w:spacing w:before="0" w:after="283"/>
              <w:jc w:val="left"/>
              <w:rPr/>
            </w:pPr>
            <w:r>
              <w:rPr/>
              <w:t> </w:t>
            </w:r>
          </w:p>
        </w:tc>
      </w:tr>
      <w:tr>
        <w:trPr/>
        <w:tc>
          <w:tcPr>
            <w:tcW w:w="769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Amortization of debt issuance costs </w:t>
            </w:r>
            <w:r>
              <w:rPr>
                <w:rFonts w:ascii="Times New Roman;Times;Serif" w:hAnsi="Times New Roman;Times;Serif"/>
                <w:position w:val="7"/>
                <w:sz w:val="16"/>
                <w:sz w:val="20"/>
              </w:rPr>
              <w:t>(3)</w:t>
            </w:r>
          </w:p>
        </w:tc>
        <w:tc>
          <w:tcPr>
            <w:tcW w:w="60" w:type="dxa"/>
            <w:tcBorders/>
            <w:shd w:fill="CCEEFF" w:val="clear"/>
            <w:vAlign w:val="center"/>
          </w:tcPr>
          <w:p>
            <w:pPr>
              <w:pStyle w:val="TableContents"/>
              <w:bidi w:val="0"/>
              <w:spacing w:before="0" w:after="283"/>
              <w:jc w:val="left"/>
              <w:rPr/>
            </w:pPr>
            <w:r>
              <w:rPr/>
              <w:t> </w:t>
            </w:r>
          </w:p>
        </w:tc>
        <w:tc>
          <w:tcPr>
            <w:tcW w:w="165" w:type="dxa"/>
            <w:tcBorders/>
            <w:shd w:fill="CCEEFF" w:val="clear"/>
            <w:vAlign w:val="center"/>
          </w:tcPr>
          <w:p>
            <w:pPr>
              <w:pStyle w:val="TableContents"/>
              <w:bidi w:val="0"/>
              <w:spacing w:before="0" w:after="283"/>
              <w:jc w:val="left"/>
              <w:rPr/>
            </w:pPr>
            <w:r>
              <w:rPr/>
              <w:t> </w:t>
            </w:r>
          </w:p>
        </w:tc>
        <w:tc>
          <w:tcPr>
            <w:tcW w:w="897" w:type="dxa"/>
            <w:tcBorders/>
            <w:shd w:fill="CCEEFF" w:val="clear"/>
            <w:vAlign w:val="center"/>
          </w:tcPr>
          <w:p>
            <w:pPr>
              <w:pStyle w:val="TableContents"/>
              <w:bidi w:val="0"/>
              <w:spacing w:before="0" w:after="283"/>
              <w:jc w:val="right"/>
              <w:rPr/>
            </w:pPr>
            <w:r>
              <w:rPr/>
              <w:t>3,674</w:t>
            </w:r>
          </w:p>
        </w:tc>
        <w:tc>
          <w:tcPr>
            <w:tcW w:w="113" w:type="dxa"/>
            <w:tcBorders/>
            <w:shd w:fill="CCEEFF" w:val="clear"/>
            <w:vAlign w:val="center"/>
          </w:tcPr>
          <w:p>
            <w:pPr>
              <w:pStyle w:val="TableContents"/>
              <w:bidi w:val="0"/>
              <w:spacing w:before="0" w:after="283"/>
              <w:jc w:val="left"/>
              <w:rPr/>
            </w:pPr>
            <w:r>
              <w:rPr/>
              <w:t> </w:t>
            </w:r>
          </w:p>
        </w:tc>
        <w:tc>
          <w:tcPr>
            <w:tcW w:w="71"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925" w:type="dxa"/>
            <w:tcBorders/>
            <w:shd w:fill="CCEEFF" w:val="clear"/>
            <w:vAlign w:val="center"/>
          </w:tcPr>
          <w:p>
            <w:pPr>
              <w:pStyle w:val="TableContents"/>
              <w:bidi w:val="0"/>
              <w:spacing w:before="0" w:after="283"/>
              <w:jc w:val="right"/>
              <w:rPr/>
            </w:pPr>
            <w:r>
              <w:rPr/>
              <w:t>3,655</w:t>
            </w:r>
          </w:p>
        </w:tc>
        <w:tc>
          <w:tcPr>
            <w:tcW w:w="114" w:type="dxa"/>
            <w:tcBorders/>
            <w:shd w:fill="CCEEFF" w:val="clear"/>
            <w:vAlign w:val="center"/>
          </w:tcPr>
          <w:p>
            <w:pPr>
              <w:pStyle w:val="TableContents"/>
              <w:bidi w:val="0"/>
              <w:spacing w:before="0" w:after="283"/>
              <w:jc w:val="left"/>
              <w:rPr/>
            </w:pPr>
            <w:r>
              <w:rPr/>
              <w:t> </w:t>
            </w:r>
          </w:p>
        </w:tc>
      </w:tr>
      <w:tr>
        <w:trPr/>
        <w:tc>
          <w:tcPr>
            <w:tcW w:w="769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Non-cash expense (income) </w:t>
            </w:r>
            <w:r>
              <w:rPr>
                <w:rFonts w:ascii="Times New Roman;Times;Serif" w:hAnsi="Times New Roman;Times;Serif"/>
                <w:position w:val="7"/>
                <w:sz w:val="16"/>
                <w:sz w:val="20"/>
              </w:rPr>
              <w:t>(4)</w:t>
            </w:r>
          </w:p>
        </w:tc>
        <w:tc>
          <w:tcPr>
            <w:tcW w:w="60" w:type="dxa"/>
            <w:tcBorders/>
            <w:shd w:fill="FFFFFF" w:val="clear"/>
            <w:vAlign w:val="center"/>
          </w:tcPr>
          <w:p>
            <w:pPr>
              <w:pStyle w:val="TableContents"/>
              <w:bidi w:val="0"/>
              <w:spacing w:before="0" w:after="283"/>
              <w:jc w:val="left"/>
              <w:rPr/>
            </w:pPr>
            <w:r>
              <w:rPr/>
              <w:t> </w:t>
            </w:r>
          </w:p>
        </w:tc>
        <w:tc>
          <w:tcPr>
            <w:tcW w:w="165" w:type="dxa"/>
            <w:tcBorders/>
            <w:shd w:fill="FFFFFF" w:val="clear"/>
            <w:vAlign w:val="center"/>
          </w:tcPr>
          <w:p>
            <w:pPr>
              <w:pStyle w:val="TableContents"/>
              <w:bidi w:val="0"/>
              <w:spacing w:before="0" w:after="283"/>
              <w:jc w:val="left"/>
              <w:rPr/>
            </w:pPr>
            <w:r>
              <w:rPr/>
              <w:t> </w:t>
            </w:r>
          </w:p>
        </w:tc>
        <w:tc>
          <w:tcPr>
            <w:tcW w:w="897" w:type="dxa"/>
            <w:tcBorders/>
            <w:shd w:fill="FFFFFF" w:val="clear"/>
            <w:vAlign w:val="center"/>
          </w:tcPr>
          <w:p>
            <w:pPr>
              <w:pStyle w:val="TableContents"/>
              <w:bidi w:val="0"/>
              <w:spacing w:before="0" w:after="283"/>
              <w:jc w:val="right"/>
              <w:rPr/>
            </w:pPr>
            <w:r>
              <w:rPr/>
              <w:t>176</w:t>
            </w:r>
          </w:p>
        </w:tc>
        <w:tc>
          <w:tcPr>
            <w:tcW w:w="113" w:type="dxa"/>
            <w:tcBorders/>
            <w:shd w:fill="FFFFFF" w:val="clear"/>
            <w:vAlign w:val="center"/>
          </w:tcPr>
          <w:p>
            <w:pPr>
              <w:pStyle w:val="TableContents"/>
              <w:bidi w:val="0"/>
              <w:spacing w:before="0" w:after="283"/>
              <w:jc w:val="left"/>
              <w:rPr/>
            </w:pPr>
            <w:r>
              <w:rPr/>
              <w:t> </w:t>
            </w:r>
          </w:p>
        </w:tc>
        <w:tc>
          <w:tcPr>
            <w:tcW w:w="71"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925" w:type="dxa"/>
            <w:tcBorders/>
            <w:shd w:fill="FFFFFF" w:val="clear"/>
            <w:vAlign w:val="center"/>
          </w:tcPr>
          <w:p>
            <w:pPr>
              <w:pStyle w:val="TableContents"/>
              <w:bidi w:val="0"/>
              <w:spacing w:before="0" w:after="283"/>
              <w:jc w:val="right"/>
              <w:rPr/>
            </w:pPr>
            <w:r>
              <w:rPr/>
              <w:t>(158</w:t>
            </w:r>
          </w:p>
        </w:tc>
        <w:tc>
          <w:tcPr>
            <w:tcW w:w="114" w:type="dxa"/>
            <w:tcBorders/>
            <w:shd w:fill="FFFFFF" w:val="clear"/>
            <w:vAlign w:val="center"/>
          </w:tcPr>
          <w:p>
            <w:pPr>
              <w:pStyle w:val="TableContents"/>
              <w:bidi w:val="0"/>
              <w:spacing w:before="0" w:after="283"/>
              <w:jc w:val="left"/>
              <w:rPr/>
            </w:pPr>
            <w:r>
              <w:rPr/>
              <w:t>)</w:t>
            </w:r>
          </w:p>
        </w:tc>
      </w:tr>
      <w:tr>
        <w:trPr/>
        <w:tc>
          <w:tcPr>
            <w:tcW w:w="7690" w:type="dxa"/>
            <w:tcBorders/>
            <w:shd w:fill="CCEEFF" w:val="clear"/>
            <w:vAlign w:val="center"/>
          </w:tcPr>
          <w:p>
            <w:pPr>
              <w:pStyle w:val="TableContents"/>
              <w:bidi w:val="0"/>
              <w:spacing w:before="0" w:after="283"/>
              <w:jc w:val="left"/>
              <w:rPr/>
            </w:pPr>
            <w:r>
              <w:rPr/>
              <w:t>Changes in operating assets and liabilities, net of business acquisitions:</w:t>
            </w:r>
          </w:p>
        </w:tc>
        <w:tc>
          <w:tcPr>
            <w:tcW w:w="60" w:type="dxa"/>
            <w:tcBorders/>
            <w:shd w:fill="CCEEFF" w:val="clear"/>
            <w:vAlign w:val="center"/>
          </w:tcPr>
          <w:p>
            <w:pPr>
              <w:pStyle w:val="TableContents"/>
              <w:bidi w:val="0"/>
              <w:spacing w:before="0" w:after="283"/>
              <w:jc w:val="left"/>
              <w:rPr/>
            </w:pPr>
            <w:r>
              <w:rPr/>
              <w:t> </w:t>
            </w:r>
          </w:p>
        </w:tc>
        <w:tc>
          <w:tcPr>
            <w:tcW w:w="165" w:type="dxa"/>
            <w:tcBorders/>
            <w:shd w:fill="CCEEFF" w:val="clear"/>
            <w:vAlign w:val="center"/>
          </w:tcPr>
          <w:p>
            <w:pPr>
              <w:pStyle w:val="TableContents"/>
              <w:bidi w:val="0"/>
              <w:spacing w:before="0" w:after="283"/>
              <w:jc w:val="left"/>
              <w:rPr/>
            </w:pPr>
            <w:r>
              <w:rPr/>
              <w:t> </w:t>
            </w:r>
          </w:p>
        </w:tc>
        <w:tc>
          <w:tcPr>
            <w:tcW w:w="897" w:type="dxa"/>
            <w:tcBorders/>
            <w:shd w:fill="CCEEFF" w:val="clear"/>
            <w:vAlign w:val="center"/>
          </w:tcPr>
          <w:p>
            <w:pPr>
              <w:pStyle w:val="TableContents"/>
              <w:bidi w:val="0"/>
              <w:spacing w:before="0" w:after="283"/>
              <w:jc w:val="right"/>
              <w:rPr/>
            </w:pPr>
            <w:r>
              <w:rPr/>
              <w:t> </w:t>
            </w:r>
          </w:p>
        </w:tc>
        <w:tc>
          <w:tcPr>
            <w:tcW w:w="113" w:type="dxa"/>
            <w:tcBorders/>
            <w:shd w:fill="CCEEFF" w:val="clear"/>
            <w:vAlign w:val="center"/>
          </w:tcPr>
          <w:p>
            <w:pPr>
              <w:pStyle w:val="TableContents"/>
              <w:bidi w:val="0"/>
              <w:spacing w:before="0" w:after="283"/>
              <w:jc w:val="left"/>
              <w:rPr/>
            </w:pPr>
            <w:r>
              <w:rPr/>
              <w:t> </w:t>
            </w:r>
          </w:p>
        </w:tc>
        <w:tc>
          <w:tcPr>
            <w:tcW w:w="71"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925" w:type="dxa"/>
            <w:tcBorders/>
            <w:shd w:fill="CCEEFF" w:val="clear"/>
            <w:vAlign w:val="center"/>
          </w:tcPr>
          <w:p>
            <w:pPr>
              <w:pStyle w:val="TableContents"/>
              <w:bidi w:val="0"/>
              <w:spacing w:before="0" w:after="283"/>
              <w:jc w:val="right"/>
              <w:rPr/>
            </w:pPr>
            <w:r>
              <w:rPr/>
              <w:t> </w:t>
            </w:r>
          </w:p>
        </w:tc>
        <w:tc>
          <w:tcPr>
            <w:tcW w:w="114" w:type="dxa"/>
            <w:tcBorders/>
            <w:shd w:fill="CCEEFF" w:val="clear"/>
            <w:vAlign w:val="center"/>
          </w:tcPr>
          <w:p>
            <w:pPr>
              <w:pStyle w:val="TableContents"/>
              <w:bidi w:val="0"/>
              <w:spacing w:before="0" w:after="283"/>
              <w:jc w:val="left"/>
              <w:rPr/>
            </w:pPr>
            <w:r>
              <w:rPr/>
              <w:t> </w:t>
            </w:r>
          </w:p>
        </w:tc>
      </w:tr>
      <w:tr>
        <w:trPr/>
        <w:tc>
          <w:tcPr>
            <w:tcW w:w="7690" w:type="dxa"/>
            <w:tcBorders/>
            <w:shd w:fill="FFFFFF" w:val="clear"/>
            <w:vAlign w:val="center"/>
          </w:tcPr>
          <w:p>
            <w:pPr>
              <w:pStyle w:val="TableContents"/>
              <w:bidi w:val="0"/>
              <w:spacing w:before="0" w:after="283"/>
              <w:jc w:val="left"/>
              <w:rPr/>
            </w:pPr>
            <w:r>
              <w:rPr/>
              <w:t>Accounts receivable</w:t>
            </w:r>
          </w:p>
        </w:tc>
        <w:tc>
          <w:tcPr>
            <w:tcW w:w="60" w:type="dxa"/>
            <w:tcBorders/>
            <w:shd w:fill="FFFFFF" w:val="clear"/>
            <w:vAlign w:val="center"/>
          </w:tcPr>
          <w:p>
            <w:pPr>
              <w:pStyle w:val="TableContents"/>
              <w:bidi w:val="0"/>
              <w:spacing w:before="0" w:after="283"/>
              <w:jc w:val="left"/>
              <w:rPr/>
            </w:pPr>
            <w:r>
              <w:rPr/>
              <w:t> </w:t>
            </w:r>
          </w:p>
        </w:tc>
        <w:tc>
          <w:tcPr>
            <w:tcW w:w="165" w:type="dxa"/>
            <w:tcBorders/>
            <w:shd w:fill="FFFFFF" w:val="clear"/>
            <w:vAlign w:val="center"/>
          </w:tcPr>
          <w:p>
            <w:pPr>
              <w:pStyle w:val="TableContents"/>
              <w:bidi w:val="0"/>
              <w:spacing w:before="0" w:after="283"/>
              <w:jc w:val="left"/>
              <w:rPr/>
            </w:pPr>
            <w:r>
              <w:rPr/>
              <w:t> </w:t>
            </w:r>
          </w:p>
        </w:tc>
        <w:tc>
          <w:tcPr>
            <w:tcW w:w="897" w:type="dxa"/>
            <w:tcBorders/>
            <w:shd w:fill="FFFFFF" w:val="clear"/>
            <w:vAlign w:val="center"/>
          </w:tcPr>
          <w:p>
            <w:pPr>
              <w:pStyle w:val="TableContents"/>
              <w:bidi w:val="0"/>
              <w:spacing w:before="0" w:after="0"/>
              <w:ind w:left="0" w:right="0"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5,003</w:t>
            </w:r>
          </w:p>
        </w:tc>
        <w:tc>
          <w:tcPr>
            <w:tcW w:w="113" w:type="dxa"/>
            <w:tcBorders/>
            <w:shd w:fill="FFFFFF" w:val="clear"/>
            <w:vAlign w:val="center"/>
          </w:tcPr>
          <w:p>
            <w:pPr>
              <w:pStyle w:val="TableContents"/>
              <w:bidi w:val="0"/>
              <w:spacing w:before="0" w:after="283"/>
              <w:jc w:val="left"/>
              <w:rPr/>
            </w:pPr>
            <w:r>
              <w:rPr/>
              <w:t> </w:t>
            </w:r>
          </w:p>
        </w:tc>
        <w:tc>
          <w:tcPr>
            <w:tcW w:w="71"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925" w:type="dxa"/>
            <w:tcBorders/>
            <w:shd w:fill="FFFFFF" w:val="clear"/>
            <w:vAlign w:val="center"/>
          </w:tcPr>
          <w:p>
            <w:pPr>
              <w:pStyle w:val="TableContents"/>
              <w:bidi w:val="0"/>
              <w:spacing w:before="0" w:after="283"/>
              <w:jc w:val="right"/>
              <w:rPr/>
            </w:pPr>
            <w:r>
              <w:rPr/>
              <w:t>(223</w:t>
            </w:r>
          </w:p>
        </w:tc>
        <w:tc>
          <w:tcPr>
            <w:tcW w:w="114" w:type="dxa"/>
            <w:tcBorders/>
            <w:shd w:fill="FFFFFF" w:val="clear"/>
            <w:vAlign w:val="center"/>
          </w:tcPr>
          <w:p>
            <w:pPr>
              <w:pStyle w:val="TableContents"/>
              <w:bidi w:val="0"/>
              <w:spacing w:before="0" w:after="283"/>
              <w:jc w:val="left"/>
              <w:rPr/>
            </w:pPr>
            <w:r>
              <w:rPr/>
              <w:t>)</w:t>
            </w:r>
          </w:p>
        </w:tc>
      </w:tr>
      <w:tr>
        <w:trPr/>
        <w:tc>
          <w:tcPr>
            <w:tcW w:w="7690" w:type="dxa"/>
            <w:tcBorders/>
            <w:shd w:fill="CCEEFF" w:val="clear"/>
            <w:vAlign w:val="center"/>
          </w:tcPr>
          <w:p>
            <w:pPr>
              <w:pStyle w:val="TableContents"/>
              <w:bidi w:val="0"/>
              <w:spacing w:before="0" w:after="283"/>
              <w:jc w:val="left"/>
              <w:rPr/>
            </w:pPr>
            <w:r>
              <w:rPr/>
              <w:t>Inventories</w:t>
            </w:r>
          </w:p>
        </w:tc>
        <w:tc>
          <w:tcPr>
            <w:tcW w:w="60" w:type="dxa"/>
            <w:tcBorders/>
            <w:shd w:fill="CCEEFF" w:val="clear"/>
            <w:vAlign w:val="center"/>
          </w:tcPr>
          <w:p>
            <w:pPr>
              <w:pStyle w:val="TableContents"/>
              <w:bidi w:val="0"/>
              <w:spacing w:before="0" w:after="283"/>
              <w:jc w:val="left"/>
              <w:rPr/>
            </w:pPr>
            <w:r>
              <w:rPr/>
              <w:t> </w:t>
            </w:r>
          </w:p>
        </w:tc>
        <w:tc>
          <w:tcPr>
            <w:tcW w:w="165" w:type="dxa"/>
            <w:tcBorders/>
            <w:shd w:fill="CCEEFF" w:val="clear"/>
            <w:vAlign w:val="center"/>
          </w:tcPr>
          <w:p>
            <w:pPr>
              <w:pStyle w:val="TableContents"/>
              <w:bidi w:val="0"/>
              <w:spacing w:before="0" w:after="283"/>
              <w:jc w:val="left"/>
              <w:rPr/>
            </w:pPr>
            <w:r>
              <w:rPr/>
              <w:t> </w:t>
            </w:r>
          </w:p>
        </w:tc>
        <w:tc>
          <w:tcPr>
            <w:tcW w:w="897" w:type="dxa"/>
            <w:tcBorders/>
            <w:shd w:fill="CCEEFF" w:val="clear"/>
            <w:vAlign w:val="center"/>
          </w:tcPr>
          <w:p>
            <w:pPr>
              <w:pStyle w:val="TableContents"/>
              <w:bidi w:val="0"/>
              <w:spacing w:before="0" w:after="283"/>
              <w:jc w:val="right"/>
              <w:rPr/>
            </w:pPr>
            <w:r>
              <w:rPr/>
              <w:t>2,016</w:t>
            </w:r>
          </w:p>
        </w:tc>
        <w:tc>
          <w:tcPr>
            <w:tcW w:w="113" w:type="dxa"/>
            <w:tcBorders/>
            <w:shd w:fill="CCEEFF" w:val="clear"/>
            <w:vAlign w:val="center"/>
          </w:tcPr>
          <w:p>
            <w:pPr>
              <w:pStyle w:val="TableContents"/>
              <w:bidi w:val="0"/>
              <w:spacing w:before="0" w:after="283"/>
              <w:jc w:val="left"/>
              <w:rPr/>
            </w:pPr>
            <w:r>
              <w:rPr/>
              <w:t> </w:t>
            </w:r>
          </w:p>
        </w:tc>
        <w:tc>
          <w:tcPr>
            <w:tcW w:w="71"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925" w:type="dxa"/>
            <w:tcBorders/>
            <w:shd w:fill="CCEEFF" w:val="clear"/>
            <w:vAlign w:val="center"/>
          </w:tcPr>
          <w:p>
            <w:pPr>
              <w:pStyle w:val="TableContents"/>
              <w:bidi w:val="0"/>
              <w:spacing w:before="0" w:after="283"/>
              <w:jc w:val="right"/>
              <w:rPr/>
            </w:pPr>
            <w:r>
              <w:rPr/>
              <w:t>11,386</w:t>
            </w:r>
          </w:p>
        </w:tc>
        <w:tc>
          <w:tcPr>
            <w:tcW w:w="114" w:type="dxa"/>
            <w:tcBorders/>
            <w:shd w:fill="CCEEFF" w:val="clear"/>
            <w:vAlign w:val="center"/>
          </w:tcPr>
          <w:p>
            <w:pPr>
              <w:pStyle w:val="TableContents"/>
              <w:bidi w:val="0"/>
              <w:spacing w:before="0" w:after="283"/>
              <w:jc w:val="left"/>
              <w:rPr/>
            </w:pPr>
            <w:r>
              <w:rPr/>
              <w:t> </w:t>
            </w:r>
          </w:p>
        </w:tc>
      </w:tr>
      <w:tr>
        <w:trPr/>
        <w:tc>
          <w:tcPr>
            <w:tcW w:w="7690" w:type="dxa"/>
            <w:tcBorders/>
            <w:shd w:fill="FFFFFF" w:val="clear"/>
            <w:vAlign w:val="center"/>
          </w:tcPr>
          <w:p>
            <w:pPr>
              <w:pStyle w:val="TableContents"/>
              <w:bidi w:val="0"/>
              <w:spacing w:before="0" w:after="283"/>
              <w:jc w:val="left"/>
              <w:rPr/>
            </w:pPr>
            <w:r>
              <w:rPr/>
              <w:t>Contract assets</w:t>
            </w:r>
          </w:p>
        </w:tc>
        <w:tc>
          <w:tcPr>
            <w:tcW w:w="60" w:type="dxa"/>
            <w:tcBorders/>
            <w:shd w:fill="FFFFFF" w:val="clear"/>
            <w:vAlign w:val="center"/>
          </w:tcPr>
          <w:p>
            <w:pPr>
              <w:pStyle w:val="TableContents"/>
              <w:bidi w:val="0"/>
              <w:spacing w:before="0" w:after="283"/>
              <w:jc w:val="left"/>
              <w:rPr/>
            </w:pPr>
            <w:r>
              <w:rPr/>
              <w:t> </w:t>
            </w:r>
          </w:p>
        </w:tc>
        <w:tc>
          <w:tcPr>
            <w:tcW w:w="165" w:type="dxa"/>
            <w:tcBorders/>
            <w:shd w:fill="FFFFFF" w:val="clear"/>
            <w:vAlign w:val="center"/>
          </w:tcPr>
          <w:p>
            <w:pPr>
              <w:pStyle w:val="TableContents"/>
              <w:bidi w:val="0"/>
              <w:spacing w:before="0" w:after="283"/>
              <w:jc w:val="left"/>
              <w:rPr/>
            </w:pPr>
            <w:r>
              <w:rPr/>
              <w:t> </w:t>
            </w:r>
          </w:p>
        </w:tc>
        <w:tc>
          <w:tcPr>
            <w:tcW w:w="897" w:type="dxa"/>
            <w:tcBorders/>
            <w:shd w:fill="FFFFFF" w:val="clear"/>
            <w:vAlign w:val="center"/>
          </w:tcPr>
          <w:p>
            <w:pPr>
              <w:pStyle w:val="TableContents"/>
              <w:bidi w:val="0"/>
              <w:spacing w:before="0" w:after="283"/>
              <w:jc w:val="right"/>
              <w:rPr/>
            </w:pPr>
            <w:r>
              <w:rPr/>
              <w:t>—</w:t>
            </w:r>
          </w:p>
        </w:tc>
        <w:tc>
          <w:tcPr>
            <w:tcW w:w="113" w:type="dxa"/>
            <w:tcBorders/>
            <w:shd w:fill="FFFFFF" w:val="clear"/>
            <w:vAlign w:val="center"/>
          </w:tcPr>
          <w:p>
            <w:pPr>
              <w:pStyle w:val="TableContents"/>
              <w:bidi w:val="0"/>
              <w:spacing w:before="0" w:after="283"/>
              <w:jc w:val="left"/>
              <w:rPr/>
            </w:pPr>
            <w:r>
              <w:rPr/>
              <w:t> </w:t>
            </w:r>
          </w:p>
        </w:tc>
        <w:tc>
          <w:tcPr>
            <w:tcW w:w="71"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925" w:type="dxa"/>
            <w:tcBorders/>
            <w:shd w:fill="FFFFFF" w:val="clear"/>
            <w:vAlign w:val="center"/>
          </w:tcPr>
          <w:p>
            <w:pPr>
              <w:pStyle w:val="TableContents"/>
              <w:bidi w:val="0"/>
              <w:spacing w:before="0" w:after="283"/>
              <w:jc w:val="right"/>
              <w:rPr/>
            </w:pPr>
            <w:r>
              <w:rPr/>
              <w:t>(11,279</w:t>
            </w:r>
          </w:p>
        </w:tc>
        <w:tc>
          <w:tcPr>
            <w:tcW w:w="114" w:type="dxa"/>
            <w:tcBorders/>
            <w:shd w:fill="FFFFFF" w:val="clear"/>
            <w:vAlign w:val="center"/>
          </w:tcPr>
          <w:p>
            <w:pPr>
              <w:pStyle w:val="TableContents"/>
              <w:bidi w:val="0"/>
              <w:spacing w:before="0" w:after="283"/>
              <w:jc w:val="left"/>
              <w:rPr/>
            </w:pPr>
            <w:r>
              <w:rPr/>
              <w:t>)</w:t>
            </w:r>
          </w:p>
        </w:tc>
      </w:tr>
      <w:tr>
        <w:trPr/>
        <w:tc>
          <w:tcPr>
            <w:tcW w:w="7690" w:type="dxa"/>
            <w:tcBorders/>
            <w:shd w:fill="CCEEFF" w:val="clear"/>
            <w:vAlign w:val="center"/>
          </w:tcPr>
          <w:p>
            <w:pPr>
              <w:pStyle w:val="TableContents"/>
              <w:bidi w:val="0"/>
              <w:spacing w:before="0" w:after="283"/>
              <w:jc w:val="left"/>
              <w:rPr/>
            </w:pPr>
            <w:r>
              <w:rPr/>
              <w:t>Prepaid expenses and other current assets</w:t>
            </w:r>
          </w:p>
        </w:tc>
        <w:tc>
          <w:tcPr>
            <w:tcW w:w="60" w:type="dxa"/>
            <w:tcBorders/>
            <w:shd w:fill="CCEEFF" w:val="clear"/>
            <w:vAlign w:val="center"/>
          </w:tcPr>
          <w:p>
            <w:pPr>
              <w:pStyle w:val="TableContents"/>
              <w:bidi w:val="0"/>
              <w:spacing w:before="0" w:after="283"/>
              <w:jc w:val="left"/>
              <w:rPr/>
            </w:pPr>
            <w:r>
              <w:rPr/>
              <w:t> </w:t>
            </w:r>
          </w:p>
        </w:tc>
        <w:tc>
          <w:tcPr>
            <w:tcW w:w="165" w:type="dxa"/>
            <w:tcBorders/>
            <w:shd w:fill="CCEEFF" w:val="clear"/>
            <w:vAlign w:val="center"/>
          </w:tcPr>
          <w:p>
            <w:pPr>
              <w:pStyle w:val="TableContents"/>
              <w:bidi w:val="0"/>
              <w:spacing w:before="0" w:after="283"/>
              <w:jc w:val="left"/>
              <w:rPr/>
            </w:pPr>
            <w:r>
              <w:rPr/>
              <w:t> </w:t>
            </w:r>
          </w:p>
        </w:tc>
        <w:tc>
          <w:tcPr>
            <w:tcW w:w="897" w:type="dxa"/>
            <w:tcBorders/>
            <w:shd w:fill="CCEEFF" w:val="clear"/>
            <w:vAlign w:val="center"/>
          </w:tcPr>
          <w:p>
            <w:pPr>
              <w:pStyle w:val="TableContents"/>
              <w:bidi w:val="0"/>
              <w:spacing w:before="0" w:after="0"/>
              <w:ind w:left="0" w:right="0"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(10,909</w:t>
            </w:r>
          </w:p>
        </w:tc>
        <w:tc>
          <w:tcPr>
            <w:tcW w:w="113" w:type="dxa"/>
            <w:tcBorders/>
            <w:shd w:fill="CCEEFF" w:val="clear"/>
            <w:vAlign w:val="center"/>
          </w:tcPr>
          <w:p>
            <w:pPr>
              <w:pStyle w:val="TableContents"/>
              <w:bidi w:val="0"/>
              <w:spacing w:before="0" w:after="283"/>
              <w:jc w:val="left"/>
              <w:rPr/>
            </w:pPr>
            <w:r>
              <w:rPr/>
              <w:t>)</w:t>
            </w:r>
          </w:p>
        </w:tc>
        <w:tc>
          <w:tcPr>
            <w:tcW w:w="71"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925" w:type="dxa"/>
            <w:tcBorders/>
            <w:shd w:fill="CCEEFF" w:val="clear"/>
            <w:vAlign w:val="center"/>
          </w:tcPr>
          <w:p>
            <w:pPr>
              <w:pStyle w:val="TableContents"/>
              <w:bidi w:val="0"/>
              <w:spacing w:before="0" w:after="283"/>
              <w:jc w:val="right"/>
              <w:rPr/>
            </w:pPr>
            <w:r>
              <w:rPr/>
              <w:t>(4,413</w:t>
            </w:r>
          </w:p>
        </w:tc>
        <w:tc>
          <w:tcPr>
            <w:tcW w:w="114" w:type="dxa"/>
            <w:tcBorders/>
            <w:shd w:fill="CCEEFF" w:val="clear"/>
            <w:vAlign w:val="center"/>
          </w:tcPr>
          <w:p>
            <w:pPr>
              <w:pStyle w:val="TableContents"/>
              <w:bidi w:val="0"/>
              <w:spacing w:before="0" w:after="283"/>
              <w:jc w:val="left"/>
              <w:rPr/>
            </w:pPr>
            <w:r>
              <w:rPr/>
              <w:t>)</w:t>
            </w:r>
          </w:p>
        </w:tc>
      </w:tr>
      <w:tr>
        <w:trPr/>
        <w:tc>
          <w:tcPr>
            <w:tcW w:w="7690" w:type="dxa"/>
            <w:tcBorders/>
            <w:shd w:fill="FFFFFF" w:val="clear"/>
            <w:vAlign w:val="center"/>
          </w:tcPr>
          <w:p>
            <w:pPr>
              <w:pStyle w:val="TableContents"/>
              <w:bidi w:val="0"/>
              <w:spacing w:before="0" w:after="283"/>
              <w:jc w:val="left"/>
              <w:rPr/>
            </w:pPr>
            <w:r>
              <w:rPr/>
              <w:t>Other noncurrent assets</w:t>
            </w:r>
          </w:p>
        </w:tc>
        <w:tc>
          <w:tcPr>
            <w:tcW w:w="60" w:type="dxa"/>
            <w:tcBorders/>
            <w:shd w:fill="FFFFFF" w:val="clear"/>
            <w:vAlign w:val="center"/>
          </w:tcPr>
          <w:p>
            <w:pPr>
              <w:pStyle w:val="TableContents"/>
              <w:bidi w:val="0"/>
              <w:spacing w:before="0" w:after="283"/>
              <w:jc w:val="left"/>
              <w:rPr/>
            </w:pPr>
            <w:r>
              <w:rPr/>
              <w:t> </w:t>
            </w:r>
          </w:p>
        </w:tc>
        <w:tc>
          <w:tcPr>
            <w:tcW w:w="165" w:type="dxa"/>
            <w:tcBorders/>
            <w:shd w:fill="FFFFFF" w:val="clear"/>
            <w:vAlign w:val="center"/>
          </w:tcPr>
          <w:p>
            <w:pPr>
              <w:pStyle w:val="TableContents"/>
              <w:bidi w:val="0"/>
              <w:spacing w:before="0" w:after="283"/>
              <w:jc w:val="left"/>
              <w:rPr/>
            </w:pPr>
            <w:r>
              <w:rPr/>
              <w:t> </w:t>
            </w:r>
          </w:p>
        </w:tc>
        <w:tc>
          <w:tcPr>
            <w:tcW w:w="897" w:type="dxa"/>
            <w:tcBorders/>
            <w:shd w:fill="FFFFFF" w:val="clear"/>
            <w:vAlign w:val="center"/>
          </w:tcPr>
          <w:p>
            <w:pPr>
              <w:pStyle w:val="TableContents"/>
              <w:bidi w:val="0"/>
              <w:spacing w:before="0" w:after="283"/>
              <w:jc w:val="right"/>
              <w:rPr/>
            </w:pPr>
            <w:r>
              <w:rPr/>
              <w:t>(15</w:t>
            </w:r>
          </w:p>
        </w:tc>
        <w:tc>
          <w:tcPr>
            <w:tcW w:w="113" w:type="dxa"/>
            <w:tcBorders/>
            <w:shd w:fill="FFFFFF" w:val="clear"/>
            <w:vAlign w:val="center"/>
          </w:tcPr>
          <w:p>
            <w:pPr>
              <w:pStyle w:val="TableContents"/>
              <w:bidi w:val="0"/>
              <w:spacing w:before="0" w:after="283"/>
              <w:jc w:val="left"/>
              <w:rPr/>
            </w:pPr>
            <w:r>
              <w:rPr/>
              <w:t>)</w:t>
            </w:r>
          </w:p>
        </w:tc>
        <w:tc>
          <w:tcPr>
            <w:tcW w:w="71"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925" w:type="dxa"/>
            <w:tcBorders/>
            <w:shd w:fill="FFFFFF" w:val="clear"/>
            <w:vAlign w:val="center"/>
          </w:tcPr>
          <w:p>
            <w:pPr>
              <w:pStyle w:val="TableContents"/>
              <w:bidi w:val="0"/>
              <w:spacing w:before="0" w:after="283"/>
              <w:jc w:val="right"/>
              <w:rPr/>
            </w:pPr>
            <w:r>
              <w:rPr/>
              <w:t>14</w:t>
            </w:r>
          </w:p>
        </w:tc>
        <w:tc>
          <w:tcPr>
            <w:tcW w:w="114" w:type="dxa"/>
            <w:tcBorders/>
            <w:shd w:fill="FFFFFF" w:val="clear"/>
            <w:vAlign w:val="center"/>
          </w:tcPr>
          <w:p>
            <w:pPr>
              <w:pStyle w:val="TableContents"/>
              <w:bidi w:val="0"/>
              <w:spacing w:before="0" w:after="283"/>
              <w:jc w:val="left"/>
              <w:rPr/>
            </w:pPr>
            <w:r>
              <w:rPr/>
              <w:t> </w:t>
            </w:r>
          </w:p>
        </w:tc>
      </w:tr>
      <w:tr>
        <w:trPr/>
        <w:tc>
          <w:tcPr>
            <w:tcW w:w="7690" w:type="dxa"/>
            <w:tcBorders/>
            <w:shd w:fill="CCEEFF" w:val="clear"/>
            <w:vAlign w:val="center"/>
          </w:tcPr>
          <w:p>
            <w:pPr>
              <w:pStyle w:val="TableContents"/>
              <w:bidi w:val="0"/>
              <w:spacing w:before="0" w:after="283"/>
              <w:jc w:val="left"/>
              <w:rPr/>
            </w:pPr>
            <w:r>
              <w:rPr/>
              <w:t>Accounts payable</w:t>
            </w:r>
          </w:p>
        </w:tc>
        <w:tc>
          <w:tcPr>
            <w:tcW w:w="60" w:type="dxa"/>
            <w:tcBorders/>
            <w:shd w:fill="CCEEFF" w:val="clear"/>
            <w:vAlign w:val="center"/>
          </w:tcPr>
          <w:p>
            <w:pPr>
              <w:pStyle w:val="TableContents"/>
              <w:bidi w:val="0"/>
              <w:spacing w:before="0" w:after="283"/>
              <w:jc w:val="left"/>
              <w:rPr/>
            </w:pPr>
            <w:r>
              <w:rPr/>
              <w:t> </w:t>
            </w:r>
          </w:p>
        </w:tc>
        <w:tc>
          <w:tcPr>
            <w:tcW w:w="165" w:type="dxa"/>
            <w:tcBorders/>
            <w:shd w:fill="CCEEFF" w:val="clear"/>
            <w:vAlign w:val="center"/>
          </w:tcPr>
          <w:p>
            <w:pPr>
              <w:pStyle w:val="TableContents"/>
              <w:bidi w:val="0"/>
              <w:spacing w:before="0" w:after="283"/>
              <w:jc w:val="left"/>
              <w:rPr/>
            </w:pPr>
            <w:r>
              <w:rPr/>
              <w:t> </w:t>
            </w:r>
          </w:p>
        </w:tc>
        <w:tc>
          <w:tcPr>
            <w:tcW w:w="897" w:type="dxa"/>
            <w:tcBorders/>
            <w:shd w:fill="CCEEFF" w:val="clear"/>
            <w:vAlign w:val="center"/>
          </w:tcPr>
          <w:p>
            <w:pPr>
              <w:pStyle w:val="TableContents"/>
              <w:bidi w:val="0"/>
              <w:spacing w:before="0" w:after="283"/>
              <w:jc w:val="right"/>
              <w:rPr/>
            </w:pPr>
            <w:r>
              <w:rPr/>
              <w:t>(1,756</w:t>
            </w:r>
          </w:p>
        </w:tc>
        <w:tc>
          <w:tcPr>
            <w:tcW w:w="113" w:type="dxa"/>
            <w:tcBorders/>
            <w:shd w:fill="CCEEFF" w:val="clear"/>
            <w:vAlign w:val="center"/>
          </w:tcPr>
          <w:p>
            <w:pPr>
              <w:pStyle w:val="TableContents"/>
              <w:bidi w:val="0"/>
              <w:spacing w:before="0" w:after="283"/>
              <w:jc w:val="left"/>
              <w:rPr/>
            </w:pPr>
            <w:r>
              <w:rPr/>
              <w:t>)</w:t>
            </w:r>
          </w:p>
        </w:tc>
        <w:tc>
          <w:tcPr>
            <w:tcW w:w="71"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925" w:type="dxa"/>
            <w:tcBorders/>
            <w:shd w:fill="CCEEFF" w:val="clear"/>
            <w:vAlign w:val="center"/>
          </w:tcPr>
          <w:p>
            <w:pPr>
              <w:pStyle w:val="TableContents"/>
              <w:bidi w:val="0"/>
              <w:spacing w:before="0" w:after="283"/>
              <w:jc w:val="right"/>
              <w:rPr/>
            </w:pPr>
            <w:r>
              <w:rPr/>
              <w:t>6,896</w:t>
            </w:r>
          </w:p>
        </w:tc>
        <w:tc>
          <w:tcPr>
            <w:tcW w:w="114" w:type="dxa"/>
            <w:tcBorders/>
            <w:shd w:fill="CCEEFF" w:val="clear"/>
            <w:vAlign w:val="center"/>
          </w:tcPr>
          <w:p>
            <w:pPr>
              <w:pStyle w:val="TableContents"/>
              <w:bidi w:val="0"/>
              <w:spacing w:before="0" w:after="283"/>
              <w:jc w:val="left"/>
              <w:rPr/>
            </w:pPr>
            <w:r>
              <w:rPr/>
              <w:t> </w:t>
            </w:r>
          </w:p>
        </w:tc>
      </w:tr>
      <w:tr>
        <w:trPr/>
        <w:tc>
          <w:tcPr>
            <w:tcW w:w="7690" w:type="dxa"/>
            <w:tcBorders/>
            <w:shd w:fill="FFFFFF" w:val="clear"/>
            <w:vAlign w:val="center"/>
          </w:tcPr>
          <w:p>
            <w:pPr>
              <w:pStyle w:val="TableContents"/>
              <w:bidi w:val="0"/>
              <w:spacing w:before="0" w:after="283"/>
              <w:jc w:val="left"/>
              <w:rPr/>
            </w:pPr>
            <w:r>
              <w:rPr/>
              <w:t>Accrued expenses and other liabilities</w:t>
            </w:r>
          </w:p>
        </w:tc>
        <w:tc>
          <w:tcPr>
            <w:tcW w:w="60" w:type="dxa"/>
            <w:tcBorders/>
            <w:shd w:fill="FFFFFF" w:val="clear"/>
            <w:vAlign w:val="center"/>
          </w:tcPr>
          <w:p>
            <w:pPr>
              <w:pStyle w:val="TableContents"/>
              <w:bidi w:val="0"/>
              <w:spacing w:before="0" w:after="283"/>
              <w:jc w:val="left"/>
              <w:rPr/>
            </w:pPr>
            <w:r>
              <w:rPr/>
              <w:t> </w:t>
            </w:r>
          </w:p>
        </w:tc>
        <w:tc>
          <w:tcPr>
            <w:tcW w:w="165" w:type="dxa"/>
            <w:tcBorders/>
            <w:shd w:fill="FFFFFF" w:val="clear"/>
            <w:vAlign w:val="center"/>
          </w:tcPr>
          <w:p>
            <w:pPr>
              <w:pStyle w:val="TableContents"/>
              <w:bidi w:val="0"/>
              <w:spacing w:before="0" w:after="283"/>
              <w:jc w:val="left"/>
              <w:rPr/>
            </w:pPr>
            <w:r>
              <w:rPr/>
              <w:t> </w:t>
            </w:r>
          </w:p>
        </w:tc>
        <w:tc>
          <w:tcPr>
            <w:tcW w:w="897" w:type="dxa"/>
            <w:tcBorders/>
            <w:shd w:fill="FFFFFF" w:val="clear"/>
            <w:vAlign w:val="center"/>
          </w:tcPr>
          <w:p>
            <w:pPr>
              <w:pStyle w:val="TableContents"/>
              <w:bidi w:val="0"/>
              <w:spacing w:before="0" w:after="283"/>
              <w:jc w:val="right"/>
              <w:rPr/>
            </w:pPr>
            <w:r>
              <w:rPr/>
              <w:t>9,702</w:t>
            </w:r>
          </w:p>
        </w:tc>
        <w:tc>
          <w:tcPr>
            <w:tcW w:w="113" w:type="dxa"/>
            <w:tcBorders/>
            <w:shd w:fill="FFFFFF" w:val="clear"/>
            <w:vAlign w:val="center"/>
          </w:tcPr>
          <w:p>
            <w:pPr>
              <w:pStyle w:val="TableContents"/>
              <w:bidi w:val="0"/>
              <w:spacing w:before="0" w:after="283"/>
              <w:jc w:val="left"/>
              <w:rPr/>
            </w:pPr>
            <w:r>
              <w:rPr/>
              <w:t> </w:t>
            </w:r>
          </w:p>
        </w:tc>
        <w:tc>
          <w:tcPr>
            <w:tcW w:w="71"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925" w:type="dxa"/>
            <w:tcBorders/>
            <w:shd w:fill="FFFFFF" w:val="clear"/>
            <w:vAlign w:val="center"/>
          </w:tcPr>
          <w:p>
            <w:pPr>
              <w:pStyle w:val="TableContents"/>
              <w:bidi w:val="0"/>
              <w:spacing w:before="0" w:after="283"/>
              <w:jc w:val="right"/>
              <w:rPr/>
            </w:pPr>
            <w:r>
              <w:rPr/>
              <w:t>(5,525</w:t>
            </w:r>
          </w:p>
        </w:tc>
        <w:tc>
          <w:tcPr>
            <w:tcW w:w="114" w:type="dxa"/>
            <w:tcBorders/>
            <w:shd w:fill="FFFFFF" w:val="clear"/>
            <w:vAlign w:val="center"/>
          </w:tcPr>
          <w:p>
            <w:pPr>
              <w:pStyle w:val="TableContents"/>
              <w:bidi w:val="0"/>
              <w:spacing w:before="0" w:after="283"/>
              <w:jc w:val="left"/>
              <w:rPr/>
            </w:pPr>
            <w:r>
              <w:rPr/>
              <w:t>)</w:t>
            </w:r>
          </w:p>
        </w:tc>
      </w:tr>
      <w:tr>
        <w:trPr/>
        <w:tc>
          <w:tcPr>
            <w:tcW w:w="7690" w:type="dxa"/>
            <w:tcBorders/>
            <w:shd w:fill="CCEEFF" w:val="clear"/>
            <w:vAlign w:val="center"/>
          </w:tcPr>
          <w:p>
            <w:pPr>
              <w:pStyle w:val="TableContents"/>
              <w:bidi w:val="0"/>
              <w:spacing w:before="0" w:after="283"/>
              <w:jc w:val="left"/>
              <w:rPr/>
            </w:pPr>
            <w:r>
              <w:rPr/>
              <w:t>Contract liabilities</w:t>
            </w:r>
          </w:p>
        </w:tc>
        <w:tc>
          <w:tcPr>
            <w:tcW w:w="60" w:type="dxa"/>
            <w:tcBorders/>
            <w:shd w:fill="CCEEFF" w:val="clear"/>
            <w:vAlign w:val="center"/>
          </w:tcPr>
          <w:p>
            <w:pPr>
              <w:pStyle w:val="TableContents"/>
              <w:bidi w:val="0"/>
              <w:spacing w:before="0" w:after="283"/>
              <w:jc w:val="left"/>
              <w:rPr/>
            </w:pPr>
            <w:r>
              <w:rPr/>
              <w:t> </w:t>
            </w:r>
          </w:p>
        </w:tc>
        <w:tc>
          <w:tcPr>
            <w:tcW w:w="165"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97" w:type="dxa"/>
            <w:tcBorders>
              <w:bottom w:val="single" w:sz="12" w:space="0" w:color="000000"/>
            </w:tcBorders>
            <w:shd w:fill="CCEEFF" w:val="clear"/>
            <w:tcMar>
              <w:bottom w:w="28" w:type="dxa"/>
            </w:tcMar>
            <w:vAlign w:val="center"/>
          </w:tcPr>
          <w:p>
            <w:pPr>
              <w:pStyle w:val="TableContents"/>
              <w:bidi w:val="0"/>
              <w:spacing w:before="0" w:after="283"/>
              <w:jc w:val="right"/>
              <w:rPr/>
            </w:pPr>
            <w:r>
              <w:rPr/>
              <w:t>(12,940</w:t>
            </w:r>
          </w:p>
        </w:tc>
        <w:tc>
          <w:tcPr>
            <w:tcW w:w="113" w:type="dxa"/>
            <w:tcBorders/>
            <w:shd w:fill="CCEEFF" w:val="clear"/>
            <w:vAlign w:val="center"/>
          </w:tcPr>
          <w:p>
            <w:pPr>
              <w:pStyle w:val="TableContents"/>
              <w:bidi w:val="0"/>
              <w:spacing w:before="0" w:after="283"/>
              <w:jc w:val="left"/>
              <w:rPr/>
            </w:pPr>
            <w:r>
              <w:rPr/>
              <w:t>)</w:t>
            </w:r>
          </w:p>
        </w:tc>
        <w:tc>
          <w:tcPr>
            <w:tcW w:w="71" w:type="dxa"/>
            <w:tcBorders/>
            <w:shd w:fill="CCEEFF" w:val="clear"/>
            <w:vAlign w:val="center"/>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25" w:type="dxa"/>
            <w:tcBorders>
              <w:bottom w:val="single" w:sz="12" w:space="0" w:color="000000"/>
            </w:tcBorders>
            <w:shd w:fill="CCEEFF" w:val="clear"/>
            <w:tcMar>
              <w:bottom w:w="28" w:type="dxa"/>
            </w:tcMar>
            <w:vAlign w:val="center"/>
          </w:tcPr>
          <w:p>
            <w:pPr>
              <w:pStyle w:val="TableContents"/>
              <w:bidi w:val="0"/>
              <w:spacing w:before="0" w:after="283"/>
              <w:jc w:val="right"/>
              <w:rPr/>
            </w:pPr>
            <w:r>
              <w:rPr/>
              <w:t>3,064</w:t>
            </w:r>
          </w:p>
        </w:tc>
        <w:tc>
          <w:tcPr>
            <w:tcW w:w="114" w:type="dxa"/>
            <w:tcBorders/>
            <w:shd w:fill="CCEEFF" w:val="clear"/>
            <w:vAlign w:val="center"/>
          </w:tcPr>
          <w:p>
            <w:pPr>
              <w:pStyle w:val="TableContents"/>
              <w:bidi w:val="0"/>
              <w:spacing w:before="0" w:after="283"/>
              <w:jc w:val="left"/>
              <w:rPr/>
            </w:pPr>
            <w:r>
              <w:rPr/>
              <w:t> </w:t>
            </w:r>
          </w:p>
        </w:tc>
      </w:tr>
      <w:tr>
        <w:trPr/>
        <w:tc>
          <w:tcPr>
            <w:tcW w:w="7690" w:type="dxa"/>
            <w:tcBorders/>
            <w:shd w:fill="FFFFFF" w:val="clear"/>
            <w:vAlign w:val="center"/>
          </w:tcPr>
          <w:p>
            <w:pPr>
              <w:pStyle w:val="TableContents"/>
              <w:bidi w:val="0"/>
              <w:spacing w:before="0" w:after="283"/>
              <w:jc w:val="left"/>
              <w:rPr/>
            </w:pPr>
            <w:r>
              <w:rPr/>
              <w:t>Net cash used in operating activities</w:t>
            </w:r>
          </w:p>
        </w:tc>
        <w:tc>
          <w:tcPr>
            <w:tcW w:w="60" w:type="dxa"/>
            <w:tcBorders/>
            <w:shd w:fill="FFFFFF" w:val="clear"/>
            <w:vAlign w:val="center"/>
          </w:tcPr>
          <w:p>
            <w:pPr>
              <w:pStyle w:val="TableContents"/>
              <w:bidi w:val="0"/>
              <w:spacing w:before="0" w:after="283"/>
              <w:jc w:val="left"/>
              <w:rPr/>
            </w:pPr>
            <w:r>
              <w:rPr/>
              <w:t> </w:t>
            </w:r>
          </w:p>
        </w:tc>
        <w:tc>
          <w:tcPr>
            <w:tcW w:w="165"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897" w:type="dxa"/>
            <w:tcBorders>
              <w:bottom w:val="single" w:sz="12" w:space="0" w:color="000000"/>
            </w:tcBorders>
            <w:shd w:fill="FFFFFF" w:val="clear"/>
            <w:tcMar>
              <w:bottom w:w="28" w:type="dxa"/>
            </w:tcMar>
            <w:vAlign w:val="center"/>
          </w:tcPr>
          <w:p>
            <w:pPr>
              <w:pStyle w:val="TableContents"/>
              <w:bidi w:val="0"/>
              <w:spacing w:before="0" w:after="283"/>
              <w:jc w:val="right"/>
              <w:rPr/>
            </w:pPr>
            <w:r>
              <w:rPr/>
              <w:t>(25,656</w:t>
            </w:r>
          </w:p>
        </w:tc>
        <w:tc>
          <w:tcPr>
            <w:tcW w:w="113" w:type="dxa"/>
            <w:tcBorders/>
            <w:shd w:fill="FFFFFF" w:val="clear"/>
            <w:vAlign w:val="center"/>
          </w:tcPr>
          <w:p>
            <w:pPr>
              <w:pStyle w:val="TableContents"/>
              <w:bidi w:val="0"/>
              <w:spacing w:before="0" w:after="283"/>
              <w:jc w:val="left"/>
              <w:rPr/>
            </w:pPr>
            <w:r>
              <w:rPr/>
              <w:t>)</w:t>
            </w:r>
          </w:p>
        </w:tc>
        <w:tc>
          <w:tcPr>
            <w:tcW w:w="71" w:type="dxa"/>
            <w:tcBorders/>
            <w:shd w:fill="FFFFFF" w:val="clear"/>
            <w:vAlign w:val="center"/>
          </w:tcPr>
          <w:p>
            <w:pPr>
              <w:pStyle w:val="TableContents"/>
              <w:bidi w:val="0"/>
              <w:spacing w:before="0" w:after="283"/>
              <w:jc w:val="left"/>
              <w:rPr/>
            </w:pPr>
            <w:r>
              <w:rPr/>
              <w:t> </w:t>
            </w:r>
          </w:p>
        </w:tc>
        <w:tc>
          <w:tcPr>
            <w:tcW w:w="17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925" w:type="dxa"/>
            <w:tcBorders>
              <w:bottom w:val="single" w:sz="12" w:space="0" w:color="000000"/>
            </w:tcBorders>
            <w:shd w:fill="FFFFFF" w:val="clear"/>
            <w:tcMar>
              <w:bottom w:w="28" w:type="dxa"/>
            </w:tcMar>
            <w:vAlign w:val="center"/>
          </w:tcPr>
          <w:p>
            <w:pPr>
              <w:pStyle w:val="TableContents"/>
              <w:bidi w:val="0"/>
              <w:spacing w:before="0" w:after="283"/>
              <w:jc w:val="right"/>
              <w:rPr/>
            </w:pPr>
            <w:r>
              <w:rPr/>
              <w:t>(2,627</w:t>
            </w:r>
          </w:p>
        </w:tc>
        <w:tc>
          <w:tcPr>
            <w:tcW w:w="114" w:type="dxa"/>
            <w:tcBorders/>
            <w:shd w:fill="FFFFFF" w:val="clear"/>
            <w:vAlign w:val="center"/>
          </w:tcPr>
          <w:p>
            <w:pPr>
              <w:pStyle w:val="TableContents"/>
              <w:bidi w:val="0"/>
              <w:spacing w:before="0" w:after="283"/>
              <w:jc w:val="left"/>
              <w:rPr/>
            </w:pPr>
            <w:r>
              <w:rPr/>
              <w:t>)</w:t>
            </w:r>
          </w:p>
        </w:tc>
      </w:tr>
      <w:tr>
        <w:trPr/>
        <w:tc>
          <w:tcPr>
            <w:tcW w:w="7690" w:type="dxa"/>
            <w:tcBorders/>
            <w:shd w:fill="CCEEFF" w:val="clear"/>
            <w:vAlign w:val="center"/>
          </w:tcPr>
          <w:p>
            <w:pPr>
              <w:pStyle w:val="TableContents"/>
              <w:bidi w:val="0"/>
              <w:spacing w:before="0" w:after="283"/>
              <w:jc w:val="left"/>
              <w:rPr>
                <w:b/>
              </w:rPr>
            </w:pPr>
            <w:r>
              <w:rPr>
                <w:b/>
              </w:rPr>
              <w:t>Cash flows from investing activities</w:t>
            </w:r>
          </w:p>
        </w:tc>
        <w:tc>
          <w:tcPr>
            <w:tcW w:w="60" w:type="dxa"/>
            <w:tcBorders/>
            <w:shd w:fill="CCEEFF" w:val="clear"/>
            <w:vAlign w:val="center"/>
          </w:tcPr>
          <w:p>
            <w:pPr>
              <w:pStyle w:val="TableContents"/>
              <w:bidi w:val="0"/>
              <w:spacing w:before="0" w:after="283"/>
              <w:jc w:val="left"/>
              <w:rPr/>
            </w:pPr>
            <w:r>
              <w:rPr/>
              <w:t> </w:t>
            </w:r>
          </w:p>
        </w:tc>
        <w:tc>
          <w:tcPr>
            <w:tcW w:w="165" w:type="dxa"/>
            <w:tcBorders/>
            <w:shd w:fill="CCEEFF" w:val="clear"/>
            <w:vAlign w:val="center"/>
          </w:tcPr>
          <w:p>
            <w:pPr>
              <w:pStyle w:val="TableContents"/>
              <w:bidi w:val="0"/>
              <w:spacing w:before="0" w:after="283"/>
              <w:jc w:val="left"/>
              <w:rPr/>
            </w:pPr>
            <w:r>
              <w:rPr/>
              <w:t> </w:t>
            </w:r>
          </w:p>
        </w:tc>
        <w:tc>
          <w:tcPr>
            <w:tcW w:w="897" w:type="dxa"/>
            <w:tcBorders/>
            <w:shd w:fill="CCEEFF" w:val="clear"/>
            <w:vAlign w:val="center"/>
          </w:tcPr>
          <w:p>
            <w:pPr>
              <w:pStyle w:val="TableContents"/>
              <w:bidi w:val="0"/>
              <w:spacing w:before="0" w:after="283"/>
              <w:jc w:val="right"/>
              <w:rPr/>
            </w:pPr>
            <w:r>
              <w:rPr/>
              <w:t> </w:t>
            </w:r>
          </w:p>
        </w:tc>
        <w:tc>
          <w:tcPr>
            <w:tcW w:w="113" w:type="dxa"/>
            <w:tcBorders/>
            <w:shd w:fill="CCEEFF" w:val="clear"/>
            <w:vAlign w:val="center"/>
          </w:tcPr>
          <w:p>
            <w:pPr>
              <w:pStyle w:val="TableContents"/>
              <w:bidi w:val="0"/>
              <w:spacing w:before="0" w:after="283"/>
              <w:jc w:val="left"/>
              <w:rPr/>
            </w:pPr>
            <w:r>
              <w:rPr/>
              <w:t> </w:t>
            </w:r>
          </w:p>
        </w:tc>
        <w:tc>
          <w:tcPr>
            <w:tcW w:w="71"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925" w:type="dxa"/>
            <w:tcBorders/>
            <w:shd w:fill="CCEEFF" w:val="clear"/>
            <w:vAlign w:val="center"/>
          </w:tcPr>
          <w:p>
            <w:pPr>
              <w:pStyle w:val="TableContents"/>
              <w:bidi w:val="0"/>
              <w:spacing w:before="0" w:after="283"/>
              <w:jc w:val="right"/>
              <w:rPr/>
            </w:pPr>
            <w:r>
              <w:rPr/>
              <w:t> </w:t>
            </w:r>
          </w:p>
        </w:tc>
        <w:tc>
          <w:tcPr>
            <w:tcW w:w="114" w:type="dxa"/>
            <w:tcBorders/>
            <w:shd w:fill="CCEEFF" w:val="clear"/>
            <w:vAlign w:val="center"/>
          </w:tcPr>
          <w:p>
            <w:pPr>
              <w:pStyle w:val="TableContents"/>
              <w:bidi w:val="0"/>
              <w:spacing w:before="0" w:after="283"/>
              <w:jc w:val="left"/>
              <w:rPr/>
            </w:pPr>
            <w:r>
              <w:rPr/>
              <w:t> </w:t>
            </w:r>
          </w:p>
        </w:tc>
      </w:tr>
      <w:tr>
        <w:trPr/>
        <w:tc>
          <w:tcPr>
            <w:tcW w:w="7690" w:type="dxa"/>
            <w:tcBorders/>
            <w:shd w:fill="FFFFFF" w:val="clear"/>
            <w:vAlign w:val="center"/>
          </w:tcPr>
          <w:p>
            <w:pPr>
              <w:pStyle w:val="TableContents"/>
              <w:bidi w:val="0"/>
              <w:spacing w:before="0" w:after="283"/>
              <w:jc w:val="left"/>
              <w:rPr/>
            </w:pPr>
            <w:r>
              <w:rPr/>
              <w:t>Cash paid for acquisition, net of cash acquired</w:t>
            </w:r>
          </w:p>
        </w:tc>
        <w:tc>
          <w:tcPr>
            <w:tcW w:w="60" w:type="dxa"/>
            <w:tcBorders/>
            <w:shd w:fill="FFFFFF" w:val="clear"/>
            <w:vAlign w:val="center"/>
          </w:tcPr>
          <w:p>
            <w:pPr>
              <w:pStyle w:val="TableContents"/>
              <w:bidi w:val="0"/>
              <w:spacing w:before="0" w:after="283"/>
              <w:jc w:val="left"/>
              <w:rPr/>
            </w:pPr>
            <w:r>
              <w:rPr/>
              <w:t> </w:t>
            </w:r>
          </w:p>
        </w:tc>
        <w:tc>
          <w:tcPr>
            <w:tcW w:w="165"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897" w:type="dxa"/>
            <w:tcBorders>
              <w:bottom w:val="single" w:sz="12" w:space="0" w:color="000000"/>
            </w:tcBorders>
            <w:shd w:fill="FFFFFF" w:val="clear"/>
            <w:tcMar>
              <w:bottom w:w="28" w:type="dxa"/>
            </w:tcMar>
            <w:vAlign w:val="center"/>
          </w:tcPr>
          <w:p>
            <w:pPr>
              <w:pStyle w:val="TableContents"/>
              <w:bidi w:val="0"/>
              <w:spacing w:before="0" w:after="283"/>
              <w:jc w:val="right"/>
              <w:rPr/>
            </w:pPr>
            <w:r>
              <w:rPr/>
              <w:t>553</w:t>
            </w:r>
          </w:p>
        </w:tc>
        <w:tc>
          <w:tcPr>
            <w:tcW w:w="113" w:type="dxa"/>
            <w:tcBorders/>
            <w:shd w:fill="FFFFFF" w:val="clear"/>
            <w:vAlign w:val="center"/>
          </w:tcPr>
          <w:p>
            <w:pPr>
              <w:pStyle w:val="TableContents"/>
              <w:bidi w:val="0"/>
              <w:spacing w:before="0" w:after="283"/>
              <w:jc w:val="left"/>
              <w:rPr/>
            </w:pPr>
            <w:r>
              <w:rPr/>
              <w:t> </w:t>
            </w:r>
          </w:p>
        </w:tc>
        <w:tc>
          <w:tcPr>
            <w:tcW w:w="71" w:type="dxa"/>
            <w:tcBorders/>
            <w:shd w:fill="FFFFFF" w:val="clear"/>
            <w:vAlign w:val="center"/>
          </w:tcPr>
          <w:p>
            <w:pPr>
              <w:pStyle w:val="TableContents"/>
              <w:bidi w:val="0"/>
              <w:spacing w:before="0" w:after="283"/>
              <w:jc w:val="left"/>
              <w:rPr/>
            </w:pPr>
            <w:r>
              <w:rPr/>
              <w:t> </w:t>
            </w:r>
          </w:p>
        </w:tc>
        <w:tc>
          <w:tcPr>
            <w:tcW w:w="17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925"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114" w:type="dxa"/>
            <w:tcBorders/>
            <w:shd w:fill="FFFFFF" w:val="clear"/>
            <w:vAlign w:val="center"/>
          </w:tcPr>
          <w:p>
            <w:pPr>
              <w:pStyle w:val="TableContents"/>
              <w:bidi w:val="0"/>
              <w:spacing w:before="0" w:after="283"/>
              <w:jc w:val="left"/>
              <w:rPr/>
            </w:pPr>
            <w:r>
              <w:rPr/>
              <w:t> </w:t>
            </w:r>
          </w:p>
        </w:tc>
      </w:tr>
      <w:tr>
        <w:trPr/>
        <w:tc>
          <w:tcPr>
            <w:tcW w:w="7690" w:type="dxa"/>
            <w:tcBorders/>
            <w:shd w:fill="CCEEFF" w:val="clear"/>
            <w:vAlign w:val="center"/>
          </w:tcPr>
          <w:p>
            <w:pPr>
              <w:pStyle w:val="TableContents"/>
              <w:bidi w:val="0"/>
              <w:spacing w:before="0" w:after="283"/>
              <w:jc w:val="left"/>
              <w:rPr/>
            </w:pPr>
            <w:r>
              <w:rPr/>
              <w:t>Net cash used in investing activities</w:t>
            </w:r>
          </w:p>
        </w:tc>
        <w:tc>
          <w:tcPr>
            <w:tcW w:w="60" w:type="dxa"/>
            <w:tcBorders/>
            <w:shd w:fill="CCEEFF" w:val="clear"/>
            <w:vAlign w:val="center"/>
          </w:tcPr>
          <w:p>
            <w:pPr>
              <w:pStyle w:val="TableContents"/>
              <w:bidi w:val="0"/>
              <w:spacing w:before="0" w:after="283"/>
              <w:jc w:val="left"/>
              <w:rPr/>
            </w:pPr>
            <w:r>
              <w:rPr/>
              <w:t> </w:t>
            </w:r>
          </w:p>
        </w:tc>
        <w:tc>
          <w:tcPr>
            <w:tcW w:w="165"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97" w:type="dxa"/>
            <w:tcBorders>
              <w:bottom w:val="single" w:sz="12" w:space="0" w:color="000000"/>
            </w:tcBorders>
            <w:shd w:fill="CCEEFF" w:val="clear"/>
            <w:tcMar>
              <w:bottom w:w="28" w:type="dxa"/>
            </w:tcMar>
            <w:vAlign w:val="center"/>
          </w:tcPr>
          <w:p>
            <w:pPr>
              <w:pStyle w:val="TableContents"/>
              <w:bidi w:val="0"/>
              <w:spacing w:before="0" w:after="283"/>
              <w:jc w:val="right"/>
              <w:rPr/>
            </w:pPr>
            <w:r>
              <w:rPr/>
              <w:t>553</w:t>
            </w:r>
          </w:p>
        </w:tc>
        <w:tc>
          <w:tcPr>
            <w:tcW w:w="113" w:type="dxa"/>
            <w:tcBorders/>
            <w:shd w:fill="CCEEFF" w:val="clear"/>
            <w:vAlign w:val="center"/>
          </w:tcPr>
          <w:p>
            <w:pPr>
              <w:pStyle w:val="TableContents"/>
              <w:bidi w:val="0"/>
              <w:spacing w:before="0" w:after="283"/>
              <w:jc w:val="left"/>
              <w:rPr/>
            </w:pPr>
            <w:r>
              <w:rPr/>
              <w:t> </w:t>
            </w:r>
          </w:p>
        </w:tc>
        <w:tc>
          <w:tcPr>
            <w:tcW w:w="71" w:type="dxa"/>
            <w:tcBorders/>
            <w:shd w:fill="CCEEFF" w:val="clear"/>
            <w:vAlign w:val="center"/>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25"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114" w:type="dxa"/>
            <w:tcBorders/>
            <w:shd w:fill="CCEEFF" w:val="clear"/>
            <w:vAlign w:val="center"/>
          </w:tcPr>
          <w:p>
            <w:pPr>
              <w:pStyle w:val="TableContents"/>
              <w:bidi w:val="0"/>
              <w:spacing w:before="0" w:after="283"/>
              <w:jc w:val="left"/>
              <w:rPr/>
            </w:pPr>
            <w:r>
              <w:rPr/>
              <w:t> </w:t>
            </w:r>
          </w:p>
        </w:tc>
      </w:tr>
      <w:tr>
        <w:trPr/>
        <w:tc>
          <w:tcPr>
            <w:tcW w:w="7690" w:type="dxa"/>
            <w:tcBorders/>
            <w:shd w:fill="FFFFFF" w:val="clear"/>
            <w:vAlign w:val="center"/>
          </w:tcPr>
          <w:p>
            <w:pPr>
              <w:pStyle w:val="TableContents"/>
              <w:bidi w:val="0"/>
              <w:spacing w:before="0" w:after="283"/>
              <w:jc w:val="left"/>
              <w:rPr>
                <w:b/>
              </w:rPr>
            </w:pPr>
            <w:r>
              <w:rPr>
                <w:b/>
              </w:rPr>
              <w:t>Cash flows from financing activities</w:t>
            </w:r>
          </w:p>
        </w:tc>
        <w:tc>
          <w:tcPr>
            <w:tcW w:w="60" w:type="dxa"/>
            <w:tcBorders/>
            <w:shd w:fill="FFFFFF" w:val="clear"/>
            <w:vAlign w:val="center"/>
          </w:tcPr>
          <w:p>
            <w:pPr>
              <w:pStyle w:val="TableContents"/>
              <w:bidi w:val="0"/>
              <w:spacing w:before="0" w:after="283"/>
              <w:jc w:val="left"/>
              <w:rPr/>
            </w:pPr>
            <w:r>
              <w:rPr/>
              <w:t> </w:t>
            </w:r>
          </w:p>
        </w:tc>
        <w:tc>
          <w:tcPr>
            <w:tcW w:w="165" w:type="dxa"/>
            <w:tcBorders/>
            <w:shd w:fill="FFFFFF" w:val="clear"/>
            <w:vAlign w:val="center"/>
          </w:tcPr>
          <w:p>
            <w:pPr>
              <w:pStyle w:val="TableContents"/>
              <w:bidi w:val="0"/>
              <w:spacing w:before="0" w:after="283"/>
              <w:jc w:val="left"/>
              <w:rPr/>
            </w:pPr>
            <w:r>
              <w:rPr/>
              <w:t> </w:t>
            </w:r>
          </w:p>
        </w:tc>
        <w:tc>
          <w:tcPr>
            <w:tcW w:w="897" w:type="dxa"/>
            <w:tcBorders/>
            <w:shd w:fill="FFFFFF" w:val="clear"/>
            <w:vAlign w:val="center"/>
          </w:tcPr>
          <w:p>
            <w:pPr>
              <w:pStyle w:val="TableContents"/>
              <w:bidi w:val="0"/>
              <w:spacing w:before="0" w:after="283"/>
              <w:jc w:val="right"/>
              <w:rPr/>
            </w:pPr>
            <w:r>
              <w:rPr/>
              <w:t> </w:t>
            </w:r>
          </w:p>
        </w:tc>
        <w:tc>
          <w:tcPr>
            <w:tcW w:w="113" w:type="dxa"/>
            <w:tcBorders/>
            <w:shd w:fill="FFFFFF" w:val="clear"/>
            <w:vAlign w:val="center"/>
          </w:tcPr>
          <w:p>
            <w:pPr>
              <w:pStyle w:val="TableContents"/>
              <w:bidi w:val="0"/>
              <w:spacing w:before="0" w:after="283"/>
              <w:jc w:val="left"/>
              <w:rPr/>
            </w:pPr>
            <w:r>
              <w:rPr/>
              <w:t> </w:t>
            </w:r>
          </w:p>
        </w:tc>
        <w:tc>
          <w:tcPr>
            <w:tcW w:w="71"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925" w:type="dxa"/>
            <w:tcBorders/>
            <w:shd w:fill="FFFFFF" w:val="clear"/>
            <w:vAlign w:val="center"/>
          </w:tcPr>
          <w:p>
            <w:pPr>
              <w:pStyle w:val="TableContents"/>
              <w:bidi w:val="0"/>
              <w:spacing w:before="0" w:after="283"/>
              <w:jc w:val="right"/>
              <w:rPr/>
            </w:pPr>
            <w:r>
              <w:rPr/>
              <w:t> </w:t>
            </w:r>
          </w:p>
        </w:tc>
        <w:tc>
          <w:tcPr>
            <w:tcW w:w="114" w:type="dxa"/>
            <w:tcBorders/>
            <w:shd w:fill="FFFFFF" w:val="clear"/>
            <w:vAlign w:val="center"/>
          </w:tcPr>
          <w:p>
            <w:pPr>
              <w:pStyle w:val="TableContents"/>
              <w:bidi w:val="0"/>
              <w:spacing w:before="0" w:after="283"/>
              <w:jc w:val="left"/>
              <w:rPr/>
            </w:pPr>
            <w:r>
              <w:rPr/>
              <w:t> </w:t>
            </w:r>
          </w:p>
        </w:tc>
      </w:tr>
      <w:tr>
        <w:trPr/>
        <w:tc>
          <w:tcPr>
            <w:tcW w:w="7690" w:type="dxa"/>
            <w:tcBorders/>
            <w:shd w:fill="CCEEFF" w:val="clear"/>
            <w:vAlign w:val="center"/>
          </w:tcPr>
          <w:p>
            <w:pPr>
              <w:pStyle w:val="TableContents"/>
              <w:bidi w:val="0"/>
              <w:spacing w:before="0" w:after="283"/>
              <w:jc w:val="left"/>
              <w:rPr/>
            </w:pPr>
            <w:r>
              <w:rPr/>
              <w:t>Proceeds from issuance of convertible notes</w:t>
            </w:r>
          </w:p>
        </w:tc>
        <w:tc>
          <w:tcPr>
            <w:tcW w:w="60" w:type="dxa"/>
            <w:tcBorders/>
            <w:shd w:fill="CCEEFF" w:val="clear"/>
            <w:vAlign w:val="center"/>
          </w:tcPr>
          <w:p>
            <w:pPr>
              <w:pStyle w:val="TableContents"/>
              <w:bidi w:val="0"/>
              <w:spacing w:before="0" w:after="283"/>
              <w:jc w:val="left"/>
              <w:rPr/>
            </w:pPr>
            <w:r>
              <w:rPr/>
              <w:t> </w:t>
            </w:r>
          </w:p>
        </w:tc>
        <w:tc>
          <w:tcPr>
            <w:tcW w:w="165" w:type="dxa"/>
            <w:tcBorders/>
            <w:shd w:fill="CCEEFF" w:val="clear"/>
            <w:vAlign w:val="center"/>
          </w:tcPr>
          <w:p>
            <w:pPr>
              <w:pStyle w:val="TableContents"/>
              <w:bidi w:val="0"/>
              <w:spacing w:before="0" w:after="283"/>
              <w:jc w:val="left"/>
              <w:rPr/>
            </w:pPr>
            <w:r>
              <w:rPr/>
              <w:t> </w:t>
            </w:r>
          </w:p>
        </w:tc>
        <w:tc>
          <w:tcPr>
            <w:tcW w:w="897" w:type="dxa"/>
            <w:tcBorders/>
            <w:shd w:fill="CCEEFF" w:val="clear"/>
            <w:vAlign w:val="center"/>
          </w:tcPr>
          <w:p>
            <w:pPr>
              <w:pStyle w:val="TableContents"/>
              <w:bidi w:val="0"/>
              <w:spacing w:before="0" w:after="283"/>
              <w:jc w:val="right"/>
              <w:rPr/>
            </w:pPr>
            <w:r>
              <w:rPr/>
              <w:t>10,710</w:t>
            </w:r>
          </w:p>
        </w:tc>
        <w:tc>
          <w:tcPr>
            <w:tcW w:w="113" w:type="dxa"/>
            <w:tcBorders/>
            <w:shd w:fill="CCEEFF" w:val="clear"/>
            <w:vAlign w:val="center"/>
          </w:tcPr>
          <w:p>
            <w:pPr>
              <w:pStyle w:val="TableContents"/>
              <w:bidi w:val="0"/>
              <w:spacing w:before="0" w:after="283"/>
              <w:jc w:val="left"/>
              <w:rPr/>
            </w:pPr>
            <w:r>
              <w:rPr/>
              <w:t> </w:t>
            </w:r>
          </w:p>
        </w:tc>
        <w:tc>
          <w:tcPr>
            <w:tcW w:w="71"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925" w:type="dxa"/>
            <w:tcBorders/>
            <w:shd w:fill="CCEEFF" w:val="clear"/>
            <w:vAlign w:val="center"/>
          </w:tcPr>
          <w:p>
            <w:pPr>
              <w:pStyle w:val="TableContents"/>
              <w:bidi w:val="0"/>
              <w:spacing w:before="0" w:after="283"/>
              <w:jc w:val="right"/>
              <w:rPr/>
            </w:pPr>
            <w:r>
              <w:rPr/>
              <w:t>200</w:t>
            </w:r>
          </w:p>
        </w:tc>
        <w:tc>
          <w:tcPr>
            <w:tcW w:w="114" w:type="dxa"/>
            <w:tcBorders/>
            <w:shd w:fill="CCEEFF" w:val="clear"/>
            <w:vAlign w:val="center"/>
          </w:tcPr>
          <w:p>
            <w:pPr>
              <w:pStyle w:val="TableContents"/>
              <w:bidi w:val="0"/>
              <w:spacing w:before="0" w:after="283"/>
              <w:jc w:val="left"/>
              <w:rPr/>
            </w:pPr>
            <w:r>
              <w:rPr/>
              <w:t> </w:t>
            </w:r>
          </w:p>
        </w:tc>
      </w:tr>
      <w:tr>
        <w:trPr/>
        <w:tc>
          <w:tcPr>
            <w:tcW w:w="7690" w:type="dxa"/>
            <w:tcBorders/>
            <w:shd w:fill="FFFFFF" w:val="clear"/>
            <w:vAlign w:val="center"/>
          </w:tcPr>
          <w:p>
            <w:pPr>
              <w:pStyle w:val="TableContents"/>
              <w:bidi w:val="0"/>
              <w:spacing w:before="0" w:after="283"/>
              <w:jc w:val="left"/>
              <w:rPr/>
            </w:pPr>
            <w:r>
              <w:rPr/>
              <w:t>Proceeds from issuance of convertible notes due to related parties</w:t>
            </w:r>
          </w:p>
        </w:tc>
        <w:tc>
          <w:tcPr>
            <w:tcW w:w="60" w:type="dxa"/>
            <w:tcBorders/>
            <w:shd w:fill="FFFFFF" w:val="clear"/>
            <w:vAlign w:val="center"/>
          </w:tcPr>
          <w:p>
            <w:pPr>
              <w:pStyle w:val="TableContents"/>
              <w:bidi w:val="0"/>
              <w:spacing w:before="0" w:after="283"/>
              <w:jc w:val="left"/>
              <w:rPr/>
            </w:pPr>
            <w:r>
              <w:rPr/>
              <w:t> </w:t>
            </w:r>
          </w:p>
        </w:tc>
        <w:tc>
          <w:tcPr>
            <w:tcW w:w="165" w:type="dxa"/>
            <w:tcBorders/>
            <w:shd w:fill="FFFFFF" w:val="clear"/>
            <w:vAlign w:val="center"/>
          </w:tcPr>
          <w:p>
            <w:pPr>
              <w:pStyle w:val="TableContents"/>
              <w:bidi w:val="0"/>
              <w:spacing w:before="0" w:after="283"/>
              <w:jc w:val="left"/>
              <w:rPr/>
            </w:pPr>
            <w:r>
              <w:rPr/>
              <w:t> </w:t>
            </w:r>
          </w:p>
        </w:tc>
        <w:tc>
          <w:tcPr>
            <w:tcW w:w="897" w:type="dxa"/>
            <w:tcBorders/>
            <w:shd w:fill="FFFFFF" w:val="clear"/>
            <w:vAlign w:val="center"/>
          </w:tcPr>
          <w:p>
            <w:pPr>
              <w:pStyle w:val="TableContents"/>
              <w:bidi w:val="0"/>
              <w:spacing w:before="0" w:after="283"/>
              <w:jc w:val="right"/>
              <w:rPr/>
            </w:pPr>
            <w:r>
              <w:rPr/>
              <w:t>1,300</w:t>
            </w:r>
          </w:p>
        </w:tc>
        <w:tc>
          <w:tcPr>
            <w:tcW w:w="113" w:type="dxa"/>
            <w:tcBorders/>
            <w:shd w:fill="FFFFFF" w:val="clear"/>
            <w:vAlign w:val="center"/>
          </w:tcPr>
          <w:p>
            <w:pPr>
              <w:pStyle w:val="TableContents"/>
              <w:bidi w:val="0"/>
              <w:spacing w:before="0" w:after="283"/>
              <w:jc w:val="left"/>
              <w:rPr/>
            </w:pPr>
            <w:r>
              <w:rPr/>
              <w:t> </w:t>
            </w:r>
          </w:p>
        </w:tc>
        <w:tc>
          <w:tcPr>
            <w:tcW w:w="71"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925" w:type="dxa"/>
            <w:tcBorders/>
            <w:shd w:fill="FFFFFF" w:val="clear"/>
            <w:vAlign w:val="center"/>
          </w:tcPr>
          <w:p>
            <w:pPr>
              <w:pStyle w:val="TableContents"/>
              <w:bidi w:val="0"/>
              <w:spacing w:before="0" w:after="283"/>
              <w:jc w:val="right"/>
              <w:rPr/>
            </w:pPr>
            <w:r>
              <w:rPr/>
              <w:t>—</w:t>
            </w:r>
          </w:p>
        </w:tc>
        <w:tc>
          <w:tcPr>
            <w:tcW w:w="114" w:type="dxa"/>
            <w:tcBorders/>
            <w:shd w:fill="FFFFFF" w:val="clear"/>
            <w:vAlign w:val="center"/>
          </w:tcPr>
          <w:p>
            <w:pPr>
              <w:pStyle w:val="TableContents"/>
              <w:bidi w:val="0"/>
              <w:spacing w:before="0" w:after="283"/>
              <w:jc w:val="left"/>
              <w:rPr/>
            </w:pPr>
            <w:r>
              <w:rPr/>
              <w:t> </w:t>
            </w:r>
          </w:p>
        </w:tc>
      </w:tr>
      <w:tr>
        <w:trPr/>
        <w:tc>
          <w:tcPr>
            <w:tcW w:w="7690" w:type="dxa"/>
            <w:tcBorders/>
            <w:shd w:fill="CCEEFF" w:val="clear"/>
            <w:vAlign w:val="center"/>
          </w:tcPr>
          <w:p>
            <w:pPr>
              <w:pStyle w:val="TableContents"/>
              <w:bidi w:val="0"/>
              <w:spacing w:before="0" w:after="283"/>
              <w:jc w:val="left"/>
              <w:rPr/>
            </w:pPr>
            <w:r>
              <w:rPr/>
              <w:t>Finance lease payments</w:t>
            </w:r>
          </w:p>
        </w:tc>
        <w:tc>
          <w:tcPr>
            <w:tcW w:w="60" w:type="dxa"/>
            <w:tcBorders/>
            <w:shd w:fill="CCEEFF" w:val="clear"/>
            <w:vAlign w:val="center"/>
          </w:tcPr>
          <w:p>
            <w:pPr>
              <w:pStyle w:val="TableContents"/>
              <w:bidi w:val="0"/>
              <w:spacing w:before="0" w:after="283"/>
              <w:jc w:val="left"/>
              <w:rPr/>
            </w:pPr>
            <w:r>
              <w:rPr/>
              <w:t> </w:t>
            </w:r>
          </w:p>
        </w:tc>
        <w:tc>
          <w:tcPr>
            <w:tcW w:w="165" w:type="dxa"/>
            <w:tcBorders/>
            <w:shd w:fill="CCEEFF" w:val="clear"/>
            <w:vAlign w:val="center"/>
          </w:tcPr>
          <w:p>
            <w:pPr>
              <w:pStyle w:val="TableContents"/>
              <w:bidi w:val="0"/>
              <w:spacing w:before="0" w:after="283"/>
              <w:jc w:val="left"/>
              <w:rPr/>
            </w:pPr>
            <w:r>
              <w:rPr/>
              <w:t> </w:t>
            </w:r>
          </w:p>
        </w:tc>
        <w:tc>
          <w:tcPr>
            <w:tcW w:w="897" w:type="dxa"/>
            <w:tcBorders/>
            <w:shd w:fill="CCEEFF" w:val="clear"/>
            <w:vAlign w:val="center"/>
          </w:tcPr>
          <w:p>
            <w:pPr>
              <w:pStyle w:val="TableContents"/>
              <w:bidi w:val="0"/>
              <w:spacing w:before="0" w:after="283"/>
              <w:jc w:val="right"/>
              <w:rPr/>
            </w:pPr>
            <w:r>
              <w:rPr/>
              <w:t>(656</w:t>
            </w:r>
          </w:p>
        </w:tc>
        <w:tc>
          <w:tcPr>
            <w:tcW w:w="113" w:type="dxa"/>
            <w:tcBorders/>
            <w:shd w:fill="CCEEFF" w:val="clear"/>
            <w:vAlign w:val="center"/>
          </w:tcPr>
          <w:p>
            <w:pPr>
              <w:pStyle w:val="TableContents"/>
              <w:bidi w:val="0"/>
              <w:spacing w:before="0" w:after="283"/>
              <w:jc w:val="left"/>
              <w:rPr/>
            </w:pPr>
            <w:r>
              <w:rPr/>
              <w:t>)</w:t>
            </w:r>
          </w:p>
        </w:tc>
        <w:tc>
          <w:tcPr>
            <w:tcW w:w="71"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925" w:type="dxa"/>
            <w:tcBorders/>
            <w:shd w:fill="CCEEFF" w:val="clear"/>
            <w:vAlign w:val="center"/>
          </w:tcPr>
          <w:p>
            <w:pPr>
              <w:pStyle w:val="TableContents"/>
              <w:bidi w:val="0"/>
              <w:spacing w:before="0" w:after="283"/>
              <w:jc w:val="right"/>
              <w:rPr/>
            </w:pPr>
            <w:r>
              <w:rPr/>
              <w:t>(515</w:t>
            </w:r>
          </w:p>
        </w:tc>
        <w:tc>
          <w:tcPr>
            <w:tcW w:w="114" w:type="dxa"/>
            <w:tcBorders/>
            <w:shd w:fill="CCEEFF" w:val="clear"/>
            <w:vAlign w:val="center"/>
          </w:tcPr>
          <w:p>
            <w:pPr>
              <w:pStyle w:val="TableContents"/>
              <w:bidi w:val="0"/>
              <w:spacing w:before="0" w:after="283"/>
              <w:jc w:val="left"/>
              <w:rPr/>
            </w:pPr>
            <w:r>
              <w:rPr/>
              <w:t>)</w:t>
            </w:r>
          </w:p>
        </w:tc>
      </w:tr>
      <w:tr>
        <w:trPr/>
        <w:tc>
          <w:tcPr>
            <w:tcW w:w="7690" w:type="dxa"/>
            <w:tcBorders/>
            <w:shd w:fill="FFFFFF" w:val="clear"/>
            <w:vAlign w:val="center"/>
          </w:tcPr>
          <w:p>
            <w:pPr>
              <w:pStyle w:val="TableContents"/>
              <w:bidi w:val="0"/>
              <w:spacing w:before="0" w:after="283"/>
              <w:jc w:val="left"/>
              <w:rPr/>
            </w:pPr>
            <w:r>
              <w:rPr/>
              <w:t>Principal repayment of notes payable</w:t>
            </w:r>
          </w:p>
        </w:tc>
        <w:tc>
          <w:tcPr>
            <w:tcW w:w="60" w:type="dxa"/>
            <w:tcBorders/>
            <w:shd w:fill="FFFFFF" w:val="clear"/>
            <w:vAlign w:val="center"/>
          </w:tcPr>
          <w:p>
            <w:pPr>
              <w:pStyle w:val="TableContents"/>
              <w:bidi w:val="0"/>
              <w:spacing w:before="0" w:after="283"/>
              <w:jc w:val="left"/>
              <w:rPr/>
            </w:pPr>
            <w:r>
              <w:rPr/>
              <w:t> </w:t>
            </w:r>
          </w:p>
        </w:tc>
        <w:tc>
          <w:tcPr>
            <w:tcW w:w="165" w:type="dxa"/>
            <w:tcBorders/>
            <w:shd w:fill="FFFFFF" w:val="clear"/>
            <w:vAlign w:val="center"/>
          </w:tcPr>
          <w:p>
            <w:pPr>
              <w:pStyle w:val="TableContents"/>
              <w:bidi w:val="0"/>
              <w:spacing w:before="0" w:after="283"/>
              <w:jc w:val="left"/>
              <w:rPr/>
            </w:pPr>
            <w:r>
              <w:rPr/>
              <w:t> </w:t>
            </w:r>
          </w:p>
        </w:tc>
        <w:tc>
          <w:tcPr>
            <w:tcW w:w="897" w:type="dxa"/>
            <w:tcBorders/>
            <w:shd w:fill="FFFFFF" w:val="clear"/>
            <w:vAlign w:val="center"/>
          </w:tcPr>
          <w:p>
            <w:pPr>
              <w:pStyle w:val="TableContents"/>
              <w:bidi w:val="0"/>
              <w:spacing w:before="0" w:after="283"/>
              <w:jc w:val="right"/>
              <w:rPr/>
            </w:pPr>
            <w:r>
              <w:rPr/>
              <w:t>(1,078</w:t>
            </w:r>
          </w:p>
        </w:tc>
        <w:tc>
          <w:tcPr>
            <w:tcW w:w="113" w:type="dxa"/>
            <w:tcBorders/>
            <w:shd w:fill="FFFFFF" w:val="clear"/>
            <w:vAlign w:val="center"/>
          </w:tcPr>
          <w:p>
            <w:pPr>
              <w:pStyle w:val="TableContents"/>
              <w:bidi w:val="0"/>
              <w:spacing w:before="0" w:after="283"/>
              <w:jc w:val="left"/>
              <w:rPr/>
            </w:pPr>
            <w:r>
              <w:rPr/>
              <w:t>)</w:t>
            </w:r>
          </w:p>
        </w:tc>
        <w:tc>
          <w:tcPr>
            <w:tcW w:w="71"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925" w:type="dxa"/>
            <w:tcBorders/>
            <w:shd w:fill="FFFFFF" w:val="clear"/>
            <w:vAlign w:val="center"/>
          </w:tcPr>
          <w:p>
            <w:pPr>
              <w:pStyle w:val="TableContents"/>
              <w:bidi w:val="0"/>
              <w:spacing w:before="0" w:after="283"/>
              <w:jc w:val="right"/>
              <w:rPr/>
            </w:pPr>
            <w:r>
              <w:rPr/>
              <w:t>—</w:t>
            </w:r>
          </w:p>
        </w:tc>
        <w:tc>
          <w:tcPr>
            <w:tcW w:w="114" w:type="dxa"/>
            <w:tcBorders/>
            <w:shd w:fill="FFFFFF" w:val="clear"/>
            <w:vAlign w:val="center"/>
          </w:tcPr>
          <w:p>
            <w:pPr>
              <w:pStyle w:val="TableContents"/>
              <w:bidi w:val="0"/>
              <w:spacing w:before="0" w:after="283"/>
              <w:jc w:val="left"/>
              <w:rPr/>
            </w:pPr>
            <w:r>
              <w:rPr/>
              <w:t> </w:t>
            </w:r>
          </w:p>
        </w:tc>
      </w:tr>
      <w:tr>
        <w:trPr/>
        <w:tc>
          <w:tcPr>
            <w:tcW w:w="7690" w:type="dxa"/>
            <w:tcBorders/>
            <w:shd w:fill="CCEEFF" w:val="clear"/>
            <w:vAlign w:val="center"/>
          </w:tcPr>
          <w:p>
            <w:pPr>
              <w:pStyle w:val="TableContents"/>
              <w:bidi w:val="0"/>
              <w:spacing w:before="0" w:after="283"/>
              <w:jc w:val="left"/>
              <w:rPr/>
            </w:pPr>
            <w:r>
              <w:rPr/>
              <w:t>Proceeds from issuance of common stock</w:t>
            </w:r>
          </w:p>
        </w:tc>
        <w:tc>
          <w:tcPr>
            <w:tcW w:w="60" w:type="dxa"/>
            <w:tcBorders/>
            <w:shd w:fill="CCEEFF" w:val="clear"/>
            <w:vAlign w:val="center"/>
          </w:tcPr>
          <w:p>
            <w:pPr>
              <w:pStyle w:val="TableContents"/>
              <w:bidi w:val="0"/>
              <w:spacing w:before="0" w:after="283"/>
              <w:jc w:val="left"/>
              <w:rPr/>
            </w:pPr>
            <w:r>
              <w:rPr/>
              <w:t> </w:t>
            </w:r>
          </w:p>
        </w:tc>
        <w:tc>
          <w:tcPr>
            <w:tcW w:w="165" w:type="dxa"/>
            <w:tcBorders/>
            <w:shd w:fill="CCEEFF" w:val="clear"/>
            <w:vAlign w:val="center"/>
          </w:tcPr>
          <w:p>
            <w:pPr>
              <w:pStyle w:val="TableContents"/>
              <w:bidi w:val="0"/>
              <w:spacing w:before="0" w:after="283"/>
              <w:jc w:val="left"/>
              <w:rPr/>
            </w:pPr>
            <w:r>
              <w:rPr/>
              <w:t> </w:t>
            </w:r>
          </w:p>
        </w:tc>
        <w:tc>
          <w:tcPr>
            <w:tcW w:w="897" w:type="dxa"/>
            <w:tcBorders/>
            <w:shd w:fill="CCEEFF" w:val="clear"/>
            <w:vAlign w:val="center"/>
          </w:tcPr>
          <w:p>
            <w:pPr>
              <w:pStyle w:val="TableContents"/>
              <w:bidi w:val="0"/>
              <w:spacing w:before="0" w:after="283"/>
              <w:jc w:val="right"/>
              <w:rPr/>
            </w:pPr>
            <w:r>
              <w:rPr/>
              <w:t>6,991</w:t>
            </w:r>
          </w:p>
        </w:tc>
        <w:tc>
          <w:tcPr>
            <w:tcW w:w="113" w:type="dxa"/>
            <w:tcBorders/>
            <w:shd w:fill="CCEEFF" w:val="clear"/>
            <w:vAlign w:val="center"/>
          </w:tcPr>
          <w:p>
            <w:pPr>
              <w:pStyle w:val="TableContents"/>
              <w:bidi w:val="0"/>
              <w:spacing w:before="0" w:after="283"/>
              <w:jc w:val="left"/>
              <w:rPr/>
            </w:pPr>
            <w:r>
              <w:rPr/>
              <w:t> </w:t>
            </w:r>
          </w:p>
        </w:tc>
        <w:tc>
          <w:tcPr>
            <w:tcW w:w="71"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925" w:type="dxa"/>
            <w:tcBorders/>
            <w:shd w:fill="CCEEFF" w:val="clear"/>
            <w:vAlign w:val="center"/>
          </w:tcPr>
          <w:p>
            <w:pPr>
              <w:pStyle w:val="TableContents"/>
              <w:bidi w:val="0"/>
              <w:spacing w:before="0" w:after="283"/>
              <w:jc w:val="right"/>
              <w:rPr/>
            </w:pPr>
            <w:r>
              <w:rPr/>
              <w:t>—</w:t>
            </w:r>
          </w:p>
        </w:tc>
        <w:tc>
          <w:tcPr>
            <w:tcW w:w="114" w:type="dxa"/>
            <w:tcBorders/>
            <w:shd w:fill="CCEEFF" w:val="clear"/>
            <w:vAlign w:val="center"/>
          </w:tcPr>
          <w:p>
            <w:pPr>
              <w:pStyle w:val="TableContents"/>
              <w:bidi w:val="0"/>
              <w:spacing w:before="0" w:after="283"/>
              <w:jc w:val="left"/>
              <w:rPr/>
            </w:pPr>
            <w:r>
              <w:rPr/>
              <w:t> </w:t>
            </w:r>
          </w:p>
        </w:tc>
      </w:tr>
      <w:tr>
        <w:trPr/>
        <w:tc>
          <w:tcPr>
            <w:tcW w:w="7690" w:type="dxa"/>
            <w:tcBorders/>
            <w:shd w:fill="FFFFFF" w:val="clear"/>
            <w:vAlign w:val="center"/>
          </w:tcPr>
          <w:p>
            <w:pPr>
              <w:pStyle w:val="TableContents"/>
              <w:bidi w:val="0"/>
              <w:spacing w:before="0" w:after="283"/>
              <w:jc w:val="left"/>
              <w:rPr/>
            </w:pPr>
            <w:r>
              <w:rPr/>
              <w:t>Proceeds from exercise of common stock options</w:t>
            </w:r>
          </w:p>
        </w:tc>
        <w:tc>
          <w:tcPr>
            <w:tcW w:w="60" w:type="dxa"/>
            <w:tcBorders/>
            <w:shd w:fill="FFFFFF" w:val="clear"/>
            <w:vAlign w:val="center"/>
          </w:tcPr>
          <w:p>
            <w:pPr>
              <w:pStyle w:val="TableContents"/>
              <w:bidi w:val="0"/>
              <w:spacing w:before="0" w:after="283"/>
              <w:jc w:val="left"/>
              <w:rPr/>
            </w:pPr>
            <w:r>
              <w:rPr/>
              <w:t> </w:t>
            </w:r>
          </w:p>
        </w:tc>
        <w:tc>
          <w:tcPr>
            <w:tcW w:w="165" w:type="dxa"/>
            <w:tcBorders/>
            <w:shd w:fill="FFFFFF" w:val="clear"/>
            <w:vAlign w:val="center"/>
          </w:tcPr>
          <w:p>
            <w:pPr>
              <w:pStyle w:val="TableContents"/>
              <w:bidi w:val="0"/>
              <w:spacing w:before="0" w:after="283"/>
              <w:jc w:val="left"/>
              <w:rPr/>
            </w:pPr>
            <w:r>
              <w:rPr/>
              <w:t> </w:t>
            </w:r>
          </w:p>
        </w:tc>
        <w:tc>
          <w:tcPr>
            <w:tcW w:w="897" w:type="dxa"/>
            <w:tcBorders/>
            <w:shd w:fill="FFFFFF" w:val="clear"/>
            <w:vAlign w:val="center"/>
          </w:tcPr>
          <w:p>
            <w:pPr>
              <w:pStyle w:val="TableContents"/>
              <w:bidi w:val="0"/>
              <w:spacing w:before="0" w:after="283"/>
              <w:jc w:val="right"/>
              <w:rPr/>
            </w:pPr>
            <w:r>
              <w:rPr/>
              <w:t>—</w:t>
            </w:r>
          </w:p>
        </w:tc>
        <w:tc>
          <w:tcPr>
            <w:tcW w:w="113" w:type="dxa"/>
            <w:tcBorders/>
            <w:shd w:fill="FFFFFF" w:val="clear"/>
            <w:vAlign w:val="center"/>
          </w:tcPr>
          <w:p>
            <w:pPr>
              <w:pStyle w:val="TableContents"/>
              <w:bidi w:val="0"/>
              <w:spacing w:before="0" w:after="283"/>
              <w:jc w:val="left"/>
              <w:rPr/>
            </w:pPr>
            <w:r>
              <w:rPr/>
              <w:t> </w:t>
            </w:r>
          </w:p>
        </w:tc>
        <w:tc>
          <w:tcPr>
            <w:tcW w:w="71"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925" w:type="dxa"/>
            <w:tcBorders/>
            <w:shd w:fill="FFFFFF" w:val="clear"/>
            <w:vAlign w:val="center"/>
          </w:tcPr>
          <w:p>
            <w:pPr>
              <w:pStyle w:val="TableContents"/>
              <w:bidi w:val="0"/>
              <w:spacing w:before="0" w:after="283"/>
              <w:jc w:val="right"/>
              <w:rPr/>
            </w:pPr>
            <w:r>
              <w:rPr/>
              <w:t>57</w:t>
            </w:r>
          </w:p>
        </w:tc>
        <w:tc>
          <w:tcPr>
            <w:tcW w:w="114" w:type="dxa"/>
            <w:tcBorders/>
            <w:shd w:fill="FFFFFF" w:val="clear"/>
            <w:vAlign w:val="center"/>
          </w:tcPr>
          <w:p>
            <w:pPr>
              <w:pStyle w:val="TableContents"/>
              <w:bidi w:val="0"/>
              <w:spacing w:before="0" w:after="283"/>
              <w:jc w:val="left"/>
              <w:rPr/>
            </w:pPr>
            <w:r>
              <w:rPr/>
              <w:t> </w:t>
            </w:r>
          </w:p>
        </w:tc>
      </w:tr>
      <w:tr>
        <w:trPr/>
        <w:tc>
          <w:tcPr>
            <w:tcW w:w="7690" w:type="dxa"/>
            <w:tcBorders/>
            <w:shd w:fill="CCEEFF" w:val="clear"/>
            <w:vAlign w:val="center"/>
          </w:tcPr>
          <w:p>
            <w:pPr>
              <w:pStyle w:val="TableContents"/>
              <w:bidi w:val="0"/>
              <w:spacing w:before="0" w:after="283"/>
              <w:jc w:val="left"/>
              <w:rPr/>
            </w:pPr>
            <w:r>
              <w:rPr/>
              <w:t>Proceeds from exercise of warrant for common stock</w:t>
            </w:r>
          </w:p>
        </w:tc>
        <w:tc>
          <w:tcPr>
            <w:tcW w:w="60" w:type="dxa"/>
            <w:tcBorders/>
            <w:shd w:fill="CCEEFF" w:val="clear"/>
            <w:vAlign w:val="center"/>
          </w:tcPr>
          <w:p>
            <w:pPr>
              <w:pStyle w:val="TableContents"/>
              <w:bidi w:val="0"/>
              <w:spacing w:before="0" w:after="283"/>
              <w:jc w:val="left"/>
              <w:rPr/>
            </w:pPr>
            <w:r>
              <w:rPr/>
              <w:t> </w:t>
            </w:r>
          </w:p>
        </w:tc>
        <w:tc>
          <w:tcPr>
            <w:tcW w:w="165" w:type="dxa"/>
            <w:tcBorders/>
            <w:shd w:fill="CCEEFF" w:val="clear"/>
            <w:vAlign w:val="center"/>
          </w:tcPr>
          <w:p>
            <w:pPr>
              <w:pStyle w:val="TableContents"/>
              <w:bidi w:val="0"/>
              <w:spacing w:before="0" w:after="283"/>
              <w:jc w:val="left"/>
              <w:rPr/>
            </w:pPr>
            <w:r>
              <w:rPr/>
              <w:t> </w:t>
            </w:r>
          </w:p>
        </w:tc>
        <w:tc>
          <w:tcPr>
            <w:tcW w:w="897" w:type="dxa"/>
            <w:tcBorders/>
            <w:shd w:fill="CCEEFF" w:val="clear"/>
            <w:vAlign w:val="center"/>
          </w:tcPr>
          <w:p>
            <w:pPr>
              <w:pStyle w:val="TableContents"/>
              <w:bidi w:val="0"/>
              <w:spacing w:before="0" w:after="283"/>
              <w:jc w:val="right"/>
              <w:rPr/>
            </w:pPr>
            <w:r>
              <w:rPr/>
              <w:t>—</w:t>
            </w:r>
          </w:p>
        </w:tc>
        <w:tc>
          <w:tcPr>
            <w:tcW w:w="113" w:type="dxa"/>
            <w:tcBorders/>
            <w:shd w:fill="CCEEFF" w:val="clear"/>
            <w:vAlign w:val="center"/>
          </w:tcPr>
          <w:p>
            <w:pPr>
              <w:pStyle w:val="TableContents"/>
              <w:bidi w:val="0"/>
              <w:spacing w:before="0" w:after="283"/>
              <w:jc w:val="left"/>
              <w:rPr/>
            </w:pPr>
            <w:r>
              <w:rPr/>
              <w:t> </w:t>
            </w:r>
          </w:p>
        </w:tc>
        <w:tc>
          <w:tcPr>
            <w:tcW w:w="71"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925" w:type="dxa"/>
            <w:tcBorders/>
            <w:shd w:fill="CCEEFF" w:val="clear"/>
            <w:vAlign w:val="center"/>
          </w:tcPr>
          <w:p>
            <w:pPr>
              <w:pStyle w:val="TableContents"/>
              <w:bidi w:val="0"/>
              <w:spacing w:before="0" w:after="283"/>
              <w:jc w:val="right"/>
              <w:rPr/>
            </w:pPr>
            <w:r>
              <w:rPr/>
              <w:t>60</w:t>
            </w:r>
          </w:p>
        </w:tc>
        <w:tc>
          <w:tcPr>
            <w:tcW w:w="114" w:type="dxa"/>
            <w:tcBorders/>
            <w:shd w:fill="CCEEFF" w:val="clear"/>
            <w:vAlign w:val="center"/>
          </w:tcPr>
          <w:p>
            <w:pPr>
              <w:pStyle w:val="TableContents"/>
              <w:bidi w:val="0"/>
              <w:spacing w:before="0" w:after="283"/>
              <w:jc w:val="left"/>
              <w:rPr/>
            </w:pPr>
            <w:r>
              <w:rPr/>
              <w:t> </w:t>
            </w:r>
          </w:p>
        </w:tc>
      </w:tr>
      <w:tr>
        <w:trPr/>
        <w:tc>
          <w:tcPr>
            <w:tcW w:w="7690" w:type="dxa"/>
            <w:tcBorders/>
            <w:shd w:fill="FFFFFF" w:val="clear"/>
            <w:vAlign w:val="center"/>
          </w:tcPr>
          <w:p>
            <w:pPr>
              <w:pStyle w:val="TableContents"/>
              <w:bidi w:val="0"/>
              <w:spacing w:before="0" w:after="283"/>
              <w:jc w:val="left"/>
              <w:rPr/>
            </w:pPr>
            <w:r>
              <w:rPr/>
              <w:t>Investor financing deposit</w:t>
            </w:r>
          </w:p>
        </w:tc>
        <w:tc>
          <w:tcPr>
            <w:tcW w:w="60" w:type="dxa"/>
            <w:tcBorders/>
            <w:shd w:fill="FFFFFF" w:val="clear"/>
            <w:vAlign w:val="center"/>
          </w:tcPr>
          <w:p>
            <w:pPr>
              <w:pStyle w:val="TableContents"/>
              <w:bidi w:val="0"/>
              <w:spacing w:before="0" w:after="283"/>
              <w:jc w:val="left"/>
              <w:rPr/>
            </w:pPr>
            <w:r>
              <w:rPr/>
              <w:t> </w:t>
            </w:r>
          </w:p>
        </w:tc>
        <w:tc>
          <w:tcPr>
            <w:tcW w:w="165"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897" w:type="dxa"/>
            <w:tcBorders>
              <w:bottom w:val="single" w:sz="12" w:space="0" w:color="000000"/>
            </w:tcBorders>
            <w:shd w:fill="FFFFFF" w:val="clear"/>
            <w:tcMar>
              <w:bottom w:w="28" w:type="dxa"/>
            </w:tcMar>
            <w:vAlign w:val="center"/>
          </w:tcPr>
          <w:p>
            <w:pPr>
              <w:pStyle w:val="TableContents"/>
              <w:bidi w:val="0"/>
              <w:spacing w:before="0" w:after="283"/>
              <w:jc w:val="right"/>
              <w:rPr/>
            </w:pPr>
            <w:r>
              <w:rPr/>
              <w:t>5,000</w:t>
            </w:r>
          </w:p>
        </w:tc>
        <w:tc>
          <w:tcPr>
            <w:tcW w:w="113" w:type="dxa"/>
            <w:tcBorders/>
            <w:shd w:fill="FFFFFF" w:val="clear"/>
            <w:vAlign w:val="center"/>
          </w:tcPr>
          <w:p>
            <w:pPr>
              <w:pStyle w:val="TableContents"/>
              <w:bidi w:val="0"/>
              <w:spacing w:before="0" w:after="283"/>
              <w:jc w:val="left"/>
              <w:rPr/>
            </w:pPr>
            <w:r>
              <w:rPr/>
              <w:t> </w:t>
            </w:r>
          </w:p>
        </w:tc>
        <w:tc>
          <w:tcPr>
            <w:tcW w:w="71" w:type="dxa"/>
            <w:tcBorders/>
            <w:shd w:fill="FFFFFF" w:val="clear"/>
            <w:vAlign w:val="center"/>
          </w:tcPr>
          <w:p>
            <w:pPr>
              <w:pStyle w:val="TableContents"/>
              <w:bidi w:val="0"/>
              <w:spacing w:before="0" w:after="283"/>
              <w:jc w:val="left"/>
              <w:rPr/>
            </w:pPr>
            <w:r>
              <w:rPr/>
              <w:t> </w:t>
            </w:r>
          </w:p>
        </w:tc>
        <w:tc>
          <w:tcPr>
            <w:tcW w:w="17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925"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114" w:type="dxa"/>
            <w:tcBorders/>
            <w:shd w:fill="FFFFFF" w:val="clear"/>
            <w:vAlign w:val="center"/>
          </w:tcPr>
          <w:p>
            <w:pPr>
              <w:pStyle w:val="TableContents"/>
              <w:bidi w:val="0"/>
              <w:spacing w:before="0" w:after="283"/>
              <w:jc w:val="left"/>
              <w:rPr/>
            </w:pPr>
            <w:r>
              <w:rPr/>
              <w:t> </w:t>
            </w:r>
          </w:p>
        </w:tc>
      </w:tr>
      <w:tr>
        <w:trPr/>
        <w:tc>
          <w:tcPr>
            <w:tcW w:w="7690" w:type="dxa"/>
            <w:tcBorders/>
            <w:shd w:fill="CCEEFF" w:val="clear"/>
            <w:vAlign w:val="center"/>
          </w:tcPr>
          <w:p>
            <w:pPr>
              <w:pStyle w:val="TableContents"/>
              <w:bidi w:val="0"/>
              <w:spacing w:before="0" w:after="283"/>
              <w:jc w:val="left"/>
              <w:rPr/>
            </w:pPr>
            <w:r>
              <w:rPr/>
              <w:t>Net cash provided by (used in) financing activities</w:t>
            </w:r>
          </w:p>
        </w:tc>
        <w:tc>
          <w:tcPr>
            <w:tcW w:w="60" w:type="dxa"/>
            <w:tcBorders/>
            <w:shd w:fill="CCEEFF" w:val="clear"/>
            <w:vAlign w:val="center"/>
          </w:tcPr>
          <w:p>
            <w:pPr>
              <w:pStyle w:val="TableContents"/>
              <w:bidi w:val="0"/>
              <w:spacing w:before="0" w:after="283"/>
              <w:jc w:val="left"/>
              <w:rPr/>
            </w:pPr>
            <w:r>
              <w:rPr/>
              <w:t> </w:t>
            </w:r>
          </w:p>
        </w:tc>
        <w:tc>
          <w:tcPr>
            <w:tcW w:w="165"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97" w:type="dxa"/>
            <w:tcBorders>
              <w:bottom w:val="single" w:sz="12" w:space="0" w:color="000000"/>
            </w:tcBorders>
            <w:shd w:fill="CCEEFF" w:val="clear"/>
            <w:tcMar>
              <w:bottom w:w="28" w:type="dxa"/>
            </w:tcMar>
            <w:vAlign w:val="center"/>
          </w:tcPr>
          <w:p>
            <w:pPr>
              <w:pStyle w:val="TableContents"/>
              <w:bidi w:val="0"/>
              <w:spacing w:before="0" w:after="283"/>
              <w:jc w:val="right"/>
              <w:rPr/>
            </w:pPr>
            <w:r>
              <w:rPr/>
              <w:t>22,267</w:t>
            </w:r>
          </w:p>
        </w:tc>
        <w:tc>
          <w:tcPr>
            <w:tcW w:w="113" w:type="dxa"/>
            <w:tcBorders/>
            <w:shd w:fill="CCEEFF" w:val="clear"/>
            <w:vAlign w:val="center"/>
          </w:tcPr>
          <w:p>
            <w:pPr>
              <w:pStyle w:val="TableContents"/>
              <w:bidi w:val="0"/>
              <w:spacing w:before="0" w:after="283"/>
              <w:jc w:val="left"/>
              <w:rPr/>
            </w:pPr>
            <w:r>
              <w:rPr/>
              <w:t> </w:t>
            </w:r>
          </w:p>
        </w:tc>
        <w:tc>
          <w:tcPr>
            <w:tcW w:w="71" w:type="dxa"/>
            <w:tcBorders/>
            <w:shd w:fill="CCEEFF" w:val="clear"/>
            <w:vAlign w:val="center"/>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25" w:type="dxa"/>
            <w:tcBorders>
              <w:bottom w:val="single" w:sz="12" w:space="0" w:color="000000"/>
            </w:tcBorders>
            <w:shd w:fill="CCEEFF" w:val="clear"/>
            <w:tcMar>
              <w:bottom w:w="28" w:type="dxa"/>
            </w:tcMar>
            <w:vAlign w:val="center"/>
          </w:tcPr>
          <w:p>
            <w:pPr>
              <w:pStyle w:val="TableContents"/>
              <w:bidi w:val="0"/>
              <w:spacing w:before="0" w:after="283"/>
              <w:jc w:val="right"/>
              <w:rPr/>
            </w:pPr>
            <w:r>
              <w:rPr/>
              <w:t>(198</w:t>
            </w:r>
          </w:p>
        </w:tc>
        <w:tc>
          <w:tcPr>
            <w:tcW w:w="114" w:type="dxa"/>
            <w:tcBorders/>
            <w:shd w:fill="CCEEFF" w:val="clear"/>
            <w:vAlign w:val="center"/>
          </w:tcPr>
          <w:p>
            <w:pPr>
              <w:pStyle w:val="TableContents"/>
              <w:bidi w:val="0"/>
              <w:spacing w:before="0" w:after="283"/>
              <w:jc w:val="left"/>
              <w:rPr/>
            </w:pPr>
            <w:r>
              <w:rPr/>
              <w:t>)</w:t>
            </w:r>
          </w:p>
        </w:tc>
      </w:tr>
      <w:tr>
        <w:trPr/>
        <w:tc>
          <w:tcPr>
            <w:tcW w:w="7690" w:type="dxa"/>
            <w:tcBorders/>
            <w:shd w:fill="FFFFFF" w:val="clear"/>
            <w:vAlign w:val="center"/>
          </w:tcPr>
          <w:p>
            <w:pPr>
              <w:pStyle w:val="TableContents"/>
              <w:bidi w:val="0"/>
              <w:spacing w:before="0" w:after="283"/>
              <w:jc w:val="left"/>
              <w:rPr/>
            </w:pPr>
            <w:r>
              <w:rPr/>
              <w:t>Net decrease in cash, cash equivalents and restricted cash</w:t>
            </w:r>
          </w:p>
        </w:tc>
        <w:tc>
          <w:tcPr>
            <w:tcW w:w="60" w:type="dxa"/>
            <w:tcBorders/>
            <w:shd w:fill="FFFFFF" w:val="clear"/>
            <w:vAlign w:val="center"/>
          </w:tcPr>
          <w:p>
            <w:pPr>
              <w:pStyle w:val="TableContents"/>
              <w:bidi w:val="0"/>
              <w:spacing w:before="0" w:after="283"/>
              <w:jc w:val="left"/>
              <w:rPr/>
            </w:pPr>
            <w:r>
              <w:rPr/>
              <w:t> </w:t>
            </w:r>
          </w:p>
        </w:tc>
        <w:tc>
          <w:tcPr>
            <w:tcW w:w="165"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897" w:type="dxa"/>
            <w:tcBorders>
              <w:bottom w:val="single" w:sz="12" w:space="0" w:color="000000"/>
            </w:tcBorders>
            <w:shd w:fill="FFFFFF" w:val="clear"/>
            <w:tcMar>
              <w:bottom w:w="28" w:type="dxa"/>
            </w:tcMar>
            <w:vAlign w:val="center"/>
          </w:tcPr>
          <w:p>
            <w:pPr>
              <w:pStyle w:val="TableContents"/>
              <w:bidi w:val="0"/>
              <w:spacing w:before="0" w:after="283"/>
              <w:jc w:val="right"/>
              <w:rPr/>
            </w:pPr>
            <w:r>
              <w:rPr/>
              <w:t>(2,836</w:t>
            </w:r>
          </w:p>
        </w:tc>
        <w:tc>
          <w:tcPr>
            <w:tcW w:w="113" w:type="dxa"/>
            <w:tcBorders/>
            <w:shd w:fill="FFFFFF" w:val="clear"/>
            <w:vAlign w:val="center"/>
          </w:tcPr>
          <w:p>
            <w:pPr>
              <w:pStyle w:val="TableContents"/>
              <w:bidi w:val="0"/>
              <w:spacing w:before="0" w:after="283"/>
              <w:jc w:val="left"/>
              <w:rPr/>
            </w:pPr>
            <w:r>
              <w:rPr/>
              <w:t>)</w:t>
            </w:r>
          </w:p>
        </w:tc>
        <w:tc>
          <w:tcPr>
            <w:tcW w:w="71" w:type="dxa"/>
            <w:tcBorders/>
            <w:shd w:fill="FFFFFF" w:val="clear"/>
            <w:vAlign w:val="center"/>
          </w:tcPr>
          <w:p>
            <w:pPr>
              <w:pStyle w:val="TableContents"/>
              <w:bidi w:val="0"/>
              <w:spacing w:before="0" w:after="283"/>
              <w:jc w:val="left"/>
              <w:rPr/>
            </w:pPr>
            <w:r>
              <w:rPr/>
              <w:t> </w:t>
            </w:r>
          </w:p>
        </w:tc>
        <w:tc>
          <w:tcPr>
            <w:tcW w:w="17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925" w:type="dxa"/>
            <w:tcBorders>
              <w:bottom w:val="single" w:sz="12" w:space="0" w:color="000000"/>
            </w:tcBorders>
            <w:shd w:fill="FFFFFF" w:val="clear"/>
            <w:tcMar>
              <w:bottom w:w="28" w:type="dxa"/>
            </w:tcMar>
            <w:vAlign w:val="center"/>
          </w:tcPr>
          <w:p>
            <w:pPr>
              <w:pStyle w:val="TableContents"/>
              <w:bidi w:val="0"/>
              <w:spacing w:before="0" w:after="283"/>
              <w:jc w:val="right"/>
              <w:rPr/>
            </w:pPr>
            <w:r>
              <w:rPr/>
              <w:t>(2,825</w:t>
            </w:r>
          </w:p>
        </w:tc>
        <w:tc>
          <w:tcPr>
            <w:tcW w:w="114" w:type="dxa"/>
            <w:tcBorders/>
            <w:shd w:fill="FFFFFF" w:val="clear"/>
            <w:vAlign w:val="center"/>
          </w:tcPr>
          <w:p>
            <w:pPr>
              <w:pStyle w:val="TableContents"/>
              <w:bidi w:val="0"/>
              <w:spacing w:before="0" w:after="283"/>
              <w:jc w:val="left"/>
              <w:rPr/>
            </w:pPr>
            <w:r>
              <w:rPr/>
              <w:t>)</w:t>
            </w:r>
          </w:p>
        </w:tc>
      </w:tr>
      <w:tr>
        <w:trPr/>
        <w:tc>
          <w:tcPr>
            <w:tcW w:w="7690" w:type="dxa"/>
            <w:tcBorders/>
            <w:shd w:fill="CCEEFF" w:val="clear"/>
            <w:vAlign w:val="center"/>
          </w:tcPr>
          <w:p>
            <w:pPr>
              <w:pStyle w:val="TableContents"/>
              <w:bidi w:val="0"/>
              <w:spacing w:before="0" w:after="283"/>
              <w:jc w:val="left"/>
              <w:rPr/>
            </w:pPr>
            <w:r>
              <w:rPr/>
              <w:t>Cash, cash equivalents, and restricted cash at beginning of period</w:t>
            </w:r>
          </w:p>
        </w:tc>
        <w:tc>
          <w:tcPr>
            <w:tcW w:w="60" w:type="dxa"/>
            <w:tcBorders/>
            <w:shd w:fill="CCEEFF" w:val="clear"/>
            <w:vAlign w:val="center"/>
          </w:tcPr>
          <w:p>
            <w:pPr>
              <w:pStyle w:val="TableContents"/>
              <w:bidi w:val="0"/>
              <w:spacing w:before="0" w:after="283"/>
              <w:jc w:val="left"/>
              <w:rPr/>
            </w:pPr>
            <w:r>
              <w:rPr/>
              <w:t> </w:t>
            </w:r>
          </w:p>
        </w:tc>
        <w:tc>
          <w:tcPr>
            <w:tcW w:w="165"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97" w:type="dxa"/>
            <w:tcBorders>
              <w:bottom w:val="single" w:sz="12" w:space="0" w:color="000000"/>
            </w:tcBorders>
            <w:shd w:fill="CCEEFF" w:val="clear"/>
            <w:tcMar>
              <w:bottom w:w="28" w:type="dxa"/>
            </w:tcMar>
            <w:vAlign w:val="center"/>
          </w:tcPr>
          <w:p>
            <w:pPr>
              <w:pStyle w:val="TableContents"/>
              <w:bidi w:val="0"/>
              <w:spacing w:before="0" w:after="283"/>
              <w:jc w:val="right"/>
              <w:rPr/>
            </w:pPr>
            <w:r>
              <w:rPr/>
              <w:t>13,458</w:t>
            </w:r>
          </w:p>
        </w:tc>
        <w:tc>
          <w:tcPr>
            <w:tcW w:w="113" w:type="dxa"/>
            <w:tcBorders/>
            <w:shd w:fill="CCEEFF" w:val="clear"/>
            <w:vAlign w:val="center"/>
          </w:tcPr>
          <w:p>
            <w:pPr>
              <w:pStyle w:val="TableContents"/>
              <w:bidi w:val="0"/>
              <w:spacing w:before="0" w:after="283"/>
              <w:jc w:val="left"/>
              <w:rPr/>
            </w:pPr>
            <w:r>
              <w:rPr/>
              <w:t> </w:t>
            </w:r>
          </w:p>
        </w:tc>
        <w:tc>
          <w:tcPr>
            <w:tcW w:w="71" w:type="dxa"/>
            <w:tcBorders/>
            <w:shd w:fill="CCEEFF" w:val="clear"/>
            <w:vAlign w:val="center"/>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25" w:type="dxa"/>
            <w:tcBorders>
              <w:bottom w:val="single" w:sz="12" w:space="0" w:color="000000"/>
            </w:tcBorders>
            <w:shd w:fill="CCEEFF" w:val="clear"/>
            <w:tcMar>
              <w:bottom w:w="28" w:type="dxa"/>
            </w:tcMar>
            <w:vAlign w:val="center"/>
          </w:tcPr>
          <w:p>
            <w:pPr>
              <w:pStyle w:val="TableContents"/>
              <w:bidi w:val="0"/>
              <w:spacing w:before="0" w:after="283"/>
              <w:jc w:val="right"/>
              <w:rPr/>
            </w:pPr>
            <w:r>
              <w:rPr/>
              <w:t>17,219</w:t>
            </w:r>
          </w:p>
        </w:tc>
        <w:tc>
          <w:tcPr>
            <w:tcW w:w="114" w:type="dxa"/>
            <w:tcBorders/>
            <w:shd w:fill="CCEEFF" w:val="clear"/>
            <w:vAlign w:val="center"/>
          </w:tcPr>
          <w:p>
            <w:pPr>
              <w:pStyle w:val="TableContents"/>
              <w:bidi w:val="0"/>
              <w:spacing w:before="0" w:after="283"/>
              <w:jc w:val="left"/>
              <w:rPr/>
            </w:pPr>
            <w:r>
              <w:rPr/>
              <w:t> </w:t>
            </w:r>
          </w:p>
        </w:tc>
      </w:tr>
      <w:tr>
        <w:trPr/>
        <w:tc>
          <w:tcPr>
            <w:tcW w:w="7690" w:type="dxa"/>
            <w:tcBorders/>
            <w:shd w:fill="FFFFFF" w:val="clear"/>
            <w:vAlign w:val="center"/>
          </w:tcPr>
          <w:p>
            <w:pPr>
              <w:pStyle w:val="TableContents"/>
              <w:bidi w:val="0"/>
              <w:spacing w:before="0" w:after="283"/>
              <w:jc w:val="left"/>
              <w:rPr/>
            </w:pPr>
            <w:r>
              <w:rPr/>
              <w:t>Cash, cash equivalents, and restricted cash at end of period</w:t>
            </w:r>
          </w:p>
        </w:tc>
        <w:tc>
          <w:tcPr>
            <w:tcW w:w="60" w:type="dxa"/>
            <w:tcBorders/>
            <w:shd w:fill="FFFFFF" w:val="clear"/>
            <w:vAlign w:val="center"/>
          </w:tcPr>
          <w:p>
            <w:pPr>
              <w:pStyle w:val="TableContents"/>
              <w:bidi w:val="0"/>
              <w:spacing w:before="0" w:after="283"/>
              <w:jc w:val="left"/>
              <w:rPr/>
            </w:pPr>
            <w:r>
              <w:rPr/>
              <w:t> </w:t>
            </w:r>
          </w:p>
        </w:tc>
        <w:tc>
          <w:tcPr>
            <w:tcW w:w="165" w:type="dxa"/>
            <w:tcBorders>
              <w:bottom w:val="double" w:sz="10" w:space="0" w:color="000000"/>
            </w:tcBorders>
            <w:shd w:fill="FFFFFF" w:val="clear"/>
            <w:tcMar>
              <w:bottom w:w="28" w:type="dxa"/>
            </w:tcMar>
            <w:vAlign w:val="center"/>
          </w:tcPr>
          <w:p>
            <w:pPr>
              <w:pStyle w:val="TableContents"/>
              <w:bidi w:val="0"/>
              <w:spacing w:before="0" w:after="283"/>
              <w:jc w:val="left"/>
              <w:rPr/>
            </w:pPr>
            <w:r>
              <w:rPr/>
              <w:t>$</w:t>
            </w:r>
          </w:p>
        </w:tc>
        <w:tc>
          <w:tcPr>
            <w:tcW w:w="897" w:type="dxa"/>
            <w:tcBorders>
              <w:bottom w:val="double" w:sz="10" w:space="0" w:color="000000"/>
            </w:tcBorders>
            <w:shd w:fill="FFFFFF" w:val="clear"/>
            <w:tcMar>
              <w:bottom w:w="28" w:type="dxa"/>
            </w:tcMar>
            <w:vAlign w:val="center"/>
          </w:tcPr>
          <w:p>
            <w:pPr>
              <w:pStyle w:val="TableContents"/>
              <w:bidi w:val="0"/>
              <w:spacing w:before="0" w:after="283"/>
              <w:jc w:val="right"/>
              <w:rPr/>
            </w:pPr>
            <w:r>
              <w:rPr/>
              <w:t>10,622</w:t>
            </w:r>
          </w:p>
        </w:tc>
        <w:tc>
          <w:tcPr>
            <w:tcW w:w="113" w:type="dxa"/>
            <w:tcBorders/>
            <w:shd w:fill="FFFFFF" w:val="clear"/>
            <w:vAlign w:val="center"/>
          </w:tcPr>
          <w:p>
            <w:pPr>
              <w:pStyle w:val="TableContents"/>
              <w:bidi w:val="0"/>
              <w:spacing w:before="0" w:after="283"/>
              <w:jc w:val="left"/>
              <w:rPr/>
            </w:pPr>
            <w:r>
              <w:rPr/>
              <w:t> </w:t>
            </w:r>
          </w:p>
        </w:tc>
        <w:tc>
          <w:tcPr>
            <w:tcW w:w="71" w:type="dxa"/>
            <w:tcBorders/>
            <w:shd w:fill="FFFFFF" w:val="clear"/>
            <w:vAlign w:val="center"/>
          </w:tcPr>
          <w:p>
            <w:pPr>
              <w:pStyle w:val="TableContents"/>
              <w:bidi w:val="0"/>
              <w:spacing w:before="0" w:after="283"/>
              <w:jc w:val="left"/>
              <w:rPr/>
            </w:pPr>
            <w:r>
              <w:rPr/>
              <w:t> </w:t>
            </w:r>
          </w:p>
        </w:tc>
        <w:tc>
          <w:tcPr>
            <w:tcW w:w="170" w:type="dxa"/>
            <w:tcBorders>
              <w:bottom w:val="double" w:sz="10" w:space="0" w:color="000000"/>
            </w:tcBorders>
            <w:shd w:fill="FFFFFF" w:val="clear"/>
            <w:tcMar>
              <w:bottom w:w="28" w:type="dxa"/>
            </w:tcMar>
            <w:vAlign w:val="center"/>
          </w:tcPr>
          <w:p>
            <w:pPr>
              <w:pStyle w:val="TableContents"/>
              <w:bidi w:val="0"/>
              <w:spacing w:before="0" w:after="283"/>
              <w:jc w:val="left"/>
              <w:rPr/>
            </w:pPr>
            <w:r>
              <w:rPr/>
              <w:t>$</w:t>
            </w:r>
          </w:p>
        </w:tc>
        <w:tc>
          <w:tcPr>
            <w:tcW w:w="925" w:type="dxa"/>
            <w:tcBorders>
              <w:bottom w:val="double" w:sz="10" w:space="0" w:color="000000"/>
            </w:tcBorders>
            <w:shd w:fill="FFFFFF" w:val="clear"/>
            <w:tcMar>
              <w:bottom w:w="28" w:type="dxa"/>
            </w:tcMar>
            <w:vAlign w:val="center"/>
          </w:tcPr>
          <w:p>
            <w:pPr>
              <w:pStyle w:val="TableContents"/>
              <w:bidi w:val="0"/>
              <w:spacing w:before="0" w:after="283"/>
              <w:jc w:val="right"/>
              <w:rPr/>
            </w:pPr>
            <w:r>
              <w:rPr/>
              <w:t>14,394</w:t>
            </w:r>
          </w:p>
        </w:tc>
        <w:tc>
          <w:tcPr>
            <w:tcW w:w="114" w:type="dxa"/>
            <w:tcBorders/>
            <w:shd w:fill="FFFFFF" w:val="clear"/>
            <w:vAlign w:val="center"/>
          </w:tcPr>
          <w:p>
            <w:pPr>
              <w:pStyle w:val="TableContents"/>
              <w:bidi w:val="0"/>
              <w:spacing w:before="0" w:after="283"/>
              <w:jc w:val="left"/>
              <w:rPr/>
            </w:pPr>
            <w:r>
              <w:rPr/>
              <w:t> </w:t>
            </w:r>
          </w:p>
        </w:tc>
      </w:tr>
      <w:tr>
        <w:trPr/>
        <w:tc>
          <w:tcPr>
            <w:tcW w:w="769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5" w:type="dxa"/>
            <w:tcBorders/>
            <w:shd w:fill="CCEEFF" w:val="clear"/>
            <w:vAlign w:val="center"/>
          </w:tcPr>
          <w:p>
            <w:pPr>
              <w:pStyle w:val="TableContents"/>
              <w:bidi w:val="0"/>
              <w:spacing w:before="0" w:after="283"/>
              <w:jc w:val="left"/>
              <w:rPr/>
            </w:pPr>
            <w:r>
              <w:rPr/>
              <w:t> </w:t>
            </w:r>
          </w:p>
        </w:tc>
        <w:tc>
          <w:tcPr>
            <w:tcW w:w="897" w:type="dxa"/>
            <w:tcBorders/>
            <w:shd w:fill="CCEEFF" w:val="clear"/>
            <w:vAlign w:val="center"/>
          </w:tcPr>
          <w:p>
            <w:pPr>
              <w:pStyle w:val="TableContents"/>
              <w:bidi w:val="0"/>
              <w:spacing w:before="0" w:after="283"/>
              <w:jc w:val="right"/>
              <w:rPr/>
            </w:pPr>
            <w:r>
              <w:rPr/>
              <w:t> </w:t>
            </w:r>
          </w:p>
        </w:tc>
        <w:tc>
          <w:tcPr>
            <w:tcW w:w="113" w:type="dxa"/>
            <w:tcBorders/>
            <w:shd w:fill="CCEEFF" w:val="clear"/>
            <w:vAlign w:val="center"/>
          </w:tcPr>
          <w:p>
            <w:pPr>
              <w:pStyle w:val="TableContents"/>
              <w:bidi w:val="0"/>
              <w:spacing w:before="0" w:after="283"/>
              <w:jc w:val="left"/>
              <w:rPr/>
            </w:pPr>
            <w:r>
              <w:rPr/>
              <w:t> </w:t>
            </w:r>
          </w:p>
        </w:tc>
        <w:tc>
          <w:tcPr>
            <w:tcW w:w="71"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925" w:type="dxa"/>
            <w:tcBorders/>
            <w:shd w:fill="CCEEFF" w:val="clear"/>
            <w:vAlign w:val="center"/>
          </w:tcPr>
          <w:p>
            <w:pPr>
              <w:pStyle w:val="TableContents"/>
              <w:bidi w:val="0"/>
              <w:spacing w:before="0" w:after="283"/>
              <w:jc w:val="right"/>
              <w:rPr/>
            </w:pPr>
            <w:r>
              <w:rPr/>
              <w:t> </w:t>
            </w:r>
          </w:p>
        </w:tc>
        <w:tc>
          <w:tcPr>
            <w:tcW w:w="114" w:type="dxa"/>
            <w:tcBorders/>
            <w:shd w:fill="CCEEFF" w:val="clear"/>
            <w:vAlign w:val="center"/>
          </w:tcPr>
          <w:p>
            <w:pPr>
              <w:pStyle w:val="TableContents"/>
              <w:bidi w:val="0"/>
              <w:spacing w:before="0" w:after="283"/>
              <w:jc w:val="left"/>
              <w:rPr/>
            </w:pPr>
            <w:r>
              <w:rPr/>
              <w:t> </w:t>
            </w:r>
          </w:p>
        </w:tc>
      </w:tr>
      <w:tr>
        <w:trPr/>
        <w:tc>
          <w:tcPr>
            <w:tcW w:w="7690" w:type="dxa"/>
            <w:tcBorders/>
            <w:shd w:fill="FFFFFF" w:val="clear"/>
            <w:vAlign w:val="center"/>
          </w:tcPr>
          <w:p>
            <w:pPr>
              <w:pStyle w:val="TableContents"/>
              <w:bidi w:val="0"/>
              <w:spacing w:before="0" w:after="283"/>
              <w:jc w:val="left"/>
              <w:rPr>
                <w:b/>
              </w:rPr>
            </w:pPr>
            <w:r>
              <w:rPr>
                <w:b/>
              </w:rPr>
              <w:t>Supplemental disclosures of cash flow information:</w:t>
            </w:r>
          </w:p>
        </w:tc>
        <w:tc>
          <w:tcPr>
            <w:tcW w:w="60" w:type="dxa"/>
            <w:tcBorders/>
            <w:shd w:fill="FFFFFF" w:val="clear"/>
            <w:vAlign w:val="center"/>
          </w:tcPr>
          <w:p>
            <w:pPr>
              <w:pStyle w:val="TableContents"/>
              <w:bidi w:val="0"/>
              <w:spacing w:before="0" w:after="283"/>
              <w:jc w:val="left"/>
              <w:rPr/>
            </w:pPr>
            <w:r>
              <w:rPr/>
              <w:t> </w:t>
            </w:r>
          </w:p>
        </w:tc>
        <w:tc>
          <w:tcPr>
            <w:tcW w:w="165" w:type="dxa"/>
            <w:tcBorders/>
            <w:shd w:fill="FFFFFF" w:val="clear"/>
            <w:vAlign w:val="center"/>
          </w:tcPr>
          <w:p>
            <w:pPr>
              <w:pStyle w:val="TableContents"/>
              <w:bidi w:val="0"/>
              <w:spacing w:before="0" w:after="283"/>
              <w:jc w:val="left"/>
              <w:rPr/>
            </w:pPr>
            <w:r>
              <w:rPr/>
              <w:t> </w:t>
            </w:r>
          </w:p>
        </w:tc>
        <w:tc>
          <w:tcPr>
            <w:tcW w:w="897" w:type="dxa"/>
            <w:tcBorders/>
            <w:shd w:fill="FFFFFF" w:val="clear"/>
            <w:vAlign w:val="center"/>
          </w:tcPr>
          <w:p>
            <w:pPr>
              <w:pStyle w:val="TableContents"/>
              <w:bidi w:val="0"/>
              <w:spacing w:before="0" w:after="283"/>
              <w:jc w:val="right"/>
              <w:rPr/>
            </w:pPr>
            <w:r>
              <w:rPr/>
              <w:t> </w:t>
            </w:r>
          </w:p>
        </w:tc>
        <w:tc>
          <w:tcPr>
            <w:tcW w:w="113" w:type="dxa"/>
            <w:tcBorders/>
            <w:shd w:fill="FFFFFF" w:val="clear"/>
            <w:vAlign w:val="center"/>
          </w:tcPr>
          <w:p>
            <w:pPr>
              <w:pStyle w:val="TableContents"/>
              <w:bidi w:val="0"/>
              <w:spacing w:before="0" w:after="283"/>
              <w:jc w:val="left"/>
              <w:rPr/>
            </w:pPr>
            <w:r>
              <w:rPr/>
              <w:t> </w:t>
            </w:r>
          </w:p>
        </w:tc>
        <w:tc>
          <w:tcPr>
            <w:tcW w:w="71"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925" w:type="dxa"/>
            <w:tcBorders/>
            <w:shd w:fill="FFFFFF" w:val="clear"/>
            <w:vAlign w:val="center"/>
          </w:tcPr>
          <w:p>
            <w:pPr>
              <w:pStyle w:val="TableContents"/>
              <w:bidi w:val="0"/>
              <w:spacing w:before="0" w:after="283"/>
              <w:jc w:val="right"/>
              <w:rPr/>
            </w:pPr>
            <w:r>
              <w:rPr/>
              <w:t> </w:t>
            </w:r>
          </w:p>
        </w:tc>
        <w:tc>
          <w:tcPr>
            <w:tcW w:w="114" w:type="dxa"/>
            <w:tcBorders/>
            <w:shd w:fill="FFFFFF" w:val="clear"/>
            <w:vAlign w:val="center"/>
          </w:tcPr>
          <w:p>
            <w:pPr>
              <w:pStyle w:val="TableContents"/>
              <w:bidi w:val="0"/>
              <w:spacing w:before="0" w:after="283"/>
              <w:jc w:val="left"/>
              <w:rPr/>
            </w:pPr>
            <w:r>
              <w:rPr/>
              <w:t> </w:t>
            </w:r>
          </w:p>
        </w:tc>
      </w:tr>
      <w:tr>
        <w:trPr/>
        <w:tc>
          <w:tcPr>
            <w:tcW w:w="7690" w:type="dxa"/>
            <w:tcBorders/>
            <w:shd w:fill="CCEEFF" w:val="clear"/>
            <w:vAlign w:val="center"/>
          </w:tcPr>
          <w:p>
            <w:pPr>
              <w:pStyle w:val="TableContents"/>
              <w:bidi w:val="0"/>
              <w:spacing w:before="0" w:after="283"/>
              <w:jc w:val="left"/>
              <w:rPr/>
            </w:pPr>
            <w:r>
              <w:rPr/>
              <w:t>Cash paid during the period for interest</w:t>
            </w:r>
          </w:p>
        </w:tc>
        <w:tc>
          <w:tcPr>
            <w:tcW w:w="60" w:type="dxa"/>
            <w:tcBorders/>
            <w:shd w:fill="CCEEFF" w:val="clear"/>
            <w:vAlign w:val="center"/>
          </w:tcPr>
          <w:p>
            <w:pPr>
              <w:pStyle w:val="TableContents"/>
              <w:bidi w:val="0"/>
              <w:spacing w:before="0" w:after="283"/>
              <w:jc w:val="left"/>
              <w:rPr/>
            </w:pPr>
            <w:r>
              <w:rPr/>
              <w:t> </w:t>
            </w:r>
          </w:p>
        </w:tc>
        <w:tc>
          <w:tcPr>
            <w:tcW w:w="165" w:type="dxa"/>
            <w:tcBorders/>
            <w:shd w:fill="CCEEFF" w:val="clear"/>
            <w:vAlign w:val="center"/>
          </w:tcPr>
          <w:p>
            <w:pPr>
              <w:pStyle w:val="TableContents"/>
              <w:bidi w:val="0"/>
              <w:spacing w:before="0" w:after="283"/>
              <w:jc w:val="left"/>
              <w:rPr/>
            </w:pPr>
            <w:r>
              <w:rPr/>
              <w:t>$</w:t>
            </w:r>
          </w:p>
        </w:tc>
        <w:tc>
          <w:tcPr>
            <w:tcW w:w="897" w:type="dxa"/>
            <w:tcBorders/>
            <w:shd w:fill="CCEEFF" w:val="clear"/>
            <w:vAlign w:val="center"/>
          </w:tcPr>
          <w:p>
            <w:pPr>
              <w:pStyle w:val="TableContents"/>
              <w:bidi w:val="0"/>
              <w:spacing w:before="0" w:after="283"/>
              <w:jc w:val="right"/>
              <w:rPr/>
            </w:pPr>
            <w:r>
              <w:rPr/>
              <w:t>5,263</w:t>
            </w:r>
          </w:p>
        </w:tc>
        <w:tc>
          <w:tcPr>
            <w:tcW w:w="113" w:type="dxa"/>
            <w:tcBorders/>
            <w:shd w:fill="CCEEFF" w:val="clear"/>
            <w:vAlign w:val="center"/>
          </w:tcPr>
          <w:p>
            <w:pPr>
              <w:pStyle w:val="TableContents"/>
              <w:bidi w:val="0"/>
              <w:spacing w:before="0" w:after="283"/>
              <w:jc w:val="left"/>
              <w:rPr/>
            </w:pPr>
            <w:r>
              <w:rPr/>
              <w:t> </w:t>
            </w:r>
          </w:p>
        </w:tc>
        <w:tc>
          <w:tcPr>
            <w:tcW w:w="71"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925" w:type="dxa"/>
            <w:tcBorders/>
            <w:shd w:fill="CCEEFF" w:val="clear"/>
            <w:vAlign w:val="center"/>
          </w:tcPr>
          <w:p>
            <w:pPr>
              <w:pStyle w:val="TableContents"/>
              <w:bidi w:val="0"/>
              <w:spacing w:before="0" w:after="283"/>
              <w:jc w:val="right"/>
              <w:rPr/>
            </w:pPr>
            <w:r>
              <w:rPr/>
              <w:t>1,388</w:t>
            </w:r>
          </w:p>
        </w:tc>
        <w:tc>
          <w:tcPr>
            <w:tcW w:w="114" w:type="dxa"/>
            <w:tcBorders/>
            <w:shd w:fill="CCEEFF" w:val="clear"/>
            <w:vAlign w:val="center"/>
          </w:tcPr>
          <w:p>
            <w:pPr>
              <w:pStyle w:val="TableContents"/>
              <w:bidi w:val="0"/>
              <w:spacing w:before="0" w:after="283"/>
              <w:jc w:val="left"/>
              <w:rPr/>
            </w:pPr>
            <w:r>
              <w:rPr/>
              <w:t> </w:t>
            </w:r>
          </w:p>
        </w:tc>
      </w:tr>
      <w:tr>
        <w:trPr/>
        <w:tc>
          <w:tcPr>
            <w:tcW w:w="7690" w:type="dxa"/>
            <w:tcBorders/>
            <w:shd w:fill="FFFFFF" w:val="clear"/>
            <w:vAlign w:val="center"/>
          </w:tcPr>
          <w:p>
            <w:pPr>
              <w:pStyle w:val="TableContents"/>
              <w:bidi w:val="0"/>
              <w:spacing w:before="0" w:after="283"/>
              <w:jc w:val="left"/>
              <w:rPr/>
            </w:pPr>
            <w:r>
              <w:rPr/>
              <w:t>Cash paid for income taxes</w:t>
            </w:r>
          </w:p>
        </w:tc>
        <w:tc>
          <w:tcPr>
            <w:tcW w:w="60" w:type="dxa"/>
            <w:tcBorders/>
            <w:shd w:fill="FFFFFF" w:val="clear"/>
            <w:vAlign w:val="center"/>
          </w:tcPr>
          <w:p>
            <w:pPr>
              <w:pStyle w:val="TableContents"/>
              <w:bidi w:val="0"/>
              <w:spacing w:before="0" w:after="283"/>
              <w:jc w:val="left"/>
              <w:rPr/>
            </w:pPr>
            <w:r>
              <w:rPr/>
              <w:t> </w:t>
            </w:r>
          </w:p>
        </w:tc>
        <w:tc>
          <w:tcPr>
            <w:tcW w:w="165" w:type="dxa"/>
            <w:tcBorders/>
            <w:shd w:fill="FFFFFF" w:val="clear"/>
            <w:vAlign w:val="center"/>
          </w:tcPr>
          <w:p>
            <w:pPr>
              <w:pStyle w:val="TableContents"/>
              <w:bidi w:val="0"/>
              <w:spacing w:before="0" w:after="283"/>
              <w:jc w:val="left"/>
              <w:rPr/>
            </w:pPr>
            <w:r>
              <w:rPr/>
              <w:t> </w:t>
            </w:r>
          </w:p>
        </w:tc>
        <w:tc>
          <w:tcPr>
            <w:tcW w:w="897" w:type="dxa"/>
            <w:tcBorders/>
            <w:shd w:fill="FFFFFF" w:val="clear"/>
            <w:vAlign w:val="center"/>
          </w:tcPr>
          <w:p>
            <w:pPr>
              <w:pStyle w:val="TableContents"/>
              <w:bidi w:val="0"/>
              <w:spacing w:before="0" w:after="283"/>
              <w:jc w:val="right"/>
              <w:rPr/>
            </w:pPr>
            <w:r>
              <w:rPr/>
              <w:t>—</w:t>
            </w:r>
          </w:p>
        </w:tc>
        <w:tc>
          <w:tcPr>
            <w:tcW w:w="113" w:type="dxa"/>
            <w:tcBorders/>
            <w:shd w:fill="FFFFFF" w:val="clear"/>
            <w:vAlign w:val="center"/>
          </w:tcPr>
          <w:p>
            <w:pPr>
              <w:pStyle w:val="TableContents"/>
              <w:bidi w:val="0"/>
              <w:spacing w:before="0" w:after="283"/>
              <w:jc w:val="left"/>
              <w:rPr/>
            </w:pPr>
            <w:r>
              <w:rPr/>
              <w:t> </w:t>
            </w:r>
          </w:p>
        </w:tc>
        <w:tc>
          <w:tcPr>
            <w:tcW w:w="71"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925" w:type="dxa"/>
            <w:tcBorders/>
            <w:shd w:fill="FFFFFF" w:val="clear"/>
            <w:vAlign w:val="center"/>
          </w:tcPr>
          <w:p>
            <w:pPr>
              <w:pStyle w:val="TableContents"/>
              <w:bidi w:val="0"/>
              <w:spacing w:before="0" w:after="283"/>
              <w:jc w:val="right"/>
              <w:rPr/>
            </w:pPr>
            <w:r>
              <w:rPr/>
              <w:t>—</w:t>
            </w:r>
          </w:p>
        </w:tc>
        <w:tc>
          <w:tcPr>
            <w:tcW w:w="114" w:type="dxa"/>
            <w:tcBorders/>
            <w:shd w:fill="FFFFFF" w:val="clear"/>
            <w:vAlign w:val="center"/>
          </w:tcPr>
          <w:p>
            <w:pPr>
              <w:pStyle w:val="TableContents"/>
              <w:bidi w:val="0"/>
              <w:spacing w:before="0" w:after="283"/>
              <w:jc w:val="left"/>
              <w:rPr/>
            </w:pPr>
            <w:r>
              <w:rPr/>
              <w:t> </w:t>
            </w:r>
          </w:p>
        </w:tc>
      </w:tr>
      <w:tr>
        <w:trPr/>
        <w:tc>
          <w:tcPr>
            <w:tcW w:w="769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5" w:type="dxa"/>
            <w:tcBorders/>
            <w:shd w:fill="CCEEFF" w:val="clear"/>
            <w:vAlign w:val="center"/>
          </w:tcPr>
          <w:p>
            <w:pPr>
              <w:pStyle w:val="TableContents"/>
              <w:bidi w:val="0"/>
              <w:spacing w:before="0" w:after="283"/>
              <w:jc w:val="left"/>
              <w:rPr/>
            </w:pPr>
            <w:r>
              <w:rPr/>
              <w:t> </w:t>
            </w:r>
          </w:p>
        </w:tc>
        <w:tc>
          <w:tcPr>
            <w:tcW w:w="897" w:type="dxa"/>
            <w:tcBorders/>
            <w:shd w:fill="CCEEFF" w:val="clear"/>
            <w:vAlign w:val="center"/>
          </w:tcPr>
          <w:p>
            <w:pPr>
              <w:pStyle w:val="TableContents"/>
              <w:bidi w:val="0"/>
              <w:spacing w:before="0" w:after="283"/>
              <w:jc w:val="right"/>
              <w:rPr/>
            </w:pPr>
            <w:r>
              <w:rPr/>
              <w:t> </w:t>
            </w:r>
          </w:p>
        </w:tc>
        <w:tc>
          <w:tcPr>
            <w:tcW w:w="113" w:type="dxa"/>
            <w:tcBorders/>
            <w:shd w:fill="CCEEFF" w:val="clear"/>
            <w:vAlign w:val="center"/>
          </w:tcPr>
          <w:p>
            <w:pPr>
              <w:pStyle w:val="TableContents"/>
              <w:bidi w:val="0"/>
              <w:spacing w:before="0" w:after="283"/>
              <w:jc w:val="left"/>
              <w:rPr/>
            </w:pPr>
            <w:r>
              <w:rPr/>
              <w:t> </w:t>
            </w:r>
          </w:p>
        </w:tc>
        <w:tc>
          <w:tcPr>
            <w:tcW w:w="71"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925" w:type="dxa"/>
            <w:tcBorders/>
            <w:shd w:fill="CCEEFF" w:val="clear"/>
            <w:vAlign w:val="center"/>
          </w:tcPr>
          <w:p>
            <w:pPr>
              <w:pStyle w:val="TableContents"/>
              <w:bidi w:val="0"/>
              <w:spacing w:before="0" w:after="283"/>
              <w:jc w:val="right"/>
              <w:rPr/>
            </w:pPr>
            <w:r>
              <w:rPr/>
              <w:t> </w:t>
            </w:r>
          </w:p>
        </w:tc>
        <w:tc>
          <w:tcPr>
            <w:tcW w:w="114" w:type="dxa"/>
            <w:tcBorders/>
            <w:shd w:fill="CCEEFF" w:val="clear"/>
            <w:vAlign w:val="center"/>
          </w:tcPr>
          <w:p>
            <w:pPr>
              <w:pStyle w:val="TableContents"/>
              <w:bidi w:val="0"/>
              <w:spacing w:before="0" w:after="283"/>
              <w:jc w:val="left"/>
              <w:rPr/>
            </w:pPr>
            <w:r>
              <w:rPr/>
              <w:t> </w:t>
            </w:r>
          </w:p>
        </w:tc>
      </w:tr>
      <w:tr>
        <w:trPr/>
        <w:tc>
          <w:tcPr>
            <w:tcW w:w="7690" w:type="dxa"/>
            <w:tcBorders/>
            <w:shd w:fill="FFFFFF" w:val="clear"/>
            <w:vAlign w:val="center"/>
          </w:tcPr>
          <w:p>
            <w:pPr>
              <w:pStyle w:val="TableContents"/>
              <w:bidi w:val="0"/>
              <w:spacing w:before="0" w:after="283"/>
              <w:jc w:val="left"/>
              <w:rPr>
                <w:b/>
              </w:rPr>
            </w:pPr>
            <w:r>
              <w:rPr>
                <w:b/>
              </w:rPr>
              <w:t>Supplemental disclosure of noncash financing and investing activities:</w:t>
            </w:r>
          </w:p>
        </w:tc>
        <w:tc>
          <w:tcPr>
            <w:tcW w:w="60" w:type="dxa"/>
            <w:tcBorders/>
            <w:shd w:fill="FFFFFF" w:val="clear"/>
            <w:vAlign w:val="center"/>
          </w:tcPr>
          <w:p>
            <w:pPr>
              <w:pStyle w:val="TableContents"/>
              <w:bidi w:val="0"/>
              <w:spacing w:before="0" w:after="283"/>
              <w:jc w:val="left"/>
              <w:rPr/>
            </w:pPr>
            <w:r>
              <w:rPr/>
              <w:t> </w:t>
            </w:r>
          </w:p>
        </w:tc>
        <w:tc>
          <w:tcPr>
            <w:tcW w:w="165" w:type="dxa"/>
            <w:tcBorders/>
            <w:shd w:fill="FFFFFF" w:val="clear"/>
            <w:vAlign w:val="center"/>
          </w:tcPr>
          <w:p>
            <w:pPr>
              <w:pStyle w:val="TableContents"/>
              <w:bidi w:val="0"/>
              <w:spacing w:before="0" w:after="283"/>
              <w:jc w:val="left"/>
              <w:rPr/>
            </w:pPr>
            <w:r>
              <w:rPr/>
              <w:t> </w:t>
            </w:r>
          </w:p>
        </w:tc>
        <w:tc>
          <w:tcPr>
            <w:tcW w:w="897" w:type="dxa"/>
            <w:tcBorders/>
            <w:shd w:fill="FFFFFF" w:val="clear"/>
            <w:vAlign w:val="center"/>
          </w:tcPr>
          <w:p>
            <w:pPr>
              <w:pStyle w:val="TableContents"/>
              <w:bidi w:val="0"/>
              <w:spacing w:before="0" w:after="283"/>
              <w:jc w:val="right"/>
              <w:rPr/>
            </w:pPr>
            <w:r>
              <w:rPr/>
              <w:t> </w:t>
            </w:r>
          </w:p>
        </w:tc>
        <w:tc>
          <w:tcPr>
            <w:tcW w:w="113" w:type="dxa"/>
            <w:tcBorders/>
            <w:shd w:fill="FFFFFF" w:val="clear"/>
            <w:vAlign w:val="center"/>
          </w:tcPr>
          <w:p>
            <w:pPr>
              <w:pStyle w:val="TableContents"/>
              <w:bidi w:val="0"/>
              <w:spacing w:before="0" w:after="283"/>
              <w:jc w:val="left"/>
              <w:rPr/>
            </w:pPr>
            <w:r>
              <w:rPr/>
              <w:t> </w:t>
            </w:r>
          </w:p>
        </w:tc>
        <w:tc>
          <w:tcPr>
            <w:tcW w:w="71"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925" w:type="dxa"/>
            <w:tcBorders/>
            <w:shd w:fill="FFFFFF" w:val="clear"/>
            <w:vAlign w:val="center"/>
          </w:tcPr>
          <w:p>
            <w:pPr>
              <w:pStyle w:val="TableContents"/>
              <w:bidi w:val="0"/>
              <w:spacing w:before="0" w:after="283"/>
              <w:jc w:val="right"/>
              <w:rPr/>
            </w:pPr>
            <w:r>
              <w:rPr/>
              <w:t> </w:t>
            </w:r>
          </w:p>
        </w:tc>
        <w:tc>
          <w:tcPr>
            <w:tcW w:w="114" w:type="dxa"/>
            <w:tcBorders/>
            <w:shd w:fill="FFFFFF" w:val="clear"/>
            <w:vAlign w:val="center"/>
          </w:tcPr>
          <w:p>
            <w:pPr>
              <w:pStyle w:val="TableContents"/>
              <w:bidi w:val="0"/>
              <w:spacing w:before="0" w:after="283"/>
              <w:jc w:val="left"/>
              <w:rPr/>
            </w:pPr>
            <w:r>
              <w:rPr/>
              <w:t> </w:t>
            </w:r>
          </w:p>
        </w:tc>
      </w:tr>
      <w:tr>
        <w:trPr/>
        <w:tc>
          <w:tcPr>
            <w:tcW w:w="7690" w:type="dxa"/>
            <w:tcBorders/>
            <w:shd w:fill="CCEEFF" w:val="clear"/>
            <w:vAlign w:val="center"/>
          </w:tcPr>
          <w:p>
            <w:pPr>
              <w:pStyle w:val="TableContents"/>
              <w:bidi w:val="0"/>
              <w:spacing w:before="0" w:after="283"/>
              <w:jc w:val="left"/>
              <w:rPr/>
            </w:pPr>
            <w:r>
              <w:rPr/>
              <w:t>Issuance of convertible note in exchange for investor deposit</w:t>
            </w:r>
          </w:p>
        </w:tc>
        <w:tc>
          <w:tcPr>
            <w:tcW w:w="60" w:type="dxa"/>
            <w:tcBorders/>
            <w:shd w:fill="CCEEFF" w:val="clear"/>
            <w:vAlign w:val="center"/>
          </w:tcPr>
          <w:p>
            <w:pPr>
              <w:pStyle w:val="TableContents"/>
              <w:bidi w:val="0"/>
              <w:spacing w:before="0" w:after="283"/>
              <w:jc w:val="left"/>
              <w:rPr/>
            </w:pPr>
            <w:r>
              <w:rPr/>
              <w:t> </w:t>
            </w:r>
          </w:p>
        </w:tc>
        <w:tc>
          <w:tcPr>
            <w:tcW w:w="165" w:type="dxa"/>
            <w:tcBorders/>
            <w:shd w:fill="CCEEFF" w:val="clear"/>
            <w:vAlign w:val="center"/>
          </w:tcPr>
          <w:p>
            <w:pPr>
              <w:pStyle w:val="TableContents"/>
              <w:bidi w:val="0"/>
              <w:spacing w:before="0" w:after="283"/>
              <w:jc w:val="left"/>
              <w:rPr/>
            </w:pPr>
            <w:r>
              <w:rPr/>
              <w:t>$</w:t>
            </w:r>
          </w:p>
        </w:tc>
        <w:tc>
          <w:tcPr>
            <w:tcW w:w="897" w:type="dxa"/>
            <w:tcBorders/>
            <w:shd w:fill="CCEEFF" w:val="clear"/>
            <w:vAlign w:val="center"/>
          </w:tcPr>
          <w:p>
            <w:pPr>
              <w:pStyle w:val="TableContents"/>
              <w:bidi w:val="0"/>
              <w:spacing w:before="0" w:after="283"/>
              <w:jc w:val="right"/>
              <w:rPr/>
            </w:pPr>
            <w:r>
              <w:rPr/>
              <w:t>2,000</w:t>
            </w:r>
          </w:p>
        </w:tc>
        <w:tc>
          <w:tcPr>
            <w:tcW w:w="113" w:type="dxa"/>
            <w:tcBorders/>
            <w:shd w:fill="CCEEFF" w:val="clear"/>
            <w:vAlign w:val="center"/>
          </w:tcPr>
          <w:p>
            <w:pPr>
              <w:pStyle w:val="TableContents"/>
              <w:bidi w:val="0"/>
              <w:spacing w:before="0" w:after="283"/>
              <w:jc w:val="left"/>
              <w:rPr/>
            </w:pPr>
            <w:r>
              <w:rPr/>
              <w:t> </w:t>
            </w:r>
          </w:p>
        </w:tc>
        <w:tc>
          <w:tcPr>
            <w:tcW w:w="71"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925" w:type="dxa"/>
            <w:tcBorders/>
            <w:shd w:fill="CCEEFF" w:val="clear"/>
            <w:vAlign w:val="center"/>
          </w:tcPr>
          <w:p>
            <w:pPr>
              <w:pStyle w:val="TableContents"/>
              <w:bidi w:val="0"/>
              <w:spacing w:before="0" w:after="283"/>
              <w:jc w:val="right"/>
              <w:rPr/>
            </w:pPr>
            <w:r>
              <w:rPr/>
              <w:t>—</w:t>
            </w:r>
          </w:p>
        </w:tc>
        <w:tc>
          <w:tcPr>
            <w:tcW w:w="114" w:type="dxa"/>
            <w:tcBorders/>
            <w:shd w:fill="CCEEFF" w:val="clear"/>
            <w:vAlign w:val="center"/>
          </w:tcPr>
          <w:p>
            <w:pPr>
              <w:pStyle w:val="TableContents"/>
              <w:bidi w:val="0"/>
              <w:spacing w:before="0" w:after="283"/>
              <w:jc w:val="left"/>
              <w:rPr/>
            </w:pPr>
            <w:r>
              <w:rPr/>
              <w:t> </w:t>
            </w:r>
          </w:p>
        </w:tc>
      </w:tr>
      <w:tr>
        <w:trPr/>
        <w:tc>
          <w:tcPr>
            <w:tcW w:w="7690" w:type="dxa"/>
            <w:tcBorders/>
            <w:shd w:fill="FFFFFF" w:val="clear"/>
            <w:vAlign w:val="center"/>
          </w:tcPr>
          <w:p>
            <w:pPr>
              <w:pStyle w:val="TableContents"/>
              <w:bidi w:val="0"/>
              <w:spacing w:before="0" w:after="283"/>
              <w:jc w:val="left"/>
              <w:rPr/>
            </w:pPr>
            <w:r>
              <w:rPr/>
              <w:t>Conversion of 7% unsecured notes for shares of common stock</w:t>
            </w:r>
          </w:p>
        </w:tc>
        <w:tc>
          <w:tcPr>
            <w:tcW w:w="60" w:type="dxa"/>
            <w:tcBorders/>
            <w:shd w:fill="FFFFFF" w:val="clear"/>
            <w:vAlign w:val="center"/>
          </w:tcPr>
          <w:p>
            <w:pPr>
              <w:pStyle w:val="TableContents"/>
              <w:bidi w:val="0"/>
              <w:spacing w:before="0" w:after="283"/>
              <w:jc w:val="left"/>
              <w:rPr/>
            </w:pPr>
            <w:r>
              <w:rPr/>
              <w:t> </w:t>
            </w:r>
          </w:p>
        </w:tc>
        <w:tc>
          <w:tcPr>
            <w:tcW w:w="165" w:type="dxa"/>
            <w:tcBorders/>
            <w:shd w:fill="FFFFFF" w:val="clear"/>
            <w:vAlign w:val="center"/>
          </w:tcPr>
          <w:p>
            <w:pPr>
              <w:pStyle w:val="TableContents"/>
              <w:bidi w:val="0"/>
              <w:spacing w:before="0" w:after="283"/>
              <w:jc w:val="left"/>
              <w:rPr/>
            </w:pPr>
            <w:r>
              <w:rPr/>
              <w:t> </w:t>
            </w:r>
          </w:p>
        </w:tc>
        <w:tc>
          <w:tcPr>
            <w:tcW w:w="897" w:type="dxa"/>
            <w:tcBorders/>
            <w:shd w:fill="FFFFFF" w:val="clear"/>
            <w:vAlign w:val="center"/>
          </w:tcPr>
          <w:p>
            <w:pPr>
              <w:pStyle w:val="TableContents"/>
              <w:bidi w:val="0"/>
              <w:spacing w:before="0" w:after="283"/>
              <w:jc w:val="right"/>
              <w:rPr/>
            </w:pPr>
            <w:r>
              <w:rPr/>
              <w:t>2,646</w:t>
            </w:r>
          </w:p>
        </w:tc>
        <w:tc>
          <w:tcPr>
            <w:tcW w:w="113" w:type="dxa"/>
            <w:tcBorders/>
            <w:shd w:fill="FFFFFF" w:val="clear"/>
            <w:vAlign w:val="center"/>
          </w:tcPr>
          <w:p>
            <w:pPr>
              <w:pStyle w:val="TableContents"/>
              <w:bidi w:val="0"/>
              <w:spacing w:before="0" w:after="283"/>
              <w:jc w:val="left"/>
              <w:rPr/>
            </w:pPr>
            <w:r>
              <w:rPr/>
              <w:t> </w:t>
            </w:r>
          </w:p>
        </w:tc>
        <w:tc>
          <w:tcPr>
            <w:tcW w:w="71"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925" w:type="dxa"/>
            <w:tcBorders/>
            <w:shd w:fill="FFFFFF" w:val="clear"/>
            <w:vAlign w:val="center"/>
          </w:tcPr>
          <w:p>
            <w:pPr>
              <w:pStyle w:val="TableContents"/>
              <w:bidi w:val="0"/>
              <w:spacing w:before="0" w:after="283"/>
              <w:jc w:val="right"/>
              <w:rPr/>
            </w:pPr>
            <w:r>
              <w:rPr/>
              <w:t>—</w:t>
            </w:r>
          </w:p>
        </w:tc>
        <w:tc>
          <w:tcPr>
            <w:tcW w:w="114" w:type="dxa"/>
            <w:tcBorders/>
            <w:shd w:fill="FFFFFF" w:val="clear"/>
            <w:vAlign w:val="center"/>
          </w:tcPr>
          <w:p>
            <w:pPr>
              <w:pStyle w:val="TableContents"/>
              <w:bidi w:val="0"/>
              <w:spacing w:before="0" w:after="283"/>
              <w:jc w:val="left"/>
              <w:rPr/>
            </w:pPr>
            <w:r>
              <w:rPr/>
              <w:t> </w:t>
            </w:r>
          </w:p>
        </w:tc>
      </w:tr>
      <w:tr>
        <w:trPr/>
        <w:tc>
          <w:tcPr>
            <w:tcW w:w="7690" w:type="dxa"/>
            <w:tcBorders/>
            <w:shd w:fill="CCEEFF" w:val="clear"/>
            <w:vAlign w:val="center"/>
          </w:tcPr>
          <w:p>
            <w:pPr>
              <w:pStyle w:val="TableContents"/>
              <w:bidi w:val="0"/>
              <w:spacing w:before="0" w:after="283"/>
              <w:jc w:val="left"/>
              <w:rPr/>
            </w:pPr>
            <w:r>
              <w:rPr/>
              <w:t>Issuance of common stock as partial consideration for acquisition</w:t>
            </w:r>
          </w:p>
        </w:tc>
        <w:tc>
          <w:tcPr>
            <w:tcW w:w="60" w:type="dxa"/>
            <w:tcBorders/>
            <w:shd w:fill="CCEEFF" w:val="clear"/>
            <w:vAlign w:val="center"/>
          </w:tcPr>
          <w:p>
            <w:pPr>
              <w:pStyle w:val="TableContents"/>
              <w:bidi w:val="0"/>
              <w:spacing w:before="0" w:after="283"/>
              <w:jc w:val="left"/>
              <w:rPr/>
            </w:pPr>
            <w:r>
              <w:rPr/>
              <w:t> </w:t>
            </w:r>
          </w:p>
        </w:tc>
        <w:tc>
          <w:tcPr>
            <w:tcW w:w="165" w:type="dxa"/>
            <w:tcBorders/>
            <w:shd w:fill="CCEEFF" w:val="clear"/>
            <w:vAlign w:val="center"/>
          </w:tcPr>
          <w:p>
            <w:pPr>
              <w:pStyle w:val="TableContents"/>
              <w:bidi w:val="0"/>
              <w:spacing w:before="0" w:after="283"/>
              <w:jc w:val="left"/>
              <w:rPr/>
            </w:pPr>
            <w:r>
              <w:rPr/>
              <w:t> </w:t>
            </w:r>
          </w:p>
        </w:tc>
        <w:tc>
          <w:tcPr>
            <w:tcW w:w="897" w:type="dxa"/>
            <w:tcBorders/>
            <w:shd w:fill="CCEEFF" w:val="clear"/>
            <w:vAlign w:val="center"/>
          </w:tcPr>
          <w:p>
            <w:pPr>
              <w:pStyle w:val="TableContents"/>
              <w:bidi w:val="0"/>
              <w:spacing w:before="0" w:after="283"/>
              <w:jc w:val="right"/>
              <w:rPr/>
            </w:pPr>
            <w:r>
              <w:rPr/>
              <w:t>3,333</w:t>
            </w:r>
          </w:p>
        </w:tc>
        <w:tc>
          <w:tcPr>
            <w:tcW w:w="113" w:type="dxa"/>
            <w:tcBorders/>
            <w:shd w:fill="CCEEFF" w:val="clear"/>
            <w:vAlign w:val="center"/>
          </w:tcPr>
          <w:p>
            <w:pPr>
              <w:pStyle w:val="TableContents"/>
              <w:bidi w:val="0"/>
              <w:spacing w:before="0" w:after="283"/>
              <w:jc w:val="left"/>
              <w:rPr/>
            </w:pPr>
            <w:r>
              <w:rPr/>
              <w:t> </w:t>
            </w:r>
          </w:p>
        </w:tc>
        <w:tc>
          <w:tcPr>
            <w:tcW w:w="71"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925" w:type="dxa"/>
            <w:tcBorders/>
            <w:shd w:fill="CCEEFF" w:val="clear"/>
            <w:vAlign w:val="center"/>
          </w:tcPr>
          <w:p>
            <w:pPr>
              <w:pStyle w:val="TableContents"/>
              <w:bidi w:val="0"/>
              <w:spacing w:before="0" w:after="283"/>
              <w:jc w:val="right"/>
              <w:rPr/>
            </w:pPr>
            <w:r>
              <w:rPr/>
              <w:t>—</w:t>
            </w:r>
          </w:p>
        </w:tc>
        <w:tc>
          <w:tcPr>
            <w:tcW w:w="114" w:type="dxa"/>
            <w:tcBorders/>
            <w:shd w:fill="CCEEFF" w:val="clear"/>
            <w:vAlign w:val="center"/>
          </w:tcPr>
          <w:p>
            <w:pPr>
              <w:pStyle w:val="TableContents"/>
              <w:bidi w:val="0"/>
              <w:spacing w:before="0" w:after="283"/>
              <w:jc w:val="left"/>
              <w:rPr/>
            </w:pPr>
            <w:r>
              <w:rPr/>
              <w:t> </w:t>
            </w:r>
          </w:p>
        </w:tc>
      </w:tr>
      <w:tr>
        <w:trPr/>
        <w:tc>
          <w:tcPr>
            <w:tcW w:w="7690" w:type="dxa"/>
            <w:tcBorders/>
            <w:shd w:fill="FFFFFF" w:val="clear"/>
            <w:vAlign w:val="center"/>
          </w:tcPr>
          <w:p>
            <w:pPr>
              <w:pStyle w:val="TableContents"/>
              <w:bidi w:val="0"/>
              <w:spacing w:before="0" w:after="283"/>
              <w:jc w:val="left"/>
              <w:rPr/>
            </w:pPr>
            <w:r>
              <w:rPr/>
              <w:t>Deferred consideration recognized for acquisition of Cobalt</w:t>
            </w:r>
          </w:p>
        </w:tc>
        <w:tc>
          <w:tcPr>
            <w:tcW w:w="60" w:type="dxa"/>
            <w:tcBorders/>
            <w:shd w:fill="FFFFFF" w:val="clear"/>
            <w:vAlign w:val="center"/>
          </w:tcPr>
          <w:p>
            <w:pPr>
              <w:pStyle w:val="TableContents"/>
              <w:bidi w:val="0"/>
              <w:spacing w:before="0" w:after="283"/>
              <w:jc w:val="left"/>
              <w:rPr/>
            </w:pPr>
            <w:r>
              <w:rPr/>
              <w:t> </w:t>
            </w:r>
          </w:p>
        </w:tc>
        <w:tc>
          <w:tcPr>
            <w:tcW w:w="165" w:type="dxa"/>
            <w:tcBorders/>
            <w:shd w:fill="FFFFFF" w:val="clear"/>
            <w:vAlign w:val="center"/>
          </w:tcPr>
          <w:p>
            <w:pPr>
              <w:pStyle w:val="TableContents"/>
              <w:bidi w:val="0"/>
              <w:spacing w:before="0" w:after="283"/>
              <w:jc w:val="left"/>
              <w:rPr/>
            </w:pPr>
            <w:r>
              <w:rPr/>
              <w:t> </w:t>
            </w:r>
          </w:p>
        </w:tc>
        <w:tc>
          <w:tcPr>
            <w:tcW w:w="897" w:type="dxa"/>
            <w:tcBorders/>
            <w:shd w:fill="FFFFFF" w:val="clear"/>
            <w:vAlign w:val="center"/>
          </w:tcPr>
          <w:p>
            <w:pPr>
              <w:pStyle w:val="TableContents"/>
              <w:bidi w:val="0"/>
              <w:spacing w:before="0" w:after="283"/>
              <w:jc w:val="right"/>
              <w:rPr/>
            </w:pPr>
            <w:r>
              <w:rPr/>
              <w:t>6,331</w:t>
            </w:r>
          </w:p>
        </w:tc>
        <w:tc>
          <w:tcPr>
            <w:tcW w:w="113" w:type="dxa"/>
            <w:tcBorders/>
            <w:shd w:fill="FFFFFF" w:val="clear"/>
            <w:vAlign w:val="center"/>
          </w:tcPr>
          <w:p>
            <w:pPr>
              <w:pStyle w:val="TableContents"/>
              <w:bidi w:val="0"/>
              <w:spacing w:before="0" w:after="283"/>
              <w:jc w:val="left"/>
              <w:rPr/>
            </w:pPr>
            <w:r>
              <w:rPr/>
              <w:t> </w:t>
            </w:r>
          </w:p>
        </w:tc>
        <w:tc>
          <w:tcPr>
            <w:tcW w:w="71"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925" w:type="dxa"/>
            <w:tcBorders/>
            <w:shd w:fill="FFFFFF" w:val="clear"/>
            <w:vAlign w:val="center"/>
          </w:tcPr>
          <w:p>
            <w:pPr>
              <w:pStyle w:val="TableContents"/>
              <w:bidi w:val="0"/>
              <w:spacing w:before="0" w:after="283"/>
              <w:jc w:val="right"/>
              <w:rPr/>
            </w:pPr>
            <w:r>
              <w:rPr/>
              <w:t>—</w:t>
            </w:r>
          </w:p>
        </w:tc>
        <w:tc>
          <w:tcPr>
            <w:tcW w:w="114" w:type="dxa"/>
            <w:tcBorders/>
            <w:shd w:fill="FFFFFF" w:val="clear"/>
            <w:vAlign w:val="center"/>
          </w:tcPr>
          <w:p>
            <w:pPr>
              <w:pStyle w:val="TableContents"/>
              <w:bidi w:val="0"/>
              <w:spacing w:before="0" w:after="283"/>
              <w:jc w:val="left"/>
              <w:rPr/>
            </w:pPr>
            <w:r>
              <w:rPr/>
              <w:t> </w:t>
            </w:r>
          </w:p>
        </w:tc>
      </w:tr>
      <w:tr>
        <w:trPr/>
        <w:tc>
          <w:tcPr>
            <w:tcW w:w="7690" w:type="dxa"/>
            <w:tcBorders/>
            <w:shd w:fill="CCEEFF" w:val="clear"/>
            <w:vAlign w:val="center"/>
          </w:tcPr>
          <w:p>
            <w:pPr>
              <w:pStyle w:val="TableContents"/>
              <w:bidi w:val="0"/>
              <w:spacing w:before="0" w:after="283"/>
              <w:jc w:val="left"/>
              <w:rPr/>
            </w:pPr>
            <w:r>
              <w:rPr/>
              <w:t>Tax effect of Cobalt acquisition accounted for as Goodwill</w:t>
            </w:r>
          </w:p>
        </w:tc>
        <w:tc>
          <w:tcPr>
            <w:tcW w:w="60" w:type="dxa"/>
            <w:tcBorders/>
            <w:shd w:fill="CCEEFF" w:val="clear"/>
            <w:vAlign w:val="center"/>
          </w:tcPr>
          <w:p>
            <w:pPr>
              <w:pStyle w:val="TableContents"/>
              <w:bidi w:val="0"/>
              <w:spacing w:before="0" w:after="283"/>
              <w:jc w:val="left"/>
              <w:rPr/>
            </w:pPr>
            <w:r>
              <w:rPr/>
              <w:t> </w:t>
            </w:r>
          </w:p>
        </w:tc>
        <w:tc>
          <w:tcPr>
            <w:tcW w:w="165" w:type="dxa"/>
            <w:tcBorders/>
            <w:shd w:fill="CCEEFF" w:val="clear"/>
            <w:vAlign w:val="center"/>
          </w:tcPr>
          <w:p>
            <w:pPr>
              <w:pStyle w:val="TableContents"/>
              <w:bidi w:val="0"/>
              <w:spacing w:before="0" w:after="283"/>
              <w:jc w:val="left"/>
              <w:rPr/>
            </w:pPr>
            <w:r>
              <w:rPr/>
              <w:t> </w:t>
            </w:r>
          </w:p>
        </w:tc>
        <w:tc>
          <w:tcPr>
            <w:tcW w:w="897" w:type="dxa"/>
            <w:tcBorders/>
            <w:shd w:fill="CCEEFF" w:val="clear"/>
            <w:vAlign w:val="center"/>
          </w:tcPr>
          <w:p>
            <w:pPr>
              <w:pStyle w:val="TableContents"/>
              <w:bidi w:val="0"/>
              <w:spacing w:before="0" w:after="283"/>
              <w:jc w:val="right"/>
              <w:rPr/>
            </w:pPr>
            <w:r>
              <w:rPr/>
              <w:t>1,001</w:t>
            </w:r>
          </w:p>
        </w:tc>
        <w:tc>
          <w:tcPr>
            <w:tcW w:w="113" w:type="dxa"/>
            <w:tcBorders/>
            <w:shd w:fill="CCEEFF" w:val="clear"/>
            <w:vAlign w:val="center"/>
          </w:tcPr>
          <w:p>
            <w:pPr>
              <w:pStyle w:val="TableContents"/>
              <w:bidi w:val="0"/>
              <w:spacing w:before="0" w:after="283"/>
              <w:jc w:val="left"/>
              <w:rPr/>
            </w:pPr>
            <w:r>
              <w:rPr/>
              <w:t> </w:t>
            </w:r>
          </w:p>
        </w:tc>
        <w:tc>
          <w:tcPr>
            <w:tcW w:w="71"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925" w:type="dxa"/>
            <w:tcBorders/>
            <w:shd w:fill="CCEEFF" w:val="clear"/>
            <w:vAlign w:val="center"/>
          </w:tcPr>
          <w:p>
            <w:pPr>
              <w:pStyle w:val="TableContents"/>
              <w:bidi w:val="0"/>
              <w:spacing w:before="0" w:after="283"/>
              <w:jc w:val="right"/>
              <w:rPr/>
            </w:pPr>
            <w:r>
              <w:rPr/>
              <w:t>—</w:t>
            </w:r>
          </w:p>
        </w:tc>
        <w:tc>
          <w:tcPr>
            <w:tcW w:w="114" w:type="dxa"/>
            <w:tcBorders/>
            <w:shd w:fill="CCEEFF" w:val="clear"/>
            <w:vAlign w:val="center"/>
          </w:tcPr>
          <w:p>
            <w:pPr>
              <w:pStyle w:val="TableContents"/>
              <w:bidi w:val="0"/>
              <w:spacing w:before="0" w:after="283"/>
              <w:jc w:val="left"/>
              <w:rPr/>
            </w:pPr>
            <w:r>
              <w:rPr/>
              <w:t> </w:t>
            </w:r>
          </w:p>
        </w:tc>
      </w:tr>
      <w:tr>
        <w:trPr/>
        <w:tc>
          <w:tcPr>
            <w:tcW w:w="7690" w:type="dxa"/>
            <w:tcBorders/>
            <w:shd w:fill="FFFFFF" w:val="clear"/>
            <w:vAlign w:val="center"/>
          </w:tcPr>
          <w:p>
            <w:pPr>
              <w:pStyle w:val="TableContents"/>
              <w:bidi w:val="0"/>
              <w:spacing w:before="0" w:after="283"/>
              <w:jc w:val="left"/>
              <w:rPr/>
            </w:pPr>
            <w:r>
              <w:rPr/>
              <w:t>Deferred consideration reclassified to Additional paid-in capital</w:t>
            </w:r>
          </w:p>
        </w:tc>
        <w:tc>
          <w:tcPr>
            <w:tcW w:w="60" w:type="dxa"/>
            <w:tcBorders/>
            <w:shd w:fill="FFFFFF" w:val="clear"/>
            <w:vAlign w:val="center"/>
          </w:tcPr>
          <w:p>
            <w:pPr>
              <w:pStyle w:val="TableContents"/>
              <w:bidi w:val="0"/>
              <w:spacing w:before="0" w:after="283"/>
              <w:jc w:val="left"/>
              <w:rPr/>
            </w:pPr>
            <w:r>
              <w:rPr/>
              <w:t> </w:t>
            </w:r>
          </w:p>
        </w:tc>
        <w:tc>
          <w:tcPr>
            <w:tcW w:w="165" w:type="dxa"/>
            <w:tcBorders/>
            <w:shd w:fill="FFFFFF" w:val="clear"/>
            <w:vAlign w:val="center"/>
          </w:tcPr>
          <w:p>
            <w:pPr>
              <w:pStyle w:val="TableContents"/>
              <w:bidi w:val="0"/>
              <w:spacing w:before="0" w:after="283"/>
              <w:jc w:val="left"/>
              <w:rPr/>
            </w:pPr>
            <w:r>
              <w:rPr/>
              <w:t> </w:t>
            </w:r>
          </w:p>
        </w:tc>
        <w:tc>
          <w:tcPr>
            <w:tcW w:w="897" w:type="dxa"/>
            <w:tcBorders/>
            <w:shd w:fill="FFFFFF" w:val="clear"/>
            <w:vAlign w:val="center"/>
          </w:tcPr>
          <w:p>
            <w:pPr>
              <w:pStyle w:val="TableContents"/>
              <w:bidi w:val="0"/>
              <w:spacing w:before="0" w:after="283"/>
              <w:jc w:val="right"/>
              <w:rPr/>
            </w:pPr>
            <w:r>
              <w:rPr/>
              <w:t>8,533</w:t>
            </w:r>
          </w:p>
        </w:tc>
        <w:tc>
          <w:tcPr>
            <w:tcW w:w="113" w:type="dxa"/>
            <w:tcBorders/>
            <w:shd w:fill="FFFFFF" w:val="clear"/>
            <w:vAlign w:val="center"/>
          </w:tcPr>
          <w:p>
            <w:pPr>
              <w:pStyle w:val="TableContents"/>
              <w:bidi w:val="0"/>
              <w:spacing w:before="0" w:after="283"/>
              <w:jc w:val="left"/>
              <w:rPr/>
            </w:pPr>
            <w:r>
              <w:rPr/>
              <w:t> </w:t>
            </w:r>
          </w:p>
        </w:tc>
        <w:tc>
          <w:tcPr>
            <w:tcW w:w="71"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925" w:type="dxa"/>
            <w:tcBorders/>
            <w:shd w:fill="FFFFFF" w:val="clear"/>
            <w:vAlign w:val="center"/>
          </w:tcPr>
          <w:p>
            <w:pPr>
              <w:pStyle w:val="TableContents"/>
              <w:bidi w:val="0"/>
              <w:spacing w:before="0" w:after="283"/>
              <w:jc w:val="right"/>
              <w:rPr/>
            </w:pPr>
            <w:r>
              <w:rPr/>
              <w:t>—</w:t>
            </w:r>
          </w:p>
        </w:tc>
        <w:tc>
          <w:tcPr>
            <w:tcW w:w="114"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center"/>
        <w:rPr>
          <w:caps w:val="false"/>
          <w:smallCaps w:val="false"/>
        </w:rPr>
      </w:pPr>
      <w:r>
        <w:rPr>
          <w:caps w:val="false"/>
          <w:smallCaps w:val="false"/>
        </w:rPr>
        <w:t> </w:t>
      </w:r>
    </w:p>
    <w:tbl>
      <w:tblPr>
        <w:tblW w:w="7585" w:type="dxa"/>
        <w:jc w:val="left"/>
        <w:tblInd w:w="0" w:type="dxa"/>
        <w:tblLayout w:type="fixed"/>
        <w:tblCellMar>
          <w:top w:w="0" w:type="dxa"/>
          <w:left w:w="0" w:type="dxa"/>
          <w:bottom w:w="0" w:type="dxa"/>
          <w:right w:w="0" w:type="dxa"/>
        </w:tblCellMar>
      </w:tblPr>
      <w:tblGrid>
        <w:gridCol w:w="245"/>
        <w:gridCol w:w="7340"/>
      </w:tblGrid>
      <w:tr>
        <w:trPr/>
        <w:tc>
          <w:tcPr>
            <w:tcW w:w="245" w:type="dxa"/>
            <w:tcBorders/>
            <w:vAlign w:val="center"/>
          </w:tcPr>
          <w:p>
            <w:pPr>
              <w:pStyle w:val="TableContents"/>
              <w:bidi w:val="0"/>
              <w:spacing w:before="0" w:after="283"/>
              <w:jc w:val="both"/>
              <w:rPr>
                <w:rFonts w:ascii="Times New Roman;Times;Serif" w:hAnsi="Times New Roman;Times;Serif"/>
                <w:position w:val="7"/>
                <w:sz w:val="16"/>
                <w:sz w:val="20"/>
              </w:rPr>
            </w:pPr>
            <w:r>
              <w:rPr>
                <w:rFonts w:ascii="Times New Roman;Times;Serif" w:hAnsi="Times New Roman;Times;Serif"/>
                <w:position w:val="7"/>
                <w:sz w:val="16"/>
                <w:sz w:val="20"/>
              </w:rPr>
              <w:t>(1)</w:t>
            </w:r>
          </w:p>
        </w:tc>
        <w:tc>
          <w:tcPr>
            <w:tcW w:w="734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Includes related party income of $0.1 million in the thirteen weeks ended March 30, 2025.</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30"/>
        <w:gridCol w:w="9975"/>
      </w:tblGrid>
      <w:tr>
        <w:trPr/>
        <w:tc>
          <w:tcPr>
            <w:tcW w:w="230" w:type="dxa"/>
            <w:tcBorders/>
            <w:vAlign w:val="center"/>
          </w:tcPr>
          <w:p>
            <w:pPr>
              <w:pStyle w:val="TableContents"/>
              <w:bidi w:val="0"/>
              <w:spacing w:before="0" w:after="283"/>
              <w:jc w:val="both"/>
              <w:rPr>
                <w:rFonts w:ascii="Times New Roman;Times;Serif" w:hAnsi="Times New Roman;Times;Serif"/>
                <w:position w:val="7"/>
                <w:sz w:val="16"/>
                <w:sz w:val="20"/>
              </w:rPr>
            </w:pPr>
            <w:r>
              <w:rPr>
                <w:rFonts w:ascii="Times New Roman;Times;Serif" w:hAnsi="Times New Roman;Times;Serif"/>
                <w:position w:val="7"/>
                <w:sz w:val="16"/>
                <w:sz w:val="20"/>
              </w:rPr>
              <w:t>(2)</w:t>
            </w:r>
          </w:p>
        </w:tc>
        <w:tc>
          <w:tcPr>
            <w:tcW w:w="997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Includes related party gain on remeasurement of $7.5 million and $3.7 million in the thirteen weeks ended March 29, 2026 and March 30, 2025, respectively.</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31"/>
        <w:gridCol w:w="9974"/>
      </w:tblGrid>
      <w:tr>
        <w:trPr/>
        <w:tc>
          <w:tcPr>
            <w:tcW w:w="231" w:type="dxa"/>
            <w:tcBorders/>
            <w:vAlign w:val="center"/>
          </w:tcPr>
          <w:p>
            <w:pPr>
              <w:pStyle w:val="TableContents"/>
              <w:bidi w:val="0"/>
              <w:spacing w:before="0" w:after="283"/>
              <w:jc w:val="left"/>
              <w:rPr>
                <w:rFonts w:ascii="Times New Roman;Times;Serif" w:hAnsi="Times New Roman;Times;Serif"/>
                <w:position w:val="7"/>
                <w:sz w:val="16"/>
                <w:sz w:val="20"/>
              </w:rPr>
            </w:pPr>
            <w:r>
              <w:rPr>
                <w:rFonts w:ascii="Times New Roman;Times;Serif" w:hAnsi="Times New Roman;Times;Serif"/>
                <w:position w:val="7"/>
                <w:sz w:val="16"/>
                <w:sz w:val="20"/>
              </w:rPr>
              <w:t>(3)</w:t>
            </w:r>
          </w:p>
        </w:tc>
        <w:tc>
          <w:tcPr>
            <w:tcW w:w="9974"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Includes related party amortization expense of $0.9 million and $0.7 million in the thirteen weeks ended March 29, 2026 and March 30, 2025, respectively.</w:t>
            </w:r>
          </w:p>
        </w:tc>
      </w:tr>
    </w:tbl>
    <w:p>
      <w:pPr>
        <w:pStyle w:val="TextBody"/>
        <w:bidi w:val="0"/>
        <w:spacing w:before="0" w:after="0"/>
        <w:ind w:left="0" w:right="0" w:hanging="0"/>
        <w:jc w:val="left"/>
        <w:rPr>
          <w:caps w:val="false"/>
          <w:smallCaps w:val="false"/>
        </w:rPr>
      </w:pPr>
      <w:r>
        <w:rPr>
          <w:caps w:val="false"/>
          <w:smallCaps w:val="false"/>
        </w:rPr>
        <w:t> </w:t>
      </w:r>
    </w:p>
    <w:tbl>
      <w:tblPr>
        <w:tblW w:w="8365" w:type="dxa"/>
        <w:jc w:val="left"/>
        <w:tblInd w:w="0" w:type="dxa"/>
        <w:tblLayout w:type="fixed"/>
        <w:tblCellMar>
          <w:top w:w="0" w:type="dxa"/>
          <w:left w:w="0" w:type="dxa"/>
          <w:bottom w:w="0" w:type="dxa"/>
          <w:right w:w="0" w:type="dxa"/>
        </w:tblCellMar>
      </w:tblPr>
      <w:tblGrid>
        <w:gridCol w:w="245"/>
        <w:gridCol w:w="8120"/>
      </w:tblGrid>
      <w:tr>
        <w:trPr/>
        <w:tc>
          <w:tcPr>
            <w:tcW w:w="245" w:type="dxa"/>
            <w:tcBorders/>
            <w:vAlign w:val="center"/>
          </w:tcPr>
          <w:p>
            <w:pPr>
              <w:pStyle w:val="TableContents"/>
              <w:bidi w:val="0"/>
              <w:spacing w:before="0" w:after="283"/>
              <w:jc w:val="both"/>
              <w:rPr>
                <w:rFonts w:ascii="Times New Roman;Times;Serif" w:hAnsi="Times New Roman;Times;Serif"/>
                <w:position w:val="7"/>
                <w:sz w:val="16"/>
                <w:sz w:val="20"/>
              </w:rPr>
            </w:pPr>
            <w:r>
              <w:rPr>
                <w:rFonts w:ascii="Times New Roman;Times;Serif" w:hAnsi="Times New Roman;Times;Serif"/>
                <w:position w:val="7"/>
                <w:sz w:val="16"/>
                <w:sz w:val="20"/>
              </w:rPr>
              <w:t>(4)</w:t>
            </w:r>
          </w:p>
        </w:tc>
        <w:tc>
          <w:tcPr>
            <w:tcW w:w="812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Includes related party non-cash income of $0.1 million in the thirteen weeks ended March 30, 2025.</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The accompanying notes are an integral part of these unaudited condensed consolidated financial statements.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center"/>
        <w:rPr>
          <w:sz w:val="20"/>
          <w:bdr w:val="single" w:sz="12" w:space="1" w:color="000000"/>
        </w:rPr>
      </w:pPr>
      <w:r>
        <w:rPr>
          <w:sz w:val="20"/>
          <w:bdr w:val="single" w:sz="12" w:space="1" w:color="000000"/>
        </w:rPr>
        <w:t>F-7</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26" w:name="q_005"/>
      <w:bookmarkEnd w:id="26"/>
      <w:r>
        <w:rPr>
          <w:rFonts w:ascii="Times New Roman;Times;Serif" w:hAnsi="Times New Roman;Times;Serif"/>
          <w:b/>
          <w:i w:val="false"/>
          <w:caps w:val="false"/>
          <w:smallCaps w:val="false"/>
          <w:sz w:val="20"/>
        </w:rPr>
        <w:t xml:space="preserve">SUNPOWER INC.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Unaudited Condensed Consolidated Financial Statements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 Organization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Description of business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SunPower Inc. (“SunPower” or the “Company”) is the rebranded name of Complete Solaria, Inc. (“Complete Solaria”). The rebranding was effective April 22, 2025 and the Company’s legal name change became effective on October 16, 2025. References to the Company and SunPower include the same entity under its previous name of Complete Solaria. The Company is headquartered in Orem, Utah.</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was originally incorporated in Delaware under the name Complete Solaria, Inc. and is a residential solar installer that offers storage and home energy solutions to customers in North America. The Company was formed through Complete Solar Holding Corporation’s acquisition of The Solaria Corporation (“Solaria”).</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Complete Solar, Inc. (“Complete Solar”) was incorporated in Delaware on February 22, 2010. Through February 2022, the Company operated as Complete Solar, Inc., a single legal entity. In February 2022, Complete Solar implemented a holding company reorganization (the “Reorganization”) in which the Company created and incorporated Complete Solar Holding Corporation (“Complete Solar Holdings”). As a result of the Reorganization, Complete Solar Holdings became the successor entity to Complete Solar, Inc. Complete Solaria, Inc. (“Complete Solaria”) was formed in November 2022 through the merger of Complete Solar Holding Corporation, a Delaware corporation (“Complete Solar”), and The Solaria Corporation, a Delaware corporation (such entity, “Solaria,” and such transaction, the “Business Combination”).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operates on a 52-to-53-week fiscal year that ends on the Sunday closest to December 31. The Company’s first fiscal quarters for 2026 and 2025 in this report on Form 10-Q ended on March 29, 2026 (“Q1 2026”) and March 30, 2025 (“Q1 2025”), respectively.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 xml:space="preserve">Acquisitions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 the fiscal year ended December 28, 2025, the Company completed the acquisitions of Sunder Energy, LLC (“Sunder”) and Ambia Energy LLC (“Ambia”). On February 2, 2026, the Company completed the acquisition of Cobalt Power Systems, Inc. (“Cobalt”). Each of these acquisitions was accounted for as a business combination in accordance with Accounting Standards Codification (“ASC”) 805, </w:t>
      </w:r>
      <w:r>
        <w:rPr>
          <w:rFonts w:ascii="Times New Roman;Times;Serif" w:hAnsi="Times New Roman;Times;Serif"/>
          <w:b w:val="false"/>
          <w:i/>
          <w:caps w:val="false"/>
          <w:smallCaps w:val="false"/>
          <w:sz w:val="20"/>
        </w:rPr>
        <w:t>Business Combination.</w:t>
      </w:r>
      <w:r>
        <w:rPr>
          <w:rFonts w:ascii="Times New Roman;Times;Serif" w:hAnsi="Times New Roman;Times;Serif"/>
          <w:b w:val="false"/>
          <w:i w:val="false"/>
          <w:caps w:val="false"/>
          <w:smallCaps w:val="false"/>
          <w:sz w:val="20"/>
        </w:rPr>
        <w:t xml:space="preserve"> Refer to </w:t>
      </w:r>
      <w:r>
        <w:rPr>
          <w:rFonts w:ascii="Times New Roman;Times;Serif" w:hAnsi="Times New Roman;Times;Serif"/>
          <w:b/>
          <w:i w:val="false"/>
          <w:caps w:val="false"/>
          <w:smallCaps w:val="false"/>
          <w:sz w:val="20"/>
        </w:rPr>
        <w:t>Note 3 – Business Combinations</w:t>
      </w:r>
      <w:r>
        <w:rPr>
          <w:rFonts w:ascii="Times New Roman;Times;Serif" w:hAnsi="Times New Roman;Times;Serif"/>
          <w:b w:val="false"/>
          <w:i w:val="false"/>
          <w:caps w:val="false"/>
          <w:smallCaps w:val="false"/>
          <w:sz w:val="20"/>
        </w:rPr>
        <w:t xml:space="preserve"> for details of these transactions.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Liquidity and going concern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operating loss was $19.2 million in the thirteen weeks ended March 29, 2026. As of March 29, 2026, the Company had an accumulated deficit of $451.5 million, current debt of $38.0 million, and cash and cash equivalents, excluding restricted cash, of $9.5 million. The Company anticipates that operating losses and negative operating cash flows will continue in the near term.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Management is actively pursuing plans to mitigate these conditions, including obtaining additional capital resources through equity or debt financing and leveraging support from significant stockholders when necessary. The Company has financed its operations primarily through sales of equity securities, private placements, debt, issuance of convertible notes and other debt instruments, other financing instruments, cash from operations, and proceeds from the Mergers.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did not file its Quarterly Report on Form 10-Q for the quarter ended September 28, 2025 or the amendment required to the Current Report originally filed on September 26, 2025, relating to the Sunder acquisition, within the timeframe required by the SEC. As a result, the Company is not currently eligible to use a registration statement on Form S-3 that would allow it to continuously incorporate by reference its SEC reports into a registration statement, to use “shelf” registration statements to conduct offerings, or to use the at-the-market offering facility until approximately one year from the date that the Company has regained and maintained status as a current filer. Aside from a “shelf” registration, the Company has alternative financing options and may seek additional liquidity through the use of a Form S-1 registration statement and or private placements.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sz w:val="20"/>
          <w:bdr w:val="single" w:sz="12" w:space="1" w:color="000000"/>
        </w:rPr>
      </w:pPr>
      <w:r>
        <w:rPr>
          <w:sz w:val="20"/>
          <w:bdr w:val="single" w:sz="12" w:space="1" w:color="000000"/>
        </w:rPr>
        <w:t>F-8</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Company is not able to secure adequate additional funding when needed, the Company will need to reevaluate its operating plan and may be forced to make reductions in spending, extend payment terms with suppliers, liquidate assets where possible, or suspend or curtail planned programs or cease operations entirely. These actions could materially impact the Company’s business, results of operations and future prospects. While the Company has been able to raise multiple rounds of financing, there can be no assurance that in the event the Company requires additional financing, such financing will be available on terms that are favorable, or at all. Failure to generate sufficient cash flows from operations, raise additional capital or reduce certain discretionary spending would have a material adverse effect on the Company’s ability to achieve its intended business objectives.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Therefore, there is substantial doubt about the Company’s ability to continue as a going concern within one year after the date that the unaudited condensed consolidated financial statements are issued. The accompanying unaudited condensed consolidated financial statements have been prepared assuming the Company will continue to operate as a going concern, which contemplates the realization of assets and settlement of liabilities in the normal course of business. They do not include any adjustments to reflect the possible future effects on the recoverability and classification of assets or the amounts and classifications of liabilities that may result from uncertainty related to its ability to continue as a going concern.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 Basis of Presentation and Summary of Significant Accounting Policies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Basis of presentation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interim unaudited condensed consolidated financial statements include the accounts of the Company and its wholly-owned subsidiaries. All material intercompany balances and transactions have been eliminated in consolidation.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accompanying interim unaudited condensed consolidated financial statements are unaudited and have been prepared by the Company in accordance with U.S. generally accepted accounting principles (“U.S. GAAP”) for interim financial information and in accordance with the rules and regulations of the Securities and Exchange Commission (the “SEC”). Accordingly, these interim unaudited condensed consolidated financial statements do not include all the information and disclosures required by U.S. GAAP for complete financial statements.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opinion of management, these interim unaudited condensed consolidated financial statements reflect all adjustments, consisting of normal recurring adjustments, necessary to present fairly the Company’s financial position as of March 29, 2026, and the results of operations for the thirteen weeks ended March 29, 2026 and March 30, 2025. These interim unaudited condensed consolidated financial statements and related notes should be read in conjunction with the audited consolidated financial statements and related notes for the fiscal year ended December 28, 2025, included in the Company’s Annual Report on Form 10-K filed with the SEC on April 14, 2026. The results of operations for interim periods are not necessarily indicative of the results to be expected for the full year or any other future period.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Cash and cash equivalents and restricted cash</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Company reconciles cash, cash equivalents, and restricted cash reported in its unaudited condensed consolidated balance sheets that aggregate to the beginning and ending balances shown in the Company’s unaudited condensed consolidated statements of cash flows as follows </w:t>
      </w:r>
      <w:r>
        <w:rPr>
          <w:rFonts w:ascii="Times New Roman;Times;Serif" w:hAnsi="Times New Roman;Times;Serif"/>
          <w:b w:val="false"/>
          <w:i/>
          <w:caps w:val="false"/>
          <w:smallCaps w:val="false"/>
          <w:sz w:val="20"/>
        </w:rPr>
        <w:t>(in thousands)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tbl>
      <w:tblPr>
        <w:tblW w:w="7213" w:type="dxa"/>
        <w:jc w:val="left"/>
        <w:tblInd w:w="0" w:type="dxa"/>
        <w:tblLayout w:type="fixed"/>
        <w:tblCellMar>
          <w:top w:w="0" w:type="dxa"/>
          <w:left w:w="0" w:type="dxa"/>
          <w:bottom w:w="0" w:type="dxa"/>
          <w:right w:w="0" w:type="dxa"/>
        </w:tblCellMar>
      </w:tblPr>
      <w:tblGrid>
        <w:gridCol w:w="4475"/>
        <w:gridCol w:w="60"/>
        <w:gridCol w:w="182"/>
        <w:gridCol w:w="887"/>
        <w:gridCol w:w="60"/>
        <w:gridCol w:w="60"/>
        <w:gridCol w:w="241"/>
        <w:gridCol w:w="1173"/>
        <w:gridCol w:w="75"/>
      </w:tblGrid>
      <w:tr>
        <w:trPr/>
        <w:tc>
          <w:tcPr>
            <w:tcW w:w="44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3" w:type="dxa"/>
            <w:gridSpan w:val="6"/>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As of</w:t>
            </w:r>
          </w:p>
        </w:tc>
        <w:tc>
          <w:tcPr>
            <w:tcW w:w="75" w:type="dxa"/>
            <w:tcBorders/>
            <w:vAlign w:val="center"/>
          </w:tcPr>
          <w:p>
            <w:pPr>
              <w:pStyle w:val="TableContents"/>
              <w:bidi w:val="0"/>
              <w:spacing w:before="0" w:after="283"/>
              <w:jc w:val="left"/>
              <w:rPr/>
            </w:pPr>
            <w:r>
              <w:rPr/>
              <w:t> </w:t>
            </w:r>
          </w:p>
        </w:tc>
      </w:tr>
      <w:tr>
        <w:trPr/>
        <w:tc>
          <w:tcPr>
            <w:tcW w:w="44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69"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March 29,</w:t>
              <w:br/>
              <w:t>2026</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14"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December 28,</w:t>
              <w:br/>
              <w:t>2025</w:t>
            </w:r>
          </w:p>
        </w:tc>
        <w:tc>
          <w:tcPr>
            <w:tcW w:w="75" w:type="dxa"/>
            <w:tcBorders/>
            <w:vAlign w:val="center"/>
          </w:tcPr>
          <w:p>
            <w:pPr>
              <w:pStyle w:val="TableContents"/>
              <w:bidi w:val="0"/>
              <w:spacing w:before="0" w:after="283"/>
              <w:jc w:val="left"/>
              <w:rPr/>
            </w:pPr>
            <w:r>
              <w:rPr/>
              <w:t> </w:t>
            </w:r>
          </w:p>
        </w:tc>
      </w:tr>
      <w:tr>
        <w:trPr/>
        <w:tc>
          <w:tcPr>
            <w:tcW w:w="447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Cash and cash equivalents</w:t>
            </w:r>
          </w:p>
        </w:tc>
        <w:tc>
          <w:tcPr>
            <w:tcW w:w="60" w:type="dxa"/>
            <w:tcBorders/>
            <w:shd w:fill="CCEEFF" w:val="clear"/>
            <w:vAlign w:val="center"/>
          </w:tcPr>
          <w:p>
            <w:pPr>
              <w:pStyle w:val="TableContents"/>
              <w:bidi w:val="0"/>
              <w:spacing w:before="0" w:after="283"/>
              <w:jc w:val="left"/>
              <w:rPr/>
            </w:pPr>
            <w:r>
              <w:rPr/>
              <w:t> </w:t>
            </w:r>
          </w:p>
        </w:tc>
        <w:tc>
          <w:tcPr>
            <w:tcW w:w="182"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887"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9,488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1"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173"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9,617</w:t>
            </w:r>
          </w:p>
        </w:tc>
        <w:tc>
          <w:tcPr>
            <w:tcW w:w="75" w:type="dxa"/>
            <w:tcBorders/>
            <w:shd w:fill="CCEEFF" w:val="clear"/>
            <w:vAlign w:val="center"/>
          </w:tcPr>
          <w:p>
            <w:pPr>
              <w:pStyle w:val="TableContents"/>
              <w:bidi w:val="0"/>
              <w:spacing w:before="0" w:after="283"/>
              <w:jc w:val="left"/>
              <w:rPr/>
            </w:pPr>
            <w:r>
              <w:rPr/>
              <w:t> </w:t>
            </w:r>
          </w:p>
        </w:tc>
      </w:tr>
      <w:tr>
        <w:trPr/>
        <w:tc>
          <w:tcPr>
            <w:tcW w:w="447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Restricted cash</w:t>
            </w:r>
          </w:p>
        </w:tc>
        <w:tc>
          <w:tcPr>
            <w:tcW w:w="60" w:type="dxa"/>
            <w:tcBorders/>
            <w:shd w:fill="FFFFFF" w:val="clear"/>
            <w:vAlign w:val="center"/>
          </w:tcPr>
          <w:p>
            <w:pPr>
              <w:pStyle w:val="TableContents"/>
              <w:bidi w:val="0"/>
              <w:spacing w:before="0" w:after="283"/>
              <w:jc w:val="left"/>
              <w:rPr/>
            </w:pPr>
            <w:r>
              <w:rPr/>
              <w:t> </w:t>
            </w:r>
          </w:p>
        </w:tc>
        <w:tc>
          <w:tcPr>
            <w:tcW w:w="182"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887"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1,134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41"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73"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3,841</w:t>
            </w:r>
          </w:p>
        </w:tc>
        <w:tc>
          <w:tcPr>
            <w:tcW w:w="75" w:type="dxa"/>
            <w:tcBorders/>
            <w:shd w:fill="FFFFFF" w:val="clear"/>
            <w:vAlign w:val="center"/>
          </w:tcPr>
          <w:p>
            <w:pPr>
              <w:pStyle w:val="TableContents"/>
              <w:bidi w:val="0"/>
              <w:spacing w:before="0" w:after="283"/>
              <w:jc w:val="left"/>
              <w:rPr/>
            </w:pPr>
            <w:r>
              <w:rPr/>
              <w:t> </w:t>
            </w:r>
          </w:p>
        </w:tc>
      </w:tr>
      <w:tr>
        <w:trPr/>
        <w:tc>
          <w:tcPr>
            <w:tcW w:w="447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Total cash, cash equivalents and restricted cash</w:t>
            </w:r>
          </w:p>
        </w:tc>
        <w:tc>
          <w:tcPr>
            <w:tcW w:w="60" w:type="dxa"/>
            <w:tcBorders/>
            <w:shd w:fill="CCEEFF" w:val="clear"/>
            <w:vAlign w:val="center"/>
          </w:tcPr>
          <w:p>
            <w:pPr>
              <w:pStyle w:val="TableContents"/>
              <w:bidi w:val="0"/>
              <w:spacing w:before="0" w:after="283"/>
              <w:jc w:val="left"/>
              <w:rPr/>
            </w:pPr>
            <w:r>
              <w:rPr/>
              <w:t> </w:t>
            </w:r>
          </w:p>
        </w:tc>
        <w:tc>
          <w:tcPr>
            <w:tcW w:w="182" w:type="dxa"/>
            <w:tcBorders>
              <w:bottom w:val="double" w:sz="10"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887" w:type="dxa"/>
            <w:tcBorders>
              <w:bottom w:val="double" w:sz="10"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10,622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1" w:type="dxa"/>
            <w:tcBorders>
              <w:bottom w:val="double" w:sz="10"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173" w:type="dxa"/>
            <w:tcBorders>
              <w:bottom w:val="double" w:sz="10"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13,458</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sz w:val="20"/>
          <w:bdr w:val="single" w:sz="12" w:space="1" w:color="000000"/>
        </w:rPr>
      </w:pPr>
      <w:r>
        <w:rPr>
          <w:sz w:val="20"/>
          <w:bdr w:val="single" w:sz="12" w:space="1" w:color="000000"/>
        </w:rPr>
        <w:t>F-9</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Use of estimates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preparation of interim unaudited condensed consolidated financial statements requires management to make estimates and assumptions that affect reported amounts.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Revenue recognition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Company recognizes revenue in accordance with ASC 606 – </w:t>
      </w:r>
      <w:r>
        <w:rPr>
          <w:rFonts w:ascii="Times New Roman;Times;Serif" w:hAnsi="Times New Roman;Times;Serif"/>
          <w:b w:val="false"/>
          <w:i/>
          <w:caps w:val="false"/>
          <w:smallCaps w:val="false"/>
          <w:sz w:val="20"/>
        </w:rPr>
        <w:t>Revenue from Contracts with Customers</w:t>
      </w:r>
      <w:r>
        <w:rPr>
          <w:rFonts w:ascii="Times New Roman;Times;Serif" w:hAnsi="Times New Roman;Times;Serif"/>
          <w:b w:val="false"/>
          <w:i w:val="false"/>
          <w:caps w:val="false"/>
          <w:smallCaps w:val="false"/>
          <w:sz w:val="20"/>
        </w:rPr>
        <w:t xml:space="preserve"> (“ASC 606”) when control of the promised products and services is transferred to the customer and its performance obligations are satisfied. The Company’s performance obligation in its Residential Solar Installation and New Homes Business segments is to design and install a fully functioning solar energy system. The design, delivery of system components, installation, and services facilitating interconnection to the power grid are accounted for as a single performance obligation.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Revenue is recognized in the amount of consideration the Company expects to be entitled to receive, net of customer incentives such as discounts or rebates, and variable consideration is estimated at each reporting date to the extent it is probable that a significant reversal will not occur. Amounts invoiced and collected in advance of performance are recorded as deferred revenue. The Company’s contracts do not contain significant financing components.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Residential Solar Installation and New Homes Business cash and financing arrangements, revenue is generally recognized over time beginning when the system is fully installed, as this is when the customer obtains control of the asset. Revenue is recognized using an input method based on direct installation costs. For New Homes Business lease arrangements, revenue is recognized at a point in time upon customer acceptance of the completed system.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Dealer segment, the Company earns revenue from contracts for solar installations performed by third-party installers. The Company acts as an agent in these arrangements and recognizes revenue on a net basis at the point in time when substantial completion is achieved. The Company does not provide warranty services related to Dealer contracts. During the thirteen week period ended March 29, 2026, the Company amended customer contracts and under the amended contractual terms, the point at which control transfers to the customer changed from permission to operate (“PTO”) to substantial completion of the installation. As a result, the Company recognized incremental revenue of $12.4 million in the thirteen week period ended March 29, 2026, related to the contract modifications.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Incremental costs of obtaining customer contracts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March 29, 2026 and December 28, 2025, deferred commissions were $8.1 million and $5.6 million, respectively.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Estimated credit losses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following table summarizes the allowance for credit loss activity as of and for the periods ended </w:t>
      </w:r>
      <w:r>
        <w:rPr>
          <w:rFonts w:ascii="Times New Roman;Times;Serif" w:hAnsi="Times New Roman;Times;Serif"/>
          <w:b w:val="false"/>
          <w:i/>
          <w:caps w:val="false"/>
          <w:smallCaps w:val="false"/>
          <w:sz w:val="20"/>
        </w:rPr>
        <w:t>(in thousands)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tbl>
      <w:tblPr>
        <w:tblW w:w="8293" w:type="dxa"/>
        <w:jc w:val="left"/>
        <w:tblInd w:w="0" w:type="dxa"/>
        <w:tblLayout w:type="fixed"/>
        <w:tblCellMar>
          <w:top w:w="0" w:type="dxa"/>
          <w:left w:w="0" w:type="dxa"/>
          <w:bottom w:w="0" w:type="dxa"/>
          <w:right w:w="0" w:type="dxa"/>
        </w:tblCellMar>
      </w:tblPr>
      <w:tblGrid>
        <w:gridCol w:w="5750"/>
        <w:gridCol w:w="60"/>
        <w:gridCol w:w="195"/>
        <w:gridCol w:w="884"/>
        <w:gridCol w:w="132"/>
        <w:gridCol w:w="83"/>
        <w:gridCol w:w="195"/>
        <w:gridCol w:w="884"/>
        <w:gridCol w:w="110"/>
      </w:tblGrid>
      <w:tr>
        <w:trPr/>
        <w:tc>
          <w:tcPr>
            <w:tcW w:w="5750"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p>
        </w:tc>
        <w:tc>
          <w:tcPr>
            <w:tcW w:w="2373" w:type="dxa"/>
            <w:gridSpan w:val="6"/>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Thirteen Weeks Ended</w:t>
            </w:r>
          </w:p>
        </w:tc>
        <w:tc>
          <w:tcPr>
            <w:tcW w:w="110" w:type="dxa"/>
            <w:tcBorders/>
            <w:vAlign w:val="center"/>
          </w:tcPr>
          <w:p>
            <w:pPr>
              <w:pStyle w:val="TableContents"/>
              <w:bidi w:val="0"/>
              <w:spacing w:before="0" w:after="283"/>
              <w:jc w:val="left"/>
              <w:rPr/>
            </w:pPr>
            <w:r>
              <w:rPr/>
              <w:t> </w:t>
            </w:r>
          </w:p>
        </w:tc>
      </w:tr>
      <w:tr>
        <w:trPr/>
        <w:tc>
          <w:tcPr>
            <w:tcW w:w="5750"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p>
        </w:tc>
        <w:tc>
          <w:tcPr>
            <w:tcW w:w="1079" w:type="dxa"/>
            <w:gridSpan w:val="2"/>
            <w:tcBorders/>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March 29,</w:t>
            </w:r>
          </w:p>
        </w:tc>
        <w:tc>
          <w:tcPr>
            <w:tcW w:w="132" w:type="dxa"/>
            <w:tcBorders/>
            <w:vAlign w:val="center"/>
          </w:tcPr>
          <w:p>
            <w:pPr>
              <w:pStyle w:val="TableContents"/>
              <w:bidi w:val="0"/>
              <w:spacing w:before="0" w:after="283"/>
              <w:jc w:val="left"/>
              <w:rPr/>
            </w:pPr>
            <w:r>
              <w:rPr/>
              <w:t> </w:t>
            </w:r>
          </w:p>
        </w:tc>
        <w:tc>
          <w:tcPr>
            <w:tcW w:w="83" w:type="dxa"/>
            <w:tcBorders/>
            <w:vAlign w:val="center"/>
          </w:tcPr>
          <w:p>
            <w:pPr>
              <w:pStyle w:val="TableContents"/>
              <w:bidi w:val="0"/>
              <w:spacing w:before="0" w:after="283"/>
              <w:jc w:val="left"/>
              <w:rPr/>
            </w:pPr>
            <w:r>
              <w:rPr/>
              <w:t> </w:t>
            </w:r>
          </w:p>
        </w:tc>
        <w:tc>
          <w:tcPr>
            <w:tcW w:w="1079" w:type="dxa"/>
            <w:gridSpan w:val="2"/>
            <w:tcBorders/>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March 30,</w:t>
            </w:r>
          </w:p>
        </w:tc>
        <w:tc>
          <w:tcPr>
            <w:tcW w:w="110" w:type="dxa"/>
            <w:tcBorders/>
            <w:vAlign w:val="center"/>
          </w:tcPr>
          <w:p>
            <w:pPr>
              <w:pStyle w:val="TableContents"/>
              <w:bidi w:val="0"/>
              <w:spacing w:before="0" w:after="283"/>
              <w:jc w:val="left"/>
              <w:rPr/>
            </w:pPr>
            <w:r>
              <w:rPr/>
              <w:t> </w:t>
            </w:r>
          </w:p>
        </w:tc>
      </w:tr>
      <w:tr>
        <w:trPr/>
        <w:tc>
          <w:tcPr>
            <w:tcW w:w="5750"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p>
        </w:tc>
        <w:tc>
          <w:tcPr>
            <w:tcW w:w="1079"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2026</w:t>
            </w:r>
          </w:p>
        </w:tc>
        <w:tc>
          <w:tcPr>
            <w:tcW w:w="132" w:type="dxa"/>
            <w:tcBorders/>
            <w:vAlign w:val="center"/>
          </w:tcPr>
          <w:p>
            <w:pPr>
              <w:pStyle w:val="TableContents"/>
              <w:bidi w:val="0"/>
              <w:spacing w:before="0" w:after="283"/>
              <w:jc w:val="left"/>
              <w:rPr/>
            </w:pPr>
            <w:r>
              <w:rPr/>
              <w:t> </w:t>
            </w:r>
          </w:p>
        </w:tc>
        <w:tc>
          <w:tcPr>
            <w:tcW w:w="83" w:type="dxa"/>
            <w:tcBorders/>
            <w:vAlign w:val="center"/>
          </w:tcPr>
          <w:p>
            <w:pPr>
              <w:pStyle w:val="TableContents"/>
              <w:bidi w:val="0"/>
              <w:spacing w:before="0" w:after="283"/>
              <w:jc w:val="left"/>
              <w:rPr/>
            </w:pPr>
            <w:r>
              <w:rPr/>
              <w:t> </w:t>
            </w:r>
          </w:p>
        </w:tc>
        <w:tc>
          <w:tcPr>
            <w:tcW w:w="1079"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2025</w:t>
            </w:r>
          </w:p>
        </w:tc>
        <w:tc>
          <w:tcPr>
            <w:tcW w:w="110" w:type="dxa"/>
            <w:tcBorders/>
            <w:vAlign w:val="center"/>
          </w:tcPr>
          <w:p>
            <w:pPr>
              <w:pStyle w:val="TableContents"/>
              <w:bidi w:val="0"/>
              <w:spacing w:before="0" w:after="283"/>
              <w:jc w:val="left"/>
              <w:rPr/>
            </w:pPr>
            <w:r>
              <w:rPr/>
              <w:t> </w:t>
            </w:r>
          </w:p>
        </w:tc>
      </w:tr>
      <w:tr>
        <w:trPr/>
        <w:tc>
          <w:tcPr>
            <w:tcW w:w="5750" w:type="dxa"/>
            <w:tcBorders/>
            <w:shd w:fill="CCEEFF" w:val="cle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Balance at beginning of year</w:t>
            </w:r>
          </w:p>
        </w:tc>
        <w:tc>
          <w:tcPr>
            <w:tcW w:w="60" w:type="dxa"/>
            <w:tcBorders/>
            <w:shd w:fill="CCEEFF" w:val="clear"/>
            <w:vAlign w:val="center"/>
          </w:tcPr>
          <w:p>
            <w:pPr>
              <w:pStyle w:val="TableContents"/>
              <w:bidi w:val="0"/>
              <w:spacing w:before="0" w:after="283"/>
              <w:jc w:val="left"/>
              <w:rPr/>
            </w:pPr>
            <w:r>
              <w:rPr/>
              <w:t> </w:t>
            </w:r>
          </w:p>
        </w:tc>
        <w:tc>
          <w:tcPr>
            <w:tcW w:w="19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884"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(5,206</w:t>
            </w:r>
          </w:p>
        </w:tc>
        <w:tc>
          <w:tcPr>
            <w:tcW w:w="132"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83" w:type="dxa"/>
            <w:tcBorders/>
            <w:shd w:fill="CCEEFF" w:val="clear"/>
            <w:vAlign w:val="center"/>
          </w:tcPr>
          <w:p>
            <w:pPr>
              <w:pStyle w:val="TableContents"/>
              <w:bidi w:val="0"/>
              <w:spacing w:before="0" w:after="283"/>
              <w:jc w:val="left"/>
              <w:rPr/>
            </w:pPr>
            <w:r>
              <w:rPr/>
              <w:t> </w:t>
            </w:r>
          </w:p>
        </w:tc>
        <w:tc>
          <w:tcPr>
            <w:tcW w:w="19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884"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(1,701</w:t>
            </w:r>
          </w:p>
        </w:tc>
        <w:tc>
          <w:tcPr>
            <w:tcW w:w="11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5750" w:type="dxa"/>
            <w:tcBorders/>
            <w:shd w:fill="FFFFFF" w:val="cle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Provision charged to earnings</w:t>
            </w:r>
          </w:p>
        </w:tc>
        <w:tc>
          <w:tcPr>
            <w:tcW w:w="60" w:type="dxa"/>
            <w:tcBorders/>
            <w:shd w:fill="FFFFFF" w:val="clear"/>
            <w:vAlign w:val="center"/>
          </w:tcPr>
          <w:p>
            <w:pPr>
              <w:pStyle w:val="TableContents"/>
              <w:bidi w:val="0"/>
              <w:spacing w:before="0" w:after="283"/>
              <w:jc w:val="left"/>
              <w:rPr/>
            </w:pPr>
            <w:r>
              <w:rPr/>
              <w:t> </w:t>
            </w:r>
          </w:p>
        </w:tc>
        <w:tc>
          <w:tcPr>
            <w:tcW w:w="195" w:type="dxa"/>
            <w:tcBorders/>
            <w:shd w:fill="FFFFFF" w:val="clear"/>
            <w:vAlign w:val="center"/>
          </w:tcPr>
          <w:p>
            <w:pPr>
              <w:pStyle w:val="TableContents"/>
              <w:bidi w:val="0"/>
              <w:spacing w:before="0" w:after="283"/>
              <w:jc w:val="left"/>
              <w:rPr/>
            </w:pPr>
            <w:r>
              <w:rPr/>
              <w:t> </w:t>
            </w:r>
          </w:p>
        </w:tc>
        <w:tc>
          <w:tcPr>
            <w:tcW w:w="884" w:type="dxa"/>
            <w:tcBorders/>
            <w:shd w:fill="FFFFFF" w:val="clear"/>
            <w:vAlign w:val="center"/>
          </w:tcPr>
          <w:p>
            <w:pPr>
              <w:pStyle w:val="TableContents"/>
              <w:bidi w:val="0"/>
              <w:spacing w:before="0" w:after="283"/>
              <w:jc w:val="right"/>
              <w:rPr/>
            </w:pPr>
            <w:r>
              <w:rPr/>
              <w:t>—</w:t>
            </w:r>
          </w:p>
        </w:tc>
        <w:tc>
          <w:tcPr>
            <w:tcW w:w="132" w:type="dxa"/>
            <w:tcBorders/>
            <w:shd w:fill="FFFFFF" w:val="clear"/>
            <w:vAlign w:val="center"/>
          </w:tcPr>
          <w:p>
            <w:pPr>
              <w:pStyle w:val="TableContents"/>
              <w:bidi w:val="0"/>
              <w:spacing w:before="0" w:after="283"/>
              <w:jc w:val="left"/>
              <w:rPr/>
            </w:pPr>
            <w:r>
              <w:rPr/>
              <w:t> </w:t>
            </w:r>
          </w:p>
        </w:tc>
        <w:tc>
          <w:tcPr>
            <w:tcW w:w="83" w:type="dxa"/>
            <w:tcBorders/>
            <w:shd w:fill="FFFFFF" w:val="clear"/>
            <w:vAlign w:val="center"/>
          </w:tcPr>
          <w:p>
            <w:pPr>
              <w:pStyle w:val="TableContents"/>
              <w:bidi w:val="0"/>
              <w:spacing w:before="0" w:after="283"/>
              <w:jc w:val="left"/>
              <w:rPr/>
            </w:pPr>
            <w:r>
              <w:rPr/>
              <w:t> </w:t>
            </w:r>
          </w:p>
        </w:tc>
        <w:tc>
          <w:tcPr>
            <w:tcW w:w="195" w:type="dxa"/>
            <w:tcBorders/>
            <w:shd w:fill="FFFFFF" w:val="clear"/>
            <w:vAlign w:val="center"/>
          </w:tcPr>
          <w:p>
            <w:pPr>
              <w:pStyle w:val="TableContents"/>
              <w:bidi w:val="0"/>
              <w:spacing w:before="0" w:after="283"/>
              <w:jc w:val="left"/>
              <w:rPr/>
            </w:pPr>
            <w:r>
              <w:rPr/>
              <w:t> </w:t>
            </w:r>
          </w:p>
        </w:tc>
        <w:tc>
          <w:tcPr>
            <w:tcW w:w="884"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(1,087</w:t>
            </w:r>
          </w:p>
        </w:tc>
        <w:tc>
          <w:tcPr>
            <w:tcW w:w="11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5750" w:type="dxa"/>
            <w:tcBorders/>
            <w:shd w:fill="CCEEFF" w:val="cle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Amounts written off, net of recoveries and other adjustments</w:t>
            </w:r>
          </w:p>
        </w:tc>
        <w:tc>
          <w:tcPr>
            <w:tcW w:w="60" w:type="dxa"/>
            <w:tcBorders/>
            <w:shd w:fill="CCEEFF" w:val="clear"/>
            <w:vAlign w:val="center"/>
          </w:tcPr>
          <w:p>
            <w:pPr>
              <w:pStyle w:val="TableContents"/>
              <w:bidi w:val="0"/>
              <w:spacing w:before="0" w:after="283"/>
              <w:jc w:val="left"/>
              <w:rPr/>
            </w:pPr>
            <w:r>
              <w:rPr/>
              <w:t> </w:t>
            </w:r>
          </w:p>
        </w:tc>
        <w:tc>
          <w:tcPr>
            <w:tcW w:w="195"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84"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132" w:type="dxa"/>
            <w:tcBorders/>
            <w:shd w:fill="CCEEFF" w:val="clear"/>
            <w:vAlign w:val="center"/>
          </w:tcPr>
          <w:p>
            <w:pPr>
              <w:pStyle w:val="TableContents"/>
              <w:bidi w:val="0"/>
              <w:spacing w:before="0" w:after="283"/>
              <w:jc w:val="left"/>
              <w:rPr/>
            </w:pPr>
            <w:r>
              <w:rPr/>
              <w:t> </w:t>
            </w:r>
          </w:p>
        </w:tc>
        <w:tc>
          <w:tcPr>
            <w:tcW w:w="83" w:type="dxa"/>
            <w:tcBorders/>
            <w:shd w:fill="CCEEFF" w:val="clear"/>
            <w:vAlign w:val="center"/>
          </w:tcPr>
          <w:p>
            <w:pPr>
              <w:pStyle w:val="TableContents"/>
              <w:bidi w:val="0"/>
              <w:spacing w:before="0" w:after="283"/>
              <w:jc w:val="left"/>
              <w:rPr/>
            </w:pPr>
            <w:r>
              <w:rPr/>
              <w:t> </w:t>
            </w:r>
          </w:p>
        </w:tc>
        <w:tc>
          <w:tcPr>
            <w:tcW w:w="195"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84"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313</w:t>
            </w:r>
          </w:p>
        </w:tc>
        <w:tc>
          <w:tcPr>
            <w:tcW w:w="110" w:type="dxa"/>
            <w:tcBorders/>
            <w:shd w:fill="CCEEFF" w:val="clear"/>
            <w:vAlign w:val="center"/>
          </w:tcPr>
          <w:p>
            <w:pPr>
              <w:pStyle w:val="TableContents"/>
              <w:bidi w:val="0"/>
              <w:spacing w:before="0" w:after="283"/>
              <w:jc w:val="left"/>
              <w:rPr/>
            </w:pPr>
            <w:r>
              <w:rPr/>
              <w:t> </w:t>
            </w:r>
          </w:p>
        </w:tc>
      </w:tr>
      <w:tr>
        <w:trPr/>
        <w:tc>
          <w:tcPr>
            <w:tcW w:w="5750" w:type="dxa"/>
            <w:tcBorders/>
            <w:shd w:fill="FFFFFF" w:val="cle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Balance at end of period</w:t>
            </w:r>
          </w:p>
        </w:tc>
        <w:tc>
          <w:tcPr>
            <w:tcW w:w="60" w:type="dxa"/>
            <w:tcBorders/>
            <w:shd w:fill="FFFFFF" w:val="clear"/>
            <w:vAlign w:val="center"/>
          </w:tcPr>
          <w:p>
            <w:pPr>
              <w:pStyle w:val="TableContents"/>
              <w:bidi w:val="0"/>
              <w:spacing w:before="0" w:after="283"/>
              <w:jc w:val="left"/>
              <w:rPr/>
            </w:pPr>
            <w:r>
              <w:rPr/>
              <w:t> </w:t>
            </w:r>
          </w:p>
        </w:tc>
        <w:tc>
          <w:tcPr>
            <w:tcW w:w="195" w:type="dxa"/>
            <w:tcBorders>
              <w:bottom w:val="double" w:sz="10"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884" w:type="dxa"/>
            <w:tcBorders>
              <w:bottom w:val="double" w:sz="10"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(5,206</w:t>
            </w:r>
          </w:p>
        </w:tc>
        <w:tc>
          <w:tcPr>
            <w:tcW w:w="132"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83" w:type="dxa"/>
            <w:tcBorders/>
            <w:shd w:fill="FFFFFF" w:val="clear"/>
            <w:vAlign w:val="center"/>
          </w:tcPr>
          <w:p>
            <w:pPr>
              <w:pStyle w:val="TableContents"/>
              <w:bidi w:val="0"/>
              <w:spacing w:before="0" w:after="283"/>
              <w:jc w:val="left"/>
              <w:rPr/>
            </w:pPr>
            <w:r>
              <w:rPr/>
              <w:t> </w:t>
            </w:r>
          </w:p>
        </w:tc>
        <w:tc>
          <w:tcPr>
            <w:tcW w:w="195" w:type="dxa"/>
            <w:tcBorders>
              <w:bottom w:val="double" w:sz="10"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884" w:type="dxa"/>
            <w:tcBorders>
              <w:bottom w:val="double" w:sz="10"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(2,475</w:t>
            </w:r>
          </w:p>
        </w:tc>
        <w:tc>
          <w:tcPr>
            <w:tcW w:w="11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sz w:val="20"/>
          <w:bdr w:val="single" w:sz="12" w:space="1" w:color="000000"/>
        </w:rPr>
      </w:pPr>
      <w:r>
        <w:rPr>
          <w:sz w:val="20"/>
          <w:bdr w:val="single" w:sz="12" w:space="1" w:color="000000"/>
        </w:rPr>
        <w:t>F-10</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Recent Accounting Pronouncements Adopted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March 2024, the FASB issued ASU 2024-02 “</w:t>
      </w:r>
      <w:r>
        <w:rPr>
          <w:rFonts w:ascii="Times New Roman;Times;Serif" w:hAnsi="Times New Roman;Times;Serif"/>
          <w:b w:val="false"/>
          <w:i/>
          <w:caps w:val="false"/>
          <w:smallCaps w:val="false"/>
          <w:sz w:val="20"/>
        </w:rPr>
        <w:t>Codification Improvements-Amendments to Remove References to the Concepts Statements”</w:t>
      </w:r>
      <w:r>
        <w:rPr>
          <w:rFonts w:ascii="Times New Roman;Times;Serif" w:hAnsi="Times New Roman;Times;Serif"/>
          <w:b w:val="false"/>
          <w:i w:val="false"/>
          <w:caps w:val="false"/>
          <w:smallCaps w:val="false"/>
          <w:sz w:val="20"/>
        </w:rPr>
        <w:t>, which removes various references to concepts statements from the FASB Accounting Standards Codification. This ASU is effective for the Company beginning in the first quarter of fiscal year 2026, with early adoption permitted. The Company adopted the guidance in the period ended March 29, 2026 and the adoption did not have a material impact on the Company’s unaudited condensed consolidated financial statements.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r>
        <w:rPr>
          <w:rFonts w:ascii="Times New Roman;Times;Serif" w:hAnsi="Times New Roman;Times;Serif"/>
          <w:b w:val="false"/>
          <w:i w:val="false"/>
          <w:caps w:val="false"/>
          <w:smallCaps w:val="false"/>
          <w:sz w:val="20"/>
        </w:rPr>
        <w:t>In November 2024, the FASB issued ASU No. 2024-04, “</w:t>
      </w:r>
      <w:r>
        <w:rPr>
          <w:rFonts w:ascii="Times New Roman;Times;Serif" w:hAnsi="Times New Roman;Times;Serif"/>
          <w:b w:val="false"/>
          <w:i/>
          <w:caps w:val="false"/>
          <w:smallCaps w:val="false"/>
          <w:sz w:val="20"/>
        </w:rPr>
        <w:t>Debt-Debt with Conversion and Other Options (Subtopic 470-20) (“ASU 2024-04”)”</w:t>
      </w:r>
      <w:r>
        <w:rPr>
          <w:rFonts w:ascii="Times New Roman;Times;Serif" w:hAnsi="Times New Roman;Times;Serif"/>
          <w:b w:val="false"/>
          <w:i w:val="false"/>
          <w:caps w:val="false"/>
          <w:smallCaps w:val="false"/>
          <w:sz w:val="20"/>
        </w:rPr>
        <w:t>. The guidance in ASU 2024-04 clarifies the requirements related to accounting for the settlement of a debt instrument as an induced conversion. The standard is effective for fiscal years beginning after December 15, 2025, and interim periods within fiscal years beginning after December 15, 2025, with early adoption permitted as of the beginning of a reporting period if the entity has also adopted ASU 2020-06 for that period. The Company adopted the guidance effective December 29, 2025 and the adoption did not have a material impact on the Company’s unaudited condensed consolidated financial statements.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Recent Accounting Pronouncements Not Yet Adopted</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November 2024, the FASB issued ASU 2024-03, “</w:t>
      </w:r>
      <w:r>
        <w:rPr>
          <w:rFonts w:ascii="Times New Roman;Times;Serif" w:hAnsi="Times New Roman;Times;Serif"/>
          <w:b w:val="false"/>
          <w:i/>
          <w:caps w:val="false"/>
          <w:smallCaps w:val="false"/>
          <w:sz w:val="20"/>
        </w:rPr>
        <w:t>Income Statement-Reporting Comprehensive Income-Expense Disaggregation Disclosures (Subtopic 220-40): Disaggregation of Income Statement Expenses”,</w:t>
      </w:r>
      <w:r>
        <w:rPr>
          <w:rFonts w:ascii="Times New Roman;Times;Serif" w:hAnsi="Times New Roman;Times;Serif"/>
          <w:b w:val="false"/>
          <w:i w:val="false"/>
          <w:caps w:val="false"/>
          <w:smallCaps w:val="false"/>
          <w:sz w:val="20"/>
        </w:rPr>
        <w:t xml:space="preserve"> which requires the disaggregation of certain expenses in the notes of the financial statements to provide enhanced transparency into the expense captions presented on the face of the income statement. The FASB subsequently issued ASU 2025-01 “</w:t>
      </w:r>
      <w:r>
        <w:rPr>
          <w:rFonts w:ascii="Times New Roman;Times;Serif" w:hAnsi="Times New Roman;Times;Serif"/>
          <w:b w:val="false"/>
          <w:i/>
          <w:caps w:val="false"/>
          <w:smallCaps w:val="false"/>
          <w:sz w:val="20"/>
        </w:rPr>
        <w:t>Income Statement-Reporting Comprehensive Income-Expense Disaggregation Disclosures (Subtopic 220-40): Clarifying the Effective Date”</w:t>
      </w:r>
      <w:r>
        <w:rPr>
          <w:rFonts w:ascii="Times New Roman;Times;Serif" w:hAnsi="Times New Roman;Times;Serif"/>
          <w:b w:val="false"/>
          <w:i w:val="false"/>
          <w:caps w:val="false"/>
          <w:smallCaps w:val="false"/>
          <w:sz w:val="20"/>
        </w:rPr>
        <w:t>, which amends the effective date of ASU 2024-03 to clarify that all public business entities are required to adopt the guidance in ASU 2024-03 in annual reporting periods beginning after December 15, 2026, and interim periods within annual reporting periods beginning after December 15, 2027. Early adoption of ASU 2024-03 is permitted. The Company is assessing the impact of adopting this guidance on its consolidated financial statements.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September 2025, the FASB issued ASU 2025-06 “</w:t>
      </w:r>
      <w:r>
        <w:rPr>
          <w:rFonts w:ascii="Times New Roman;Times;Serif" w:hAnsi="Times New Roman;Times;Serif"/>
          <w:b w:val="false"/>
          <w:i/>
          <w:caps w:val="false"/>
          <w:smallCaps w:val="false"/>
          <w:sz w:val="20"/>
        </w:rPr>
        <w:t>Targeted improvements to the Accounting for Internal-Use Software”</w:t>
      </w:r>
      <w:r>
        <w:rPr>
          <w:rFonts w:ascii="Times New Roman;Times;Serif" w:hAnsi="Times New Roman;Times;Serif"/>
          <w:b w:val="false"/>
          <w:i w:val="false"/>
          <w:caps w:val="false"/>
          <w:smallCaps w:val="false"/>
          <w:sz w:val="20"/>
        </w:rPr>
        <w:t xml:space="preserve"> which is an update to remove all references to prescriptive and sequential software development stages (referred to as “project stages”). This ASU is effective for all entities for annual reporting periods beginning after December 15, 2027, and interim reporting periods within those annual reporting periods. Early adoption is permitted as of the beginning of an annual reporting period. The Company is currently evaluating the impact that the adoption of ASU 2025-06 may have on its consolidated financial statements.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December 2025, the FASB issued ASU 2025-11, “</w:t>
      </w:r>
      <w:r>
        <w:rPr>
          <w:rFonts w:ascii="Times New Roman;Times;Serif" w:hAnsi="Times New Roman;Times;Serif"/>
          <w:b w:val="false"/>
          <w:i/>
          <w:caps w:val="false"/>
          <w:smallCaps w:val="false"/>
          <w:sz w:val="20"/>
        </w:rPr>
        <w:t>Interim Reporting Narrow Scope Improvements”</w:t>
      </w:r>
      <w:r>
        <w:rPr>
          <w:rFonts w:ascii="Times New Roman;Times;Serif" w:hAnsi="Times New Roman;Times;Serif"/>
          <w:b w:val="false"/>
          <w:i w:val="false"/>
          <w:caps w:val="false"/>
          <w:smallCaps w:val="false"/>
          <w:sz w:val="20"/>
        </w:rPr>
        <w:t xml:space="preserve"> which amends and clarifies interim reporting and disclosure requirements including additional guidance on what disclosures should be provided in interim reporting periods. This amendment also includes a disclosure principle that requires entities to disclose events since the end of the last annual reporting period that have a material impact on the entity. This ASU is effective for interim reporting periods within annual reporting periods beginning after December 15, 2027 for public companies. This ASU may be applied prospectively or retrospectively to any or all periods presented in the Company’s consolidated financial statements. Early adoption of this ASU is permitted. The Company is currently evaluating the impact that the adoption of this ASU may have on its consolidated financial statements.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December 2025, the FASB issued ASU 2025-12, “</w:t>
      </w:r>
      <w:r>
        <w:rPr>
          <w:rFonts w:ascii="Times New Roman;Times;Serif" w:hAnsi="Times New Roman;Times;Serif"/>
          <w:b w:val="false"/>
          <w:i/>
          <w:caps w:val="false"/>
          <w:smallCaps w:val="false"/>
          <w:sz w:val="20"/>
        </w:rPr>
        <w:t>Codification Improvements</w:t>
      </w:r>
      <w:r>
        <w:rPr>
          <w:rFonts w:ascii="Times New Roman;Times;Serif" w:hAnsi="Times New Roman;Times;Serif"/>
          <w:b w:val="false"/>
          <w:i w:val="false"/>
          <w:caps w:val="false"/>
          <w:smallCaps w:val="false"/>
          <w:sz w:val="20"/>
        </w:rPr>
        <w:t>” which makes changes to the Accounting Standards Codification that clarify, correct errors or make minor improvements and make ASCs easier to understand and apply. The amendments in this ASU are effective for all entities for annual reporting periods beginning after December 15, 2026, and interim reporting periods within those annual reporting periods. This ASU may be adopted prospectively or retrospectively, except as to the clarification of the calculation of earnings per share when a loss from continuing operations exists which must be adopted retrospectively. All other codification improvements may be adopted prospectively or retrospectively. Early adoption is permitted. The Company is currently evaluating the impact that the adoption of this ASU may have on its consolidated financial statements.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sz w:val="20"/>
          <w:bdr w:val="single" w:sz="12" w:space="1" w:color="000000"/>
        </w:rPr>
      </w:pPr>
      <w:r>
        <w:rPr>
          <w:sz w:val="20"/>
          <w:bdr w:val="single" w:sz="12" w:space="1" w:color="000000"/>
        </w:rPr>
        <w:t>F-11</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 Business Combinations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Cobalt Power Systems, Inc.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January 30, 2026, the Company entered into a Share Purchase Agreement (the “Share Purchase Agreement”) with Cobalt and Cobalt’s stockholders (the “Cobalt Stockholders”). The Company, Cobalt and the Cobalt Stockholders completed the closing under the Share Purchase Agreement (the “Cobalt Closing”) on February 2, 2026. At the Cobalt Closing, the Company acquired all of the outstanding stock of Cobalt from the Cobalt Stockholders for: (a) 1.8 million shares (the “Closing Consideration Shares”) of the Company’s common stock and (b) an agreement to issue an additional $3.33 million of shares of the Company’s common stock on each of the 12-month and 18-month anniversaries of the Cobalt Closing (“Post-Closing Consideration Shares). Additionally, the Company agreed to issue up to $2.0 million of restricted stock units to those Cobalt employees who continue their employment with the Company following the Cobalt Closing, and 850,000 restricted stock units will be issued as inducement grants to certain Cobalt key employees. Based on the analysis of the payments made or to be made in connection with the acquisition of Cobalt under ASC 805, the Company concluded that the $2.0 million of restricted stock units is considered compensation and, therefore, this amount has been excluded from the business combination consideration. Cobalt designs and installs solar systems for residential and commercial clients.</w:t>
      </w:r>
    </w:p>
    <w:p>
      <w:pPr>
        <w:pStyle w:val="TextBody"/>
        <w:bidi w:val="0"/>
        <w:spacing w:before="0" w:after="0"/>
        <w:ind w:left="0" w:right="0" w:hanging="0"/>
        <w:jc w:val="righ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Total consideration for Cobalt was $9.66 million, which consists of $3.33 million paid at the Cobalt Closing and Post-Closing Consideration Shares valued at $6.33 million. The $3.33 million fair value of the shares of common stock issued at the Cobalt Closing was derived based on the Company’s closing stock price in a 5-day volume-weighted average price (“VWAP”) immediately preceding the Cobalt Closing to determine the number of shares issued. The Post-Closing Consideration Shares are treated as a liability for financial reporting purposes and are reported within Deferred consideration, current and deferred consideration, noncurrent within the Company’s unaudited condensed consolidated balance sheet, and were valued using a Monte Carlo simulation model to capture the variability in the number and value of shares issuable at the 12- and 18-month post-closing dates. Under the terms of the agreement, the deferred obligation represents a fixed dollar amount that will be settled in a variable number of shares determined based on the 5-day VWAP immediately prior to each issuance date, resulting in an inverse relationship between share price and shares issued. The model incorporates key assumptions, including a starting VWAP of $1.69, a risk-free rate of 3.53%, expected volatility of 85.5% derived from peer company analysis and historical data, and a 1.5-year simulation horizon. For each simulated stock price path, the model calculates the resulting share issuances and corresponding payment values, discounts those amounts to present value, and averages the outcomes across simulations to estimate fair value, resulting in a concluded value of approximately $6.33 million as of the valuation date. The total consideration is summarized as follows </w:t>
      </w:r>
      <w:r>
        <w:rPr>
          <w:rFonts w:ascii="Times New Roman;Times;Serif" w:hAnsi="Times New Roman;Times;Serif"/>
          <w:b w:val="false"/>
          <w:i/>
          <w:caps w:val="false"/>
          <w:smallCaps w:val="false"/>
          <w:sz w:val="20"/>
        </w:rPr>
        <w:t>(in thousands):</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9370"/>
        <w:gridCol w:w="60"/>
        <w:gridCol w:w="140"/>
        <w:gridCol w:w="560"/>
        <w:gridCol w:w="75"/>
      </w:tblGrid>
      <w:tr>
        <w:trPr/>
        <w:tc>
          <w:tcPr>
            <w:tcW w:w="9370" w:type="dxa"/>
            <w:tcBorders/>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Consideration</w:t>
            </w:r>
          </w:p>
        </w:tc>
        <w:tc>
          <w:tcPr>
            <w:tcW w:w="60" w:type="dxa"/>
            <w:tcBorders/>
            <w:vAlign w:val="center"/>
          </w:tcPr>
          <w:p>
            <w:pPr>
              <w:pStyle w:val="TableContents"/>
              <w:bidi w:val="0"/>
              <w:spacing w:before="0" w:after="283"/>
              <w:jc w:val="left"/>
              <w:rPr/>
            </w:pPr>
            <w:r>
              <w:rPr/>
              <w:t> </w:t>
            </w:r>
          </w:p>
        </w:tc>
        <w:tc>
          <w:tcPr>
            <w:tcW w:w="700" w:type="dxa"/>
            <w:gridSpan w:val="2"/>
            <w:tcBorders/>
            <w:vAlign w:val="center"/>
          </w:tcPr>
          <w:p>
            <w:pPr>
              <w:pStyle w:val="TableContents"/>
              <w:bidi w:val="0"/>
              <w:spacing w:before="0" w:after="283"/>
              <w:jc w:val="right"/>
              <w:rPr/>
            </w:pPr>
            <w:r>
              <w:rPr/>
              <w:t> </w:t>
            </w:r>
          </w:p>
        </w:tc>
        <w:tc>
          <w:tcPr>
            <w:tcW w:w="75" w:type="dxa"/>
            <w:tcBorders/>
            <w:vAlign w:val="center"/>
          </w:tcPr>
          <w:p>
            <w:pPr>
              <w:pStyle w:val="TableContents"/>
              <w:bidi w:val="0"/>
              <w:spacing w:before="0" w:after="283"/>
              <w:jc w:val="left"/>
              <w:rPr/>
            </w:pPr>
            <w:r>
              <w:rPr/>
              <w:t> </w:t>
            </w:r>
          </w:p>
        </w:tc>
      </w:tr>
      <w:tr>
        <w:trPr/>
        <w:tc>
          <w:tcPr>
            <w:tcW w:w="937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Fair value of shares of the Company’s common stock issued at Cobalt Closing (classified within Additional paid-in capital)</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56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3,333</w:t>
            </w:r>
          </w:p>
        </w:tc>
        <w:tc>
          <w:tcPr>
            <w:tcW w:w="75" w:type="dxa"/>
            <w:tcBorders/>
            <w:shd w:fill="CCEEFF" w:val="clear"/>
            <w:vAlign w:val="center"/>
          </w:tcPr>
          <w:p>
            <w:pPr>
              <w:pStyle w:val="TableContents"/>
              <w:bidi w:val="0"/>
              <w:spacing w:before="0" w:after="283"/>
              <w:jc w:val="left"/>
              <w:rPr/>
            </w:pPr>
            <w:r>
              <w:rPr/>
              <w:t> </w:t>
            </w:r>
          </w:p>
        </w:tc>
      </w:tr>
      <w:tr>
        <w:trPr/>
        <w:tc>
          <w:tcPr>
            <w:tcW w:w="937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Deferred Cobalt Consideration Shares (Classified within Deferred consideration, current and noncurrent)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560"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6,331</w:t>
            </w:r>
          </w:p>
        </w:tc>
        <w:tc>
          <w:tcPr>
            <w:tcW w:w="75" w:type="dxa"/>
            <w:tcBorders/>
            <w:shd w:fill="FFFFFF" w:val="clear"/>
            <w:vAlign w:val="center"/>
          </w:tcPr>
          <w:p>
            <w:pPr>
              <w:pStyle w:val="TableContents"/>
              <w:bidi w:val="0"/>
              <w:spacing w:before="0" w:after="283"/>
              <w:jc w:val="left"/>
              <w:rPr/>
            </w:pPr>
            <w:r>
              <w:rPr/>
              <w:t> </w:t>
            </w:r>
          </w:p>
        </w:tc>
      </w:tr>
      <w:tr>
        <w:trPr/>
        <w:tc>
          <w:tcPr>
            <w:tcW w:w="937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Fair value of total consideration</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10"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560" w:type="dxa"/>
            <w:tcBorders>
              <w:bottom w:val="double" w:sz="10"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9,664</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provisional fair values of assets acquired and liabilities assumed were based upon the facts and circumstances existing at the Cobalt Closing. The purchase price accounting remains open for the valuation of intangibles, certain liabilities and allocation of goodwill. The Company elected the practical expedient within ASC 805-20-30-27 through 805-20-30-30 to recognize and measure contract liabilities in accordance with ASC 606 as if it had originated the acquired contract. Thus, the amount of any contract liabilities immediately prior to the acquisition will be the comparable amounts recognized in the determination of assets acquired and liabilities assumed by the Company.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provisional fair values of identifiable assets acquired and liabilities assumed are identified below </w:t>
      </w:r>
      <w:r>
        <w:rPr>
          <w:rFonts w:ascii="Times New Roman;Times;Serif" w:hAnsi="Times New Roman;Times;Serif"/>
          <w:b w:val="false"/>
          <w:i/>
          <w:caps w:val="false"/>
          <w:smallCaps w:val="false"/>
          <w:sz w:val="20"/>
        </w:rPr>
        <w:t>(in thousands)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tbl>
      <w:tblPr>
        <w:tblW w:w="7994" w:type="dxa"/>
        <w:jc w:val="left"/>
        <w:tblInd w:w="0" w:type="dxa"/>
        <w:tblLayout w:type="fixed"/>
        <w:tblCellMar>
          <w:top w:w="0" w:type="dxa"/>
          <w:left w:w="0" w:type="dxa"/>
          <w:bottom w:w="0" w:type="dxa"/>
          <w:right w:w="0" w:type="dxa"/>
        </w:tblCellMar>
      </w:tblPr>
      <w:tblGrid>
        <w:gridCol w:w="6290"/>
        <w:gridCol w:w="60"/>
        <w:gridCol w:w="262"/>
        <w:gridCol w:w="1272"/>
        <w:gridCol w:w="110"/>
      </w:tblGrid>
      <w:tr>
        <w:trPr/>
        <w:tc>
          <w:tcPr>
            <w:tcW w:w="629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34"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 xml:space="preserve">Provisional </w:t>
              <w:br/>
              <w:t>fair values</w:t>
              <w:br/>
              <w:t>as of</w:t>
              <w:br/>
              <w:t>Cobalt Closing</w:t>
            </w:r>
          </w:p>
        </w:tc>
        <w:tc>
          <w:tcPr>
            <w:tcW w:w="110" w:type="dxa"/>
            <w:tcBorders/>
            <w:vAlign w:val="center"/>
          </w:tcPr>
          <w:p>
            <w:pPr>
              <w:pStyle w:val="TableContents"/>
              <w:bidi w:val="0"/>
              <w:spacing w:before="0" w:after="283"/>
              <w:jc w:val="left"/>
              <w:rPr/>
            </w:pPr>
            <w:r>
              <w:rPr/>
              <w:t> </w:t>
            </w:r>
          </w:p>
        </w:tc>
      </w:tr>
      <w:tr>
        <w:trPr/>
        <w:tc>
          <w:tcPr>
            <w:tcW w:w="6290" w:type="dxa"/>
            <w:tcBorders/>
            <w:vAlign w:val="center"/>
          </w:tcPr>
          <w:p>
            <w:pPr>
              <w:pStyle w:val="TableContents"/>
              <w:bidi w:val="0"/>
              <w:spacing w:before="0" w:after="283"/>
              <w:jc w:val="left"/>
              <w:rPr>
                <w:b/>
              </w:rPr>
            </w:pPr>
            <w:r>
              <w:rPr>
                <w:b/>
              </w:rPr>
              <w:t>Net assets acquired:</w:t>
            </w:r>
          </w:p>
        </w:tc>
        <w:tc>
          <w:tcPr>
            <w:tcW w:w="60" w:type="dxa"/>
            <w:tcBorders/>
            <w:vAlign w:val="center"/>
          </w:tcPr>
          <w:p>
            <w:pPr>
              <w:pStyle w:val="TableContents"/>
              <w:bidi w:val="0"/>
              <w:spacing w:before="0" w:after="283"/>
              <w:jc w:val="left"/>
              <w:rPr/>
            </w:pPr>
            <w:r>
              <w:rPr/>
              <w:t> </w:t>
            </w:r>
          </w:p>
        </w:tc>
        <w:tc>
          <w:tcPr>
            <w:tcW w:w="1534" w:type="dxa"/>
            <w:gridSpan w:val="2"/>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 </w:t>
            </w:r>
          </w:p>
        </w:tc>
      </w:tr>
      <w:tr>
        <w:trPr/>
        <w:tc>
          <w:tcPr>
            <w:tcW w:w="6290" w:type="dxa"/>
            <w:tcBorders/>
            <w:shd w:fill="CCEEFF" w:val="clear"/>
            <w:vAlign w:val="center"/>
          </w:tcPr>
          <w:p>
            <w:pPr>
              <w:pStyle w:val="TableContents"/>
              <w:bidi w:val="0"/>
              <w:spacing w:before="0" w:after="283"/>
              <w:jc w:val="left"/>
              <w:rPr/>
            </w:pPr>
            <w:r>
              <w:rPr/>
              <w:t xml:space="preserve">Cash and cash equivalents </w:t>
            </w:r>
          </w:p>
        </w:tc>
        <w:tc>
          <w:tcPr>
            <w:tcW w:w="60" w:type="dxa"/>
            <w:tcBorders/>
            <w:shd w:fill="CCEEFF" w:val="clear"/>
            <w:vAlign w:val="center"/>
          </w:tcPr>
          <w:p>
            <w:pPr>
              <w:pStyle w:val="TableContents"/>
              <w:bidi w:val="0"/>
              <w:spacing w:before="0" w:after="283"/>
              <w:jc w:val="left"/>
              <w:rPr/>
            </w:pPr>
            <w:r>
              <w:rPr/>
              <w:t> </w:t>
            </w:r>
          </w:p>
        </w:tc>
        <w:tc>
          <w:tcPr>
            <w:tcW w:w="262" w:type="dxa"/>
            <w:tcBorders/>
            <w:shd w:fill="CCEEFF" w:val="clear"/>
            <w:vAlign w:val="center"/>
          </w:tcPr>
          <w:p>
            <w:pPr>
              <w:pStyle w:val="TableContents"/>
              <w:bidi w:val="0"/>
              <w:spacing w:before="0" w:after="283"/>
              <w:jc w:val="left"/>
              <w:rPr/>
            </w:pPr>
            <w:r>
              <w:rPr/>
              <w:t>$</w:t>
            </w:r>
          </w:p>
        </w:tc>
        <w:tc>
          <w:tcPr>
            <w:tcW w:w="1272" w:type="dxa"/>
            <w:tcBorders/>
            <w:shd w:fill="CCEEFF" w:val="clear"/>
            <w:vAlign w:val="center"/>
          </w:tcPr>
          <w:p>
            <w:pPr>
              <w:pStyle w:val="TableContents"/>
              <w:bidi w:val="0"/>
              <w:spacing w:before="0" w:after="283"/>
              <w:jc w:val="right"/>
              <w:rPr/>
            </w:pPr>
            <w:r>
              <w:rPr/>
              <w:t>553</w:t>
            </w:r>
          </w:p>
        </w:tc>
        <w:tc>
          <w:tcPr>
            <w:tcW w:w="110" w:type="dxa"/>
            <w:tcBorders/>
            <w:shd w:fill="CCEEFF" w:val="clear"/>
            <w:vAlign w:val="center"/>
          </w:tcPr>
          <w:p>
            <w:pPr>
              <w:pStyle w:val="TableContents"/>
              <w:bidi w:val="0"/>
              <w:spacing w:before="0" w:after="283"/>
              <w:jc w:val="left"/>
              <w:rPr/>
            </w:pPr>
            <w:r>
              <w:rPr/>
              <w:t> </w:t>
            </w:r>
          </w:p>
        </w:tc>
      </w:tr>
      <w:tr>
        <w:trPr/>
        <w:tc>
          <w:tcPr>
            <w:tcW w:w="6290" w:type="dxa"/>
            <w:tcBorders/>
            <w:shd w:fill="FFFFFF" w:val="clear"/>
            <w:vAlign w:val="center"/>
          </w:tcPr>
          <w:p>
            <w:pPr>
              <w:pStyle w:val="TableContents"/>
              <w:bidi w:val="0"/>
              <w:spacing w:before="0" w:after="283"/>
              <w:jc w:val="left"/>
              <w:rPr/>
            </w:pPr>
            <w:r>
              <w:rPr/>
              <w:t xml:space="preserve">Trade accounts receivable, net </w:t>
            </w:r>
          </w:p>
        </w:tc>
        <w:tc>
          <w:tcPr>
            <w:tcW w:w="60" w:type="dxa"/>
            <w:tcBorders/>
            <w:shd w:fill="FFFFFF" w:val="clear"/>
            <w:vAlign w:val="center"/>
          </w:tcPr>
          <w:p>
            <w:pPr>
              <w:pStyle w:val="TableContents"/>
              <w:bidi w:val="0"/>
              <w:spacing w:before="0" w:after="283"/>
              <w:jc w:val="left"/>
              <w:rPr/>
            </w:pPr>
            <w:r>
              <w:rPr/>
              <w:t> </w:t>
            </w:r>
          </w:p>
        </w:tc>
        <w:tc>
          <w:tcPr>
            <w:tcW w:w="262" w:type="dxa"/>
            <w:tcBorders/>
            <w:shd w:fill="FFFFFF" w:val="clear"/>
            <w:vAlign w:val="center"/>
          </w:tcPr>
          <w:p>
            <w:pPr>
              <w:pStyle w:val="TableContents"/>
              <w:bidi w:val="0"/>
              <w:spacing w:before="0" w:after="283"/>
              <w:jc w:val="left"/>
              <w:rPr/>
            </w:pPr>
            <w:r>
              <w:rPr/>
              <w:t> </w:t>
            </w:r>
          </w:p>
        </w:tc>
        <w:tc>
          <w:tcPr>
            <w:tcW w:w="1272" w:type="dxa"/>
            <w:tcBorders/>
            <w:shd w:fill="FFFFFF" w:val="clear"/>
            <w:vAlign w:val="center"/>
          </w:tcPr>
          <w:p>
            <w:pPr>
              <w:pStyle w:val="TableContents"/>
              <w:bidi w:val="0"/>
              <w:spacing w:before="0" w:after="283"/>
              <w:jc w:val="right"/>
              <w:rPr/>
            </w:pPr>
            <w:r>
              <w:rPr/>
              <w:t>3,642</w:t>
            </w:r>
          </w:p>
        </w:tc>
        <w:tc>
          <w:tcPr>
            <w:tcW w:w="110" w:type="dxa"/>
            <w:tcBorders/>
            <w:shd w:fill="FFFFFF" w:val="clear"/>
            <w:vAlign w:val="center"/>
          </w:tcPr>
          <w:p>
            <w:pPr>
              <w:pStyle w:val="TableContents"/>
              <w:bidi w:val="0"/>
              <w:spacing w:before="0" w:after="283"/>
              <w:jc w:val="left"/>
              <w:rPr/>
            </w:pPr>
            <w:r>
              <w:rPr/>
              <w:t> </w:t>
            </w:r>
          </w:p>
        </w:tc>
      </w:tr>
      <w:tr>
        <w:trPr/>
        <w:tc>
          <w:tcPr>
            <w:tcW w:w="6290" w:type="dxa"/>
            <w:tcBorders/>
            <w:shd w:fill="CCEEFF" w:val="clear"/>
            <w:vAlign w:val="center"/>
          </w:tcPr>
          <w:p>
            <w:pPr>
              <w:pStyle w:val="TableContents"/>
              <w:bidi w:val="0"/>
              <w:spacing w:before="0" w:after="283"/>
              <w:jc w:val="left"/>
              <w:rPr/>
            </w:pPr>
            <w:r>
              <w:rPr/>
              <w:t xml:space="preserve">Inventories </w:t>
            </w:r>
          </w:p>
        </w:tc>
        <w:tc>
          <w:tcPr>
            <w:tcW w:w="60" w:type="dxa"/>
            <w:tcBorders/>
            <w:shd w:fill="CCEEFF" w:val="clear"/>
            <w:vAlign w:val="center"/>
          </w:tcPr>
          <w:p>
            <w:pPr>
              <w:pStyle w:val="TableContents"/>
              <w:bidi w:val="0"/>
              <w:spacing w:before="0" w:after="283"/>
              <w:jc w:val="left"/>
              <w:rPr/>
            </w:pPr>
            <w:r>
              <w:rPr/>
              <w:t> </w:t>
            </w:r>
          </w:p>
        </w:tc>
        <w:tc>
          <w:tcPr>
            <w:tcW w:w="262" w:type="dxa"/>
            <w:tcBorders/>
            <w:shd w:fill="CCEEFF" w:val="clear"/>
            <w:vAlign w:val="center"/>
          </w:tcPr>
          <w:p>
            <w:pPr>
              <w:pStyle w:val="TableContents"/>
              <w:bidi w:val="0"/>
              <w:spacing w:before="0" w:after="283"/>
              <w:jc w:val="left"/>
              <w:rPr/>
            </w:pPr>
            <w:r>
              <w:rPr/>
              <w:t> </w:t>
            </w:r>
          </w:p>
        </w:tc>
        <w:tc>
          <w:tcPr>
            <w:tcW w:w="1272" w:type="dxa"/>
            <w:tcBorders/>
            <w:shd w:fill="CCEEFF" w:val="clear"/>
            <w:vAlign w:val="center"/>
          </w:tcPr>
          <w:p>
            <w:pPr>
              <w:pStyle w:val="TableContents"/>
              <w:bidi w:val="0"/>
              <w:spacing w:before="0" w:after="283"/>
              <w:jc w:val="right"/>
              <w:rPr/>
            </w:pPr>
            <w:r>
              <w:rPr/>
              <w:t>1,739</w:t>
            </w:r>
          </w:p>
        </w:tc>
        <w:tc>
          <w:tcPr>
            <w:tcW w:w="110" w:type="dxa"/>
            <w:tcBorders/>
            <w:shd w:fill="CCEEFF" w:val="clear"/>
            <w:vAlign w:val="center"/>
          </w:tcPr>
          <w:p>
            <w:pPr>
              <w:pStyle w:val="TableContents"/>
              <w:bidi w:val="0"/>
              <w:spacing w:before="0" w:after="283"/>
              <w:jc w:val="left"/>
              <w:rPr/>
            </w:pPr>
            <w:r>
              <w:rPr/>
              <w:t> </w:t>
            </w:r>
          </w:p>
        </w:tc>
      </w:tr>
      <w:tr>
        <w:trPr/>
        <w:tc>
          <w:tcPr>
            <w:tcW w:w="6290" w:type="dxa"/>
            <w:tcBorders/>
            <w:shd w:fill="FFFFFF" w:val="clear"/>
            <w:vAlign w:val="center"/>
          </w:tcPr>
          <w:p>
            <w:pPr>
              <w:pStyle w:val="TableContents"/>
              <w:bidi w:val="0"/>
              <w:spacing w:before="0" w:after="283"/>
              <w:jc w:val="left"/>
              <w:rPr/>
            </w:pPr>
            <w:r>
              <w:rPr/>
              <w:t xml:space="preserve">Prepaid expenses and other current assets </w:t>
            </w:r>
          </w:p>
        </w:tc>
        <w:tc>
          <w:tcPr>
            <w:tcW w:w="60" w:type="dxa"/>
            <w:tcBorders/>
            <w:shd w:fill="FFFFFF" w:val="clear"/>
            <w:vAlign w:val="center"/>
          </w:tcPr>
          <w:p>
            <w:pPr>
              <w:pStyle w:val="TableContents"/>
              <w:bidi w:val="0"/>
              <w:spacing w:before="0" w:after="283"/>
              <w:jc w:val="left"/>
              <w:rPr/>
            </w:pPr>
            <w:r>
              <w:rPr/>
              <w:t> </w:t>
            </w:r>
          </w:p>
        </w:tc>
        <w:tc>
          <w:tcPr>
            <w:tcW w:w="262" w:type="dxa"/>
            <w:tcBorders/>
            <w:shd w:fill="FFFFFF" w:val="clear"/>
            <w:vAlign w:val="center"/>
          </w:tcPr>
          <w:p>
            <w:pPr>
              <w:pStyle w:val="TableContents"/>
              <w:bidi w:val="0"/>
              <w:spacing w:before="0" w:after="283"/>
              <w:jc w:val="left"/>
              <w:rPr/>
            </w:pPr>
            <w:r>
              <w:rPr/>
              <w:t> </w:t>
            </w:r>
          </w:p>
        </w:tc>
        <w:tc>
          <w:tcPr>
            <w:tcW w:w="1272" w:type="dxa"/>
            <w:tcBorders/>
            <w:shd w:fill="FFFFFF" w:val="clear"/>
            <w:vAlign w:val="center"/>
          </w:tcPr>
          <w:p>
            <w:pPr>
              <w:pStyle w:val="TableContents"/>
              <w:bidi w:val="0"/>
              <w:spacing w:before="0" w:after="283"/>
              <w:jc w:val="right"/>
              <w:rPr/>
            </w:pPr>
            <w:r>
              <w:rPr/>
              <w:t>30</w:t>
            </w:r>
          </w:p>
        </w:tc>
        <w:tc>
          <w:tcPr>
            <w:tcW w:w="110" w:type="dxa"/>
            <w:tcBorders/>
            <w:shd w:fill="FFFFFF" w:val="clear"/>
            <w:vAlign w:val="center"/>
          </w:tcPr>
          <w:p>
            <w:pPr>
              <w:pStyle w:val="TableContents"/>
              <w:bidi w:val="0"/>
              <w:spacing w:before="0" w:after="283"/>
              <w:jc w:val="left"/>
              <w:rPr/>
            </w:pPr>
            <w:r>
              <w:rPr/>
              <w:t> </w:t>
            </w:r>
          </w:p>
        </w:tc>
      </w:tr>
      <w:tr>
        <w:trPr/>
        <w:tc>
          <w:tcPr>
            <w:tcW w:w="6290" w:type="dxa"/>
            <w:tcBorders/>
            <w:shd w:fill="CCEEFF" w:val="clear"/>
            <w:vAlign w:val="center"/>
          </w:tcPr>
          <w:p>
            <w:pPr>
              <w:pStyle w:val="TableContents"/>
              <w:bidi w:val="0"/>
              <w:spacing w:before="0" w:after="283"/>
              <w:jc w:val="left"/>
              <w:rPr/>
            </w:pPr>
            <w:r>
              <w:rPr/>
              <w:t xml:space="preserve">Property and equipment, net </w:t>
            </w:r>
          </w:p>
        </w:tc>
        <w:tc>
          <w:tcPr>
            <w:tcW w:w="60" w:type="dxa"/>
            <w:tcBorders/>
            <w:shd w:fill="CCEEFF" w:val="clear"/>
            <w:vAlign w:val="center"/>
          </w:tcPr>
          <w:p>
            <w:pPr>
              <w:pStyle w:val="TableContents"/>
              <w:bidi w:val="0"/>
              <w:spacing w:before="0" w:after="283"/>
              <w:jc w:val="left"/>
              <w:rPr/>
            </w:pPr>
            <w:r>
              <w:rPr/>
              <w:t> </w:t>
            </w:r>
          </w:p>
        </w:tc>
        <w:tc>
          <w:tcPr>
            <w:tcW w:w="262" w:type="dxa"/>
            <w:tcBorders/>
            <w:shd w:fill="CCEEFF" w:val="clear"/>
            <w:vAlign w:val="center"/>
          </w:tcPr>
          <w:p>
            <w:pPr>
              <w:pStyle w:val="TableContents"/>
              <w:bidi w:val="0"/>
              <w:spacing w:before="0" w:after="283"/>
              <w:jc w:val="left"/>
              <w:rPr/>
            </w:pPr>
            <w:r>
              <w:rPr/>
              <w:t> </w:t>
            </w:r>
          </w:p>
        </w:tc>
        <w:tc>
          <w:tcPr>
            <w:tcW w:w="1272" w:type="dxa"/>
            <w:tcBorders/>
            <w:shd w:fill="CCEEFF" w:val="clear"/>
            <w:vAlign w:val="center"/>
          </w:tcPr>
          <w:p>
            <w:pPr>
              <w:pStyle w:val="TableContents"/>
              <w:bidi w:val="0"/>
              <w:spacing w:before="0" w:after="283"/>
              <w:jc w:val="right"/>
              <w:rPr/>
            </w:pPr>
            <w:r>
              <w:rPr/>
              <w:t>485</w:t>
            </w:r>
          </w:p>
        </w:tc>
        <w:tc>
          <w:tcPr>
            <w:tcW w:w="110" w:type="dxa"/>
            <w:tcBorders/>
            <w:shd w:fill="CCEEFF" w:val="clear"/>
            <w:vAlign w:val="center"/>
          </w:tcPr>
          <w:p>
            <w:pPr>
              <w:pStyle w:val="TableContents"/>
              <w:bidi w:val="0"/>
              <w:spacing w:before="0" w:after="283"/>
              <w:jc w:val="left"/>
              <w:rPr/>
            </w:pPr>
            <w:r>
              <w:rPr/>
              <w:t> </w:t>
            </w:r>
          </w:p>
        </w:tc>
      </w:tr>
      <w:tr>
        <w:trPr/>
        <w:tc>
          <w:tcPr>
            <w:tcW w:w="6290" w:type="dxa"/>
            <w:tcBorders/>
            <w:shd w:fill="FFFFFF" w:val="clear"/>
            <w:vAlign w:val="center"/>
          </w:tcPr>
          <w:p>
            <w:pPr>
              <w:pStyle w:val="TableContents"/>
              <w:bidi w:val="0"/>
              <w:spacing w:before="0" w:after="283"/>
              <w:jc w:val="left"/>
              <w:rPr/>
            </w:pPr>
            <w:r>
              <w:rPr/>
              <w:t xml:space="preserve">Intangible assets, net </w:t>
            </w:r>
          </w:p>
        </w:tc>
        <w:tc>
          <w:tcPr>
            <w:tcW w:w="60" w:type="dxa"/>
            <w:tcBorders/>
            <w:shd w:fill="FFFFFF" w:val="clear"/>
            <w:vAlign w:val="center"/>
          </w:tcPr>
          <w:p>
            <w:pPr>
              <w:pStyle w:val="TableContents"/>
              <w:bidi w:val="0"/>
              <w:spacing w:before="0" w:after="283"/>
              <w:jc w:val="left"/>
              <w:rPr/>
            </w:pPr>
            <w:r>
              <w:rPr/>
              <w:t> </w:t>
            </w:r>
          </w:p>
        </w:tc>
        <w:tc>
          <w:tcPr>
            <w:tcW w:w="262" w:type="dxa"/>
            <w:tcBorders/>
            <w:shd w:fill="FFFFFF" w:val="clear"/>
            <w:vAlign w:val="center"/>
          </w:tcPr>
          <w:p>
            <w:pPr>
              <w:pStyle w:val="TableContents"/>
              <w:bidi w:val="0"/>
              <w:spacing w:before="0" w:after="283"/>
              <w:jc w:val="left"/>
              <w:rPr/>
            </w:pPr>
            <w:r>
              <w:rPr/>
              <w:t> </w:t>
            </w:r>
          </w:p>
        </w:tc>
        <w:tc>
          <w:tcPr>
            <w:tcW w:w="1272" w:type="dxa"/>
            <w:tcBorders/>
            <w:shd w:fill="FFFFFF" w:val="clear"/>
            <w:vAlign w:val="center"/>
          </w:tcPr>
          <w:p>
            <w:pPr>
              <w:pStyle w:val="TableContents"/>
              <w:bidi w:val="0"/>
              <w:spacing w:before="0" w:after="283"/>
              <w:jc w:val="right"/>
              <w:rPr/>
            </w:pPr>
            <w:r>
              <w:rPr/>
              <w:t>3,871</w:t>
            </w:r>
          </w:p>
        </w:tc>
        <w:tc>
          <w:tcPr>
            <w:tcW w:w="110" w:type="dxa"/>
            <w:tcBorders/>
            <w:shd w:fill="FFFFFF" w:val="clear"/>
            <w:vAlign w:val="center"/>
          </w:tcPr>
          <w:p>
            <w:pPr>
              <w:pStyle w:val="TableContents"/>
              <w:bidi w:val="0"/>
              <w:spacing w:before="0" w:after="283"/>
              <w:jc w:val="left"/>
              <w:rPr/>
            </w:pPr>
            <w:r>
              <w:rPr/>
              <w:t> </w:t>
            </w:r>
          </w:p>
        </w:tc>
      </w:tr>
      <w:tr>
        <w:trPr/>
        <w:tc>
          <w:tcPr>
            <w:tcW w:w="6290" w:type="dxa"/>
            <w:tcBorders/>
            <w:shd w:fill="CCEEFF" w:val="clear"/>
            <w:vAlign w:val="center"/>
          </w:tcPr>
          <w:p>
            <w:pPr>
              <w:pStyle w:val="TableContents"/>
              <w:bidi w:val="0"/>
              <w:spacing w:before="0" w:after="283"/>
              <w:jc w:val="left"/>
              <w:rPr/>
            </w:pPr>
            <w:r>
              <w:rPr/>
              <w:t xml:space="preserve">Operating lease right-of-use assets </w:t>
            </w:r>
          </w:p>
        </w:tc>
        <w:tc>
          <w:tcPr>
            <w:tcW w:w="60" w:type="dxa"/>
            <w:tcBorders/>
            <w:shd w:fill="CCEEFF" w:val="clear"/>
            <w:vAlign w:val="center"/>
          </w:tcPr>
          <w:p>
            <w:pPr>
              <w:pStyle w:val="TableContents"/>
              <w:bidi w:val="0"/>
              <w:spacing w:before="0" w:after="283"/>
              <w:jc w:val="left"/>
              <w:rPr/>
            </w:pPr>
            <w:r>
              <w:rPr/>
              <w:t> </w:t>
            </w:r>
          </w:p>
        </w:tc>
        <w:tc>
          <w:tcPr>
            <w:tcW w:w="262" w:type="dxa"/>
            <w:tcBorders/>
            <w:shd w:fill="CCEEFF" w:val="clear"/>
            <w:vAlign w:val="center"/>
          </w:tcPr>
          <w:p>
            <w:pPr>
              <w:pStyle w:val="TableContents"/>
              <w:bidi w:val="0"/>
              <w:spacing w:before="0" w:after="283"/>
              <w:jc w:val="left"/>
              <w:rPr/>
            </w:pPr>
            <w:r>
              <w:rPr/>
              <w:t> </w:t>
            </w:r>
          </w:p>
        </w:tc>
        <w:tc>
          <w:tcPr>
            <w:tcW w:w="1272" w:type="dxa"/>
            <w:tcBorders/>
            <w:shd w:fill="CCEEFF" w:val="clear"/>
            <w:vAlign w:val="center"/>
          </w:tcPr>
          <w:p>
            <w:pPr>
              <w:pStyle w:val="TableContents"/>
              <w:bidi w:val="0"/>
              <w:spacing w:before="0" w:after="283"/>
              <w:jc w:val="right"/>
              <w:rPr/>
            </w:pPr>
            <w:r>
              <w:rPr/>
              <w:t>1,277</w:t>
            </w:r>
          </w:p>
        </w:tc>
        <w:tc>
          <w:tcPr>
            <w:tcW w:w="110" w:type="dxa"/>
            <w:tcBorders/>
            <w:shd w:fill="CCEEFF" w:val="clear"/>
            <w:vAlign w:val="center"/>
          </w:tcPr>
          <w:p>
            <w:pPr>
              <w:pStyle w:val="TableContents"/>
              <w:bidi w:val="0"/>
              <w:spacing w:before="0" w:after="283"/>
              <w:jc w:val="left"/>
              <w:rPr/>
            </w:pPr>
            <w:r>
              <w:rPr/>
              <w:t> </w:t>
            </w:r>
          </w:p>
        </w:tc>
      </w:tr>
      <w:tr>
        <w:trPr/>
        <w:tc>
          <w:tcPr>
            <w:tcW w:w="6290" w:type="dxa"/>
            <w:tcBorders/>
            <w:shd w:fill="FFFFFF" w:val="clear"/>
            <w:vAlign w:val="center"/>
          </w:tcPr>
          <w:p>
            <w:pPr>
              <w:pStyle w:val="TableContents"/>
              <w:bidi w:val="0"/>
              <w:spacing w:before="0" w:after="283"/>
              <w:jc w:val="left"/>
              <w:rPr/>
            </w:pPr>
            <w:r>
              <w:rPr/>
              <w:t xml:space="preserve">Accounts payable </w:t>
            </w:r>
          </w:p>
        </w:tc>
        <w:tc>
          <w:tcPr>
            <w:tcW w:w="60" w:type="dxa"/>
            <w:tcBorders/>
            <w:shd w:fill="FFFFFF" w:val="clear"/>
            <w:vAlign w:val="center"/>
          </w:tcPr>
          <w:p>
            <w:pPr>
              <w:pStyle w:val="TableContents"/>
              <w:bidi w:val="0"/>
              <w:spacing w:before="0" w:after="283"/>
              <w:jc w:val="left"/>
              <w:rPr/>
            </w:pPr>
            <w:r>
              <w:rPr/>
              <w:t> </w:t>
            </w:r>
          </w:p>
        </w:tc>
        <w:tc>
          <w:tcPr>
            <w:tcW w:w="262" w:type="dxa"/>
            <w:tcBorders/>
            <w:shd w:fill="FFFFFF" w:val="clear"/>
            <w:vAlign w:val="center"/>
          </w:tcPr>
          <w:p>
            <w:pPr>
              <w:pStyle w:val="TableContents"/>
              <w:bidi w:val="0"/>
              <w:spacing w:before="0" w:after="283"/>
              <w:jc w:val="left"/>
              <w:rPr/>
            </w:pPr>
            <w:r>
              <w:rPr/>
              <w:t> </w:t>
            </w:r>
          </w:p>
        </w:tc>
        <w:tc>
          <w:tcPr>
            <w:tcW w:w="1272" w:type="dxa"/>
            <w:tcBorders/>
            <w:shd w:fill="FFFFFF" w:val="clear"/>
            <w:vAlign w:val="center"/>
          </w:tcPr>
          <w:p>
            <w:pPr>
              <w:pStyle w:val="TableContents"/>
              <w:bidi w:val="0"/>
              <w:spacing w:before="0" w:after="283"/>
              <w:jc w:val="right"/>
              <w:rPr/>
            </w:pPr>
            <w:r>
              <w:rPr/>
              <w:t>(3,864</w:t>
            </w:r>
          </w:p>
        </w:tc>
        <w:tc>
          <w:tcPr>
            <w:tcW w:w="110" w:type="dxa"/>
            <w:tcBorders/>
            <w:shd w:fill="FFFFFF" w:val="clear"/>
            <w:vAlign w:val="center"/>
          </w:tcPr>
          <w:p>
            <w:pPr>
              <w:pStyle w:val="TableContents"/>
              <w:bidi w:val="0"/>
              <w:spacing w:before="0" w:after="283"/>
              <w:jc w:val="left"/>
              <w:rPr/>
            </w:pPr>
            <w:r>
              <w:rPr/>
              <w:t>)</w:t>
            </w:r>
          </w:p>
        </w:tc>
      </w:tr>
      <w:tr>
        <w:trPr/>
        <w:tc>
          <w:tcPr>
            <w:tcW w:w="6290" w:type="dxa"/>
            <w:tcBorders/>
            <w:shd w:fill="CCEEFF" w:val="clear"/>
            <w:vAlign w:val="center"/>
          </w:tcPr>
          <w:p>
            <w:pPr>
              <w:pStyle w:val="TableContents"/>
              <w:bidi w:val="0"/>
              <w:spacing w:before="0" w:after="283"/>
              <w:jc w:val="left"/>
              <w:rPr/>
            </w:pPr>
            <w:r>
              <w:rPr/>
              <w:t xml:space="preserve">Accrued expenses and other current liabilities </w:t>
            </w:r>
          </w:p>
        </w:tc>
        <w:tc>
          <w:tcPr>
            <w:tcW w:w="60" w:type="dxa"/>
            <w:tcBorders/>
            <w:shd w:fill="CCEEFF" w:val="clear"/>
            <w:vAlign w:val="center"/>
          </w:tcPr>
          <w:p>
            <w:pPr>
              <w:pStyle w:val="TableContents"/>
              <w:bidi w:val="0"/>
              <w:spacing w:before="0" w:after="283"/>
              <w:jc w:val="left"/>
              <w:rPr/>
            </w:pPr>
            <w:r>
              <w:rPr/>
              <w:t> </w:t>
            </w:r>
          </w:p>
        </w:tc>
        <w:tc>
          <w:tcPr>
            <w:tcW w:w="262" w:type="dxa"/>
            <w:tcBorders/>
            <w:shd w:fill="CCEEFF" w:val="clear"/>
            <w:vAlign w:val="center"/>
          </w:tcPr>
          <w:p>
            <w:pPr>
              <w:pStyle w:val="TableContents"/>
              <w:bidi w:val="0"/>
              <w:spacing w:before="0" w:after="283"/>
              <w:jc w:val="left"/>
              <w:rPr/>
            </w:pPr>
            <w:r>
              <w:rPr/>
              <w:t> </w:t>
            </w:r>
          </w:p>
        </w:tc>
        <w:tc>
          <w:tcPr>
            <w:tcW w:w="1272" w:type="dxa"/>
            <w:tcBorders/>
            <w:shd w:fill="CCEEFF" w:val="clear"/>
            <w:vAlign w:val="center"/>
          </w:tcPr>
          <w:p>
            <w:pPr>
              <w:pStyle w:val="TableContents"/>
              <w:bidi w:val="0"/>
              <w:spacing w:before="0" w:after="283"/>
              <w:jc w:val="right"/>
              <w:rPr/>
            </w:pPr>
            <w:r>
              <w:rPr/>
              <w:t>(1,002</w:t>
            </w:r>
          </w:p>
        </w:tc>
        <w:tc>
          <w:tcPr>
            <w:tcW w:w="110" w:type="dxa"/>
            <w:tcBorders/>
            <w:shd w:fill="CCEEFF" w:val="clear"/>
            <w:vAlign w:val="center"/>
          </w:tcPr>
          <w:p>
            <w:pPr>
              <w:pStyle w:val="TableContents"/>
              <w:bidi w:val="0"/>
              <w:spacing w:before="0" w:after="283"/>
              <w:jc w:val="left"/>
              <w:rPr/>
            </w:pPr>
            <w:r>
              <w:rPr/>
              <w:t>)</w:t>
            </w:r>
          </w:p>
        </w:tc>
      </w:tr>
      <w:tr>
        <w:trPr/>
        <w:tc>
          <w:tcPr>
            <w:tcW w:w="6290" w:type="dxa"/>
            <w:tcBorders/>
            <w:shd w:fill="FFFFFF" w:val="clear"/>
            <w:vAlign w:val="center"/>
          </w:tcPr>
          <w:p>
            <w:pPr>
              <w:pStyle w:val="TableContents"/>
              <w:bidi w:val="0"/>
              <w:spacing w:before="0" w:after="283"/>
              <w:jc w:val="left"/>
              <w:rPr/>
            </w:pPr>
            <w:r>
              <w:rPr/>
              <w:t xml:space="preserve">Short-term debt with third parties </w:t>
            </w:r>
          </w:p>
        </w:tc>
        <w:tc>
          <w:tcPr>
            <w:tcW w:w="60" w:type="dxa"/>
            <w:tcBorders/>
            <w:shd w:fill="FFFFFF" w:val="clear"/>
            <w:vAlign w:val="center"/>
          </w:tcPr>
          <w:p>
            <w:pPr>
              <w:pStyle w:val="TableContents"/>
              <w:bidi w:val="0"/>
              <w:spacing w:before="0" w:after="283"/>
              <w:jc w:val="left"/>
              <w:rPr/>
            </w:pPr>
            <w:r>
              <w:rPr/>
              <w:t> </w:t>
            </w:r>
          </w:p>
        </w:tc>
        <w:tc>
          <w:tcPr>
            <w:tcW w:w="262" w:type="dxa"/>
            <w:tcBorders/>
            <w:shd w:fill="FFFFFF" w:val="clear"/>
            <w:vAlign w:val="center"/>
          </w:tcPr>
          <w:p>
            <w:pPr>
              <w:pStyle w:val="TableContents"/>
              <w:bidi w:val="0"/>
              <w:spacing w:before="0" w:after="283"/>
              <w:jc w:val="left"/>
              <w:rPr/>
            </w:pPr>
            <w:r>
              <w:rPr/>
              <w:t> </w:t>
            </w:r>
          </w:p>
        </w:tc>
        <w:tc>
          <w:tcPr>
            <w:tcW w:w="1272" w:type="dxa"/>
            <w:tcBorders/>
            <w:shd w:fill="FFFFFF" w:val="clear"/>
            <w:vAlign w:val="center"/>
          </w:tcPr>
          <w:p>
            <w:pPr>
              <w:pStyle w:val="TableContents"/>
              <w:bidi w:val="0"/>
              <w:spacing w:before="0" w:after="283"/>
              <w:jc w:val="right"/>
              <w:rPr/>
            </w:pPr>
            <w:r>
              <w:rPr/>
              <w:t>(2,706</w:t>
            </w:r>
          </w:p>
        </w:tc>
        <w:tc>
          <w:tcPr>
            <w:tcW w:w="110" w:type="dxa"/>
            <w:tcBorders/>
            <w:shd w:fill="FFFFFF" w:val="clear"/>
            <w:vAlign w:val="center"/>
          </w:tcPr>
          <w:p>
            <w:pPr>
              <w:pStyle w:val="TableContents"/>
              <w:bidi w:val="0"/>
              <w:spacing w:before="0" w:after="283"/>
              <w:jc w:val="left"/>
              <w:rPr/>
            </w:pPr>
            <w:r>
              <w:rPr/>
              <w:t>)</w:t>
            </w:r>
          </w:p>
        </w:tc>
      </w:tr>
      <w:tr>
        <w:trPr/>
        <w:tc>
          <w:tcPr>
            <w:tcW w:w="6290" w:type="dxa"/>
            <w:tcBorders/>
            <w:shd w:fill="CCEEFF" w:val="clear"/>
            <w:vAlign w:val="center"/>
          </w:tcPr>
          <w:p>
            <w:pPr>
              <w:pStyle w:val="TableContents"/>
              <w:bidi w:val="0"/>
              <w:spacing w:before="0" w:after="283"/>
              <w:jc w:val="both"/>
              <w:rPr/>
            </w:pPr>
            <w:r>
              <w:rPr/>
              <w:t>Other long-term liabilities</w:t>
            </w:r>
          </w:p>
        </w:tc>
        <w:tc>
          <w:tcPr>
            <w:tcW w:w="60" w:type="dxa"/>
            <w:tcBorders/>
            <w:shd w:fill="CCEEFF" w:val="clear"/>
            <w:vAlign w:val="center"/>
          </w:tcPr>
          <w:p>
            <w:pPr>
              <w:pStyle w:val="TableContents"/>
              <w:bidi w:val="0"/>
              <w:spacing w:before="0" w:after="283"/>
              <w:jc w:val="left"/>
              <w:rPr/>
            </w:pPr>
            <w:r>
              <w:rPr/>
              <w:t> </w:t>
            </w:r>
          </w:p>
        </w:tc>
        <w:tc>
          <w:tcPr>
            <w:tcW w:w="262" w:type="dxa"/>
            <w:tcBorders/>
            <w:shd w:fill="CCEEFF" w:val="clear"/>
            <w:vAlign w:val="center"/>
          </w:tcPr>
          <w:p>
            <w:pPr>
              <w:pStyle w:val="TableContents"/>
              <w:bidi w:val="0"/>
              <w:spacing w:before="0" w:after="283"/>
              <w:jc w:val="left"/>
              <w:rPr/>
            </w:pPr>
            <w:r>
              <w:rPr/>
              <w:t> </w:t>
            </w:r>
          </w:p>
        </w:tc>
        <w:tc>
          <w:tcPr>
            <w:tcW w:w="1272" w:type="dxa"/>
            <w:tcBorders/>
            <w:shd w:fill="CCEEFF" w:val="clear"/>
            <w:vAlign w:val="center"/>
          </w:tcPr>
          <w:p>
            <w:pPr>
              <w:pStyle w:val="TableContents"/>
              <w:bidi w:val="0"/>
              <w:spacing w:before="0" w:after="283"/>
              <w:jc w:val="right"/>
              <w:rPr/>
            </w:pPr>
            <w:r>
              <w:rPr/>
              <w:t>(1,099</w:t>
            </w:r>
          </w:p>
        </w:tc>
        <w:tc>
          <w:tcPr>
            <w:tcW w:w="110" w:type="dxa"/>
            <w:tcBorders/>
            <w:shd w:fill="CCEEFF" w:val="clear"/>
            <w:vAlign w:val="center"/>
          </w:tcPr>
          <w:p>
            <w:pPr>
              <w:pStyle w:val="TableContents"/>
              <w:bidi w:val="0"/>
              <w:spacing w:before="0" w:after="283"/>
              <w:jc w:val="left"/>
              <w:rPr/>
            </w:pPr>
            <w:r>
              <w:rPr/>
              <w:t>)</w:t>
            </w:r>
          </w:p>
        </w:tc>
      </w:tr>
      <w:tr>
        <w:trPr/>
        <w:tc>
          <w:tcPr>
            <w:tcW w:w="6290" w:type="dxa"/>
            <w:tcBorders/>
            <w:shd w:fill="FFFFFF" w:val="clear"/>
            <w:vAlign w:val="center"/>
          </w:tcPr>
          <w:p>
            <w:pPr>
              <w:pStyle w:val="TableContents"/>
              <w:bidi w:val="0"/>
              <w:spacing w:before="0" w:after="283"/>
              <w:jc w:val="left"/>
              <w:rPr/>
            </w:pPr>
            <w:r>
              <w:rPr/>
              <w:t xml:space="preserve">Contract liabilities </w:t>
            </w:r>
          </w:p>
        </w:tc>
        <w:tc>
          <w:tcPr>
            <w:tcW w:w="60" w:type="dxa"/>
            <w:tcBorders/>
            <w:shd w:fill="FFFFFF" w:val="clear"/>
            <w:vAlign w:val="center"/>
          </w:tcPr>
          <w:p>
            <w:pPr>
              <w:pStyle w:val="TableContents"/>
              <w:bidi w:val="0"/>
              <w:spacing w:before="0" w:after="283"/>
              <w:jc w:val="left"/>
              <w:rPr/>
            </w:pPr>
            <w:r>
              <w:rPr/>
              <w:t> </w:t>
            </w:r>
          </w:p>
        </w:tc>
        <w:tc>
          <w:tcPr>
            <w:tcW w:w="262" w:type="dxa"/>
            <w:tcBorders/>
            <w:shd w:fill="FFFFFF" w:val="clear"/>
            <w:vAlign w:val="center"/>
          </w:tcPr>
          <w:p>
            <w:pPr>
              <w:pStyle w:val="TableContents"/>
              <w:bidi w:val="0"/>
              <w:spacing w:before="0" w:after="283"/>
              <w:jc w:val="left"/>
              <w:rPr/>
            </w:pPr>
            <w:r>
              <w:rPr/>
              <w:t> </w:t>
            </w:r>
          </w:p>
        </w:tc>
        <w:tc>
          <w:tcPr>
            <w:tcW w:w="1272" w:type="dxa"/>
            <w:tcBorders/>
            <w:shd w:fill="FFFFFF" w:val="clear"/>
            <w:vAlign w:val="center"/>
          </w:tcPr>
          <w:p>
            <w:pPr>
              <w:pStyle w:val="TableContents"/>
              <w:bidi w:val="0"/>
              <w:spacing w:before="0" w:after="283"/>
              <w:jc w:val="right"/>
              <w:rPr/>
            </w:pPr>
            <w:r>
              <w:rPr/>
              <w:t>(5,238</w:t>
            </w:r>
          </w:p>
        </w:tc>
        <w:tc>
          <w:tcPr>
            <w:tcW w:w="110" w:type="dxa"/>
            <w:tcBorders/>
            <w:shd w:fill="FFFFFF" w:val="clear"/>
            <w:vAlign w:val="center"/>
          </w:tcPr>
          <w:p>
            <w:pPr>
              <w:pStyle w:val="TableContents"/>
              <w:bidi w:val="0"/>
              <w:spacing w:before="0" w:after="283"/>
              <w:jc w:val="left"/>
              <w:rPr/>
            </w:pPr>
            <w:r>
              <w:rPr/>
              <w:t>)</w:t>
            </w:r>
          </w:p>
        </w:tc>
      </w:tr>
      <w:tr>
        <w:trPr/>
        <w:tc>
          <w:tcPr>
            <w:tcW w:w="6290" w:type="dxa"/>
            <w:tcBorders/>
            <w:shd w:fill="CCEEFF" w:val="clear"/>
            <w:vAlign w:val="center"/>
          </w:tcPr>
          <w:p>
            <w:pPr>
              <w:pStyle w:val="TableContents"/>
              <w:bidi w:val="0"/>
              <w:spacing w:before="0" w:after="283"/>
              <w:jc w:val="left"/>
              <w:rPr/>
            </w:pPr>
            <w:r>
              <w:rPr/>
              <w:t>Deferred tax liability</w:t>
            </w:r>
          </w:p>
        </w:tc>
        <w:tc>
          <w:tcPr>
            <w:tcW w:w="60" w:type="dxa"/>
            <w:tcBorders/>
            <w:shd w:fill="CCEEFF" w:val="clear"/>
            <w:vAlign w:val="center"/>
          </w:tcPr>
          <w:p>
            <w:pPr>
              <w:pStyle w:val="TableContents"/>
              <w:bidi w:val="0"/>
              <w:spacing w:before="0" w:after="283"/>
              <w:jc w:val="left"/>
              <w:rPr/>
            </w:pPr>
            <w:r>
              <w:rPr/>
              <w:t> </w:t>
            </w:r>
          </w:p>
        </w:tc>
        <w:tc>
          <w:tcPr>
            <w:tcW w:w="262"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72" w:type="dxa"/>
            <w:tcBorders>
              <w:bottom w:val="single" w:sz="12" w:space="0" w:color="000000"/>
            </w:tcBorders>
            <w:shd w:fill="CCEEFF" w:val="clear"/>
            <w:tcMar>
              <w:bottom w:w="28" w:type="dxa"/>
            </w:tcMar>
            <w:vAlign w:val="center"/>
          </w:tcPr>
          <w:p>
            <w:pPr>
              <w:pStyle w:val="TableContents"/>
              <w:bidi w:val="0"/>
              <w:spacing w:before="0" w:after="283"/>
              <w:jc w:val="right"/>
              <w:rPr/>
            </w:pPr>
            <w:r>
              <w:rPr/>
              <w:t>(1,001</w:t>
            </w:r>
          </w:p>
        </w:tc>
        <w:tc>
          <w:tcPr>
            <w:tcW w:w="110" w:type="dxa"/>
            <w:tcBorders/>
            <w:shd w:fill="CCEEFF" w:val="clear"/>
            <w:vAlign w:val="center"/>
          </w:tcPr>
          <w:p>
            <w:pPr>
              <w:pStyle w:val="TableContents"/>
              <w:bidi w:val="0"/>
              <w:spacing w:before="0" w:after="283"/>
              <w:jc w:val="left"/>
              <w:rPr/>
            </w:pPr>
            <w:r>
              <w:rPr/>
              <w:t>)</w:t>
            </w:r>
          </w:p>
        </w:tc>
      </w:tr>
      <w:tr>
        <w:trPr/>
        <w:tc>
          <w:tcPr>
            <w:tcW w:w="6290" w:type="dxa"/>
            <w:tcBorders/>
            <w:shd w:fill="FFFFFF" w:val="clear"/>
            <w:vAlign w:val="center"/>
          </w:tcPr>
          <w:p>
            <w:pPr>
              <w:pStyle w:val="TableContents"/>
              <w:bidi w:val="0"/>
              <w:spacing w:before="0" w:after="283"/>
              <w:jc w:val="left"/>
              <w:rPr/>
            </w:pPr>
            <w:r>
              <w:rPr/>
              <w:t xml:space="preserve">Fair value of the excess of liabilities assumed over assets acquired </w:t>
            </w:r>
          </w:p>
        </w:tc>
        <w:tc>
          <w:tcPr>
            <w:tcW w:w="60" w:type="dxa"/>
            <w:tcBorders/>
            <w:shd w:fill="FFFFFF" w:val="clear"/>
            <w:vAlign w:val="center"/>
          </w:tcPr>
          <w:p>
            <w:pPr>
              <w:pStyle w:val="TableContents"/>
              <w:bidi w:val="0"/>
              <w:spacing w:before="0" w:after="283"/>
              <w:jc w:val="left"/>
              <w:rPr/>
            </w:pPr>
            <w:r>
              <w:rPr/>
              <w:t> </w:t>
            </w:r>
          </w:p>
        </w:tc>
        <w:tc>
          <w:tcPr>
            <w:tcW w:w="262"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72" w:type="dxa"/>
            <w:tcBorders>
              <w:bottom w:val="single" w:sz="12" w:space="0" w:color="000000"/>
            </w:tcBorders>
            <w:shd w:fill="FFFFFF" w:val="clear"/>
            <w:tcMar>
              <w:bottom w:w="28" w:type="dxa"/>
            </w:tcMar>
            <w:vAlign w:val="center"/>
          </w:tcPr>
          <w:p>
            <w:pPr>
              <w:pStyle w:val="TableContents"/>
              <w:bidi w:val="0"/>
              <w:spacing w:before="0" w:after="283"/>
              <w:jc w:val="right"/>
              <w:rPr/>
            </w:pPr>
            <w:r>
              <w:rPr/>
              <w:t>(3,313</w:t>
            </w:r>
          </w:p>
        </w:tc>
        <w:tc>
          <w:tcPr>
            <w:tcW w:w="110" w:type="dxa"/>
            <w:tcBorders/>
            <w:shd w:fill="FFFFFF" w:val="clear"/>
            <w:vAlign w:val="center"/>
          </w:tcPr>
          <w:p>
            <w:pPr>
              <w:pStyle w:val="TableContents"/>
              <w:bidi w:val="0"/>
              <w:spacing w:before="0" w:after="283"/>
              <w:jc w:val="left"/>
              <w:rPr/>
            </w:pPr>
            <w:r>
              <w:rPr/>
              <w:t>)</w:t>
            </w:r>
          </w:p>
        </w:tc>
      </w:tr>
      <w:tr>
        <w:trPr/>
        <w:tc>
          <w:tcPr>
            <w:tcW w:w="6290" w:type="dxa"/>
            <w:tcBorders/>
            <w:shd w:fill="CCEEFF" w:val="clear"/>
            <w:vAlign w:val="center"/>
          </w:tcPr>
          <w:p>
            <w:pPr>
              <w:pStyle w:val="TableContents"/>
              <w:bidi w:val="0"/>
              <w:spacing w:before="0" w:after="283"/>
              <w:jc w:val="left"/>
              <w:rPr/>
            </w:pPr>
            <w:r>
              <w:rPr/>
              <w:t xml:space="preserve">Fair value of common stock issued </w:t>
            </w:r>
          </w:p>
        </w:tc>
        <w:tc>
          <w:tcPr>
            <w:tcW w:w="60" w:type="dxa"/>
            <w:tcBorders/>
            <w:shd w:fill="CCEEFF" w:val="clear"/>
            <w:vAlign w:val="center"/>
          </w:tcPr>
          <w:p>
            <w:pPr>
              <w:pStyle w:val="TableContents"/>
              <w:bidi w:val="0"/>
              <w:spacing w:before="0" w:after="283"/>
              <w:jc w:val="left"/>
              <w:rPr/>
            </w:pPr>
            <w:r>
              <w:rPr/>
              <w:t> </w:t>
            </w:r>
          </w:p>
        </w:tc>
        <w:tc>
          <w:tcPr>
            <w:tcW w:w="262" w:type="dxa"/>
            <w:tcBorders/>
            <w:shd w:fill="CCEEFF" w:val="clear"/>
            <w:vAlign w:val="center"/>
          </w:tcPr>
          <w:p>
            <w:pPr>
              <w:pStyle w:val="TableContents"/>
              <w:bidi w:val="0"/>
              <w:spacing w:before="0" w:after="283"/>
              <w:jc w:val="left"/>
              <w:rPr/>
            </w:pPr>
            <w:r>
              <w:rPr/>
              <w:t> </w:t>
            </w:r>
          </w:p>
        </w:tc>
        <w:tc>
          <w:tcPr>
            <w:tcW w:w="1272" w:type="dxa"/>
            <w:tcBorders/>
            <w:shd w:fill="CCEEFF" w:val="clear"/>
            <w:vAlign w:val="center"/>
          </w:tcPr>
          <w:p>
            <w:pPr>
              <w:pStyle w:val="TableContents"/>
              <w:bidi w:val="0"/>
              <w:spacing w:before="0" w:after="283"/>
              <w:jc w:val="right"/>
              <w:rPr/>
            </w:pPr>
            <w:r>
              <w:rPr/>
              <w:t>3,333</w:t>
            </w:r>
          </w:p>
        </w:tc>
        <w:tc>
          <w:tcPr>
            <w:tcW w:w="110" w:type="dxa"/>
            <w:tcBorders/>
            <w:shd w:fill="CCEEFF" w:val="clear"/>
            <w:vAlign w:val="center"/>
          </w:tcPr>
          <w:p>
            <w:pPr>
              <w:pStyle w:val="TableContents"/>
              <w:bidi w:val="0"/>
              <w:spacing w:before="0" w:after="283"/>
              <w:jc w:val="left"/>
              <w:rPr/>
            </w:pPr>
            <w:r>
              <w:rPr/>
              <w:t> </w:t>
            </w:r>
          </w:p>
        </w:tc>
      </w:tr>
      <w:tr>
        <w:trPr/>
        <w:tc>
          <w:tcPr>
            <w:tcW w:w="6290" w:type="dxa"/>
            <w:tcBorders/>
            <w:shd w:fill="FFFFFF" w:val="clear"/>
            <w:vAlign w:val="center"/>
          </w:tcPr>
          <w:p>
            <w:pPr>
              <w:pStyle w:val="TableContents"/>
              <w:bidi w:val="0"/>
              <w:spacing w:before="0" w:after="283"/>
              <w:jc w:val="left"/>
              <w:rPr/>
            </w:pPr>
            <w:r>
              <w:rPr/>
              <w:t xml:space="preserve">Fair value of Deferred Cobalt Consideration Shares </w:t>
            </w:r>
          </w:p>
        </w:tc>
        <w:tc>
          <w:tcPr>
            <w:tcW w:w="60" w:type="dxa"/>
            <w:tcBorders/>
            <w:shd w:fill="FFFFFF" w:val="clear"/>
            <w:vAlign w:val="center"/>
          </w:tcPr>
          <w:p>
            <w:pPr>
              <w:pStyle w:val="TableContents"/>
              <w:bidi w:val="0"/>
              <w:spacing w:before="0" w:after="283"/>
              <w:jc w:val="left"/>
              <w:rPr/>
            </w:pPr>
            <w:r>
              <w:rPr/>
              <w:t> </w:t>
            </w:r>
          </w:p>
        </w:tc>
        <w:tc>
          <w:tcPr>
            <w:tcW w:w="262"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72" w:type="dxa"/>
            <w:tcBorders>
              <w:bottom w:val="single" w:sz="12" w:space="0" w:color="000000"/>
            </w:tcBorders>
            <w:shd w:fill="FFFFFF" w:val="clear"/>
            <w:tcMar>
              <w:bottom w:w="28" w:type="dxa"/>
            </w:tcMar>
            <w:vAlign w:val="center"/>
          </w:tcPr>
          <w:p>
            <w:pPr>
              <w:pStyle w:val="TableContents"/>
              <w:bidi w:val="0"/>
              <w:spacing w:before="0" w:after="283"/>
              <w:jc w:val="right"/>
              <w:rPr/>
            </w:pPr>
            <w:r>
              <w:rPr/>
              <w:t>6,331</w:t>
            </w:r>
          </w:p>
        </w:tc>
        <w:tc>
          <w:tcPr>
            <w:tcW w:w="110" w:type="dxa"/>
            <w:tcBorders/>
            <w:shd w:fill="FFFFFF" w:val="clear"/>
            <w:vAlign w:val="center"/>
          </w:tcPr>
          <w:p>
            <w:pPr>
              <w:pStyle w:val="TableContents"/>
              <w:bidi w:val="0"/>
              <w:spacing w:before="0" w:after="283"/>
              <w:jc w:val="left"/>
              <w:rPr/>
            </w:pPr>
            <w:r>
              <w:rPr/>
              <w:t> </w:t>
            </w:r>
          </w:p>
        </w:tc>
      </w:tr>
      <w:tr>
        <w:trPr/>
        <w:tc>
          <w:tcPr>
            <w:tcW w:w="6290" w:type="dxa"/>
            <w:tcBorders/>
            <w:shd w:fill="CCEEFF" w:val="clear"/>
            <w:vAlign w:val="center"/>
          </w:tcPr>
          <w:p>
            <w:pPr>
              <w:pStyle w:val="TableContents"/>
              <w:bidi w:val="0"/>
              <w:spacing w:before="0" w:after="283"/>
              <w:jc w:val="left"/>
              <w:rPr/>
            </w:pPr>
            <w:r>
              <w:rPr/>
              <w:t xml:space="preserve">Consideration transferred </w:t>
            </w:r>
          </w:p>
        </w:tc>
        <w:tc>
          <w:tcPr>
            <w:tcW w:w="60" w:type="dxa"/>
            <w:tcBorders/>
            <w:shd w:fill="CCEEFF" w:val="clear"/>
            <w:vAlign w:val="center"/>
          </w:tcPr>
          <w:p>
            <w:pPr>
              <w:pStyle w:val="TableContents"/>
              <w:bidi w:val="0"/>
              <w:spacing w:before="0" w:after="283"/>
              <w:jc w:val="left"/>
              <w:rPr/>
            </w:pPr>
            <w:r>
              <w:rPr/>
              <w:t> </w:t>
            </w:r>
          </w:p>
        </w:tc>
        <w:tc>
          <w:tcPr>
            <w:tcW w:w="262"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72" w:type="dxa"/>
            <w:tcBorders>
              <w:bottom w:val="single" w:sz="12" w:space="0" w:color="000000"/>
            </w:tcBorders>
            <w:shd w:fill="CCEEFF" w:val="clear"/>
            <w:tcMar>
              <w:bottom w:w="28" w:type="dxa"/>
            </w:tcMar>
            <w:vAlign w:val="center"/>
          </w:tcPr>
          <w:p>
            <w:pPr>
              <w:pStyle w:val="TableContents"/>
              <w:bidi w:val="0"/>
              <w:spacing w:before="0" w:after="283"/>
              <w:jc w:val="right"/>
              <w:rPr/>
            </w:pPr>
            <w:r>
              <w:rPr/>
              <w:t>9,664</w:t>
            </w:r>
          </w:p>
        </w:tc>
        <w:tc>
          <w:tcPr>
            <w:tcW w:w="110" w:type="dxa"/>
            <w:tcBorders/>
            <w:shd w:fill="CCEEFF" w:val="clear"/>
            <w:vAlign w:val="center"/>
          </w:tcPr>
          <w:p>
            <w:pPr>
              <w:pStyle w:val="TableContents"/>
              <w:bidi w:val="0"/>
              <w:spacing w:before="0" w:after="283"/>
              <w:jc w:val="left"/>
              <w:rPr/>
            </w:pPr>
            <w:r>
              <w:rPr/>
              <w:t> </w:t>
            </w:r>
          </w:p>
        </w:tc>
      </w:tr>
      <w:tr>
        <w:trPr/>
        <w:tc>
          <w:tcPr>
            <w:tcW w:w="6290" w:type="dxa"/>
            <w:tcBorders/>
            <w:shd w:fill="FFFFFF" w:val="clear"/>
            <w:vAlign w:val="center"/>
          </w:tcPr>
          <w:p>
            <w:pPr>
              <w:pStyle w:val="TableContents"/>
              <w:bidi w:val="0"/>
              <w:spacing w:before="0" w:after="283"/>
              <w:jc w:val="left"/>
              <w:rPr/>
            </w:pPr>
            <w:r>
              <w:rPr/>
              <w:t xml:space="preserve">Goodwill recognized </w:t>
            </w:r>
          </w:p>
        </w:tc>
        <w:tc>
          <w:tcPr>
            <w:tcW w:w="60" w:type="dxa"/>
            <w:tcBorders/>
            <w:shd w:fill="FFFFFF" w:val="clear"/>
            <w:vAlign w:val="center"/>
          </w:tcPr>
          <w:p>
            <w:pPr>
              <w:pStyle w:val="TableContents"/>
              <w:bidi w:val="0"/>
              <w:spacing w:before="0" w:after="283"/>
              <w:jc w:val="left"/>
              <w:rPr/>
            </w:pPr>
            <w:r>
              <w:rPr/>
              <w:t> </w:t>
            </w:r>
          </w:p>
        </w:tc>
        <w:tc>
          <w:tcPr>
            <w:tcW w:w="262" w:type="dxa"/>
            <w:tcBorders>
              <w:bottom w:val="double" w:sz="10" w:space="0" w:color="000000"/>
            </w:tcBorders>
            <w:shd w:fill="FFFFFF" w:val="clear"/>
            <w:tcMar>
              <w:bottom w:w="28" w:type="dxa"/>
            </w:tcMar>
            <w:vAlign w:val="center"/>
          </w:tcPr>
          <w:p>
            <w:pPr>
              <w:pStyle w:val="TableContents"/>
              <w:bidi w:val="0"/>
              <w:spacing w:before="0" w:after="283"/>
              <w:jc w:val="left"/>
              <w:rPr/>
            </w:pPr>
            <w:r>
              <w:rPr/>
              <w:t>$</w:t>
            </w:r>
          </w:p>
        </w:tc>
        <w:tc>
          <w:tcPr>
            <w:tcW w:w="1272" w:type="dxa"/>
            <w:tcBorders>
              <w:bottom w:val="double" w:sz="10" w:space="0" w:color="000000"/>
            </w:tcBorders>
            <w:shd w:fill="FFFFFF" w:val="clear"/>
            <w:tcMar>
              <w:bottom w:w="28" w:type="dxa"/>
            </w:tcMar>
            <w:vAlign w:val="center"/>
          </w:tcPr>
          <w:p>
            <w:pPr>
              <w:pStyle w:val="TableContents"/>
              <w:bidi w:val="0"/>
              <w:spacing w:before="0" w:after="283"/>
              <w:jc w:val="right"/>
              <w:rPr/>
            </w:pPr>
            <w:r>
              <w:rPr/>
              <w:t>12,977</w:t>
            </w:r>
          </w:p>
        </w:tc>
        <w:tc>
          <w:tcPr>
            <w:tcW w:w="11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12" w:space="1" w:color="000000"/>
        </w:rPr>
      </w:pPr>
      <w:r>
        <w:rPr>
          <w:sz w:val="20"/>
          <w:bdr w:val="single" w:sz="12" w:space="1" w:color="000000"/>
        </w:rPr>
        <w:t>F-12</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the date of acquisition, the intangible assets acquired and estimated useful lives were as follows:</w:t>
      </w:r>
    </w:p>
    <w:p>
      <w:pPr>
        <w:pStyle w:val="TextBody"/>
        <w:bidi w:val="0"/>
        <w:spacing w:before="0" w:after="0"/>
        <w:ind w:left="0" w:right="0" w:hanging="0"/>
        <w:jc w:val="both"/>
        <w:rPr>
          <w:caps w:val="false"/>
          <w:smallCaps w:val="false"/>
        </w:rPr>
      </w:pPr>
      <w:r>
        <w:rPr>
          <w:caps w:val="false"/>
          <w:smallCaps w:val="false"/>
        </w:rPr>
        <w:t> </w:t>
      </w:r>
    </w:p>
    <w:tbl>
      <w:tblPr>
        <w:tblW w:w="7305" w:type="dxa"/>
        <w:jc w:val="left"/>
        <w:tblInd w:w="0" w:type="dxa"/>
        <w:tblLayout w:type="fixed"/>
        <w:tblCellMar>
          <w:top w:w="0" w:type="dxa"/>
          <w:left w:w="0" w:type="dxa"/>
          <w:bottom w:w="0" w:type="dxa"/>
          <w:right w:w="0" w:type="dxa"/>
        </w:tblCellMar>
      </w:tblPr>
      <w:tblGrid>
        <w:gridCol w:w="4535"/>
        <w:gridCol w:w="60"/>
        <w:gridCol w:w="1040"/>
        <w:gridCol w:w="60"/>
        <w:gridCol w:w="307"/>
        <w:gridCol w:w="1228"/>
        <w:gridCol w:w="75"/>
      </w:tblGrid>
      <w:tr>
        <w:trPr/>
        <w:tc>
          <w:tcPr>
            <w:tcW w:w="4535"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p>
        </w:tc>
        <w:tc>
          <w:tcPr>
            <w:tcW w:w="1040" w:type="dxa"/>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Estimated</w:t>
              <w:br/>
              <w:t>useful life</w:t>
            </w:r>
          </w:p>
        </w:tc>
        <w:tc>
          <w:tcPr>
            <w:tcW w:w="60" w:type="dxa"/>
            <w:tcBorders/>
            <w:vAlign w:val="center"/>
          </w:tcPr>
          <w:p>
            <w:pPr>
              <w:pStyle w:val="TableContents"/>
              <w:bidi w:val="0"/>
              <w:spacing w:before="0" w:after="283"/>
              <w:jc w:val="left"/>
              <w:rPr/>
            </w:pPr>
            <w:r>
              <w:rPr/>
              <w:t> </w:t>
            </w:r>
          </w:p>
        </w:tc>
        <w:tc>
          <w:tcPr>
            <w:tcW w:w="1535"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 xml:space="preserve">Provisional </w:t>
              <w:br/>
              <w:t>fair values</w:t>
              <w:br/>
              <w:t xml:space="preserve">as of the </w:t>
              <w:br/>
              <w:t>Cobalt Closing</w:t>
            </w:r>
          </w:p>
        </w:tc>
        <w:tc>
          <w:tcPr>
            <w:tcW w:w="75" w:type="dxa"/>
            <w:tcBorders/>
            <w:vAlign w:val="center"/>
          </w:tcPr>
          <w:p>
            <w:pPr>
              <w:pStyle w:val="TableContents"/>
              <w:bidi w:val="0"/>
              <w:spacing w:before="0" w:after="283"/>
              <w:jc w:val="left"/>
              <w:rPr/>
            </w:pPr>
            <w:r>
              <w:rPr/>
              <w:t> </w:t>
            </w:r>
          </w:p>
        </w:tc>
      </w:tr>
      <w:tr>
        <w:trPr/>
        <w:tc>
          <w:tcPr>
            <w:tcW w:w="4535" w:type="dxa"/>
            <w:tcBorders/>
            <w:shd w:fill="CCEEFF" w:val="cle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Customer relationships (Backlog)</w:t>
            </w:r>
          </w:p>
        </w:tc>
        <w:tc>
          <w:tcPr>
            <w:tcW w:w="60" w:type="dxa"/>
            <w:tcBorders/>
            <w:shd w:fill="CCEEFF" w:val="clear"/>
            <w:vAlign w:val="center"/>
          </w:tcPr>
          <w:p>
            <w:pPr>
              <w:pStyle w:val="TableContents"/>
              <w:bidi w:val="0"/>
              <w:spacing w:before="0" w:after="283"/>
              <w:jc w:val="left"/>
              <w:rPr/>
            </w:pPr>
            <w:r>
              <w:rPr/>
              <w:t> </w:t>
            </w:r>
          </w:p>
        </w:tc>
        <w:tc>
          <w:tcPr>
            <w:tcW w:w="1040" w:type="dxa"/>
            <w:tcBorders/>
            <w:shd w:fill="CCEEFF" w:val="cle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18 months</w:t>
            </w:r>
          </w:p>
        </w:tc>
        <w:tc>
          <w:tcPr>
            <w:tcW w:w="60" w:type="dxa"/>
            <w:tcBorders/>
            <w:shd w:fill="CCEEFF" w:val="clear"/>
            <w:vAlign w:val="center"/>
          </w:tcPr>
          <w:p>
            <w:pPr>
              <w:pStyle w:val="TableContents"/>
              <w:bidi w:val="0"/>
              <w:spacing w:before="0" w:after="283"/>
              <w:jc w:val="left"/>
              <w:rPr/>
            </w:pPr>
            <w:r>
              <w:rPr/>
              <w:t> </w:t>
            </w:r>
          </w:p>
        </w:tc>
        <w:tc>
          <w:tcPr>
            <w:tcW w:w="307"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228"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1,100</w:t>
            </w:r>
          </w:p>
        </w:tc>
        <w:tc>
          <w:tcPr>
            <w:tcW w:w="75" w:type="dxa"/>
            <w:tcBorders/>
            <w:shd w:fill="CCEEFF" w:val="clear"/>
            <w:vAlign w:val="center"/>
          </w:tcPr>
          <w:p>
            <w:pPr>
              <w:pStyle w:val="TableContents"/>
              <w:bidi w:val="0"/>
              <w:spacing w:before="0" w:after="283"/>
              <w:jc w:val="left"/>
              <w:rPr/>
            </w:pPr>
            <w:r>
              <w:rPr/>
              <w:t> </w:t>
            </w:r>
          </w:p>
        </w:tc>
      </w:tr>
      <w:tr>
        <w:trPr/>
        <w:tc>
          <w:tcPr>
            <w:tcW w:w="4535" w:type="dxa"/>
            <w:tcBorders/>
            <w:shd w:fill="FFFFFF" w:val="cle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Trade name – Cobalt</w:t>
            </w:r>
          </w:p>
        </w:tc>
        <w:tc>
          <w:tcPr>
            <w:tcW w:w="60" w:type="dxa"/>
            <w:tcBorders/>
            <w:shd w:fill="FFFFFF" w:val="clear"/>
            <w:vAlign w:val="center"/>
          </w:tcPr>
          <w:p>
            <w:pPr>
              <w:pStyle w:val="TableContents"/>
              <w:bidi w:val="0"/>
              <w:spacing w:before="0" w:after="283"/>
              <w:jc w:val="left"/>
              <w:rPr/>
            </w:pPr>
            <w:r>
              <w:rPr/>
              <w:t> </w:t>
            </w:r>
          </w:p>
        </w:tc>
        <w:tc>
          <w:tcPr>
            <w:tcW w:w="1040" w:type="dxa"/>
            <w:tcBorders/>
            <w:shd w:fill="FFFFFF" w:val="cle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10 years</w:t>
            </w:r>
          </w:p>
        </w:tc>
        <w:tc>
          <w:tcPr>
            <w:tcW w:w="60" w:type="dxa"/>
            <w:tcBorders/>
            <w:shd w:fill="FFFFFF" w:val="clear"/>
            <w:vAlign w:val="center"/>
          </w:tcPr>
          <w:p>
            <w:pPr>
              <w:pStyle w:val="TableContents"/>
              <w:bidi w:val="0"/>
              <w:spacing w:before="0" w:after="283"/>
              <w:jc w:val="left"/>
              <w:rPr/>
            </w:pPr>
            <w:r>
              <w:rPr/>
              <w:t> </w:t>
            </w:r>
          </w:p>
        </w:tc>
        <w:tc>
          <w:tcPr>
            <w:tcW w:w="307" w:type="dxa"/>
            <w:tcBorders/>
            <w:shd w:fill="FFFFFF" w:val="clear"/>
            <w:vAlign w:val="center"/>
          </w:tcPr>
          <w:p>
            <w:pPr>
              <w:pStyle w:val="TableContents"/>
              <w:bidi w:val="0"/>
              <w:spacing w:before="0" w:after="283"/>
              <w:jc w:val="left"/>
              <w:rPr/>
            </w:pPr>
            <w:r>
              <w:rPr/>
              <w:t> </w:t>
            </w:r>
          </w:p>
        </w:tc>
        <w:tc>
          <w:tcPr>
            <w:tcW w:w="1228"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2,000</w:t>
            </w:r>
          </w:p>
        </w:tc>
        <w:tc>
          <w:tcPr>
            <w:tcW w:w="75" w:type="dxa"/>
            <w:tcBorders/>
            <w:shd w:fill="FFFFFF" w:val="clear"/>
            <w:vAlign w:val="center"/>
          </w:tcPr>
          <w:p>
            <w:pPr>
              <w:pStyle w:val="TableContents"/>
              <w:bidi w:val="0"/>
              <w:spacing w:before="0" w:after="283"/>
              <w:jc w:val="left"/>
              <w:rPr/>
            </w:pPr>
            <w:r>
              <w:rPr/>
              <w:t> </w:t>
            </w:r>
          </w:p>
        </w:tc>
      </w:tr>
      <w:tr>
        <w:trPr/>
        <w:tc>
          <w:tcPr>
            <w:tcW w:w="4535" w:type="dxa"/>
            <w:tcBorders/>
            <w:shd w:fill="CCEEFF" w:val="cle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Building lease intangible asset – favorable lease</w:t>
            </w:r>
          </w:p>
        </w:tc>
        <w:tc>
          <w:tcPr>
            <w:tcW w:w="60" w:type="dxa"/>
            <w:tcBorders/>
            <w:shd w:fill="CCEEFF" w:val="clear"/>
            <w:vAlign w:val="center"/>
          </w:tcPr>
          <w:p>
            <w:pPr>
              <w:pStyle w:val="TableContents"/>
              <w:bidi w:val="0"/>
              <w:spacing w:before="0" w:after="283"/>
              <w:jc w:val="left"/>
              <w:rPr/>
            </w:pPr>
            <w:r>
              <w:rPr/>
              <w:t> </w:t>
            </w:r>
          </w:p>
        </w:tc>
        <w:tc>
          <w:tcPr>
            <w:tcW w:w="1040" w:type="dxa"/>
            <w:tcBorders/>
            <w:shd w:fill="CCEEFF" w:val="cle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6 years</w:t>
            </w:r>
          </w:p>
        </w:tc>
        <w:tc>
          <w:tcPr>
            <w:tcW w:w="60" w:type="dxa"/>
            <w:tcBorders/>
            <w:shd w:fill="CCEEFF" w:val="clear"/>
            <w:vAlign w:val="center"/>
          </w:tcPr>
          <w:p>
            <w:pPr>
              <w:pStyle w:val="TableContents"/>
              <w:bidi w:val="0"/>
              <w:spacing w:before="0" w:after="283"/>
              <w:jc w:val="left"/>
              <w:rPr/>
            </w:pPr>
            <w:r>
              <w:rPr/>
              <w:t> </w:t>
            </w:r>
          </w:p>
        </w:tc>
        <w:tc>
          <w:tcPr>
            <w:tcW w:w="307"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28"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771</w:t>
            </w:r>
          </w:p>
        </w:tc>
        <w:tc>
          <w:tcPr>
            <w:tcW w:w="75" w:type="dxa"/>
            <w:tcBorders/>
            <w:shd w:fill="CCEEFF" w:val="clear"/>
            <w:vAlign w:val="center"/>
          </w:tcPr>
          <w:p>
            <w:pPr>
              <w:pStyle w:val="TableContents"/>
              <w:bidi w:val="0"/>
              <w:spacing w:before="0" w:after="283"/>
              <w:jc w:val="left"/>
              <w:rPr/>
            </w:pPr>
            <w:r>
              <w:rPr/>
              <w:t> </w:t>
            </w:r>
          </w:p>
        </w:tc>
      </w:tr>
      <w:tr>
        <w:trPr/>
        <w:tc>
          <w:tcPr>
            <w:tcW w:w="453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Total</w:t>
            </w:r>
          </w:p>
        </w:tc>
        <w:tc>
          <w:tcPr>
            <w:tcW w:w="60" w:type="dxa"/>
            <w:tcBorders/>
            <w:shd w:fill="FFFFFF" w:val="clear"/>
            <w:vAlign w:val="center"/>
          </w:tcPr>
          <w:p>
            <w:pPr>
              <w:pStyle w:val="TableContents"/>
              <w:bidi w:val="0"/>
              <w:spacing w:before="0" w:after="283"/>
              <w:jc w:val="left"/>
              <w:rPr/>
            </w:pPr>
            <w:r>
              <w:rPr/>
              <w:t> </w:t>
            </w:r>
          </w:p>
        </w:tc>
        <w:tc>
          <w:tcPr>
            <w:tcW w:w="104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307" w:type="dxa"/>
            <w:tcBorders>
              <w:bottom w:val="double" w:sz="10"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228" w:type="dxa"/>
            <w:tcBorders>
              <w:bottom w:val="double" w:sz="10"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3,871</w:t>
            </w:r>
          </w:p>
        </w:tc>
        <w:tc>
          <w:tcPr>
            <w:tcW w:w="75"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fair value of the backlog was estimated using the excess earnings method, an income-based approach, under which value is determined based on the present value of the cash flows attributable specifically to the backlog after deducting appropriate returns for contributory assets. Projected revenues were based on the contractual backlog existing as of the valuation date, and operating expenses were estimated as a percentage of revenue, with an adjustment to exclude sales and marketing expenses. Based on management’s estimates, substantially all sales and marketing efforts relate to acquiring new customers and are not required to fulfill the existing backlog. Contributory asset charges were applied for the use of working capital, fixed assets, assembled workforce, and trademarks.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trade name’s fair value was estimated using the relief-from-royalty method, which measures the present value of avoided royalty payments. The valuation considered qualitative factors such as Cobalt’s long operating history since 2003, strong reputation for affordable and reliable solar solutions, and established market presence with over 2,400 installations. It assumed the trade name supports all revenues and applied a 1.0% royalty rate based on profit-split analysis and market data. The trade name was assigned a 10-year useful life, reflecting expected continued use and brand support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fair value of the building lease was estimated using an income approach, specifically a discounted cash flow model, reflecting the present value of the difference between contractual rent and estimated market rent over the remaining lease term. Key assumptions include a market rent derived from comparable properties, a 2.0% annual rental growth rate, and an 8.50% discount rate consistent with market participant return expectations and leasehold-specific risks.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Goodwill represents the excess of the preliminary estimated consideration transferred over the fair value of the net tangible and intangible assets acquired that is associated with the excess cash flows that the acquisition is expected to generate in the future. The goodwill is not deductible for tax purposes.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Cobalt contributed $5.0 million and $0.3 million in revenue and income before income taxes from operations, respectively, for the period from the acquisition date to March 29, 2026.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 xml:space="preserve">Sunder Energy LLC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September 21, 2025, a subsidiary of the Company entered into a Membership Interest Purchase Agreement (“Sunder MIPA”) with Sunder Energy LLC (“Sunder”) and the seller, Chicken Parm Pizza LLC (“CPP”), the sole member of Sunder. On September 24, 2025 (“Sunder Closing”), the Company completed the acquisition of the membership interests of Sunder for an aggregate consideration of $57.8 million (“Sunder Acquisition”). Per the terms of the Sunder MIPA, the Company acquired all of the outstanding membership interest of Sunder for (1) $20.7 million in cash, subject to certain working capital and other adjustments; (2) a promissory note to the Member in the principal amount of $20.0 million (“Seller Note”); and (3) 10.0 million shares of the Company’s common stock (valued at the closing share price on September 24, 2025, of $1.71 per share), consisting of (i) 3.3 million shares of the Company’s common stock issued at the Sunder Closing and (ii) subject to approval of such issuances by the Company’s stockholders, (x) 3.3 million shares of the Company’s common stock to be issued on the 12-month anniversary of the Sunder Closing and (y) 3.3 million shares of the Company’s common stock to be issued on the 18-month anniversary of the Sunder Closing (“Deferred Sunder Consideration Shares”). In lieu of issuing the Deferred Sunder Consideration Shares, the Company, in its sole discretion, may elect to pay the Member a cash payment equal to the number of Deferred Sunder Consideration Shares otherwise issuable by the Company multiplied by the volume-weighted average price of the Company’s common stock as quoted on Nasdaq for the 30-trading day period ending two business days prior to the date on which the applicable Deferred Sunder Consideration Shares are otherwise issuable (“Cash in Lieu Amount”). If the Company elects to pay the Cash in Lieu Amount, 50% of the Cash in Lieu Amount will be paid on the three-month anniversary of the date on which the applicable Deferred Sunder Consideration Shares are otherwise issuable, with the remaining 50% of the Cash in Lieu Amount payable on the six-month anniversary of the date on which the applicable Deferred Sunder Consideration Shares are otherwise issuable. The shares of the Company’s common stock issued and expected to be issued were valued at aggregate of $17.1 million at the Sunder Closing. The common stock issued at the Sunder Closing was valued at $5.7 million and accounted for within Additional paid-in-capital on the Company’s consolidated balance sheet.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sz w:val="20"/>
          <w:bdr w:val="single" w:sz="12" w:space="1" w:color="000000"/>
        </w:rPr>
      </w:pPr>
      <w:r>
        <w:rPr>
          <w:sz w:val="20"/>
          <w:bdr w:val="single" w:sz="12" w:space="1" w:color="000000"/>
        </w:rPr>
        <w:t>F-13</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On April 23, 2026, the Company and CPP entered into an amended and restated Seller Note that, following certain payoffs under the prior Seller Note, has an amended principal amount of $7.0 million (the “A&amp;R Seller Note”). Refer to </w:t>
      </w:r>
      <w:r>
        <w:rPr>
          <w:rFonts w:ascii="Times New Roman;Times;Serif" w:hAnsi="Times New Roman;Times;Serif"/>
          <w:b/>
          <w:i w:val="false"/>
          <w:caps w:val="false"/>
          <w:smallCaps w:val="false"/>
          <w:sz w:val="20"/>
        </w:rPr>
        <w:t xml:space="preserve">Note 18 – Subsequent Events </w:t>
      </w:r>
      <w:r>
        <w:rPr>
          <w:rFonts w:ascii="Times New Roman;Times;Serif" w:hAnsi="Times New Roman;Times;Serif"/>
          <w:b w:val="false"/>
          <w:i w:val="false"/>
          <w:caps w:val="false"/>
          <w:smallCaps w:val="false"/>
          <w:sz w:val="20"/>
        </w:rPr>
        <w:t>for details.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On March 25, 2026, the Company’s stockholders approved the issuance of the Deferred Sunder Consideration Shares, and the Company’s option to pay the Cash in Lieu Amount expired. Accordingly, the value of the Deferred Sunder Consideration Shares became fixed on that date. The fair value of the 6.7 million Deferred Sunder Consideration Shares was $8.5 million as of March 25, 2026. Under ASC 815-40, </w:t>
      </w:r>
      <w:r>
        <w:rPr>
          <w:rFonts w:ascii="Times New Roman;Times;Serif" w:hAnsi="Times New Roman;Times;Serif"/>
          <w:b w:val="false"/>
          <w:i/>
          <w:caps w:val="false"/>
          <w:smallCaps w:val="false"/>
          <w:sz w:val="20"/>
        </w:rPr>
        <w:t>Derivatives and Hedging</w:t>
      </w:r>
      <w:r>
        <w:rPr>
          <w:rFonts w:ascii="Times New Roman;Times;Serif" w:hAnsi="Times New Roman;Times;Serif"/>
          <w:b w:val="false"/>
          <w:i w:val="false"/>
          <w:caps w:val="false"/>
          <w:smallCaps w:val="false"/>
          <w:sz w:val="20"/>
        </w:rPr>
        <w:t xml:space="preserve">, as all of the substantive contingencies have been resolved and only remaining condition is the passage of time, the obligation met the criteria for equity classification. As such, the Company reclassified the Deferred Sunder Consideration Shares obligation from liability to equity as of March 29, 2026. Pursuant to an Amendment and Agreement dated as of March 5, 2026 between CPP and the Company, the Company agreed to issue all of the Deferred Sunder Consideration Shares following receipt of approval by the Company’s stockholders, and the Deferred Sunder Consideration Shares were subsequently issued on April 8, 2026. Refer to </w:t>
      </w:r>
      <w:r>
        <w:rPr>
          <w:rFonts w:ascii="Times New Roman;Times;Serif" w:hAnsi="Times New Roman;Times;Serif"/>
          <w:b/>
          <w:i w:val="false"/>
          <w:caps w:val="false"/>
          <w:smallCaps w:val="false"/>
          <w:sz w:val="20"/>
        </w:rPr>
        <w:t xml:space="preserve">Note 18 – Subsequent Events </w:t>
      </w:r>
      <w:r>
        <w:rPr>
          <w:rFonts w:ascii="Times New Roman;Times;Serif" w:hAnsi="Times New Roman;Times;Serif"/>
          <w:b w:val="false"/>
          <w:i w:val="false"/>
          <w:caps w:val="false"/>
          <w:smallCaps w:val="false"/>
          <w:sz w:val="20"/>
        </w:rPr>
        <w:t>for details.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concluded that since the sellers joined the Company and represent members of management, they have a level of influence that is not insignificant; therefore, they are related parties to the Company.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Sunder is a solar sales company. The Company acquired Sunder as a strategic acquisition to expand its overall market share and its penetration into more U.S. states. The financial results of Sunder have been included in the Company’s consolidated financial statements since its date of acquisition.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consideration initially paid and remaining payable as of the date of the Sunder Closing is summarized below </w:t>
      </w:r>
      <w:r>
        <w:rPr>
          <w:rFonts w:ascii="Times New Roman;Times;Serif" w:hAnsi="Times New Roman;Times;Serif"/>
          <w:b w:val="false"/>
          <w:i/>
          <w:caps w:val="false"/>
          <w:smallCaps w:val="false"/>
          <w:sz w:val="20"/>
        </w:rPr>
        <w:t>(in thousands):</w:t>
      </w:r>
      <w:r>
        <w:rPr>
          <w:rFonts w:ascii="Times New Roman;Times;Serif" w:hAnsi="Times New Roman;Times;Serif"/>
          <w:b w:val="false"/>
          <w:i w:val="false"/>
          <w:caps w:val="false"/>
          <w:smallCaps w:val="false"/>
          <w:sz w:val="20"/>
        </w:rPr>
        <w:t> </w:t>
      </w:r>
    </w:p>
    <w:p>
      <w:pPr>
        <w:pStyle w:val="TextBody"/>
        <w:bidi w:val="0"/>
        <w:spacing w:before="0" w:after="0"/>
        <w:ind w:left="0" w:right="0" w:hanging="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8610"/>
        <w:gridCol w:w="60"/>
        <w:gridCol w:w="249"/>
        <w:gridCol w:w="1211"/>
        <w:gridCol w:w="75"/>
      </w:tblGrid>
      <w:tr>
        <w:trPr/>
        <w:tc>
          <w:tcPr>
            <w:tcW w:w="8610" w:type="dxa"/>
            <w:tcBorders/>
            <w:vAlign w:val="center"/>
          </w:tcPr>
          <w:p>
            <w:pPr>
              <w:pStyle w:val="TableContents"/>
              <w:bidi w:val="0"/>
              <w:spacing w:before="0" w:after="283"/>
              <w:ind w:left="0" w:right="0" w:hanging="180"/>
              <w:jc w:val="left"/>
              <w:rPr/>
            </w:pPr>
            <w:r>
              <w:rPr/>
              <w:t> </w:t>
            </w:r>
          </w:p>
        </w:tc>
        <w:tc>
          <w:tcPr>
            <w:tcW w:w="60" w:type="dxa"/>
            <w:tcBorders/>
            <w:vAlign w:val="center"/>
          </w:tcPr>
          <w:p>
            <w:pPr>
              <w:pStyle w:val="TableContents"/>
              <w:bidi w:val="0"/>
              <w:spacing w:before="0" w:after="283"/>
              <w:jc w:val="left"/>
              <w:rPr/>
            </w:pPr>
            <w:r>
              <w:rPr/>
              <w:t> </w:t>
            </w:r>
          </w:p>
        </w:tc>
        <w:tc>
          <w:tcPr>
            <w:tcW w:w="1460"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Consideration</w:t>
            </w:r>
          </w:p>
        </w:tc>
        <w:tc>
          <w:tcPr>
            <w:tcW w:w="75" w:type="dxa"/>
            <w:tcBorders/>
            <w:vAlign w:val="center"/>
          </w:tcPr>
          <w:p>
            <w:pPr>
              <w:pStyle w:val="TableContents"/>
              <w:bidi w:val="0"/>
              <w:spacing w:before="0" w:after="283"/>
              <w:ind w:left="0" w:right="0" w:hanging="180"/>
              <w:jc w:val="left"/>
              <w:rPr/>
            </w:pPr>
            <w:r>
              <w:rPr/>
              <w:t> </w:t>
            </w:r>
          </w:p>
        </w:tc>
      </w:tr>
      <w:tr>
        <w:trPr/>
        <w:tc>
          <w:tcPr>
            <w:tcW w:w="861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Paid at Sunder Closing</w:t>
            </w:r>
          </w:p>
        </w:tc>
        <w:tc>
          <w:tcPr>
            <w:tcW w:w="60" w:type="dxa"/>
            <w:tcBorders/>
            <w:vAlign w:val="center"/>
          </w:tcPr>
          <w:p>
            <w:pPr>
              <w:pStyle w:val="TableContents"/>
              <w:bidi w:val="0"/>
              <w:spacing w:before="0" w:after="283"/>
              <w:jc w:val="left"/>
              <w:rPr/>
            </w:pPr>
            <w:r>
              <w:rPr/>
              <w:t> </w:t>
            </w:r>
          </w:p>
        </w:tc>
        <w:tc>
          <w:tcPr>
            <w:tcW w:w="249" w:type="dxa"/>
            <w:tcBorders/>
            <w:vAlign w:val="center"/>
          </w:tcPr>
          <w:p>
            <w:pPr>
              <w:pStyle w:val="TableContents"/>
              <w:bidi w:val="0"/>
              <w:spacing w:before="0" w:after="283"/>
              <w:jc w:val="left"/>
              <w:rPr/>
            </w:pPr>
            <w:r>
              <w:rPr/>
              <w:t> </w:t>
            </w:r>
          </w:p>
        </w:tc>
        <w:tc>
          <w:tcPr>
            <w:tcW w:w="1211" w:type="dxa"/>
            <w:tcBorders/>
            <w:vAlign w:val="center"/>
          </w:tcPr>
          <w:p>
            <w:pPr>
              <w:pStyle w:val="TableContents"/>
              <w:bidi w:val="0"/>
              <w:spacing w:before="0" w:after="283"/>
              <w:jc w:val="right"/>
              <w:rPr/>
            </w:pPr>
            <w:r>
              <w:rPr/>
              <w:t> </w:t>
            </w:r>
          </w:p>
        </w:tc>
        <w:tc>
          <w:tcPr>
            <w:tcW w:w="75" w:type="dxa"/>
            <w:tcBorders/>
            <w:vAlign w:val="center"/>
          </w:tcPr>
          <w:p>
            <w:pPr>
              <w:pStyle w:val="TableContents"/>
              <w:bidi w:val="0"/>
              <w:spacing w:before="0" w:after="283"/>
              <w:ind w:left="0" w:right="0" w:hanging="180"/>
              <w:jc w:val="left"/>
              <w:rPr/>
            </w:pPr>
            <w:r>
              <w:rPr/>
              <w:t> </w:t>
            </w:r>
          </w:p>
        </w:tc>
      </w:tr>
      <w:tr>
        <w:trPr/>
        <w:tc>
          <w:tcPr>
            <w:tcW w:w="861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Cash</w:t>
            </w:r>
          </w:p>
        </w:tc>
        <w:tc>
          <w:tcPr>
            <w:tcW w:w="60" w:type="dxa"/>
            <w:tcBorders/>
            <w:shd w:fill="CCEEFF" w:val="clear"/>
            <w:vAlign w:val="center"/>
          </w:tcPr>
          <w:p>
            <w:pPr>
              <w:pStyle w:val="TableContents"/>
              <w:bidi w:val="0"/>
              <w:spacing w:before="0" w:after="283"/>
              <w:jc w:val="left"/>
              <w:rPr/>
            </w:pPr>
            <w:r>
              <w:rPr/>
              <w:t> </w:t>
            </w:r>
          </w:p>
        </w:tc>
        <w:tc>
          <w:tcPr>
            <w:tcW w:w="249"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211"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20,689</w:t>
            </w:r>
          </w:p>
        </w:tc>
        <w:tc>
          <w:tcPr>
            <w:tcW w:w="75" w:type="dxa"/>
            <w:tcBorders/>
            <w:shd w:fill="CCEEFF" w:val="clear"/>
            <w:vAlign w:val="center"/>
          </w:tcPr>
          <w:p>
            <w:pPr>
              <w:pStyle w:val="TableContents"/>
              <w:bidi w:val="0"/>
              <w:spacing w:before="0" w:after="283"/>
              <w:ind w:left="0" w:right="0" w:hanging="180"/>
              <w:jc w:val="left"/>
              <w:rPr/>
            </w:pPr>
            <w:r>
              <w:rPr/>
              <w:t> </w:t>
            </w:r>
          </w:p>
        </w:tc>
      </w:tr>
      <w:tr>
        <w:trPr/>
        <w:tc>
          <w:tcPr>
            <w:tcW w:w="861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Seller note</w:t>
            </w:r>
          </w:p>
        </w:tc>
        <w:tc>
          <w:tcPr>
            <w:tcW w:w="60" w:type="dxa"/>
            <w:tcBorders/>
            <w:shd w:fill="FFFFFF" w:val="clear"/>
            <w:vAlign w:val="center"/>
          </w:tcPr>
          <w:p>
            <w:pPr>
              <w:pStyle w:val="TableContents"/>
              <w:bidi w:val="0"/>
              <w:spacing w:before="0" w:after="283"/>
              <w:jc w:val="left"/>
              <w:rPr/>
            </w:pPr>
            <w:r>
              <w:rPr/>
              <w:t> </w:t>
            </w:r>
          </w:p>
        </w:tc>
        <w:tc>
          <w:tcPr>
            <w:tcW w:w="249" w:type="dxa"/>
            <w:tcBorders/>
            <w:shd w:fill="FFFFFF" w:val="clear"/>
            <w:vAlign w:val="center"/>
          </w:tcPr>
          <w:p>
            <w:pPr>
              <w:pStyle w:val="TableContents"/>
              <w:bidi w:val="0"/>
              <w:spacing w:before="0" w:after="283"/>
              <w:jc w:val="left"/>
              <w:rPr/>
            </w:pPr>
            <w:r>
              <w:rPr/>
              <w:t> </w:t>
            </w:r>
          </w:p>
        </w:tc>
        <w:tc>
          <w:tcPr>
            <w:tcW w:w="1211"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20,000</w:t>
            </w:r>
          </w:p>
        </w:tc>
        <w:tc>
          <w:tcPr>
            <w:tcW w:w="75" w:type="dxa"/>
            <w:tcBorders/>
            <w:shd w:fill="FFFFFF" w:val="clear"/>
            <w:vAlign w:val="center"/>
          </w:tcPr>
          <w:p>
            <w:pPr>
              <w:pStyle w:val="TableContents"/>
              <w:bidi w:val="0"/>
              <w:spacing w:before="0" w:after="283"/>
              <w:ind w:left="0" w:right="0" w:hanging="180"/>
              <w:jc w:val="left"/>
              <w:rPr/>
            </w:pPr>
            <w:r>
              <w:rPr/>
              <w:t> </w:t>
            </w:r>
          </w:p>
        </w:tc>
      </w:tr>
      <w:tr>
        <w:trPr/>
        <w:tc>
          <w:tcPr>
            <w:tcW w:w="8610" w:type="dxa"/>
            <w:tcBorders/>
            <w:shd w:fill="CCEEFF" w:val="clear"/>
            <w:vAlign w:val="center"/>
          </w:tcPr>
          <w:p>
            <w:pPr>
              <w:pStyle w:val="TableContents"/>
              <w:bidi w:val="0"/>
              <w:spacing w:before="0" w:after="0"/>
              <w:ind w:left="0" w:right="0" w:hanging="18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Fair value of 3.3 million shares of the Company’s common stock</w:t>
            </w:r>
          </w:p>
        </w:tc>
        <w:tc>
          <w:tcPr>
            <w:tcW w:w="60" w:type="dxa"/>
            <w:tcBorders/>
            <w:shd w:fill="CCEEFF" w:val="clear"/>
            <w:vAlign w:val="center"/>
          </w:tcPr>
          <w:p>
            <w:pPr>
              <w:pStyle w:val="TableContents"/>
              <w:bidi w:val="0"/>
              <w:spacing w:before="0" w:after="283"/>
              <w:jc w:val="left"/>
              <w:rPr/>
            </w:pPr>
            <w:r>
              <w:rPr/>
              <w:t> </w:t>
            </w:r>
          </w:p>
        </w:tc>
        <w:tc>
          <w:tcPr>
            <w:tcW w:w="249" w:type="dxa"/>
            <w:tcBorders/>
            <w:shd w:fill="CCEEFF" w:val="clear"/>
            <w:vAlign w:val="center"/>
          </w:tcPr>
          <w:p>
            <w:pPr>
              <w:pStyle w:val="TableContents"/>
              <w:bidi w:val="0"/>
              <w:spacing w:before="0" w:after="283"/>
              <w:jc w:val="left"/>
              <w:rPr/>
            </w:pPr>
            <w:r>
              <w:rPr/>
              <w:t> </w:t>
            </w:r>
          </w:p>
        </w:tc>
        <w:tc>
          <w:tcPr>
            <w:tcW w:w="1211"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5,700</w:t>
            </w:r>
          </w:p>
        </w:tc>
        <w:tc>
          <w:tcPr>
            <w:tcW w:w="75" w:type="dxa"/>
            <w:tcBorders/>
            <w:shd w:fill="CCEEFF" w:val="clear"/>
            <w:vAlign w:val="center"/>
          </w:tcPr>
          <w:p>
            <w:pPr>
              <w:pStyle w:val="TableContents"/>
              <w:bidi w:val="0"/>
              <w:spacing w:before="0" w:after="283"/>
              <w:ind w:left="0" w:right="0" w:hanging="180"/>
              <w:jc w:val="left"/>
              <w:rPr/>
            </w:pPr>
            <w:r>
              <w:rPr/>
              <w:t> </w:t>
            </w:r>
          </w:p>
        </w:tc>
      </w:tr>
      <w:tr>
        <w:trPr/>
        <w:tc>
          <w:tcPr>
            <w:tcW w:w="861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Payable subsequent to Sunder Closing</w:t>
            </w:r>
          </w:p>
        </w:tc>
        <w:tc>
          <w:tcPr>
            <w:tcW w:w="60" w:type="dxa"/>
            <w:tcBorders/>
            <w:shd w:fill="FFFFFF" w:val="clear"/>
            <w:vAlign w:val="center"/>
          </w:tcPr>
          <w:p>
            <w:pPr>
              <w:pStyle w:val="TableContents"/>
              <w:bidi w:val="0"/>
              <w:spacing w:before="0" w:after="283"/>
              <w:jc w:val="left"/>
              <w:rPr/>
            </w:pPr>
            <w:r>
              <w:rPr/>
              <w:t> </w:t>
            </w:r>
          </w:p>
        </w:tc>
        <w:tc>
          <w:tcPr>
            <w:tcW w:w="249" w:type="dxa"/>
            <w:tcBorders/>
            <w:shd w:fill="FFFFFF" w:val="clear"/>
            <w:vAlign w:val="center"/>
          </w:tcPr>
          <w:p>
            <w:pPr>
              <w:pStyle w:val="TableContents"/>
              <w:bidi w:val="0"/>
              <w:spacing w:before="0" w:after="283"/>
              <w:jc w:val="left"/>
              <w:rPr/>
            </w:pPr>
            <w:r>
              <w:rPr/>
              <w:t> </w:t>
            </w:r>
          </w:p>
        </w:tc>
        <w:tc>
          <w:tcPr>
            <w:tcW w:w="1211" w:type="dxa"/>
            <w:tcBorders/>
            <w:shd w:fill="FFFFFF" w:val="clear"/>
            <w:vAlign w:val="center"/>
          </w:tcPr>
          <w:p>
            <w:pPr>
              <w:pStyle w:val="TableContents"/>
              <w:bidi w:val="0"/>
              <w:spacing w:before="0" w:after="283"/>
              <w:jc w:val="right"/>
              <w:rPr/>
            </w:pPr>
            <w:r>
              <w:rPr/>
              <w:t> </w:t>
            </w:r>
          </w:p>
        </w:tc>
        <w:tc>
          <w:tcPr>
            <w:tcW w:w="75" w:type="dxa"/>
            <w:tcBorders/>
            <w:shd w:fill="FFFFFF" w:val="clear"/>
            <w:vAlign w:val="center"/>
          </w:tcPr>
          <w:p>
            <w:pPr>
              <w:pStyle w:val="TableContents"/>
              <w:bidi w:val="0"/>
              <w:spacing w:before="0" w:after="283"/>
              <w:ind w:left="0" w:right="0" w:hanging="180"/>
              <w:jc w:val="left"/>
              <w:rPr/>
            </w:pPr>
            <w:r>
              <w:rPr/>
              <w:t> </w:t>
            </w:r>
          </w:p>
        </w:tc>
      </w:tr>
      <w:tr>
        <w:trPr/>
        <w:tc>
          <w:tcPr>
            <w:tcW w:w="861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Deferred Sunder Consideration Shares (fair value of 6.7 million shares of the Company’s common stock at Sunder Closing)</w:t>
            </w:r>
          </w:p>
        </w:tc>
        <w:tc>
          <w:tcPr>
            <w:tcW w:w="60" w:type="dxa"/>
            <w:tcBorders/>
            <w:shd w:fill="CCEEFF" w:val="clear"/>
            <w:vAlign w:val="center"/>
          </w:tcPr>
          <w:p>
            <w:pPr>
              <w:pStyle w:val="TableContents"/>
              <w:bidi w:val="0"/>
              <w:spacing w:before="0" w:after="283"/>
              <w:jc w:val="left"/>
              <w:rPr/>
            </w:pPr>
            <w:r>
              <w:rPr/>
              <w:t> </w:t>
            </w:r>
          </w:p>
        </w:tc>
        <w:tc>
          <w:tcPr>
            <w:tcW w:w="249"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11"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11,400</w:t>
            </w:r>
          </w:p>
        </w:tc>
        <w:tc>
          <w:tcPr>
            <w:tcW w:w="75" w:type="dxa"/>
            <w:tcBorders/>
            <w:shd w:fill="CCEEFF" w:val="clear"/>
            <w:vAlign w:val="center"/>
          </w:tcPr>
          <w:p>
            <w:pPr>
              <w:pStyle w:val="TableContents"/>
              <w:bidi w:val="0"/>
              <w:spacing w:before="0" w:after="283"/>
              <w:ind w:left="0" w:right="0" w:hanging="180"/>
              <w:jc w:val="left"/>
              <w:rPr/>
            </w:pPr>
            <w:r>
              <w:rPr/>
              <w:t> </w:t>
            </w:r>
          </w:p>
        </w:tc>
      </w:tr>
      <w:tr>
        <w:trPr/>
        <w:tc>
          <w:tcPr>
            <w:tcW w:w="861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Fair value of total consideration at Sunder Closing</w:t>
            </w:r>
          </w:p>
        </w:tc>
        <w:tc>
          <w:tcPr>
            <w:tcW w:w="60" w:type="dxa"/>
            <w:tcBorders/>
            <w:shd w:fill="FFFFFF" w:val="clear"/>
            <w:vAlign w:val="center"/>
          </w:tcPr>
          <w:p>
            <w:pPr>
              <w:pStyle w:val="TableContents"/>
              <w:bidi w:val="0"/>
              <w:spacing w:before="0" w:after="283"/>
              <w:jc w:val="left"/>
              <w:rPr/>
            </w:pPr>
            <w:r>
              <w:rPr/>
              <w:t> </w:t>
            </w:r>
          </w:p>
        </w:tc>
        <w:tc>
          <w:tcPr>
            <w:tcW w:w="249" w:type="dxa"/>
            <w:tcBorders>
              <w:bottom w:val="double" w:sz="10"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211" w:type="dxa"/>
            <w:tcBorders>
              <w:bottom w:val="double" w:sz="10"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57,789</w:t>
            </w:r>
          </w:p>
        </w:tc>
        <w:tc>
          <w:tcPr>
            <w:tcW w:w="75"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Company financed a portion of the transaction through the issuance of $22.0 million of 7.0% senior unsecured convertible notes (the “September 2025 Notes”) and Seller Note in the original principal amount of $20.0 million, which has been amended by the A&amp;R Seller Note in the principal amount of $7.0 million subsequent to March 29, 2026. Refer to </w:t>
      </w:r>
      <w:r>
        <w:rPr>
          <w:rFonts w:ascii="Times New Roman;Times;Serif" w:hAnsi="Times New Roman;Times;Serif"/>
          <w:b/>
          <w:i w:val="false"/>
          <w:caps w:val="false"/>
          <w:smallCaps w:val="false"/>
          <w:sz w:val="20"/>
        </w:rPr>
        <w:t xml:space="preserve">Note 9 – Borrowings and Derivative Liabilities </w:t>
      </w:r>
      <w:r>
        <w:rPr>
          <w:rFonts w:ascii="Times New Roman;Times;Serif" w:hAnsi="Times New Roman;Times;Serif"/>
          <w:b w:val="false"/>
          <w:i w:val="false"/>
          <w:caps w:val="false"/>
          <w:smallCaps w:val="false"/>
          <w:sz w:val="20"/>
        </w:rPr>
        <w:t xml:space="preserve">and </w:t>
      </w:r>
      <w:r>
        <w:rPr>
          <w:rFonts w:ascii="Times New Roman;Times;Serif" w:hAnsi="Times New Roman;Times;Serif"/>
          <w:b/>
          <w:i w:val="false"/>
          <w:caps w:val="false"/>
          <w:smallCaps w:val="false"/>
          <w:sz w:val="20"/>
        </w:rPr>
        <w:t>Note 18 – Subsequent Events</w:t>
      </w:r>
      <w:r>
        <w:rPr>
          <w:rFonts w:ascii="Times New Roman;Times;Serif" w:hAnsi="Times New Roman;Times;Serif"/>
          <w:b w:val="false"/>
          <w:i w:val="false"/>
          <w:caps w:val="false"/>
          <w:smallCaps w:val="false"/>
          <w:sz w:val="20"/>
        </w:rPr>
        <w:t xml:space="preserve"> for details regarding these obligations.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provisional fair values of assets acquired and liabilities assumed were based upon a preliminary valuation, and the Company’s estimates and assumptions have been revised during the measurement period to refine the fair values of the assets acquired and liabilities assumed based upon the facts and circumstances existing at the date of acquisition which resulted in the measurement period adjustments noted below. The purchase price accounting remains open for the components of working capital, identification and valuation of intangibles and allocation of goodwill. The Company has elected the practical expedient within ASC 805-20-30-27 through 805-20-30-30 to recognize and measure contract liabilities in accordance with ASC 606 as if it had originated the acquired contract. Thus, the amount of any contract liabilities immediately prior to the acquisition will be the comparable amounts recognized in the determination of assets acquired and liabilities assumed by the Company.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sz w:val="20"/>
          <w:bdr w:val="single" w:sz="12" w:space="1" w:color="000000"/>
        </w:rPr>
      </w:pPr>
      <w:r>
        <w:rPr>
          <w:sz w:val="20"/>
          <w:bdr w:val="single" w:sz="12" w:space="1" w:color="000000"/>
        </w:rPr>
        <w:t>F-14</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summarizes the provisional fair value of identifiable assets acquired and liabilities assumed. No measurement period adjustments were recorded in the thirteen week period ended March 29, 2026.</w:t>
      </w:r>
    </w:p>
    <w:p>
      <w:pPr>
        <w:pStyle w:val="TextBody"/>
        <w:bidi w:val="0"/>
        <w:spacing w:before="0" w:after="0"/>
        <w:ind w:left="0" w:right="0" w:hanging="0"/>
        <w:jc w:val="both"/>
        <w:rPr>
          <w:caps w:val="false"/>
          <w:smallCaps w:val="false"/>
        </w:rPr>
      </w:pPr>
      <w:r>
        <w:rPr>
          <w:caps w:val="false"/>
          <w:smallCaps w:val="false"/>
        </w:rPr>
        <w:t> </w:t>
      </w:r>
    </w:p>
    <w:tbl>
      <w:tblPr>
        <w:tblW w:w="5714" w:type="dxa"/>
        <w:jc w:val="left"/>
        <w:tblInd w:w="0" w:type="dxa"/>
        <w:tblLayout w:type="fixed"/>
        <w:tblCellMar>
          <w:top w:w="0" w:type="dxa"/>
          <w:left w:w="0" w:type="dxa"/>
          <w:bottom w:w="28" w:type="dxa"/>
          <w:right w:w="0" w:type="dxa"/>
        </w:tblCellMar>
      </w:tblPr>
      <w:tblGrid>
        <w:gridCol w:w="4325"/>
        <w:gridCol w:w="60"/>
        <w:gridCol w:w="190"/>
        <w:gridCol w:w="1029"/>
        <w:gridCol w:w="110"/>
      </w:tblGrid>
      <w:tr>
        <w:trPr/>
        <w:tc>
          <w:tcPr>
            <w:tcW w:w="4325" w:type="dxa"/>
            <w:tcBorders>
              <w:bottom w:val="single" w:sz="12" w:space="0" w:color="000000"/>
            </w:tcBorders>
            <w:vAlign w:val="center"/>
          </w:tcPr>
          <w:p>
            <w:pPr>
              <w:pStyle w:val="TableContents"/>
              <w:bidi w:val="0"/>
              <w:jc w:val="both"/>
              <w:rPr/>
            </w:pPr>
            <w:r>
              <w:rPr/>
              <w:t> </w:t>
            </w:r>
          </w:p>
          <w:p>
            <w:pPr>
              <w:pStyle w:val="TableContents"/>
              <w:bidi w:val="0"/>
              <w:spacing w:before="0" w:after="0"/>
              <w:ind w:left="0" w:right="0" w:hanging="0"/>
              <w:jc w:val="both"/>
              <w:rPr>
                <w:rFonts w:ascii="Times New Roman;Times;Serif" w:hAnsi="Times New Roman;Times;Serif"/>
              </w:rPr>
            </w:pPr>
            <w:r>
              <w:rPr>
                <w:rFonts w:ascii="Times New Roman;Times;Serif" w:hAnsi="Times New Roman;Times;Serif"/>
              </w:rPr>
              <w:t>(</w:t>
            </w:r>
            <w:r>
              <w:rPr>
                <w:rFonts w:ascii="Times New Roman;Times;Serif" w:hAnsi="Times New Roman;Times;Serif"/>
                <w:i/>
              </w:rPr>
              <w:t>in thousands</w:t>
            </w:r>
            <w:r>
              <w:rPr>
                <w:rFonts w:ascii="Times New Roman;Times;Serif" w:hAnsi="Times New Roman;Times;Serif"/>
                <w:sz w:val="20"/>
              </w:rPr>
              <w:t>)</w:t>
            </w:r>
          </w:p>
        </w:tc>
        <w:tc>
          <w:tcPr>
            <w:tcW w:w="60" w:type="dxa"/>
            <w:tcBorders/>
            <w:tcMar>
              <w:bottom w:w="0" w:type="dxa"/>
            </w:tcMar>
            <w:vAlign w:val="center"/>
          </w:tcPr>
          <w:p>
            <w:pPr>
              <w:pStyle w:val="TableContents"/>
              <w:bidi w:val="0"/>
              <w:spacing w:before="0" w:after="283"/>
              <w:jc w:val="left"/>
              <w:rPr/>
            </w:pPr>
            <w:r>
              <w:rPr/>
              <w:t> </w:t>
            </w:r>
          </w:p>
        </w:tc>
        <w:tc>
          <w:tcPr>
            <w:tcW w:w="1219" w:type="dxa"/>
            <w:gridSpan w:val="2"/>
            <w:tcBorders>
              <w:bottom w:val="single" w:sz="12" w:space="0" w:color="000000"/>
            </w:tcBorders>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 xml:space="preserve">Provisional </w:t>
              <w:br/>
              <w:t>fair values</w:t>
            </w:r>
          </w:p>
        </w:tc>
        <w:tc>
          <w:tcPr>
            <w:tcW w:w="110" w:type="dxa"/>
            <w:tcBorders/>
            <w:tcMar>
              <w:bottom w:w="0" w:type="dxa"/>
            </w:tcMar>
            <w:vAlign w:val="center"/>
          </w:tcPr>
          <w:p>
            <w:pPr>
              <w:pStyle w:val="TableContents"/>
              <w:bidi w:val="0"/>
              <w:spacing w:before="0" w:after="283"/>
              <w:jc w:val="left"/>
              <w:rPr/>
            </w:pPr>
            <w:r>
              <w:rPr/>
              <w:t> </w:t>
            </w:r>
          </w:p>
        </w:tc>
      </w:tr>
      <w:tr>
        <w:trPr/>
        <w:tc>
          <w:tcPr>
            <w:tcW w:w="4325" w:type="dxa"/>
            <w:tcBorders/>
            <w:tcMar>
              <w:bottom w:w="0" w:type="dxa"/>
            </w:tcMar>
            <w:vAlign w:val="center"/>
          </w:tcPr>
          <w:p>
            <w:pPr>
              <w:pStyle w:val="TableContents"/>
              <w:bidi w:val="0"/>
              <w:spacing w:before="0" w:after="283"/>
              <w:jc w:val="both"/>
              <w:rPr>
                <w:rFonts w:ascii="Times New Roman;Times;Serif" w:hAnsi="Times New Roman;Times;Serif"/>
                <w:b/>
              </w:rPr>
            </w:pPr>
            <w:r>
              <w:rPr>
                <w:rFonts w:ascii="Times New Roman;Times;Serif" w:hAnsi="Times New Roman;Times;Serif"/>
                <w:b/>
              </w:rPr>
              <w:t>Net assets acquired:</w:t>
            </w:r>
          </w:p>
        </w:tc>
        <w:tc>
          <w:tcPr>
            <w:tcW w:w="60" w:type="dxa"/>
            <w:tcBorders/>
            <w:tcMar>
              <w:bottom w:w="0" w:type="dxa"/>
            </w:tcMar>
            <w:vAlign w:val="center"/>
          </w:tcPr>
          <w:p>
            <w:pPr>
              <w:pStyle w:val="TableContents"/>
              <w:bidi w:val="0"/>
              <w:spacing w:before="0" w:after="283"/>
              <w:jc w:val="left"/>
              <w:rPr/>
            </w:pPr>
            <w:r>
              <w:rPr/>
              <w:t> </w:t>
            </w:r>
          </w:p>
        </w:tc>
        <w:tc>
          <w:tcPr>
            <w:tcW w:w="1219" w:type="dxa"/>
            <w:gridSpan w:val="2"/>
            <w:tcBorders/>
            <w:tcMar>
              <w:bottom w:w="0" w:type="dxa"/>
            </w:tcMar>
            <w:vAlign w:val="center"/>
          </w:tcPr>
          <w:p>
            <w:pPr>
              <w:pStyle w:val="TableContents"/>
              <w:bidi w:val="0"/>
              <w:spacing w:before="0" w:after="283"/>
              <w:jc w:val="right"/>
              <w:rPr/>
            </w:pPr>
            <w:r>
              <w:rPr/>
              <w:t> </w:t>
            </w:r>
          </w:p>
        </w:tc>
        <w:tc>
          <w:tcPr>
            <w:tcW w:w="110" w:type="dxa"/>
            <w:tcBorders/>
            <w:tcMar>
              <w:bottom w:w="0" w:type="dxa"/>
            </w:tcMar>
            <w:vAlign w:val="center"/>
          </w:tcPr>
          <w:p>
            <w:pPr>
              <w:pStyle w:val="TableContents"/>
              <w:bidi w:val="0"/>
              <w:spacing w:before="0" w:after="283"/>
              <w:jc w:val="left"/>
              <w:rPr/>
            </w:pPr>
            <w:r>
              <w:rPr/>
              <w:t> </w:t>
            </w:r>
          </w:p>
        </w:tc>
      </w:tr>
      <w:tr>
        <w:trPr/>
        <w:tc>
          <w:tcPr>
            <w:tcW w:w="4325" w:type="dxa"/>
            <w:tcBorders/>
            <w:shd w:fill="CCEEFF" w:val="clear"/>
            <w:tcMar>
              <w:bottom w:w="0" w:type="dxa"/>
            </w:tcM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Accounts receivable</w:t>
            </w:r>
          </w:p>
        </w:tc>
        <w:tc>
          <w:tcPr>
            <w:tcW w:w="60" w:type="dxa"/>
            <w:tcBorders/>
            <w:shd w:fill="CCEEFF" w:val="clear"/>
            <w:tcMar>
              <w:bottom w:w="0" w:type="dxa"/>
            </w:tcMar>
            <w:vAlign w:val="center"/>
          </w:tcPr>
          <w:p>
            <w:pPr>
              <w:pStyle w:val="TableContents"/>
              <w:bidi w:val="0"/>
              <w:spacing w:before="0" w:after="283"/>
              <w:jc w:val="left"/>
              <w:rPr/>
            </w:pPr>
            <w:r>
              <w:rPr/>
              <w:t> </w:t>
            </w:r>
          </w:p>
        </w:tc>
        <w:tc>
          <w:tcPr>
            <w:tcW w:w="190"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029"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797</w:t>
            </w:r>
          </w:p>
        </w:tc>
        <w:tc>
          <w:tcPr>
            <w:tcW w:w="110" w:type="dxa"/>
            <w:tcBorders/>
            <w:shd w:fill="CCEEFF" w:val="clear"/>
            <w:tcMar>
              <w:bottom w:w="0" w:type="dxa"/>
            </w:tcMar>
            <w:vAlign w:val="center"/>
          </w:tcPr>
          <w:p>
            <w:pPr>
              <w:pStyle w:val="TableContents"/>
              <w:bidi w:val="0"/>
              <w:spacing w:before="0" w:after="283"/>
              <w:jc w:val="left"/>
              <w:rPr/>
            </w:pPr>
            <w:r>
              <w:rPr/>
              <w:t> </w:t>
            </w:r>
          </w:p>
        </w:tc>
      </w:tr>
      <w:tr>
        <w:trPr/>
        <w:tc>
          <w:tcPr>
            <w:tcW w:w="4325" w:type="dxa"/>
            <w:tcBorders/>
            <w:shd w:fill="FFFFFF" w:val="clear"/>
            <w:tcMar>
              <w:bottom w:w="0" w:type="dxa"/>
            </w:tcM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Prepaid expenses and other current assets</w:t>
            </w:r>
          </w:p>
        </w:tc>
        <w:tc>
          <w:tcPr>
            <w:tcW w:w="60" w:type="dxa"/>
            <w:tcBorders/>
            <w:shd w:fill="FFFFFF" w:val="clear"/>
            <w:tcMar>
              <w:bottom w:w="0" w:type="dxa"/>
            </w:tcMar>
            <w:vAlign w:val="center"/>
          </w:tcPr>
          <w:p>
            <w:pPr>
              <w:pStyle w:val="TableContents"/>
              <w:bidi w:val="0"/>
              <w:spacing w:before="0" w:after="283"/>
              <w:jc w:val="left"/>
              <w:rPr/>
            </w:pPr>
            <w:r>
              <w:rPr/>
              <w:t> </w:t>
            </w:r>
          </w:p>
        </w:tc>
        <w:tc>
          <w:tcPr>
            <w:tcW w:w="190" w:type="dxa"/>
            <w:tcBorders/>
            <w:shd w:fill="FFFFFF" w:val="clear"/>
            <w:tcMar>
              <w:bottom w:w="0" w:type="dxa"/>
            </w:tcMar>
            <w:vAlign w:val="center"/>
          </w:tcPr>
          <w:p>
            <w:pPr>
              <w:pStyle w:val="TableContents"/>
              <w:bidi w:val="0"/>
              <w:spacing w:before="0" w:after="283"/>
              <w:jc w:val="left"/>
              <w:rPr/>
            </w:pPr>
            <w:r>
              <w:rPr/>
              <w:t> </w:t>
            </w:r>
          </w:p>
        </w:tc>
        <w:tc>
          <w:tcPr>
            <w:tcW w:w="1029" w:type="dxa"/>
            <w:tcBorders/>
            <w:shd w:fill="FFFF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3,039</w:t>
            </w:r>
          </w:p>
        </w:tc>
        <w:tc>
          <w:tcPr>
            <w:tcW w:w="110" w:type="dxa"/>
            <w:tcBorders/>
            <w:shd w:fill="FFFFFF" w:val="clear"/>
            <w:tcMar>
              <w:bottom w:w="0" w:type="dxa"/>
            </w:tcMar>
            <w:vAlign w:val="center"/>
          </w:tcPr>
          <w:p>
            <w:pPr>
              <w:pStyle w:val="TableContents"/>
              <w:bidi w:val="0"/>
              <w:spacing w:before="0" w:after="283"/>
              <w:jc w:val="left"/>
              <w:rPr/>
            </w:pPr>
            <w:r>
              <w:rPr/>
              <w:t> </w:t>
            </w:r>
          </w:p>
        </w:tc>
      </w:tr>
      <w:tr>
        <w:trPr/>
        <w:tc>
          <w:tcPr>
            <w:tcW w:w="4325" w:type="dxa"/>
            <w:tcBorders/>
            <w:shd w:fill="CCEEFF" w:val="clear"/>
            <w:tcMar>
              <w:bottom w:w="0" w:type="dxa"/>
            </w:tcM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Property and equipment</w:t>
            </w:r>
          </w:p>
        </w:tc>
        <w:tc>
          <w:tcPr>
            <w:tcW w:w="60" w:type="dxa"/>
            <w:tcBorders/>
            <w:shd w:fill="CCEEFF" w:val="clear"/>
            <w:tcMar>
              <w:bottom w:w="0" w:type="dxa"/>
            </w:tcMar>
            <w:vAlign w:val="center"/>
          </w:tcPr>
          <w:p>
            <w:pPr>
              <w:pStyle w:val="TableContents"/>
              <w:bidi w:val="0"/>
              <w:spacing w:before="0" w:after="283"/>
              <w:jc w:val="left"/>
              <w:rPr/>
            </w:pPr>
            <w:r>
              <w:rPr/>
              <w:t> </w:t>
            </w:r>
          </w:p>
        </w:tc>
        <w:tc>
          <w:tcPr>
            <w:tcW w:w="190" w:type="dxa"/>
            <w:tcBorders/>
            <w:shd w:fill="CCEEFF" w:val="clear"/>
            <w:tcMar>
              <w:bottom w:w="0" w:type="dxa"/>
            </w:tcMar>
            <w:vAlign w:val="center"/>
          </w:tcPr>
          <w:p>
            <w:pPr>
              <w:pStyle w:val="TableContents"/>
              <w:bidi w:val="0"/>
              <w:spacing w:before="0" w:after="283"/>
              <w:jc w:val="left"/>
              <w:rPr/>
            </w:pPr>
            <w:r>
              <w:rPr/>
              <w:t> </w:t>
            </w:r>
          </w:p>
        </w:tc>
        <w:tc>
          <w:tcPr>
            <w:tcW w:w="1029"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241</w:t>
            </w:r>
          </w:p>
        </w:tc>
        <w:tc>
          <w:tcPr>
            <w:tcW w:w="110" w:type="dxa"/>
            <w:tcBorders/>
            <w:shd w:fill="CCEEFF" w:val="clear"/>
            <w:tcMar>
              <w:bottom w:w="0" w:type="dxa"/>
            </w:tcMar>
            <w:vAlign w:val="center"/>
          </w:tcPr>
          <w:p>
            <w:pPr>
              <w:pStyle w:val="TableContents"/>
              <w:bidi w:val="0"/>
              <w:spacing w:before="0" w:after="283"/>
              <w:jc w:val="left"/>
              <w:rPr/>
            </w:pPr>
            <w:r>
              <w:rPr/>
              <w:t> </w:t>
            </w:r>
          </w:p>
        </w:tc>
      </w:tr>
      <w:tr>
        <w:trPr/>
        <w:tc>
          <w:tcPr>
            <w:tcW w:w="4325" w:type="dxa"/>
            <w:tcBorders/>
            <w:shd w:fill="FFFFFF" w:val="clear"/>
            <w:tcMar>
              <w:bottom w:w="0" w:type="dxa"/>
            </w:tcM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Operating lease right-of-use assets</w:t>
            </w:r>
          </w:p>
        </w:tc>
        <w:tc>
          <w:tcPr>
            <w:tcW w:w="60" w:type="dxa"/>
            <w:tcBorders/>
            <w:shd w:fill="FFFFFF" w:val="clear"/>
            <w:tcMar>
              <w:bottom w:w="0" w:type="dxa"/>
            </w:tcMar>
            <w:vAlign w:val="center"/>
          </w:tcPr>
          <w:p>
            <w:pPr>
              <w:pStyle w:val="TableContents"/>
              <w:bidi w:val="0"/>
              <w:spacing w:before="0" w:after="283"/>
              <w:jc w:val="left"/>
              <w:rPr/>
            </w:pPr>
            <w:r>
              <w:rPr/>
              <w:t> </w:t>
            </w:r>
          </w:p>
        </w:tc>
        <w:tc>
          <w:tcPr>
            <w:tcW w:w="190" w:type="dxa"/>
            <w:tcBorders/>
            <w:shd w:fill="FFFFFF" w:val="clear"/>
            <w:tcMar>
              <w:bottom w:w="0" w:type="dxa"/>
            </w:tcMar>
            <w:vAlign w:val="center"/>
          </w:tcPr>
          <w:p>
            <w:pPr>
              <w:pStyle w:val="TableContents"/>
              <w:bidi w:val="0"/>
              <w:spacing w:before="0" w:after="283"/>
              <w:jc w:val="left"/>
              <w:rPr/>
            </w:pPr>
            <w:r>
              <w:rPr/>
              <w:t> </w:t>
            </w:r>
          </w:p>
        </w:tc>
        <w:tc>
          <w:tcPr>
            <w:tcW w:w="1029" w:type="dxa"/>
            <w:tcBorders/>
            <w:shd w:fill="FFFF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313</w:t>
            </w:r>
          </w:p>
        </w:tc>
        <w:tc>
          <w:tcPr>
            <w:tcW w:w="110" w:type="dxa"/>
            <w:tcBorders/>
            <w:shd w:fill="FFFFFF" w:val="clear"/>
            <w:tcMar>
              <w:bottom w:w="0" w:type="dxa"/>
            </w:tcMar>
            <w:vAlign w:val="center"/>
          </w:tcPr>
          <w:p>
            <w:pPr>
              <w:pStyle w:val="TableContents"/>
              <w:bidi w:val="0"/>
              <w:spacing w:before="0" w:after="283"/>
              <w:jc w:val="left"/>
              <w:rPr/>
            </w:pPr>
            <w:r>
              <w:rPr/>
              <w:t> </w:t>
            </w:r>
          </w:p>
        </w:tc>
      </w:tr>
      <w:tr>
        <w:trPr/>
        <w:tc>
          <w:tcPr>
            <w:tcW w:w="4325" w:type="dxa"/>
            <w:tcBorders/>
            <w:shd w:fill="CCEEFF" w:val="clear"/>
            <w:tcMar>
              <w:bottom w:w="0" w:type="dxa"/>
            </w:tcM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Other noncurrent assets</w:t>
            </w:r>
          </w:p>
        </w:tc>
        <w:tc>
          <w:tcPr>
            <w:tcW w:w="60" w:type="dxa"/>
            <w:tcBorders/>
            <w:shd w:fill="CCEEFF" w:val="clear"/>
            <w:tcMar>
              <w:bottom w:w="0" w:type="dxa"/>
            </w:tcMar>
            <w:vAlign w:val="center"/>
          </w:tcPr>
          <w:p>
            <w:pPr>
              <w:pStyle w:val="TableContents"/>
              <w:bidi w:val="0"/>
              <w:spacing w:before="0" w:after="283"/>
              <w:jc w:val="left"/>
              <w:rPr/>
            </w:pPr>
            <w:r>
              <w:rPr/>
              <w:t> </w:t>
            </w:r>
          </w:p>
        </w:tc>
        <w:tc>
          <w:tcPr>
            <w:tcW w:w="190" w:type="dxa"/>
            <w:tcBorders/>
            <w:shd w:fill="CCEEFF" w:val="clear"/>
            <w:tcMar>
              <w:bottom w:w="0" w:type="dxa"/>
            </w:tcMar>
            <w:vAlign w:val="center"/>
          </w:tcPr>
          <w:p>
            <w:pPr>
              <w:pStyle w:val="TableContents"/>
              <w:bidi w:val="0"/>
              <w:spacing w:before="0" w:after="283"/>
              <w:jc w:val="left"/>
              <w:rPr/>
            </w:pPr>
            <w:r>
              <w:rPr/>
              <w:t> </w:t>
            </w:r>
          </w:p>
        </w:tc>
        <w:tc>
          <w:tcPr>
            <w:tcW w:w="1029"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135</w:t>
            </w:r>
          </w:p>
        </w:tc>
        <w:tc>
          <w:tcPr>
            <w:tcW w:w="110" w:type="dxa"/>
            <w:tcBorders/>
            <w:shd w:fill="CCEEFF" w:val="clear"/>
            <w:tcMar>
              <w:bottom w:w="0" w:type="dxa"/>
            </w:tcMar>
            <w:vAlign w:val="center"/>
          </w:tcPr>
          <w:p>
            <w:pPr>
              <w:pStyle w:val="TableContents"/>
              <w:bidi w:val="0"/>
              <w:spacing w:before="0" w:after="283"/>
              <w:jc w:val="left"/>
              <w:rPr/>
            </w:pPr>
            <w:r>
              <w:rPr/>
              <w:t> </w:t>
            </w:r>
          </w:p>
        </w:tc>
      </w:tr>
      <w:tr>
        <w:trPr/>
        <w:tc>
          <w:tcPr>
            <w:tcW w:w="4325" w:type="dxa"/>
            <w:tcBorders/>
            <w:shd w:fill="FFFFFF" w:val="clear"/>
            <w:tcMar>
              <w:bottom w:w="0" w:type="dxa"/>
            </w:tcM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Intangibles</w:t>
            </w:r>
          </w:p>
        </w:tc>
        <w:tc>
          <w:tcPr>
            <w:tcW w:w="60" w:type="dxa"/>
            <w:tcBorders/>
            <w:shd w:fill="FFFFFF" w:val="clear"/>
            <w:tcMar>
              <w:bottom w:w="0" w:type="dxa"/>
            </w:tcMar>
            <w:vAlign w:val="center"/>
          </w:tcPr>
          <w:p>
            <w:pPr>
              <w:pStyle w:val="TableContents"/>
              <w:bidi w:val="0"/>
              <w:spacing w:before="0" w:after="283"/>
              <w:jc w:val="left"/>
              <w:rPr/>
            </w:pPr>
            <w:r>
              <w:rPr/>
              <w:t> </w:t>
            </w:r>
          </w:p>
        </w:tc>
        <w:tc>
          <w:tcPr>
            <w:tcW w:w="190" w:type="dxa"/>
            <w:tcBorders/>
            <w:shd w:fill="FFFFFF" w:val="clear"/>
            <w:tcMar>
              <w:bottom w:w="0" w:type="dxa"/>
            </w:tcMar>
            <w:vAlign w:val="center"/>
          </w:tcPr>
          <w:p>
            <w:pPr>
              <w:pStyle w:val="TableContents"/>
              <w:bidi w:val="0"/>
              <w:spacing w:before="0" w:after="283"/>
              <w:jc w:val="left"/>
              <w:rPr/>
            </w:pPr>
            <w:r>
              <w:rPr/>
              <w:t> </w:t>
            </w:r>
          </w:p>
        </w:tc>
        <w:tc>
          <w:tcPr>
            <w:tcW w:w="1029" w:type="dxa"/>
            <w:tcBorders/>
            <w:shd w:fill="FFFF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37,500</w:t>
            </w:r>
          </w:p>
        </w:tc>
        <w:tc>
          <w:tcPr>
            <w:tcW w:w="110" w:type="dxa"/>
            <w:tcBorders/>
            <w:shd w:fill="FFFFFF" w:val="clear"/>
            <w:tcMar>
              <w:bottom w:w="0" w:type="dxa"/>
            </w:tcMar>
            <w:vAlign w:val="center"/>
          </w:tcPr>
          <w:p>
            <w:pPr>
              <w:pStyle w:val="TableContents"/>
              <w:bidi w:val="0"/>
              <w:spacing w:before="0" w:after="283"/>
              <w:jc w:val="left"/>
              <w:rPr/>
            </w:pPr>
            <w:r>
              <w:rPr/>
              <w:t> </w:t>
            </w:r>
          </w:p>
        </w:tc>
      </w:tr>
      <w:tr>
        <w:trPr/>
        <w:tc>
          <w:tcPr>
            <w:tcW w:w="4325" w:type="dxa"/>
            <w:tcBorders/>
            <w:shd w:fill="CCEEFF" w:val="clear"/>
            <w:tcMar>
              <w:bottom w:w="0" w:type="dxa"/>
            </w:tcM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Contract liabilities</w:t>
            </w:r>
          </w:p>
        </w:tc>
        <w:tc>
          <w:tcPr>
            <w:tcW w:w="60" w:type="dxa"/>
            <w:tcBorders/>
            <w:shd w:fill="CCEEFF" w:val="clear"/>
            <w:tcMar>
              <w:bottom w:w="0" w:type="dxa"/>
            </w:tcMar>
            <w:vAlign w:val="center"/>
          </w:tcPr>
          <w:p>
            <w:pPr>
              <w:pStyle w:val="TableContents"/>
              <w:bidi w:val="0"/>
              <w:spacing w:before="0" w:after="283"/>
              <w:jc w:val="left"/>
              <w:rPr/>
            </w:pPr>
            <w:r>
              <w:rPr/>
              <w:t> </w:t>
            </w:r>
          </w:p>
        </w:tc>
        <w:tc>
          <w:tcPr>
            <w:tcW w:w="190" w:type="dxa"/>
            <w:tcBorders/>
            <w:shd w:fill="CCEEFF" w:val="clear"/>
            <w:tcMar>
              <w:bottom w:w="0" w:type="dxa"/>
            </w:tcMar>
            <w:vAlign w:val="center"/>
          </w:tcPr>
          <w:p>
            <w:pPr>
              <w:pStyle w:val="TableContents"/>
              <w:bidi w:val="0"/>
              <w:spacing w:before="0" w:after="283"/>
              <w:jc w:val="left"/>
              <w:rPr/>
            </w:pPr>
            <w:r>
              <w:rPr/>
              <w:t> </w:t>
            </w:r>
          </w:p>
        </w:tc>
        <w:tc>
          <w:tcPr>
            <w:tcW w:w="1029"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(11,673</w:t>
            </w:r>
          </w:p>
        </w:tc>
        <w:tc>
          <w:tcPr>
            <w:tcW w:w="110"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4325" w:type="dxa"/>
            <w:tcBorders/>
            <w:shd w:fill="FFFFFF" w:val="clear"/>
            <w:tcMar>
              <w:bottom w:w="0" w:type="dxa"/>
            </w:tcM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Accounts payable</w:t>
            </w:r>
          </w:p>
        </w:tc>
        <w:tc>
          <w:tcPr>
            <w:tcW w:w="60" w:type="dxa"/>
            <w:tcBorders/>
            <w:shd w:fill="FFFFFF" w:val="clear"/>
            <w:tcMar>
              <w:bottom w:w="0" w:type="dxa"/>
            </w:tcMar>
            <w:vAlign w:val="center"/>
          </w:tcPr>
          <w:p>
            <w:pPr>
              <w:pStyle w:val="TableContents"/>
              <w:bidi w:val="0"/>
              <w:spacing w:before="0" w:after="283"/>
              <w:jc w:val="left"/>
              <w:rPr/>
            </w:pPr>
            <w:r>
              <w:rPr/>
              <w:t> </w:t>
            </w:r>
          </w:p>
        </w:tc>
        <w:tc>
          <w:tcPr>
            <w:tcW w:w="190" w:type="dxa"/>
            <w:tcBorders/>
            <w:shd w:fill="FFFFFF" w:val="clear"/>
            <w:tcMar>
              <w:bottom w:w="0" w:type="dxa"/>
            </w:tcMar>
            <w:vAlign w:val="center"/>
          </w:tcPr>
          <w:p>
            <w:pPr>
              <w:pStyle w:val="TableContents"/>
              <w:bidi w:val="0"/>
              <w:spacing w:before="0" w:after="283"/>
              <w:jc w:val="left"/>
              <w:rPr/>
            </w:pPr>
            <w:r>
              <w:rPr/>
              <w:t> </w:t>
            </w:r>
          </w:p>
        </w:tc>
        <w:tc>
          <w:tcPr>
            <w:tcW w:w="1029" w:type="dxa"/>
            <w:tcBorders/>
            <w:shd w:fill="FFFF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(203</w:t>
            </w:r>
          </w:p>
        </w:tc>
        <w:tc>
          <w:tcPr>
            <w:tcW w:w="110" w:type="dxa"/>
            <w:tcBorders/>
            <w:shd w:fill="FFFF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4325" w:type="dxa"/>
            <w:tcBorders/>
            <w:shd w:fill="CCEEFF" w:val="clear"/>
            <w:tcMar>
              <w:bottom w:w="0" w:type="dxa"/>
            </w:tcM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Accrued expenses and other current liabilities</w:t>
            </w:r>
          </w:p>
        </w:tc>
        <w:tc>
          <w:tcPr>
            <w:tcW w:w="60" w:type="dxa"/>
            <w:tcBorders/>
            <w:shd w:fill="CCEEFF" w:val="clear"/>
            <w:tcMar>
              <w:bottom w:w="0" w:type="dxa"/>
            </w:tcMar>
            <w:vAlign w:val="center"/>
          </w:tcPr>
          <w:p>
            <w:pPr>
              <w:pStyle w:val="TableContents"/>
              <w:bidi w:val="0"/>
              <w:spacing w:before="0" w:after="283"/>
              <w:jc w:val="left"/>
              <w:rPr/>
            </w:pPr>
            <w:r>
              <w:rPr/>
              <w:t> </w:t>
            </w:r>
          </w:p>
        </w:tc>
        <w:tc>
          <w:tcPr>
            <w:tcW w:w="190" w:type="dxa"/>
            <w:tcBorders/>
            <w:shd w:fill="CCEEFF" w:val="clear"/>
            <w:tcMar>
              <w:bottom w:w="0" w:type="dxa"/>
            </w:tcMar>
            <w:vAlign w:val="center"/>
          </w:tcPr>
          <w:p>
            <w:pPr>
              <w:pStyle w:val="TableContents"/>
              <w:bidi w:val="0"/>
              <w:spacing w:before="0" w:after="283"/>
              <w:jc w:val="left"/>
              <w:rPr/>
            </w:pPr>
            <w:r>
              <w:rPr/>
              <w:t> </w:t>
            </w:r>
          </w:p>
        </w:tc>
        <w:tc>
          <w:tcPr>
            <w:tcW w:w="1029"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(3,850</w:t>
            </w:r>
          </w:p>
        </w:tc>
        <w:tc>
          <w:tcPr>
            <w:tcW w:w="110"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4325" w:type="dxa"/>
            <w:tcBorders/>
            <w:shd w:fill="FFFFFF" w:val="clear"/>
            <w:tcMar>
              <w:bottom w:w="0" w:type="dxa"/>
            </w:tcM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Operating lease liabilities</w:t>
            </w:r>
          </w:p>
        </w:tc>
        <w:tc>
          <w:tcPr>
            <w:tcW w:w="60" w:type="dxa"/>
            <w:tcBorders/>
            <w:shd w:fill="FFFFFF" w:val="clear"/>
            <w:tcMar>
              <w:bottom w:w="0" w:type="dxa"/>
            </w:tcMar>
            <w:vAlign w:val="center"/>
          </w:tcPr>
          <w:p>
            <w:pPr>
              <w:pStyle w:val="TableContents"/>
              <w:bidi w:val="0"/>
              <w:spacing w:before="0" w:after="283"/>
              <w:jc w:val="left"/>
              <w:rPr/>
            </w:pPr>
            <w:r>
              <w:rPr/>
              <w:t> </w:t>
            </w:r>
          </w:p>
        </w:tc>
        <w:tc>
          <w:tcPr>
            <w:tcW w:w="190" w:type="dxa"/>
            <w:tcBorders>
              <w:bottom w:val="single" w:sz="12" w:space="0" w:color="000000"/>
            </w:tcBorders>
            <w:shd w:fill="FFFFFF" w:val="clear"/>
            <w:vAlign w:val="center"/>
          </w:tcPr>
          <w:p>
            <w:pPr>
              <w:pStyle w:val="TableContents"/>
              <w:bidi w:val="0"/>
              <w:spacing w:before="0" w:after="283"/>
              <w:jc w:val="left"/>
              <w:rPr/>
            </w:pPr>
            <w:r>
              <w:rPr/>
              <w:t> </w:t>
            </w:r>
          </w:p>
        </w:tc>
        <w:tc>
          <w:tcPr>
            <w:tcW w:w="1029" w:type="dxa"/>
            <w:tcBorders>
              <w:bottom w:val="single" w:sz="12" w:space="0" w:color="000000"/>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(332</w:t>
            </w:r>
          </w:p>
        </w:tc>
        <w:tc>
          <w:tcPr>
            <w:tcW w:w="110" w:type="dxa"/>
            <w:tcBorders/>
            <w:shd w:fill="FFFF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4325" w:type="dxa"/>
            <w:tcBorders/>
            <w:shd w:fill="CCEEFF" w:val="clear"/>
            <w:tcMar>
              <w:bottom w:w="0" w:type="dxa"/>
            </w:tcM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Fair value of net assets acquired</w:t>
            </w:r>
          </w:p>
        </w:tc>
        <w:tc>
          <w:tcPr>
            <w:tcW w:w="60" w:type="dxa"/>
            <w:tcBorders/>
            <w:shd w:fill="CCEEFF" w:val="clear"/>
            <w:tcMar>
              <w:bottom w:w="0" w:type="dxa"/>
            </w:tcMar>
            <w:vAlign w:val="center"/>
          </w:tcPr>
          <w:p>
            <w:pPr>
              <w:pStyle w:val="TableContents"/>
              <w:bidi w:val="0"/>
              <w:spacing w:before="0" w:after="283"/>
              <w:jc w:val="left"/>
              <w:rPr/>
            </w:pPr>
            <w:r>
              <w:rPr/>
              <w:t> </w:t>
            </w:r>
          </w:p>
        </w:tc>
        <w:tc>
          <w:tcPr>
            <w:tcW w:w="190" w:type="dxa"/>
            <w:tcBorders/>
            <w:shd w:fill="CCEEFF" w:val="clear"/>
            <w:tcMar>
              <w:bottom w:w="0" w:type="dxa"/>
            </w:tcMar>
            <w:vAlign w:val="center"/>
          </w:tcPr>
          <w:p>
            <w:pPr>
              <w:pStyle w:val="TableContents"/>
              <w:bidi w:val="0"/>
              <w:spacing w:before="0" w:after="283"/>
              <w:jc w:val="left"/>
              <w:rPr/>
            </w:pPr>
            <w:r>
              <w:rPr/>
              <w:t> </w:t>
            </w:r>
          </w:p>
        </w:tc>
        <w:tc>
          <w:tcPr>
            <w:tcW w:w="1029"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25,967</w:t>
            </w:r>
          </w:p>
        </w:tc>
        <w:tc>
          <w:tcPr>
            <w:tcW w:w="110" w:type="dxa"/>
            <w:tcBorders/>
            <w:shd w:fill="CCEEFF" w:val="clear"/>
            <w:tcMar>
              <w:bottom w:w="0" w:type="dxa"/>
            </w:tcMar>
            <w:vAlign w:val="center"/>
          </w:tcPr>
          <w:p>
            <w:pPr>
              <w:pStyle w:val="TableContents"/>
              <w:bidi w:val="0"/>
              <w:spacing w:before="0" w:after="283"/>
              <w:jc w:val="left"/>
              <w:rPr/>
            </w:pPr>
            <w:r>
              <w:rPr/>
              <w:t> </w:t>
            </w:r>
          </w:p>
        </w:tc>
      </w:tr>
      <w:tr>
        <w:trPr/>
        <w:tc>
          <w:tcPr>
            <w:tcW w:w="4325" w:type="dxa"/>
            <w:tcBorders/>
            <w:shd w:fill="FFFFFF" w:val="clear"/>
            <w:tcMar>
              <w:bottom w:w="0" w:type="dxa"/>
            </w:tcM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Consideration transferred</w:t>
            </w:r>
          </w:p>
        </w:tc>
        <w:tc>
          <w:tcPr>
            <w:tcW w:w="60" w:type="dxa"/>
            <w:tcBorders/>
            <w:shd w:fill="FFFFFF" w:val="clear"/>
            <w:tcMar>
              <w:bottom w:w="0" w:type="dxa"/>
            </w:tcMar>
            <w:vAlign w:val="center"/>
          </w:tcPr>
          <w:p>
            <w:pPr>
              <w:pStyle w:val="TableContents"/>
              <w:bidi w:val="0"/>
              <w:spacing w:before="0" w:after="283"/>
              <w:jc w:val="left"/>
              <w:rPr/>
            </w:pPr>
            <w:r>
              <w:rPr/>
              <w:t> </w:t>
            </w:r>
          </w:p>
        </w:tc>
        <w:tc>
          <w:tcPr>
            <w:tcW w:w="190" w:type="dxa"/>
            <w:tcBorders>
              <w:bottom w:val="single" w:sz="12" w:space="0" w:color="000000"/>
            </w:tcBorders>
            <w:shd w:fill="FFFFFF" w:val="clear"/>
            <w:vAlign w:val="center"/>
          </w:tcPr>
          <w:p>
            <w:pPr>
              <w:pStyle w:val="TableContents"/>
              <w:bidi w:val="0"/>
              <w:spacing w:before="0" w:after="283"/>
              <w:jc w:val="left"/>
              <w:rPr/>
            </w:pPr>
            <w:r>
              <w:rPr/>
              <w:t> </w:t>
            </w:r>
          </w:p>
        </w:tc>
        <w:tc>
          <w:tcPr>
            <w:tcW w:w="1029" w:type="dxa"/>
            <w:tcBorders>
              <w:bottom w:val="single" w:sz="12" w:space="0" w:color="000000"/>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57,789</w:t>
            </w:r>
          </w:p>
        </w:tc>
        <w:tc>
          <w:tcPr>
            <w:tcW w:w="110" w:type="dxa"/>
            <w:tcBorders/>
            <w:shd w:fill="FFFFFF" w:val="clear"/>
            <w:tcMar>
              <w:bottom w:w="0" w:type="dxa"/>
            </w:tcMar>
            <w:vAlign w:val="center"/>
          </w:tcPr>
          <w:p>
            <w:pPr>
              <w:pStyle w:val="TableContents"/>
              <w:bidi w:val="0"/>
              <w:spacing w:before="0" w:after="283"/>
              <w:jc w:val="left"/>
              <w:rPr/>
            </w:pPr>
            <w:r>
              <w:rPr/>
              <w:t> </w:t>
            </w:r>
          </w:p>
        </w:tc>
      </w:tr>
      <w:tr>
        <w:trPr/>
        <w:tc>
          <w:tcPr>
            <w:tcW w:w="4325" w:type="dxa"/>
            <w:tcBorders/>
            <w:shd w:fill="CCEEFF" w:val="clear"/>
            <w:tcMar>
              <w:bottom w:w="0" w:type="dxa"/>
            </w:tcM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Goodwill recognized</w:t>
            </w:r>
          </w:p>
        </w:tc>
        <w:tc>
          <w:tcPr>
            <w:tcW w:w="60" w:type="dxa"/>
            <w:tcBorders/>
            <w:shd w:fill="CCEEFF" w:val="clear"/>
            <w:tcMar>
              <w:bottom w:w="0" w:type="dxa"/>
            </w:tcMar>
            <w:vAlign w:val="center"/>
          </w:tcPr>
          <w:p>
            <w:pPr>
              <w:pStyle w:val="TableContents"/>
              <w:bidi w:val="0"/>
              <w:spacing w:before="0" w:after="283"/>
              <w:jc w:val="left"/>
              <w:rPr/>
            </w:pPr>
            <w:r>
              <w:rPr/>
              <w:t> </w:t>
            </w:r>
          </w:p>
        </w:tc>
        <w:tc>
          <w:tcPr>
            <w:tcW w:w="190" w:type="dxa"/>
            <w:tcBorders>
              <w:bottom w:val="double" w:sz="10" w:space="0" w:color="000000"/>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029" w:type="dxa"/>
            <w:tcBorders>
              <w:bottom w:val="double" w:sz="10" w:space="0" w:color="000000"/>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31,822</w:t>
            </w:r>
          </w:p>
        </w:tc>
        <w:tc>
          <w:tcPr>
            <w:tcW w:w="110" w:type="dxa"/>
            <w:tcBorders/>
            <w:shd w:fill="CCEEFF" w:val="clear"/>
            <w:tcMar>
              <w:bottom w:w="0" w:type="dxa"/>
            </w:tcM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Intangible assets acquired and estimated useful lives were as follows (</w:t>
      </w:r>
      <w:r>
        <w:rPr>
          <w:rFonts w:ascii="Times New Roman;Times;Serif" w:hAnsi="Times New Roman;Times;Serif"/>
          <w:b w:val="false"/>
          <w:i/>
          <w:caps w:val="false"/>
          <w:smallCaps w:val="false"/>
          <w:sz w:val="20"/>
        </w:rPr>
        <w:t>in thousands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tbl>
      <w:tblPr>
        <w:tblW w:w="5564" w:type="dxa"/>
        <w:jc w:val="left"/>
        <w:tblInd w:w="0" w:type="dxa"/>
        <w:tblLayout w:type="fixed"/>
        <w:tblCellMar>
          <w:top w:w="0" w:type="dxa"/>
          <w:left w:w="0" w:type="dxa"/>
          <w:bottom w:w="0" w:type="dxa"/>
          <w:right w:w="0" w:type="dxa"/>
        </w:tblCellMar>
      </w:tblPr>
      <w:tblGrid>
        <w:gridCol w:w="3050"/>
        <w:gridCol w:w="60"/>
        <w:gridCol w:w="1040"/>
        <w:gridCol w:w="60"/>
        <w:gridCol w:w="60"/>
        <w:gridCol w:w="208"/>
        <w:gridCol w:w="1011"/>
        <w:gridCol w:w="75"/>
      </w:tblGrid>
      <w:tr>
        <w:trPr/>
        <w:tc>
          <w:tcPr>
            <w:tcW w:w="3050"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p>
        </w:tc>
        <w:tc>
          <w:tcPr>
            <w:tcW w:w="1040" w:type="dxa"/>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Estimated</w:t>
              <w:br/>
              <w:t>useful life</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19"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 xml:space="preserve">Provisional </w:t>
              <w:br/>
              <w:t>fair values</w:t>
            </w:r>
          </w:p>
        </w:tc>
        <w:tc>
          <w:tcPr>
            <w:tcW w:w="75" w:type="dxa"/>
            <w:tcBorders/>
            <w:vAlign w:val="center"/>
          </w:tcPr>
          <w:p>
            <w:pPr>
              <w:pStyle w:val="TableContents"/>
              <w:bidi w:val="0"/>
              <w:spacing w:before="0" w:after="283"/>
              <w:jc w:val="left"/>
              <w:rPr/>
            </w:pPr>
            <w:r>
              <w:rPr/>
              <w:t> </w:t>
            </w:r>
          </w:p>
        </w:tc>
      </w:tr>
      <w:tr>
        <w:trPr/>
        <w:tc>
          <w:tcPr>
            <w:tcW w:w="3050" w:type="dxa"/>
            <w:tcBorders/>
            <w:shd w:fill="CCEEFF" w:val="cle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Customer relationships</w:t>
            </w:r>
          </w:p>
        </w:tc>
        <w:tc>
          <w:tcPr>
            <w:tcW w:w="60" w:type="dxa"/>
            <w:tcBorders/>
            <w:shd w:fill="CCEEFF" w:val="clear"/>
            <w:vAlign w:val="center"/>
          </w:tcPr>
          <w:p>
            <w:pPr>
              <w:pStyle w:val="TableContents"/>
              <w:bidi w:val="0"/>
              <w:spacing w:before="0" w:after="283"/>
              <w:jc w:val="left"/>
              <w:rPr/>
            </w:pPr>
            <w:r>
              <w:rPr/>
              <w:t> </w:t>
            </w:r>
          </w:p>
        </w:tc>
        <w:tc>
          <w:tcPr>
            <w:tcW w:w="1040" w:type="dxa"/>
            <w:tcBorders/>
            <w:shd w:fill="CCEEFF" w:val="cle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10 years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8"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011"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30,600</w:t>
            </w:r>
          </w:p>
        </w:tc>
        <w:tc>
          <w:tcPr>
            <w:tcW w:w="75" w:type="dxa"/>
            <w:tcBorders/>
            <w:shd w:fill="CCEEFF" w:val="clear"/>
            <w:vAlign w:val="center"/>
          </w:tcPr>
          <w:p>
            <w:pPr>
              <w:pStyle w:val="TableContents"/>
              <w:bidi w:val="0"/>
              <w:spacing w:before="0" w:after="283"/>
              <w:jc w:val="left"/>
              <w:rPr/>
            </w:pPr>
            <w:r>
              <w:rPr/>
              <w:t> </w:t>
            </w:r>
          </w:p>
        </w:tc>
      </w:tr>
      <w:tr>
        <w:trPr/>
        <w:tc>
          <w:tcPr>
            <w:tcW w:w="3050" w:type="dxa"/>
            <w:tcBorders/>
            <w:shd w:fill="FFFFFF" w:val="cle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Trademark - Sunder</w:t>
            </w:r>
          </w:p>
        </w:tc>
        <w:tc>
          <w:tcPr>
            <w:tcW w:w="60" w:type="dxa"/>
            <w:tcBorders/>
            <w:shd w:fill="FFFFFF" w:val="clear"/>
            <w:vAlign w:val="center"/>
          </w:tcPr>
          <w:p>
            <w:pPr>
              <w:pStyle w:val="TableContents"/>
              <w:bidi w:val="0"/>
              <w:spacing w:before="0" w:after="283"/>
              <w:jc w:val="left"/>
              <w:rPr/>
            </w:pPr>
            <w:r>
              <w:rPr/>
              <w:t> </w:t>
            </w:r>
          </w:p>
        </w:tc>
        <w:tc>
          <w:tcPr>
            <w:tcW w:w="1040" w:type="dxa"/>
            <w:tcBorders/>
            <w:shd w:fill="FFFFFF" w:val="cle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10 years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8" w:type="dxa"/>
            <w:tcBorders/>
            <w:shd w:fill="FFFFFF" w:val="clear"/>
            <w:vAlign w:val="center"/>
          </w:tcPr>
          <w:p>
            <w:pPr>
              <w:pStyle w:val="TableContents"/>
              <w:bidi w:val="0"/>
              <w:spacing w:before="0" w:after="283"/>
              <w:jc w:val="left"/>
              <w:rPr/>
            </w:pPr>
            <w:r>
              <w:rPr/>
              <w:t> </w:t>
            </w:r>
          </w:p>
        </w:tc>
        <w:tc>
          <w:tcPr>
            <w:tcW w:w="1011"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6,100</w:t>
            </w:r>
          </w:p>
        </w:tc>
        <w:tc>
          <w:tcPr>
            <w:tcW w:w="75" w:type="dxa"/>
            <w:tcBorders/>
            <w:shd w:fill="FFFFFF" w:val="clear"/>
            <w:vAlign w:val="center"/>
          </w:tcPr>
          <w:p>
            <w:pPr>
              <w:pStyle w:val="TableContents"/>
              <w:bidi w:val="0"/>
              <w:spacing w:before="0" w:after="283"/>
              <w:jc w:val="left"/>
              <w:rPr/>
            </w:pPr>
            <w:r>
              <w:rPr/>
              <w:t> </w:t>
            </w:r>
          </w:p>
        </w:tc>
      </w:tr>
      <w:tr>
        <w:trPr/>
        <w:tc>
          <w:tcPr>
            <w:tcW w:w="3050" w:type="dxa"/>
            <w:tcBorders/>
            <w:shd w:fill="CCEEFF" w:val="cle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Developed technology - Sunder</w:t>
            </w:r>
          </w:p>
        </w:tc>
        <w:tc>
          <w:tcPr>
            <w:tcW w:w="60" w:type="dxa"/>
            <w:tcBorders/>
            <w:shd w:fill="CCEEFF" w:val="clear"/>
            <w:vAlign w:val="center"/>
          </w:tcPr>
          <w:p>
            <w:pPr>
              <w:pStyle w:val="TableContents"/>
              <w:bidi w:val="0"/>
              <w:spacing w:before="0" w:after="283"/>
              <w:jc w:val="left"/>
              <w:rPr/>
            </w:pPr>
            <w:r>
              <w:rPr/>
              <w:t> </w:t>
            </w:r>
          </w:p>
        </w:tc>
        <w:tc>
          <w:tcPr>
            <w:tcW w:w="1040" w:type="dxa"/>
            <w:tcBorders/>
            <w:shd w:fill="CCEEFF" w:val="cle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2 years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8"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11"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800</w:t>
            </w:r>
          </w:p>
        </w:tc>
        <w:tc>
          <w:tcPr>
            <w:tcW w:w="75" w:type="dxa"/>
            <w:tcBorders/>
            <w:shd w:fill="CCEEFF" w:val="clear"/>
            <w:vAlign w:val="center"/>
          </w:tcPr>
          <w:p>
            <w:pPr>
              <w:pStyle w:val="TableContents"/>
              <w:bidi w:val="0"/>
              <w:spacing w:before="0" w:after="283"/>
              <w:jc w:val="left"/>
              <w:rPr/>
            </w:pPr>
            <w:r>
              <w:rPr/>
              <w:t> </w:t>
            </w:r>
          </w:p>
        </w:tc>
      </w:tr>
      <w:tr>
        <w:trPr/>
        <w:tc>
          <w:tcPr>
            <w:tcW w:w="305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Total</w:t>
            </w:r>
          </w:p>
        </w:tc>
        <w:tc>
          <w:tcPr>
            <w:tcW w:w="60" w:type="dxa"/>
            <w:tcBorders/>
            <w:shd w:fill="FFFFFF" w:val="clear"/>
            <w:vAlign w:val="center"/>
          </w:tcPr>
          <w:p>
            <w:pPr>
              <w:pStyle w:val="TableContents"/>
              <w:bidi w:val="0"/>
              <w:spacing w:before="0" w:after="283"/>
              <w:jc w:val="left"/>
              <w:rPr/>
            </w:pPr>
            <w:r>
              <w:rPr/>
              <w:t> </w:t>
            </w:r>
          </w:p>
        </w:tc>
        <w:tc>
          <w:tcPr>
            <w:tcW w:w="104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8" w:type="dxa"/>
            <w:tcBorders>
              <w:bottom w:val="double" w:sz="10"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011" w:type="dxa"/>
            <w:tcBorders>
              <w:bottom w:val="double" w:sz="10"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37,500</w:t>
            </w:r>
          </w:p>
        </w:tc>
        <w:tc>
          <w:tcPr>
            <w:tcW w:w="75"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fair value of customer relationships was estimated using the excess earnings method. The assumptions used included revenue, included all business enterprise valuation sales, reduced by a 5% attrition rate based on historical customer turnover, with operating expenses estimated as a percentage of sales and no sales-and-marketing adjustment since such efforts do not directly support existing customers. Contributory asset charges were applied for the use of working capital, fixed assets, workforce, trademarks, and internal-use software, and cash flows were projected over the period in which customer relationships were expected to produce meaningful benefit, with the economic life extending until those cash flows became minimal.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fair value of the trademark was estimated using the relief-from-royalty method. This approach measures the value of the asset based on the hypothetical royalties the Company would avoid paying if it had to license the trademark from a third party. The assumptions used to value the trademark included projected sales based upon the business enterprise valuation considered attributable to the trademark, a royalty rate of 1.0% supported by a profit-split analysis and benchmarking against comparable licensing arrangements in the solar and broader energy industries and a useful economic life of 10 years consistent with management’s expectations for continued use and the anticipated longevity of the brand’s market relevance.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sz w:val="20"/>
          <w:bdr w:val="single" w:sz="12" w:space="1" w:color="000000"/>
        </w:rPr>
      </w:pPr>
      <w:r>
        <w:rPr>
          <w:sz w:val="20"/>
          <w:bdr w:val="single" w:sz="12" w:space="1" w:color="000000"/>
        </w:rPr>
        <w:t>F-15</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fair value of Sunder’s developed technology was estimated using the cost approach, which measures value based on the cost to reproduce or replace the existing software in its current state. The analysis considered the historical direct development costs, including Sunder’s ongoing investment in labor, design, coding, and testing efforts required to build the technology. In addition to direct costs, the valuation incorporated opportunity costs, which reflect the portion of the software expected to be added, modified, or removed over time based on management’s estimates of ongoing development needs. Together, these inputs approximate the current replacement cost of the technology, adjusted for necessary updates and functional improvements.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Goodwill represents the excess of the preliminary estimated consideration transferred over the fair value of the net tangible and intangible assets acquired that is associated with the excess cash flows that the acquisition is expected to generate in the future. The goodwill is tax deductible.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 xml:space="preserve">Ambia Energy LLC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November 21, 2025, the Company entered into a Membership Interest Purchase Agreement (the “Ambia MIPA”) with Ambia and Ambia Holdings, Inc., a Delaware corporation and the sole member of Ambia (“Ambia Holdings”) to acquire Ambia (the “Ambia Acquisition”). Ambia was the sole operating entity within Ambia Holdings. Ambia is a residential solar energy system installer and operates in various markets throughout the United States.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Ambia and Ambia Holdings completed the closing under the Ambia MIPA on November 21, 2025 (the “Ambia Closing”). At the Ambia Closing, the Company acquired all of the outstanding membership interests of Ambia from Ambia Holdings for: (a) 10,243,924 shares of common stock of the Company (the “Ambia Closing Consideration Shares”), issued at the Ambia Closing to Ambia Holdings; and (b) an agreement to issue an additional 9.375 million of shares of the Company’s common stock on each of the six-month anniversary of the Ambia Closing and the 12-month anniversary of the Ambia Closing (collectively such additional shares of common stock, the “Deferred Ambia Consideration Shares”). The issuance of the Deferred Ambia Consideration Shares is subject to approval by the Company’s stockholders following the Ambia Closing. On March 25, 2026, the Company’s stockholders approved the issuance of the Deferred Ambia Consideration Shares.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actual number of Deferred Ambia Consideration Shares issuable by the Company on the six- and 12-month anniversaries of the Ambia Closing will be determined based on the 20-day trailing volume-weighted average price of the Company’s common stock after market close on the business day immediately prior to the issuance date of the applicable shares (the “VWAP Value”); provided that the VWAP Value for the calculation of the actual number of Deferred Ambia Consideration Shares issuable by the Company will not be more than $2.8102 per share or less than $1.4988 per share. Additionally, the number of Deferred Ambia Consideration Shares issuable by the Company is subject to adjustment pursuant to customary working capital and balance sheet adjustment terms and subject to offset for certain indemnifiable damages in accordance with the Ambia MIPA.</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initial fair value of the deferred consideration shares at the Ambia Closing was $16.9 million. The Company’s closing share price for its common stock of $1.61 on November 21, 2025 was used to fair value the shares issued at the Ambia Closing. The total consideration is summarized as follows </w:t>
      </w:r>
      <w:r>
        <w:rPr>
          <w:rFonts w:ascii="Times New Roman;Times;Serif" w:hAnsi="Times New Roman;Times;Serif"/>
          <w:b w:val="false"/>
          <w:i/>
          <w:caps w:val="false"/>
          <w:smallCaps w:val="false"/>
          <w:sz w:val="20"/>
        </w:rPr>
        <w:t>(in thousands):</w:t>
      </w:r>
    </w:p>
    <w:p>
      <w:pPr>
        <w:pStyle w:val="TextBody"/>
        <w:bidi w:val="0"/>
        <w:spacing w:before="0" w:after="0"/>
        <w:ind w:left="0" w:right="0" w:hanging="0"/>
        <w:jc w:val="both"/>
        <w:rPr>
          <w:caps w:val="false"/>
          <w:smallCaps w:val="false"/>
        </w:rPr>
      </w:pPr>
      <w:r>
        <w:rPr>
          <w:caps w:val="false"/>
          <w:smallCaps w:val="false"/>
        </w:rPr>
        <w:t> </w:t>
      </w:r>
    </w:p>
    <w:tbl>
      <w:tblPr>
        <w:tblW w:w="9600" w:type="dxa"/>
        <w:jc w:val="left"/>
        <w:tblInd w:w="0" w:type="dxa"/>
        <w:tblLayout w:type="fixed"/>
        <w:tblCellMar>
          <w:top w:w="0" w:type="dxa"/>
          <w:left w:w="0" w:type="dxa"/>
          <w:bottom w:w="0" w:type="dxa"/>
          <w:right w:w="0" w:type="dxa"/>
        </w:tblCellMar>
      </w:tblPr>
      <w:tblGrid>
        <w:gridCol w:w="8645"/>
        <w:gridCol w:w="60"/>
        <w:gridCol w:w="140"/>
        <w:gridCol w:w="680"/>
        <w:gridCol w:w="75"/>
      </w:tblGrid>
      <w:tr>
        <w:trPr/>
        <w:tc>
          <w:tcPr>
            <w:tcW w:w="8645" w:type="dxa"/>
            <w:tcBorders/>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Consideration</w:t>
            </w:r>
          </w:p>
        </w:tc>
        <w:tc>
          <w:tcPr>
            <w:tcW w:w="60" w:type="dxa"/>
            <w:tcBorders/>
            <w:vAlign w:val="center"/>
          </w:tcPr>
          <w:p>
            <w:pPr>
              <w:pStyle w:val="TableContents"/>
              <w:bidi w:val="0"/>
              <w:spacing w:before="0" w:after="283"/>
              <w:jc w:val="left"/>
              <w:rPr/>
            </w:pPr>
            <w:r>
              <w:rPr/>
              <w:t> </w:t>
            </w:r>
          </w:p>
        </w:tc>
        <w:tc>
          <w:tcPr>
            <w:tcW w:w="820" w:type="dxa"/>
            <w:gridSpan w:val="2"/>
            <w:tcBorders/>
            <w:vAlign w:val="center"/>
          </w:tcPr>
          <w:p>
            <w:pPr>
              <w:pStyle w:val="TableContents"/>
              <w:bidi w:val="0"/>
              <w:spacing w:before="0" w:after="283"/>
              <w:jc w:val="right"/>
              <w:rPr/>
            </w:pPr>
            <w:r>
              <w:rPr/>
              <w:t> </w:t>
            </w:r>
          </w:p>
        </w:tc>
        <w:tc>
          <w:tcPr>
            <w:tcW w:w="75" w:type="dxa"/>
            <w:tcBorders/>
            <w:vAlign w:val="center"/>
          </w:tcPr>
          <w:p>
            <w:pPr>
              <w:pStyle w:val="TableContents"/>
              <w:bidi w:val="0"/>
              <w:spacing w:before="0" w:after="283"/>
              <w:jc w:val="left"/>
              <w:rPr/>
            </w:pPr>
            <w:r>
              <w:rPr/>
              <w:t> </w:t>
            </w:r>
          </w:p>
        </w:tc>
      </w:tr>
      <w:tr>
        <w:trPr/>
        <w:tc>
          <w:tcPr>
            <w:tcW w:w="864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 xml:space="preserve">Fair value of 10,243,924 shares of the Company’s common stock issued at Ambia Closing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8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16,493</w:t>
            </w:r>
          </w:p>
        </w:tc>
        <w:tc>
          <w:tcPr>
            <w:tcW w:w="75" w:type="dxa"/>
            <w:tcBorders/>
            <w:shd w:fill="CCEEFF" w:val="clear"/>
            <w:vAlign w:val="center"/>
          </w:tcPr>
          <w:p>
            <w:pPr>
              <w:pStyle w:val="TableContents"/>
              <w:bidi w:val="0"/>
              <w:spacing w:before="0" w:after="283"/>
              <w:jc w:val="left"/>
              <w:rPr/>
            </w:pPr>
            <w:r>
              <w:rPr/>
              <w:t> </w:t>
            </w:r>
          </w:p>
        </w:tc>
      </w:tr>
      <w:tr>
        <w:trPr/>
        <w:tc>
          <w:tcPr>
            <w:tcW w:w="864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 xml:space="preserve">Deferred Ambia Consideration Shares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680"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16,879</w:t>
            </w:r>
          </w:p>
        </w:tc>
        <w:tc>
          <w:tcPr>
            <w:tcW w:w="75" w:type="dxa"/>
            <w:tcBorders/>
            <w:shd w:fill="FFFFFF" w:val="clear"/>
            <w:vAlign w:val="center"/>
          </w:tcPr>
          <w:p>
            <w:pPr>
              <w:pStyle w:val="TableContents"/>
              <w:bidi w:val="0"/>
              <w:spacing w:before="0" w:after="283"/>
              <w:jc w:val="left"/>
              <w:rPr/>
            </w:pPr>
            <w:r>
              <w:rPr/>
              <w:t> </w:t>
            </w:r>
          </w:p>
        </w:tc>
      </w:tr>
      <w:tr>
        <w:trPr/>
        <w:tc>
          <w:tcPr>
            <w:tcW w:w="864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Fair value of total consideration</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10"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80" w:type="dxa"/>
            <w:tcBorders>
              <w:bottom w:val="double" w:sz="10"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33,372</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provisional fair values of assets acquired and liabilities assumed were based upon the facts and circumstances existing at the date of acquisition. The purchase price accounting remains open for the valuation of the customer relationship and allocation of goodwill. The Company elected the practical expedient within ASC 805-20-30-27 through 805-20-30-30 to recognize and measure contract liabilities in accordance with ASC 606 as if it had originated the acquired contract. Thus, the amount of any contract liabilities immediately prior to the acquisition will be the comparable amounts recognized in the determination of assets acquired and liabilities assumed by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12" w:space="1" w:color="000000"/>
        </w:rPr>
      </w:pPr>
      <w:r>
        <w:rPr>
          <w:sz w:val="20"/>
          <w:bdr w:val="single" w:sz="12" w:space="1" w:color="000000"/>
        </w:rPr>
        <w:t>F-16</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There have been no measurement period adjustments since the Ambia Closing. The provisional fair values of identifiable assets acquired and liabilities assumed are identified below </w:t>
      </w:r>
      <w:r>
        <w:rPr>
          <w:rFonts w:ascii="Times New Roman;Times;Serif" w:hAnsi="Times New Roman;Times;Serif"/>
          <w:b w:val="false"/>
          <w:i/>
          <w:caps w:val="false"/>
          <w:smallCaps w:val="false"/>
          <w:sz w:val="20"/>
        </w:rPr>
        <w:t>(in thousands)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tbl>
      <w:tblPr>
        <w:tblW w:w="6299" w:type="dxa"/>
        <w:jc w:val="left"/>
        <w:tblInd w:w="0" w:type="dxa"/>
        <w:tblLayout w:type="fixed"/>
        <w:tblCellMar>
          <w:top w:w="0" w:type="dxa"/>
          <w:left w:w="0" w:type="dxa"/>
          <w:bottom w:w="0" w:type="dxa"/>
          <w:right w:w="0" w:type="dxa"/>
        </w:tblCellMar>
      </w:tblPr>
      <w:tblGrid>
        <w:gridCol w:w="4910"/>
        <w:gridCol w:w="60"/>
        <w:gridCol w:w="208"/>
        <w:gridCol w:w="1011"/>
        <w:gridCol w:w="110"/>
      </w:tblGrid>
      <w:tr>
        <w:trPr/>
        <w:tc>
          <w:tcPr>
            <w:tcW w:w="4910"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p>
        </w:tc>
        <w:tc>
          <w:tcPr>
            <w:tcW w:w="1219"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 xml:space="preserve">Provisional </w:t>
              <w:br/>
              <w:t>fair values</w:t>
              <w:br/>
              <w:t>as of the</w:t>
              <w:br/>
              <w:t>Ambia</w:t>
              <w:br/>
              <w:t>Closing</w:t>
            </w:r>
          </w:p>
        </w:tc>
        <w:tc>
          <w:tcPr>
            <w:tcW w:w="110" w:type="dxa"/>
            <w:tcBorders/>
            <w:vAlign w:val="center"/>
          </w:tcPr>
          <w:p>
            <w:pPr>
              <w:pStyle w:val="TableContents"/>
              <w:bidi w:val="0"/>
              <w:spacing w:before="0" w:after="283"/>
              <w:jc w:val="left"/>
              <w:rPr/>
            </w:pPr>
            <w:r>
              <w:rPr/>
              <w:t> </w:t>
            </w:r>
          </w:p>
        </w:tc>
      </w:tr>
      <w:tr>
        <w:trPr/>
        <w:tc>
          <w:tcPr>
            <w:tcW w:w="4910" w:type="dxa"/>
            <w:tcBorders/>
            <w:vAlign w:val="center"/>
          </w:tcPr>
          <w:p>
            <w:pPr>
              <w:pStyle w:val="TableContents"/>
              <w:bidi w:val="0"/>
              <w:spacing w:before="0" w:after="283"/>
              <w:jc w:val="both"/>
              <w:rPr>
                <w:rFonts w:ascii="Times New Roman;Times;Serif" w:hAnsi="Times New Roman;Times;Serif"/>
                <w:b/>
              </w:rPr>
            </w:pPr>
            <w:r>
              <w:rPr>
                <w:rFonts w:ascii="Times New Roman;Times;Serif" w:hAnsi="Times New Roman;Times;Serif"/>
                <w:b/>
              </w:rPr>
              <w:t>Net assets acquired:</w:t>
            </w:r>
          </w:p>
        </w:tc>
        <w:tc>
          <w:tcPr>
            <w:tcW w:w="60" w:type="dxa"/>
            <w:tcBorders/>
            <w:vAlign w:val="center"/>
          </w:tcPr>
          <w:p>
            <w:pPr>
              <w:pStyle w:val="TableContents"/>
              <w:bidi w:val="0"/>
              <w:spacing w:before="0" w:after="283"/>
              <w:jc w:val="left"/>
              <w:rPr/>
            </w:pPr>
            <w:r>
              <w:rPr/>
              <w:t> </w:t>
            </w:r>
          </w:p>
        </w:tc>
        <w:tc>
          <w:tcPr>
            <w:tcW w:w="1219" w:type="dxa"/>
            <w:gridSpan w:val="2"/>
            <w:tcBorders/>
            <w:vAlign w:val="center"/>
          </w:tcPr>
          <w:p>
            <w:pPr>
              <w:pStyle w:val="TableContents"/>
              <w:bidi w:val="0"/>
              <w:spacing w:before="0" w:after="283"/>
              <w:jc w:val="right"/>
              <w:rPr/>
            </w:pPr>
            <w:r>
              <w:rPr/>
              <w:t> </w:t>
            </w:r>
          </w:p>
        </w:tc>
        <w:tc>
          <w:tcPr>
            <w:tcW w:w="110" w:type="dxa"/>
            <w:tcBorders/>
            <w:vAlign w:val="center"/>
          </w:tcPr>
          <w:p>
            <w:pPr>
              <w:pStyle w:val="TableContents"/>
              <w:bidi w:val="0"/>
              <w:spacing w:before="0" w:after="283"/>
              <w:jc w:val="left"/>
              <w:rPr/>
            </w:pPr>
            <w:r>
              <w:rPr/>
              <w:t> </w:t>
            </w:r>
          </w:p>
        </w:tc>
      </w:tr>
      <w:tr>
        <w:trPr/>
        <w:tc>
          <w:tcPr>
            <w:tcW w:w="4910" w:type="dxa"/>
            <w:tcBorders/>
            <w:shd w:fill="CCEEFF" w:val="cle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Cash and cash equivalents</w:t>
            </w:r>
          </w:p>
        </w:tc>
        <w:tc>
          <w:tcPr>
            <w:tcW w:w="60" w:type="dxa"/>
            <w:tcBorders/>
            <w:shd w:fill="CCEEFF" w:val="clear"/>
            <w:vAlign w:val="center"/>
          </w:tcPr>
          <w:p>
            <w:pPr>
              <w:pStyle w:val="TableContents"/>
              <w:bidi w:val="0"/>
              <w:spacing w:before="0" w:after="283"/>
              <w:jc w:val="left"/>
              <w:rPr/>
            </w:pPr>
            <w:r>
              <w:rPr/>
              <w:t> </w:t>
            </w:r>
          </w:p>
        </w:tc>
        <w:tc>
          <w:tcPr>
            <w:tcW w:w="208"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011"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1,350</w:t>
            </w:r>
          </w:p>
        </w:tc>
        <w:tc>
          <w:tcPr>
            <w:tcW w:w="110" w:type="dxa"/>
            <w:tcBorders/>
            <w:shd w:fill="CCEEFF" w:val="clear"/>
            <w:vAlign w:val="center"/>
          </w:tcPr>
          <w:p>
            <w:pPr>
              <w:pStyle w:val="TableContents"/>
              <w:bidi w:val="0"/>
              <w:spacing w:before="0" w:after="283"/>
              <w:jc w:val="left"/>
              <w:rPr/>
            </w:pPr>
            <w:r>
              <w:rPr/>
              <w:t> </w:t>
            </w:r>
          </w:p>
        </w:tc>
      </w:tr>
      <w:tr>
        <w:trPr/>
        <w:tc>
          <w:tcPr>
            <w:tcW w:w="4910" w:type="dxa"/>
            <w:tcBorders/>
            <w:shd w:fill="FFFFFF" w:val="cle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Accounts receivable</w:t>
            </w:r>
          </w:p>
        </w:tc>
        <w:tc>
          <w:tcPr>
            <w:tcW w:w="60" w:type="dxa"/>
            <w:tcBorders/>
            <w:shd w:fill="FFFFFF" w:val="clear"/>
            <w:vAlign w:val="center"/>
          </w:tcPr>
          <w:p>
            <w:pPr>
              <w:pStyle w:val="TableContents"/>
              <w:bidi w:val="0"/>
              <w:spacing w:before="0" w:after="283"/>
              <w:jc w:val="left"/>
              <w:rPr/>
            </w:pPr>
            <w:r>
              <w:rPr/>
              <w:t> </w:t>
            </w:r>
          </w:p>
        </w:tc>
        <w:tc>
          <w:tcPr>
            <w:tcW w:w="208" w:type="dxa"/>
            <w:tcBorders/>
            <w:shd w:fill="FFFFFF" w:val="clear"/>
            <w:vAlign w:val="center"/>
          </w:tcPr>
          <w:p>
            <w:pPr>
              <w:pStyle w:val="TableContents"/>
              <w:bidi w:val="0"/>
              <w:spacing w:before="0" w:after="283"/>
              <w:jc w:val="left"/>
              <w:rPr/>
            </w:pPr>
            <w:r>
              <w:rPr/>
              <w:t> </w:t>
            </w:r>
          </w:p>
        </w:tc>
        <w:tc>
          <w:tcPr>
            <w:tcW w:w="1011"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1,368</w:t>
            </w:r>
          </w:p>
        </w:tc>
        <w:tc>
          <w:tcPr>
            <w:tcW w:w="110" w:type="dxa"/>
            <w:tcBorders/>
            <w:shd w:fill="FFFFFF" w:val="clear"/>
            <w:vAlign w:val="center"/>
          </w:tcPr>
          <w:p>
            <w:pPr>
              <w:pStyle w:val="TableContents"/>
              <w:bidi w:val="0"/>
              <w:spacing w:before="0" w:after="283"/>
              <w:jc w:val="left"/>
              <w:rPr/>
            </w:pPr>
            <w:r>
              <w:rPr/>
              <w:t> </w:t>
            </w:r>
          </w:p>
        </w:tc>
      </w:tr>
      <w:tr>
        <w:trPr/>
        <w:tc>
          <w:tcPr>
            <w:tcW w:w="4910" w:type="dxa"/>
            <w:tcBorders/>
            <w:shd w:fill="CCEEFF" w:val="cle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Contract assets - unbilled receivables</w:t>
            </w:r>
          </w:p>
        </w:tc>
        <w:tc>
          <w:tcPr>
            <w:tcW w:w="60" w:type="dxa"/>
            <w:tcBorders/>
            <w:shd w:fill="CCEEFF" w:val="clear"/>
            <w:vAlign w:val="center"/>
          </w:tcPr>
          <w:p>
            <w:pPr>
              <w:pStyle w:val="TableContents"/>
              <w:bidi w:val="0"/>
              <w:spacing w:before="0" w:after="283"/>
              <w:jc w:val="left"/>
              <w:rPr/>
            </w:pPr>
            <w:r>
              <w:rPr/>
              <w:t> </w:t>
            </w:r>
          </w:p>
        </w:tc>
        <w:tc>
          <w:tcPr>
            <w:tcW w:w="208" w:type="dxa"/>
            <w:tcBorders/>
            <w:shd w:fill="CCEEFF" w:val="clear"/>
            <w:vAlign w:val="center"/>
          </w:tcPr>
          <w:p>
            <w:pPr>
              <w:pStyle w:val="TableContents"/>
              <w:bidi w:val="0"/>
              <w:spacing w:before="0" w:after="283"/>
              <w:jc w:val="left"/>
              <w:rPr/>
            </w:pPr>
            <w:r>
              <w:rPr/>
              <w:t> </w:t>
            </w:r>
          </w:p>
        </w:tc>
        <w:tc>
          <w:tcPr>
            <w:tcW w:w="1011"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1,143</w:t>
            </w:r>
          </w:p>
        </w:tc>
        <w:tc>
          <w:tcPr>
            <w:tcW w:w="110" w:type="dxa"/>
            <w:tcBorders/>
            <w:shd w:fill="CCEEFF" w:val="clear"/>
            <w:vAlign w:val="center"/>
          </w:tcPr>
          <w:p>
            <w:pPr>
              <w:pStyle w:val="TableContents"/>
              <w:bidi w:val="0"/>
              <w:spacing w:before="0" w:after="283"/>
              <w:jc w:val="left"/>
              <w:rPr/>
            </w:pPr>
            <w:r>
              <w:rPr/>
              <w:t> </w:t>
            </w:r>
          </w:p>
        </w:tc>
      </w:tr>
      <w:tr>
        <w:trPr/>
        <w:tc>
          <w:tcPr>
            <w:tcW w:w="4910" w:type="dxa"/>
            <w:tcBorders/>
            <w:shd w:fill="FFFFFF" w:val="cle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Prepaid expenses and other current assets</w:t>
            </w:r>
          </w:p>
        </w:tc>
        <w:tc>
          <w:tcPr>
            <w:tcW w:w="60" w:type="dxa"/>
            <w:tcBorders/>
            <w:shd w:fill="FFFFFF" w:val="clear"/>
            <w:vAlign w:val="center"/>
          </w:tcPr>
          <w:p>
            <w:pPr>
              <w:pStyle w:val="TableContents"/>
              <w:bidi w:val="0"/>
              <w:spacing w:before="0" w:after="283"/>
              <w:jc w:val="left"/>
              <w:rPr/>
            </w:pPr>
            <w:r>
              <w:rPr/>
              <w:t> </w:t>
            </w:r>
          </w:p>
        </w:tc>
        <w:tc>
          <w:tcPr>
            <w:tcW w:w="208" w:type="dxa"/>
            <w:tcBorders/>
            <w:shd w:fill="FFFFFF" w:val="clear"/>
            <w:vAlign w:val="center"/>
          </w:tcPr>
          <w:p>
            <w:pPr>
              <w:pStyle w:val="TableContents"/>
              <w:bidi w:val="0"/>
              <w:spacing w:before="0" w:after="283"/>
              <w:jc w:val="left"/>
              <w:rPr/>
            </w:pPr>
            <w:r>
              <w:rPr/>
              <w:t> </w:t>
            </w:r>
          </w:p>
        </w:tc>
        <w:tc>
          <w:tcPr>
            <w:tcW w:w="1011"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797</w:t>
            </w:r>
          </w:p>
        </w:tc>
        <w:tc>
          <w:tcPr>
            <w:tcW w:w="110" w:type="dxa"/>
            <w:tcBorders/>
            <w:shd w:fill="FFFFFF" w:val="clear"/>
            <w:vAlign w:val="center"/>
          </w:tcPr>
          <w:p>
            <w:pPr>
              <w:pStyle w:val="TableContents"/>
              <w:bidi w:val="0"/>
              <w:spacing w:before="0" w:after="283"/>
              <w:jc w:val="left"/>
              <w:rPr/>
            </w:pPr>
            <w:r>
              <w:rPr/>
              <w:t> </w:t>
            </w:r>
          </w:p>
        </w:tc>
      </w:tr>
      <w:tr>
        <w:trPr/>
        <w:tc>
          <w:tcPr>
            <w:tcW w:w="4910" w:type="dxa"/>
            <w:tcBorders/>
            <w:shd w:fill="CCEEFF" w:val="cle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Property and equipment, net</w:t>
            </w:r>
          </w:p>
        </w:tc>
        <w:tc>
          <w:tcPr>
            <w:tcW w:w="60" w:type="dxa"/>
            <w:tcBorders/>
            <w:shd w:fill="CCEEFF" w:val="clear"/>
            <w:vAlign w:val="center"/>
          </w:tcPr>
          <w:p>
            <w:pPr>
              <w:pStyle w:val="TableContents"/>
              <w:bidi w:val="0"/>
              <w:spacing w:before="0" w:after="283"/>
              <w:jc w:val="left"/>
              <w:rPr/>
            </w:pPr>
            <w:r>
              <w:rPr/>
              <w:t> </w:t>
            </w:r>
          </w:p>
        </w:tc>
        <w:tc>
          <w:tcPr>
            <w:tcW w:w="208" w:type="dxa"/>
            <w:tcBorders/>
            <w:shd w:fill="CCEEFF" w:val="clear"/>
            <w:vAlign w:val="center"/>
          </w:tcPr>
          <w:p>
            <w:pPr>
              <w:pStyle w:val="TableContents"/>
              <w:bidi w:val="0"/>
              <w:spacing w:before="0" w:after="283"/>
              <w:jc w:val="left"/>
              <w:rPr/>
            </w:pPr>
            <w:r>
              <w:rPr/>
              <w:t> </w:t>
            </w:r>
          </w:p>
        </w:tc>
        <w:tc>
          <w:tcPr>
            <w:tcW w:w="1011"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2,230</w:t>
            </w:r>
          </w:p>
        </w:tc>
        <w:tc>
          <w:tcPr>
            <w:tcW w:w="110" w:type="dxa"/>
            <w:tcBorders/>
            <w:shd w:fill="CCEEFF" w:val="clear"/>
            <w:vAlign w:val="center"/>
          </w:tcPr>
          <w:p>
            <w:pPr>
              <w:pStyle w:val="TableContents"/>
              <w:bidi w:val="0"/>
              <w:spacing w:before="0" w:after="283"/>
              <w:jc w:val="left"/>
              <w:rPr/>
            </w:pPr>
            <w:r>
              <w:rPr/>
              <w:t> </w:t>
            </w:r>
          </w:p>
        </w:tc>
      </w:tr>
      <w:tr>
        <w:trPr/>
        <w:tc>
          <w:tcPr>
            <w:tcW w:w="4910" w:type="dxa"/>
            <w:tcBorders/>
            <w:shd w:fill="FFFFFF" w:val="cle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Intangible assets</w:t>
            </w:r>
          </w:p>
        </w:tc>
        <w:tc>
          <w:tcPr>
            <w:tcW w:w="60" w:type="dxa"/>
            <w:tcBorders/>
            <w:shd w:fill="FFFFFF" w:val="clear"/>
            <w:vAlign w:val="center"/>
          </w:tcPr>
          <w:p>
            <w:pPr>
              <w:pStyle w:val="TableContents"/>
              <w:bidi w:val="0"/>
              <w:spacing w:before="0" w:after="283"/>
              <w:jc w:val="left"/>
              <w:rPr/>
            </w:pPr>
            <w:r>
              <w:rPr/>
              <w:t> </w:t>
            </w:r>
          </w:p>
        </w:tc>
        <w:tc>
          <w:tcPr>
            <w:tcW w:w="208" w:type="dxa"/>
            <w:tcBorders/>
            <w:shd w:fill="FFFFFF" w:val="clear"/>
            <w:vAlign w:val="center"/>
          </w:tcPr>
          <w:p>
            <w:pPr>
              <w:pStyle w:val="TableContents"/>
              <w:bidi w:val="0"/>
              <w:spacing w:before="0" w:after="283"/>
              <w:jc w:val="left"/>
              <w:rPr/>
            </w:pPr>
            <w:r>
              <w:rPr/>
              <w:t> </w:t>
            </w:r>
          </w:p>
        </w:tc>
        <w:tc>
          <w:tcPr>
            <w:tcW w:w="1011"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4,300</w:t>
            </w:r>
          </w:p>
        </w:tc>
        <w:tc>
          <w:tcPr>
            <w:tcW w:w="110" w:type="dxa"/>
            <w:tcBorders/>
            <w:shd w:fill="FFFFFF" w:val="clear"/>
            <w:vAlign w:val="center"/>
          </w:tcPr>
          <w:p>
            <w:pPr>
              <w:pStyle w:val="TableContents"/>
              <w:bidi w:val="0"/>
              <w:spacing w:before="0" w:after="283"/>
              <w:jc w:val="left"/>
              <w:rPr/>
            </w:pPr>
            <w:r>
              <w:rPr/>
              <w:t> </w:t>
            </w:r>
          </w:p>
        </w:tc>
      </w:tr>
      <w:tr>
        <w:trPr/>
        <w:tc>
          <w:tcPr>
            <w:tcW w:w="4910" w:type="dxa"/>
            <w:tcBorders/>
            <w:shd w:fill="CCEEFF" w:val="cle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Operating lease right-of-use assets</w:t>
            </w:r>
          </w:p>
        </w:tc>
        <w:tc>
          <w:tcPr>
            <w:tcW w:w="60" w:type="dxa"/>
            <w:tcBorders/>
            <w:shd w:fill="CCEEFF" w:val="clear"/>
            <w:vAlign w:val="center"/>
          </w:tcPr>
          <w:p>
            <w:pPr>
              <w:pStyle w:val="TableContents"/>
              <w:bidi w:val="0"/>
              <w:spacing w:before="0" w:after="283"/>
              <w:jc w:val="left"/>
              <w:rPr/>
            </w:pPr>
            <w:r>
              <w:rPr/>
              <w:t> </w:t>
            </w:r>
          </w:p>
        </w:tc>
        <w:tc>
          <w:tcPr>
            <w:tcW w:w="208" w:type="dxa"/>
            <w:tcBorders/>
            <w:shd w:fill="CCEEFF" w:val="clear"/>
            <w:vAlign w:val="center"/>
          </w:tcPr>
          <w:p>
            <w:pPr>
              <w:pStyle w:val="TableContents"/>
              <w:bidi w:val="0"/>
              <w:spacing w:before="0" w:after="283"/>
              <w:jc w:val="left"/>
              <w:rPr/>
            </w:pPr>
            <w:r>
              <w:rPr/>
              <w:t> </w:t>
            </w:r>
          </w:p>
        </w:tc>
        <w:tc>
          <w:tcPr>
            <w:tcW w:w="1011"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2,563</w:t>
            </w:r>
          </w:p>
        </w:tc>
        <w:tc>
          <w:tcPr>
            <w:tcW w:w="110" w:type="dxa"/>
            <w:tcBorders/>
            <w:shd w:fill="CCEEFF" w:val="clear"/>
            <w:vAlign w:val="center"/>
          </w:tcPr>
          <w:p>
            <w:pPr>
              <w:pStyle w:val="TableContents"/>
              <w:bidi w:val="0"/>
              <w:spacing w:before="0" w:after="283"/>
              <w:jc w:val="left"/>
              <w:rPr/>
            </w:pPr>
            <w:r>
              <w:rPr/>
              <w:t> </w:t>
            </w:r>
          </w:p>
        </w:tc>
      </w:tr>
      <w:tr>
        <w:trPr/>
        <w:tc>
          <w:tcPr>
            <w:tcW w:w="4910" w:type="dxa"/>
            <w:tcBorders/>
            <w:shd w:fill="FFFFFF" w:val="cle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Other noncurrent assets</w:t>
            </w:r>
          </w:p>
        </w:tc>
        <w:tc>
          <w:tcPr>
            <w:tcW w:w="60" w:type="dxa"/>
            <w:tcBorders/>
            <w:shd w:fill="FFFFFF" w:val="clear"/>
            <w:vAlign w:val="center"/>
          </w:tcPr>
          <w:p>
            <w:pPr>
              <w:pStyle w:val="TableContents"/>
              <w:bidi w:val="0"/>
              <w:spacing w:before="0" w:after="283"/>
              <w:jc w:val="left"/>
              <w:rPr/>
            </w:pPr>
            <w:r>
              <w:rPr/>
              <w:t> </w:t>
            </w:r>
          </w:p>
        </w:tc>
        <w:tc>
          <w:tcPr>
            <w:tcW w:w="208" w:type="dxa"/>
            <w:tcBorders/>
            <w:shd w:fill="FFFFFF" w:val="clear"/>
            <w:vAlign w:val="center"/>
          </w:tcPr>
          <w:p>
            <w:pPr>
              <w:pStyle w:val="TableContents"/>
              <w:bidi w:val="0"/>
              <w:spacing w:before="0" w:after="283"/>
              <w:jc w:val="left"/>
              <w:rPr/>
            </w:pPr>
            <w:r>
              <w:rPr/>
              <w:t> </w:t>
            </w:r>
          </w:p>
        </w:tc>
        <w:tc>
          <w:tcPr>
            <w:tcW w:w="1011"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182</w:t>
            </w:r>
          </w:p>
        </w:tc>
        <w:tc>
          <w:tcPr>
            <w:tcW w:w="110" w:type="dxa"/>
            <w:tcBorders/>
            <w:shd w:fill="FFFFFF" w:val="clear"/>
            <w:vAlign w:val="center"/>
          </w:tcPr>
          <w:p>
            <w:pPr>
              <w:pStyle w:val="TableContents"/>
              <w:bidi w:val="0"/>
              <w:spacing w:before="0" w:after="283"/>
              <w:jc w:val="left"/>
              <w:rPr/>
            </w:pPr>
            <w:r>
              <w:rPr/>
              <w:t> </w:t>
            </w:r>
          </w:p>
        </w:tc>
      </w:tr>
      <w:tr>
        <w:trPr/>
        <w:tc>
          <w:tcPr>
            <w:tcW w:w="4910" w:type="dxa"/>
            <w:tcBorders/>
            <w:shd w:fill="CCEEFF" w:val="cle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Accounts payable</w:t>
            </w:r>
          </w:p>
        </w:tc>
        <w:tc>
          <w:tcPr>
            <w:tcW w:w="60" w:type="dxa"/>
            <w:tcBorders/>
            <w:shd w:fill="CCEEFF" w:val="clear"/>
            <w:vAlign w:val="center"/>
          </w:tcPr>
          <w:p>
            <w:pPr>
              <w:pStyle w:val="TableContents"/>
              <w:bidi w:val="0"/>
              <w:spacing w:before="0" w:after="283"/>
              <w:jc w:val="left"/>
              <w:rPr/>
            </w:pPr>
            <w:r>
              <w:rPr/>
              <w:t> </w:t>
            </w:r>
          </w:p>
        </w:tc>
        <w:tc>
          <w:tcPr>
            <w:tcW w:w="208" w:type="dxa"/>
            <w:tcBorders/>
            <w:shd w:fill="CCEEFF" w:val="clear"/>
            <w:vAlign w:val="center"/>
          </w:tcPr>
          <w:p>
            <w:pPr>
              <w:pStyle w:val="TableContents"/>
              <w:bidi w:val="0"/>
              <w:spacing w:before="0" w:after="283"/>
              <w:jc w:val="left"/>
              <w:rPr/>
            </w:pPr>
            <w:r>
              <w:rPr/>
              <w:t> </w:t>
            </w:r>
          </w:p>
        </w:tc>
        <w:tc>
          <w:tcPr>
            <w:tcW w:w="1011"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(2,806</w:t>
            </w:r>
          </w:p>
        </w:tc>
        <w:tc>
          <w:tcPr>
            <w:tcW w:w="11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4910" w:type="dxa"/>
            <w:tcBorders/>
            <w:shd w:fill="FFFFFF" w:val="cle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Accrued expenses and other current liabilities</w:t>
            </w:r>
          </w:p>
        </w:tc>
        <w:tc>
          <w:tcPr>
            <w:tcW w:w="60" w:type="dxa"/>
            <w:tcBorders/>
            <w:shd w:fill="FFFFFF" w:val="clear"/>
            <w:vAlign w:val="center"/>
          </w:tcPr>
          <w:p>
            <w:pPr>
              <w:pStyle w:val="TableContents"/>
              <w:bidi w:val="0"/>
              <w:spacing w:before="0" w:after="283"/>
              <w:jc w:val="left"/>
              <w:rPr/>
            </w:pPr>
            <w:r>
              <w:rPr/>
              <w:t> </w:t>
            </w:r>
          </w:p>
        </w:tc>
        <w:tc>
          <w:tcPr>
            <w:tcW w:w="208" w:type="dxa"/>
            <w:tcBorders/>
            <w:shd w:fill="FFFFFF" w:val="clear"/>
            <w:vAlign w:val="center"/>
          </w:tcPr>
          <w:p>
            <w:pPr>
              <w:pStyle w:val="TableContents"/>
              <w:bidi w:val="0"/>
              <w:spacing w:before="0" w:after="283"/>
              <w:jc w:val="left"/>
              <w:rPr/>
            </w:pPr>
            <w:r>
              <w:rPr/>
              <w:t> </w:t>
            </w:r>
          </w:p>
        </w:tc>
        <w:tc>
          <w:tcPr>
            <w:tcW w:w="1011"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(2,917</w:t>
            </w:r>
          </w:p>
        </w:tc>
        <w:tc>
          <w:tcPr>
            <w:tcW w:w="11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4910" w:type="dxa"/>
            <w:tcBorders/>
            <w:shd w:fill="CCEEFF" w:val="cle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Contract liabilities</w:t>
            </w:r>
          </w:p>
        </w:tc>
        <w:tc>
          <w:tcPr>
            <w:tcW w:w="60" w:type="dxa"/>
            <w:tcBorders/>
            <w:shd w:fill="CCEEFF" w:val="clear"/>
            <w:vAlign w:val="center"/>
          </w:tcPr>
          <w:p>
            <w:pPr>
              <w:pStyle w:val="TableContents"/>
              <w:bidi w:val="0"/>
              <w:spacing w:before="0" w:after="283"/>
              <w:jc w:val="left"/>
              <w:rPr/>
            </w:pPr>
            <w:r>
              <w:rPr/>
              <w:t> </w:t>
            </w:r>
          </w:p>
        </w:tc>
        <w:tc>
          <w:tcPr>
            <w:tcW w:w="208" w:type="dxa"/>
            <w:tcBorders/>
            <w:shd w:fill="CCEEFF" w:val="clear"/>
            <w:vAlign w:val="center"/>
          </w:tcPr>
          <w:p>
            <w:pPr>
              <w:pStyle w:val="TableContents"/>
              <w:bidi w:val="0"/>
              <w:spacing w:before="0" w:after="283"/>
              <w:jc w:val="left"/>
              <w:rPr/>
            </w:pPr>
            <w:r>
              <w:rPr/>
              <w:t> </w:t>
            </w:r>
          </w:p>
        </w:tc>
        <w:tc>
          <w:tcPr>
            <w:tcW w:w="1011"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(1,675</w:t>
            </w:r>
          </w:p>
        </w:tc>
        <w:tc>
          <w:tcPr>
            <w:tcW w:w="11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4910" w:type="dxa"/>
            <w:tcBorders/>
            <w:shd w:fill="FFFFFF" w:val="cle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Operating lease liabilities, noncurrent</w:t>
            </w:r>
          </w:p>
        </w:tc>
        <w:tc>
          <w:tcPr>
            <w:tcW w:w="60" w:type="dxa"/>
            <w:tcBorders/>
            <w:shd w:fill="FFFFFF" w:val="clear"/>
            <w:vAlign w:val="center"/>
          </w:tcPr>
          <w:p>
            <w:pPr>
              <w:pStyle w:val="TableContents"/>
              <w:bidi w:val="0"/>
              <w:spacing w:before="0" w:after="283"/>
              <w:jc w:val="left"/>
              <w:rPr/>
            </w:pPr>
            <w:r>
              <w:rPr/>
              <w:t> </w:t>
            </w:r>
          </w:p>
        </w:tc>
        <w:tc>
          <w:tcPr>
            <w:tcW w:w="208" w:type="dxa"/>
            <w:tcBorders/>
            <w:shd w:fill="FFFFFF" w:val="clear"/>
            <w:vAlign w:val="center"/>
          </w:tcPr>
          <w:p>
            <w:pPr>
              <w:pStyle w:val="TableContents"/>
              <w:bidi w:val="0"/>
              <w:spacing w:before="0" w:after="283"/>
              <w:jc w:val="left"/>
              <w:rPr/>
            </w:pPr>
            <w:r>
              <w:rPr/>
              <w:t> </w:t>
            </w:r>
          </w:p>
        </w:tc>
        <w:tc>
          <w:tcPr>
            <w:tcW w:w="1011"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(2,702</w:t>
            </w:r>
          </w:p>
        </w:tc>
        <w:tc>
          <w:tcPr>
            <w:tcW w:w="11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4910" w:type="dxa"/>
            <w:tcBorders/>
            <w:shd w:fill="CCEEFF" w:val="cle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Finance lease liabilities</w:t>
            </w:r>
          </w:p>
        </w:tc>
        <w:tc>
          <w:tcPr>
            <w:tcW w:w="60" w:type="dxa"/>
            <w:tcBorders/>
            <w:shd w:fill="CCEEFF" w:val="clear"/>
            <w:vAlign w:val="center"/>
          </w:tcPr>
          <w:p>
            <w:pPr>
              <w:pStyle w:val="TableContents"/>
              <w:bidi w:val="0"/>
              <w:spacing w:before="0" w:after="283"/>
              <w:jc w:val="left"/>
              <w:rPr/>
            </w:pPr>
            <w:r>
              <w:rPr/>
              <w:t> </w:t>
            </w:r>
          </w:p>
        </w:tc>
        <w:tc>
          <w:tcPr>
            <w:tcW w:w="208"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11"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(1,269</w:t>
            </w:r>
          </w:p>
        </w:tc>
        <w:tc>
          <w:tcPr>
            <w:tcW w:w="11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4910" w:type="dxa"/>
            <w:tcBorders/>
            <w:shd w:fill="FFFFFF" w:val="cle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Fair value of net assets acquired</w:t>
            </w:r>
          </w:p>
        </w:tc>
        <w:tc>
          <w:tcPr>
            <w:tcW w:w="60" w:type="dxa"/>
            <w:tcBorders/>
            <w:shd w:fill="FFFFFF" w:val="clear"/>
            <w:vAlign w:val="center"/>
          </w:tcPr>
          <w:p>
            <w:pPr>
              <w:pStyle w:val="TableContents"/>
              <w:bidi w:val="0"/>
              <w:spacing w:before="0" w:after="283"/>
              <w:jc w:val="left"/>
              <w:rPr/>
            </w:pPr>
            <w:r>
              <w:rPr/>
              <w:t> </w:t>
            </w:r>
          </w:p>
        </w:tc>
        <w:tc>
          <w:tcPr>
            <w:tcW w:w="208"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011"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2,564</w:t>
            </w:r>
          </w:p>
        </w:tc>
        <w:tc>
          <w:tcPr>
            <w:tcW w:w="110" w:type="dxa"/>
            <w:tcBorders/>
            <w:shd w:fill="FFFFFF" w:val="clear"/>
            <w:vAlign w:val="center"/>
          </w:tcPr>
          <w:p>
            <w:pPr>
              <w:pStyle w:val="TableContents"/>
              <w:bidi w:val="0"/>
              <w:spacing w:before="0" w:after="283"/>
              <w:jc w:val="left"/>
              <w:rPr/>
            </w:pPr>
            <w:r>
              <w:rPr/>
              <w:t> </w:t>
            </w:r>
          </w:p>
        </w:tc>
      </w:tr>
      <w:tr>
        <w:trPr/>
        <w:tc>
          <w:tcPr>
            <w:tcW w:w="4910" w:type="dxa"/>
            <w:tcBorders/>
            <w:shd w:fill="CCEEFF" w:val="cle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Fair value of common stock issued</w:t>
            </w:r>
          </w:p>
        </w:tc>
        <w:tc>
          <w:tcPr>
            <w:tcW w:w="60" w:type="dxa"/>
            <w:tcBorders/>
            <w:shd w:fill="CCEEFF" w:val="clear"/>
            <w:vAlign w:val="center"/>
          </w:tcPr>
          <w:p>
            <w:pPr>
              <w:pStyle w:val="TableContents"/>
              <w:bidi w:val="0"/>
              <w:spacing w:before="0" w:after="283"/>
              <w:jc w:val="left"/>
              <w:rPr/>
            </w:pPr>
            <w:r>
              <w:rPr/>
              <w:t> </w:t>
            </w:r>
          </w:p>
        </w:tc>
        <w:tc>
          <w:tcPr>
            <w:tcW w:w="208" w:type="dxa"/>
            <w:tcBorders/>
            <w:shd w:fill="CCEEFF" w:val="clear"/>
            <w:vAlign w:val="center"/>
          </w:tcPr>
          <w:p>
            <w:pPr>
              <w:pStyle w:val="TableContents"/>
              <w:bidi w:val="0"/>
              <w:spacing w:before="0" w:after="283"/>
              <w:jc w:val="left"/>
              <w:rPr/>
            </w:pPr>
            <w:r>
              <w:rPr/>
              <w:t> </w:t>
            </w:r>
          </w:p>
        </w:tc>
        <w:tc>
          <w:tcPr>
            <w:tcW w:w="1011"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16,493</w:t>
            </w:r>
          </w:p>
        </w:tc>
        <w:tc>
          <w:tcPr>
            <w:tcW w:w="110" w:type="dxa"/>
            <w:tcBorders/>
            <w:shd w:fill="CCEEFF" w:val="clear"/>
            <w:vAlign w:val="center"/>
          </w:tcPr>
          <w:p>
            <w:pPr>
              <w:pStyle w:val="TableContents"/>
              <w:bidi w:val="0"/>
              <w:spacing w:before="0" w:after="283"/>
              <w:ind w:left="0" w:right="0" w:hanging="180"/>
              <w:jc w:val="left"/>
              <w:rPr/>
            </w:pPr>
            <w:r>
              <w:rPr/>
              <w:t> </w:t>
            </w:r>
          </w:p>
        </w:tc>
      </w:tr>
      <w:tr>
        <w:trPr/>
        <w:tc>
          <w:tcPr>
            <w:tcW w:w="4910" w:type="dxa"/>
            <w:tcBorders/>
            <w:shd w:fill="FFFFFF" w:val="cle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Fair value of Deferred Ambia Consideration Shares</w:t>
            </w:r>
          </w:p>
        </w:tc>
        <w:tc>
          <w:tcPr>
            <w:tcW w:w="60" w:type="dxa"/>
            <w:tcBorders/>
            <w:shd w:fill="FFFFFF" w:val="clear"/>
            <w:vAlign w:val="center"/>
          </w:tcPr>
          <w:p>
            <w:pPr>
              <w:pStyle w:val="TableContents"/>
              <w:bidi w:val="0"/>
              <w:spacing w:before="0" w:after="283"/>
              <w:jc w:val="left"/>
              <w:rPr/>
            </w:pPr>
            <w:r>
              <w:rPr/>
              <w:t> </w:t>
            </w:r>
          </w:p>
        </w:tc>
        <w:tc>
          <w:tcPr>
            <w:tcW w:w="208"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011"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16,879</w:t>
            </w:r>
          </w:p>
        </w:tc>
        <w:tc>
          <w:tcPr>
            <w:tcW w:w="110" w:type="dxa"/>
            <w:tcBorders/>
            <w:shd w:fill="FFFFFF" w:val="clear"/>
            <w:vAlign w:val="center"/>
          </w:tcPr>
          <w:p>
            <w:pPr>
              <w:pStyle w:val="TableContents"/>
              <w:bidi w:val="0"/>
              <w:spacing w:before="0" w:after="283"/>
              <w:jc w:val="left"/>
              <w:rPr/>
            </w:pPr>
            <w:r>
              <w:rPr/>
              <w:t> </w:t>
            </w:r>
          </w:p>
        </w:tc>
      </w:tr>
      <w:tr>
        <w:trPr/>
        <w:tc>
          <w:tcPr>
            <w:tcW w:w="4910" w:type="dxa"/>
            <w:tcBorders/>
            <w:shd w:fill="CCEEFF" w:val="cle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Consideration transferred</w:t>
            </w:r>
          </w:p>
        </w:tc>
        <w:tc>
          <w:tcPr>
            <w:tcW w:w="60" w:type="dxa"/>
            <w:tcBorders/>
            <w:shd w:fill="CCEEFF" w:val="clear"/>
            <w:vAlign w:val="center"/>
          </w:tcPr>
          <w:p>
            <w:pPr>
              <w:pStyle w:val="TableContents"/>
              <w:bidi w:val="0"/>
              <w:spacing w:before="0" w:after="283"/>
              <w:jc w:val="left"/>
              <w:rPr/>
            </w:pPr>
            <w:r>
              <w:rPr/>
              <w:t> </w:t>
            </w:r>
          </w:p>
        </w:tc>
        <w:tc>
          <w:tcPr>
            <w:tcW w:w="208"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11"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33,372</w:t>
            </w:r>
          </w:p>
        </w:tc>
        <w:tc>
          <w:tcPr>
            <w:tcW w:w="110" w:type="dxa"/>
            <w:tcBorders/>
            <w:shd w:fill="CCEEFF" w:val="clear"/>
            <w:vAlign w:val="center"/>
          </w:tcPr>
          <w:p>
            <w:pPr>
              <w:pStyle w:val="TableContents"/>
              <w:bidi w:val="0"/>
              <w:spacing w:before="0" w:after="283"/>
              <w:jc w:val="left"/>
              <w:rPr/>
            </w:pPr>
            <w:r>
              <w:rPr/>
              <w:t> </w:t>
            </w:r>
          </w:p>
        </w:tc>
      </w:tr>
      <w:tr>
        <w:trPr/>
        <w:tc>
          <w:tcPr>
            <w:tcW w:w="4910" w:type="dxa"/>
            <w:tcBorders/>
            <w:shd w:fill="FFFFFF" w:val="cle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Goodwill recognized</w:t>
            </w:r>
          </w:p>
        </w:tc>
        <w:tc>
          <w:tcPr>
            <w:tcW w:w="60" w:type="dxa"/>
            <w:tcBorders/>
            <w:shd w:fill="FFFFFF" w:val="clear"/>
            <w:vAlign w:val="center"/>
          </w:tcPr>
          <w:p>
            <w:pPr>
              <w:pStyle w:val="TableContents"/>
              <w:bidi w:val="0"/>
              <w:spacing w:before="0" w:after="283"/>
              <w:jc w:val="left"/>
              <w:rPr/>
            </w:pPr>
            <w:r>
              <w:rPr/>
              <w:t> </w:t>
            </w:r>
          </w:p>
        </w:tc>
        <w:tc>
          <w:tcPr>
            <w:tcW w:w="208" w:type="dxa"/>
            <w:tcBorders>
              <w:bottom w:val="double" w:sz="10"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011" w:type="dxa"/>
            <w:tcBorders>
              <w:bottom w:val="double" w:sz="10"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30,808</w:t>
            </w:r>
          </w:p>
        </w:tc>
        <w:tc>
          <w:tcPr>
            <w:tcW w:w="11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the Ambia Closing, the intangible assets acquired and estimated useful lives were as follows:</w:t>
      </w:r>
    </w:p>
    <w:p>
      <w:pPr>
        <w:pStyle w:val="TextBody"/>
        <w:bidi w:val="0"/>
        <w:spacing w:before="0" w:after="0"/>
        <w:ind w:left="0" w:right="0" w:hanging="0"/>
        <w:jc w:val="both"/>
        <w:rPr>
          <w:caps w:val="false"/>
          <w:smallCaps w:val="false"/>
        </w:rPr>
      </w:pPr>
      <w:r>
        <w:rPr>
          <w:caps w:val="false"/>
          <w:smallCaps w:val="false"/>
        </w:rPr>
        <w:t> </w:t>
      </w:r>
    </w:p>
    <w:tbl>
      <w:tblPr>
        <w:tblW w:w="5655" w:type="dxa"/>
        <w:jc w:val="left"/>
        <w:tblInd w:w="0" w:type="dxa"/>
        <w:tblLayout w:type="fixed"/>
        <w:tblCellMar>
          <w:top w:w="0" w:type="dxa"/>
          <w:left w:w="0" w:type="dxa"/>
          <w:bottom w:w="0" w:type="dxa"/>
          <w:right w:w="0" w:type="dxa"/>
        </w:tblCellMar>
      </w:tblPr>
      <w:tblGrid>
        <w:gridCol w:w="3200"/>
        <w:gridCol w:w="60"/>
        <w:gridCol w:w="1040"/>
        <w:gridCol w:w="60"/>
        <w:gridCol w:w="244"/>
        <w:gridCol w:w="976"/>
        <w:gridCol w:w="75"/>
      </w:tblGrid>
      <w:tr>
        <w:trPr/>
        <w:tc>
          <w:tcPr>
            <w:tcW w:w="3200"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p>
        </w:tc>
        <w:tc>
          <w:tcPr>
            <w:tcW w:w="1040" w:type="dxa"/>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Estimated</w:t>
              <w:br/>
              <w:t>useful life</w:t>
            </w:r>
          </w:p>
        </w:tc>
        <w:tc>
          <w:tcPr>
            <w:tcW w:w="60" w:type="dxa"/>
            <w:tcBorders/>
            <w:vAlign w:val="center"/>
          </w:tcPr>
          <w:p>
            <w:pPr>
              <w:pStyle w:val="TableContents"/>
              <w:bidi w:val="0"/>
              <w:spacing w:before="0" w:after="283"/>
              <w:jc w:val="left"/>
              <w:rPr/>
            </w:pPr>
            <w:r>
              <w:rPr/>
              <w:t> </w:t>
            </w:r>
          </w:p>
        </w:tc>
        <w:tc>
          <w:tcPr>
            <w:tcW w:w="1220"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 xml:space="preserve">Provisional </w:t>
              <w:br/>
              <w:t>Fair values</w:t>
              <w:br/>
              <w:t>as of the</w:t>
              <w:br/>
              <w:t>Ambia</w:t>
              <w:br/>
              <w:t>Closing</w:t>
            </w:r>
          </w:p>
        </w:tc>
        <w:tc>
          <w:tcPr>
            <w:tcW w:w="75" w:type="dxa"/>
            <w:tcBorders/>
            <w:vAlign w:val="center"/>
          </w:tcPr>
          <w:p>
            <w:pPr>
              <w:pStyle w:val="TableContents"/>
              <w:bidi w:val="0"/>
              <w:spacing w:before="0" w:after="283"/>
              <w:jc w:val="left"/>
              <w:rPr/>
            </w:pPr>
            <w:r>
              <w:rPr/>
              <w:t> </w:t>
            </w:r>
          </w:p>
        </w:tc>
      </w:tr>
      <w:tr>
        <w:trPr/>
        <w:tc>
          <w:tcPr>
            <w:tcW w:w="3200" w:type="dxa"/>
            <w:tcBorders/>
            <w:shd w:fill="CCEEFF" w:val="cle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Customer relationships (Backlog)</w:t>
            </w:r>
          </w:p>
        </w:tc>
        <w:tc>
          <w:tcPr>
            <w:tcW w:w="60" w:type="dxa"/>
            <w:tcBorders/>
            <w:shd w:fill="CCEEFF" w:val="clear"/>
            <w:vAlign w:val="center"/>
          </w:tcPr>
          <w:p>
            <w:pPr>
              <w:pStyle w:val="TableContents"/>
              <w:bidi w:val="0"/>
              <w:spacing w:before="0" w:after="283"/>
              <w:jc w:val="left"/>
              <w:rPr/>
            </w:pPr>
            <w:r>
              <w:rPr/>
              <w:t> </w:t>
            </w:r>
          </w:p>
        </w:tc>
        <w:tc>
          <w:tcPr>
            <w:tcW w:w="1040"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 xml:space="preserve">1 year </w:t>
            </w:r>
            <w:r>
              <w:rPr>
                <w:rFonts w:ascii="Times New Roman;Times;Serif" w:hAnsi="Times New Roman;Times;Serif"/>
                <w:position w:val="7"/>
                <w:sz w:val="16"/>
                <w:sz w:val="20"/>
              </w:rPr>
              <w:t>(1)</w:t>
            </w:r>
          </w:p>
        </w:tc>
        <w:tc>
          <w:tcPr>
            <w:tcW w:w="60" w:type="dxa"/>
            <w:tcBorders/>
            <w:shd w:fill="CCEEFF" w:val="clear"/>
            <w:vAlign w:val="center"/>
          </w:tcPr>
          <w:p>
            <w:pPr>
              <w:pStyle w:val="TableContents"/>
              <w:bidi w:val="0"/>
              <w:spacing w:before="0" w:after="283"/>
              <w:jc w:val="left"/>
              <w:rPr/>
            </w:pPr>
            <w:r>
              <w:rPr/>
              <w:t> </w:t>
            </w:r>
          </w:p>
        </w:tc>
        <w:tc>
          <w:tcPr>
            <w:tcW w:w="244"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76"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3,400</w:t>
            </w:r>
          </w:p>
        </w:tc>
        <w:tc>
          <w:tcPr>
            <w:tcW w:w="75" w:type="dxa"/>
            <w:tcBorders/>
            <w:shd w:fill="CCEEFF" w:val="clear"/>
            <w:vAlign w:val="center"/>
          </w:tcPr>
          <w:p>
            <w:pPr>
              <w:pStyle w:val="TableContents"/>
              <w:bidi w:val="0"/>
              <w:spacing w:before="0" w:after="283"/>
              <w:jc w:val="left"/>
              <w:rPr/>
            </w:pPr>
            <w:r>
              <w:rPr/>
              <w:t> </w:t>
            </w:r>
          </w:p>
        </w:tc>
      </w:tr>
      <w:tr>
        <w:trPr/>
        <w:tc>
          <w:tcPr>
            <w:tcW w:w="3200" w:type="dxa"/>
            <w:tcBorders/>
            <w:shd w:fill="FFFFFF" w:val="cle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Trademarks - Ambia</w:t>
            </w:r>
          </w:p>
        </w:tc>
        <w:tc>
          <w:tcPr>
            <w:tcW w:w="60" w:type="dxa"/>
            <w:tcBorders/>
            <w:shd w:fill="FFFFFF" w:val="clear"/>
            <w:vAlign w:val="center"/>
          </w:tcPr>
          <w:p>
            <w:pPr>
              <w:pStyle w:val="TableContents"/>
              <w:bidi w:val="0"/>
              <w:spacing w:before="0" w:after="283"/>
              <w:jc w:val="left"/>
              <w:rPr/>
            </w:pPr>
            <w:r>
              <w:rPr/>
              <w:t> </w:t>
            </w:r>
          </w:p>
        </w:tc>
        <w:tc>
          <w:tcPr>
            <w:tcW w:w="1040" w:type="dxa"/>
            <w:tcBorders/>
            <w:shd w:fill="FFFFFF" w:val="cle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1 year</w:t>
            </w:r>
          </w:p>
        </w:tc>
        <w:tc>
          <w:tcPr>
            <w:tcW w:w="60" w:type="dxa"/>
            <w:tcBorders/>
            <w:shd w:fill="FFFFFF" w:val="clear"/>
            <w:vAlign w:val="center"/>
          </w:tcPr>
          <w:p>
            <w:pPr>
              <w:pStyle w:val="TableContents"/>
              <w:bidi w:val="0"/>
              <w:spacing w:before="0" w:after="283"/>
              <w:jc w:val="left"/>
              <w:rPr/>
            </w:pPr>
            <w:r>
              <w:rPr/>
              <w:t> </w:t>
            </w:r>
          </w:p>
        </w:tc>
        <w:tc>
          <w:tcPr>
            <w:tcW w:w="244"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976"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900</w:t>
            </w:r>
          </w:p>
        </w:tc>
        <w:tc>
          <w:tcPr>
            <w:tcW w:w="75" w:type="dxa"/>
            <w:tcBorders/>
            <w:shd w:fill="FFFFFF" w:val="clear"/>
            <w:vAlign w:val="center"/>
          </w:tcPr>
          <w:p>
            <w:pPr>
              <w:pStyle w:val="TableContents"/>
              <w:bidi w:val="0"/>
              <w:spacing w:before="0" w:after="283"/>
              <w:jc w:val="left"/>
              <w:rPr/>
            </w:pPr>
            <w:r>
              <w:rPr/>
              <w:t> </w:t>
            </w:r>
          </w:p>
        </w:tc>
      </w:tr>
      <w:tr>
        <w:trPr/>
        <w:tc>
          <w:tcPr>
            <w:tcW w:w="320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Total</w:t>
            </w:r>
          </w:p>
        </w:tc>
        <w:tc>
          <w:tcPr>
            <w:tcW w:w="60" w:type="dxa"/>
            <w:tcBorders/>
            <w:shd w:fill="CCEEFF" w:val="clear"/>
            <w:vAlign w:val="center"/>
          </w:tcPr>
          <w:p>
            <w:pPr>
              <w:pStyle w:val="TableContents"/>
              <w:bidi w:val="0"/>
              <w:spacing w:before="0" w:after="283"/>
              <w:jc w:val="left"/>
              <w:rPr/>
            </w:pPr>
            <w:r>
              <w:rPr/>
              <w:t> </w:t>
            </w:r>
          </w:p>
        </w:tc>
        <w:tc>
          <w:tcPr>
            <w:tcW w:w="104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244" w:type="dxa"/>
            <w:tcBorders>
              <w:bottom w:val="double" w:sz="10"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76" w:type="dxa"/>
            <w:tcBorders>
              <w:bottom w:val="double" w:sz="10"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4,300</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tbl>
      <w:tblPr>
        <w:tblW w:w="8268" w:type="dxa"/>
        <w:jc w:val="left"/>
        <w:tblInd w:w="0" w:type="dxa"/>
        <w:tblLayout w:type="fixed"/>
        <w:tblCellMar>
          <w:top w:w="0" w:type="dxa"/>
          <w:left w:w="0" w:type="dxa"/>
          <w:bottom w:w="0" w:type="dxa"/>
          <w:right w:w="0" w:type="dxa"/>
        </w:tblCellMar>
      </w:tblPr>
      <w:tblGrid>
        <w:gridCol w:w="38"/>
        <w:gridCol w:w="290"/>
        <w:gridCol w:w="7940"/>
      </w:tblGrid>
      <w:tr>
        <w:trPr/>
        <w:tc>
          <w:tcPr>
            <w:tcW w:w="38"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(1)</w:t>
            </w:r>
          </w:p>
        </w:tc>
        <w:tc>
          <w:tcPr>
            <w:tcW w:w="7940"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Useful life is based upon customer consumption, expected to occur within one year.</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Trademarks were derived using the relief from royalty method based upon the following key assumptions; (i) all sales based upon the business enterprise value; (ii) a royalty rate of 1% based upon profit split analysis and comparable licensing royalty agreements; and (iii) an economic life of the Ambia name through the end of 2026, wherein the Ambia name will only be used in certain small markets and that all sales, marketing and branding will be done under the SunPower brand name in relatively short order.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Customer relationships (backlog) was derived using the excess earnings method based upon the following key assumptions: (i) backlog meets the appropriate contractual criteria; (ii) sales were based upon the backlog of sales; (iii) expenses were based upon a percentage of sales with an adjustment for sales and marketing expenses, upon which management estimates that 100% of Ambia’s sales and marketing expenses are directed at acquiring new customers and are not required to support the backlog; (iv) charges were taken for the use of working capital, fixed assets, workforce and trademarks; and (v) the economic life of the backlog is to the end of fiscal 2026 based upon management’s estimate of average deal length.</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Goodwill represents the excess of the preliminary estimated consideration transferred over the fair value of the net tangible and intangible assets acquired that is associated with the excess cash flows that the acquisition is expected to generate in the future. The goodwill is tax deductible.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12" w:space="1" w:color="000000"/>
        </w:rPr>
      </w:pPr>
      <w:r>
        <w:rPr>
          <w:sz w:val="20"/>
          <w:bdr w:val="single" w:sz="12" w:space="1" w:color="000000"/>
        </w:rPr>
        <w:t>F-17</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Unaudited Pro Forma Financial Information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unaudited pro forma financial information represents the consolidated financial statements of the Company for the thirteen week periods presented, as if Sunder and Ambia were acquired on January 1, 2024 and Cobalt was acquired on December 30, 2024.</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unaudited pro forma combined financial information does not give effect to any cost savings, operating synergies or revenue synergies that may result from the acquisitions. The pro forma results do not necessarily reflect the actual results of operations of the combined business </w:t>
      </w:r>
      <w:r>
        <w:rPr>
          <w:rFonts w:ascii="Times New Roman;Times;Serif" w:hAnsi="Times New Roman;Times;Serif"/>
          <w:b w:val="false"/>
          <w:i/>
          <w:caps w:val="false"/>
          <w:smallCaps w:val="false"/>
          <w:sz w:val="20"/>
        </w:rPr>
        <w:t>(in thousands)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tbl>
      <w:tblPr>
        <w:tblW w:w="6013" w:type="dxa"/>
        <w:jc w:val="left"/>
        <w:tblInd w:w="0" w:type="dxa"/>
        <w:tblLayout w:type="fixed"/>
        <w:tblCellMar>
          <w:top w:w="0" w:type="dxa"/>
          <w:left w:w="0" w:type="dxa"/>
          <w:bottom w:w="0" w:type="dxa"/>
          <w:right w:w="0" w:type="dxa"/>
        </w:tblCellMar>
      </w:tblPr>
      <w:tblGrid>
        <w:gridCol w:w="3620"/>
        <w:gridCol w:w="60"/>
        <w:gridCol w:w="159"/>
        <w:gridCol w:w="910"/>
        <w:gridCol w:w="60"/>
        <w:gridCol w:w="60"/>
        <w:gridCol w:w="159"/>
        <w:gridCol w:w="910"/>
        <w:gridCol w:w="75"/>
      </w:tblGrid>
      <w:tr>
        <w:trPr/>
        <w:tc>
          <w:tcPr>
            <w:tcW w:w="362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2258" w:type="dxa"/>
            <w:gridSpan w:val="6"/>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Unaudited</w:t>
            </w:r>
          </w:p>
        </w:tc>
        <w:tc>
          <w:tcPr>
            <w:tcW w:w="75" w:type="dxa"/>
            <w:tcBorders/>
            <w:vAlign w:val="center"/>
          </w:tcPr>
          <w:p>
            <w:pPr>
              <w:pStyle w:val="TableContents"/>
              <w:bidi w:val="0"/>
              <w:spacing w:before="0" w:after="283"/>
              <w:jc w:val="center"/>
              <w:rPr/>
            </w:pPr>
            <w:r>
              <w:rPr/>
              <w:t> </w:t>
            </w:r>
          </w:p>
        </w:tc>
      </w:tr>
      <w:tr>
        <w:trPr/>
        <w:tc>
          <w:tcPr>
            <w:tcW w:w="362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2258" w:type="dxa"/>
            <w:gridSpan w:val="6"/>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 xml:space="preserve">Thirteen Weeks </w:t>
              <w:br/>
              <w:t>Ended</w:t>
            </w:r>
          </w:p>
        </w:tc>
        <w:tc>
          <w:tcPr>
            <w:tcW w:w="75" w:type="dxa"/>
            <w:tcBorders/>
            <w:vAlign w:val="center"/>
          </w:tcPr>
          <w:p>
            <w:pPr>
              <w:pStyle w:val="TableContents"/>
              <w:bidi w:val="0"/>
              <w:spacing w:before="0" w:after="283"/>
              <w:jc w:val="center"/>
              <w:rPr/>
            </w:pPr>
            <w:r>
              <w:rPr/>
              <w:t> </w:t>
            </w:r>
          </w:p>
        </w:tc>
      </w:tr>
      <w:tr>
        <w:trPr/>
        <w:tc>
          <w:tcPr>
            <w:tcW w:w="362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069" w:type="dxa"/>
            <w:gridSpan w:val="2"/>
            <w:tcBorders/>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March 29,</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069" w:type="dxa"/>
            <w:gridSpan w:val="2"/>
            <w:tcBorders/>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March 30,</w:t>
            </w:r>
          </w:p>
        </w:tc>
        <w:tc>
          <w:tcPr>
            <w:tcW w:w="75" w:type="dxa"/>
            <w:tcBorders/>
            <w:vAlign w:val="center"/>
          </w:tcPr>
          <w:p>
            <w:pPr>
              <w:pStyle w:val="TableContents"/>
              <w:bidi w:val="0"/>
              <w:spacing w:before="0" w:after="283"/>
              <w:jc w:val="center"/>
              <w:rPr/>
            </w:pPr>
            <w:r>
              <w:rPr/>
              <w:t> </w:t>
            </w:r>
          </w:p>
        </w:tc>
      </w:tr>
      <w:tr>
        <w:trPr/>
        <w:tc>
          <w:tcPr>
            <w:tcW w:w="362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069"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2026</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069"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2025</w:t>
            </w:r>
          </w:p>
        </w:tc>
        <w:tc>
          <w:tcPr>
            <w:tcW w:w="75" w:type="dxa"/>
            <w:tcBorders/>
            <w:vAlign w:val="center"/>
          </w:tcPr>
          <w:p>
            <w:pPr>
              <w:pStyle w:val="TableContents"/>
              <w:bidi w:val="0"/>
              <w:spacing w:before="0" w:after="283"/>
              <w:jc w:val="center"/>
              <w:rPr/>
            </w:pPr>
            <w:r>
              <w:rPr/>
              <w:t> </w:t>
            </w:r>
          </w:p>
        </w:tc>
      </w:tr>
      <w:tr>
        <w:trPr/>
        <w:tc>
          <w:tcPr>
            <w:tcW w:w="36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69"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69" w:type="dxa"/>
            <w:gridSpan w:val="2"/>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362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Pro forma revenue</w:t>
            </w:r>
          </w:p>
        </w:tc>
        <w:tc>
          <w:tcPr>
            <w:tcW w:w="60" w:type="dxa"/>
            <w:tcBorders/>
            <w:shd w:fill="CCEEFF" w:val="clear"/>
            <w:vAlign w:val="center"/>
          </w:tcPr>
          <w:p>
            <w:pPr>
              <w:pStyle w:val="TableContents"/>
              <w:bidi w:val="0"/>
              <w:spacing w:before="0" w:after="283"/>
              <w:jc w:val="left"/>
              <w:rPr/>
            </w:pPr>
            <w:r>
              <w:rPr/>
              <w:t> </w:t>
            </w:r>
          </w:p>
        </w:tc>
        <w:tc>
          <w:tcPr>
            <w:tcW w:w="159"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1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114,579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9"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1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101,190</w:t>
            </w:r>
          </w:p>
        </w:tc>
        <w:tc>
          <w:tcPr>
            <w:tcW w:w="75" w:type="dxa"/>
            <w:tcBorders/>
            <w:shd w:fill="CCEEFF" w:val="clear"/>
            <w:vAlign w:val="center"/>
          </w:tcPr>
          <w:p>
            <w:pPr>
              <w:pStyle w:val="TableContents"/>
              <w:bidi w:val="0"/>
              <w:spacing w:before="0" w:after="283"/>
              <w:jc w:val="left"/>
              <w:rPr/>
            </w:pPr>
            <w:r>
              <w:rPr/>
              <w:t> </w:t>
            </w:r>
          </w:p>
        </w:tc>
      </w:tr>
      <w:tr>
        <w:trPr/>
        <w:tc>
          <w:tcPr>
            <w:tcW w:w="362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Pro forma net income from operations</w:t>
            </w:r>
          </w:p>
        </w:tc>
        <w:tc>
          <w:tcPr>
            <w:tcW w:w="60" w:type="dxa"/>
            <w:tcBorders/>
            <w:shd w:fill="FFFFFF" w:val="clear"/>
            <w:vAlign w:val="center"/>
          </w:tcPr>
          <w:p>
            <w:pPr>
              <w:pStyle w:val="TableContents"/>
              <w:bidi w:val="0"/>
              <w:spacing w:before="0" w:after="283"/>
              <w:jc w:val="left"/>
              <w:rPr/>
            </w:pPr>
            <w:r>
              <w:rPr/>
              <w:t> </w:t>
            </w:r>
          </w:p>
        </w:tc>
        <w:tc>
          <w:tcPr>
            <w:tcW w:w="159" w:type="dxa"/>
            <w:tcBorders/>
            <w:shd w:fill="FFFFFF" w:val="clear"/>
            <w:vAlign w:val="center"/>
          </w:tcPr>
          <w:p>
            <w:pPr>
              <w:pStyle w:val="TableContents"/>
              <w:bidi w:val="0"/>
              <w:spacing w:before="0" w:after="283"/>
              <w:jc w:val="left"/>
              <w:rPr/>
            </w:pPr>
            <w:r>
              <w:rPr/>
              <w:t> </w:t>
            </w:r>
          </w:p>
        </w:tc>
        <w:tc>
          <w:tcPr>
            <w:tcW w:w="91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1,725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9" w:type="dxa"/>
            <w:tcBorders/>
            <w:shd w:fill="FFFFFF" w:val="clear"/>
            <w:vAlign w:val="center"/>
          </w:tcPr>
          <w:p>
            <w:pPr>
              <w:pStyle w:val="TableContents"/>
              <w:bidi w:val="0"/>
              <w:spacing w:before="0" w:after="283"/>
              <w:jc w:val="left"/>
              <w:rPr/>
            </w:pPr>
            <w:r>
              <w:rPr/>
              <w:t> </w:t>
            </w:r>
          </w:p>
        </w:tc>
        <w:tc>
          <w:tcPr>
            <w:tcW w:w="91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187</w:t>
            </w:r>
          </w:p>
        </w:tc>
        <w:tc>
          <w:tcPr>
            <w:tcW w:w="75"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(4) Revenue Recognition and Contract Balances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Disaggregation of revenue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Refer to the table below for the Company’s revenue recognized </w:t>
      </w:r>
      <w:r>
        <w:rPr>
          <w:rFonts w:ascii="Times New Roman;Times;Serif" w:hAnsi="Times New Roman;Times;Serif"/>
          <w:b w:val="false"/>
          <w:i/>
          <w:caps w:val="false"/>
          <w:smallCaps w:val="false"/>
          <w:sz w:val="20"/>
        </w:rPr>
        <w:t>(in thousands)</w:t>
      </w:r>
      <w:r>
        <w:rPr>
          <w:rFonts w:ascii="Times New Roman;Times;Serif" w:hAnsi="Times New Roman;Times;Serif"/>
          <w:b w:val="false"/>
          <w:i w:val="false"/>
          <w:caps w:val="false"/>
          <w:smallCaps w:val="false"/>
          <w:sz w:val="20"/>
        </w:rPr>
        <w:t>: </w:t>
      </w:r>
    </w:p>
    <w:p>
      <w:pPr>
        <w:pStyle w:val="TextBody"/>
        <w:bidi w:val="0"/>
        <w:spacing w:before="0" w:after="0"/>
        <w:ind w:left="0" w:right="0" w:hanging="0"/>
        <w:jc w:val="both"/>
        <w:rPr>
          <w:caps w:val="false"/>
          <w:smallCaps w:val="false"/>
        </w:rPr>
      </w:pPr>
      <w:r>
        <w:rPr>
          <w:caps w:val="false"/>
          <w:smallCaps w:val="false"/>
        </w:rPr>
        <w:t> </w:t>
      </w:r>
    </w:p>
    <w:tbl>
      <w:tblPr>
        <w:tblW w:w="6463" w:type="dxa"/>
        <w:jc w:val="left"/>
        <w:tblInd w:w="0" w:type="dxa"/>
        <w:tblLayout w:type="fixed"/>
        <w:tblCellMar>
          <w:top w:w="0" w:type="dxa"/>
          <w:left w:w="0" w:type="dxa"/>
          <w:bottom w:w="0" w:type="dxa"/>
          <w:right w:w="0" w:type="dxa"/>
        </w:tblCellMar>
      </w:tblPr>
      <w:tblGrid>
        <w:gridCol w:w="4070"/>
        <w:gridCol w:w="60"/>
        <w:gridCol w:w="182"/>
        <w:gridCol w:w="887"/>
        <w:gridCol w:w="60"/>
        <w:gridCol w:w="60"/>
        <w:gridCol w:w="182"/>
        <w:gridCol w:w="887"/>
        <w:gridCol w:w="75"/>
      </w:tblGrid>
      <w:tr>
        <w:trPr/>
        <w:tc>
          <w:tcPr>
            <w:tcW w:w="407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2258" w:type="dxa"/>
            <w:gridSpan w:val="6"/>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 xml:space="preserve">Thirteen Weeks </w:t>
              <w:br/>
              <w:t>Ended</w:t>
            </w:r>
          </w:p>
        </w:tc>
        <w:tc>
          <w:tcPr>
            <w:tcW w:w="75" w:type="dxa"/>
            <w:tcBorders/>
            <w:vAlign w:val="center"/>
          </w:tcPr>
          <w:p>
            <w:pPr>
              <w:pStyle w:val="TableContents"/>
              <w:bidi w:val="0"/>
              <w:spacing w:before="0" w:after="283"/>
              <w:jc w:val="left"/>
              <w:rPr/>
            </w:pPr>
            <w:r>
              <w:rPr/>
              <w:t> </w:t>
            </w:r>
          </w:p>
        </w:tc>
      </w:tr>
      <w:tr>
        <w:trPr/>
        <w:tc>
          <w:tcPr>
            <w:tcW w:w="407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069"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March 29,</w:t>
              <w:br/>
              <w:t>2026</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69"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March 30,</w:t>
              <w:br/>
              <w:t>2025</w:t>
            </w:r>
          </w:p>
        </w:tc>
        <w:tc>
          <w:tcPr>
            <w:tcW w:w="75" w:type="dxa"/>
            <w:tcBorders/>
            <w:vAlign w:val="center"/>
          </w:tcPr>
          <w:p>
            <w:pPr>
              <w:pStyle w:val="TableContents"/>
              <w:bidi w:val="0"/>
              <w:spacing w:before="0" w:after="283"/>
              <w:jc w:val="left"/>
              <w:rPr/>
            </w:pPr>
            <w:r>
              <w:rPr/>
              <w:t> </w:t>
            </w:r>
          </w:p>
        </w:tc>
      </w:tr>
      <w:tr>
        <w:trPr/>
        <w:tc>
          <w:tcPr>
            <w:tcW w:w="407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Residential Solar Installation</w:t>
            </w:r>
          </w:p>
        </w:tc>
        <w:tc>
          <w:tcPr>
            <w:tcW w:w="60" w:type="dxa"/>
            <w:tcBorders/>
            <w:vAlign w:val="center"/>
          </w:tcPr>
          <w:p>
            <w:pPr>
              <w:pStyle w:val="TableContents"/>
              <w:bidi w:val="0"/>
              <w:spacing w:before="0" w:after="283"/>
              <w:jc w:val="left"/>
              <w:rPr/>
            </w:pPr>
            <w:r>
              <w:rPr/>
              <w:t> </w:t>
            </w:r>
          </w:p>
        </w:tc>
        <w:tc>
          <w:tcPr>
            <w:tcW w:w="1069" w:type="dxa"/>
            <w:gridSpan w:val="2"/>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69" w:type="dxa"/>
            <w:gridSpan w:val="2"/>
            <w:tcBorders/>
            <w:vAlign w:val="center"/>
          </w:tcPr>
          <w:p>
            <w:pPr>
              <w:pStyle w:val="TableContents"/>
              <w:bidi w:val="0"/>
              <w:spacing w:before="0" w:after="283"/>
              <w:jc w:val="right"/>
              <w:rPr/>
            </w:pPr>
            <w:r>
              <w:rPr/>
              <w:t> </w:t>
            </w:r>
          </w:p>
        </w:tc>
        <w:tc>
          <w:tcPr>
            <w:tcW w:w="75" w:type="dxa"/>
            <w:tcBorders/>
            <w:vAlign w:val="center"/>
          </w:tcPr>
          <w:p>
            <w:pPr>
              <w:pStyle w:val="TableContents"/>
              <w:bidi w:val="0"/>
              <w:spacing w:before="0" w:after="283"/>
              <w:jc w:val="left"/>
              <w:rPr/>
            </w:pPr>
            <w:r>
              <w:rPr/>
              <w:t> </w:t>
            </w:r>
          </w:p>
        </w:tc>
      </w:tr>
      <w:tr>
        <w:trPr/>
        <w:tc>
          <w:tcPr>
            <w:tcW w:w="407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Revenue recognized over time</w:t>
            </w:r>
          </w:p>
        </w:tc>
        <w:tc>
          <w:tcPr>
            <w:tcW w:w="60" w:type="dxa"/>
            <w:tcBorders/>
            <w:shd w:fill="CCEEFF" w:val="clear"/>
            <w:vAlign w:val="center"/>
          </w:tcPr>
          <w:p>
            <w:pPr>
              <w:pStyle w:val="TableContents"/>
              <w:bidi w:val="0"/>
              <w:spacing w:before="0" w:after="283"/>
              <w:jc w:val="left"/>
              <w:rPr/>
            </w:pPr>
            <w:r>
              <w:rPr/>
              <w:t> </w:t>
            </w:r>
          </w:p>
        </w:tc>
        <w:tc>
          <w:tcPr>
            <w:tcW w:w="182" w:type="dxa"/>
            <w:tcBorders>
              <w:bottom w:val="single" w:sz="12"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887"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31,537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2" w:type="dxa"/>
            <w:tcBorders>
              <w:bottom w:val="single" w:sz="12"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887"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36,504</w:t>
            </w:r>
          </w:p>
        </w:tc>
        <w:tc>
          <w:tcPr>
            <w:tcW w:w="75" w:type="dxa"/>
            <w:tcBorders/>
            <w:shd w:fill="CCEEFF" w:val="clear"/>
            <w:vAlign w:val="center"/>
          </w:tcPr>
          <w:p>
            <w:pPr>
              <w:pStyle w:val="TableContents"/>
              <w:bidi w:val="0"/>
              <w:spacing w:before="0" w:after="283"/>
              <w:jc w:val="left"/>
              <w:rPr/>
            </w:pPr>
            <w:r>
              <w:rPr/>
              <w:t> </w:t>
            </w:r>
          </w:p>
        </w:tc>
      </w:tr>
      <w:tr>
        <w:trPr/>
        <w:tc>
          <w:tcPr>
            <w:tcW w:w="407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Total Residential Solar Installation</w:t>
            </w:r>
          </w:p>
        </w:tc>
        <w:tc>
          <w:tcPr>
            <w:tcW w:w="60" w:type="dxa"/>
            <w:tcBorders/>
            <w:shd w:fill="FFFFFF" w:val="clear"/>
            <w:vAlign w:val="center"/>
          </w:tcPr>
          <w:p>
            <w:pPr>
              <w:pStyle w:val="TableContents"/>
              <w:bidi w:val="0"/>
              <w:spacing w:before="0" w:after="283"/>
              <w:jc w:val="left"/>
              <w:rPr/>
            </w:pPr>
            <w:r>
              <w:rPr/>
              <w:t> </w:t>
            </w:r>
          </w:p>
        </w:tc>
        <w:tc>
          <w:tcPr>
            <w:tcW w:w="182"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887"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31,537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2"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887"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36,504</w:t>
            </w:r>
          </w:p>
        </w:tc>
        <w:tc>
          <w:tcPr>
            <w:tcW w:w="75" w:type="dxa"/>
            <w:tcBorders/>
            <w:shd w:fill="FFFFFF" w:val="clear"/>
            <w:vAlign w:val="center"/>
          </w:tcPr>
          <w:p>
            <w:pPr>
              <w:pStyle w:val="TableContents"/>
              <w:bidi w:val="0"/>
              <w:spacing w:before="0" w:after="283"/>
              <w:jc w:val="left"/>
              <w:rPr/>
            </w:pPr>
            <w:r>
              <w:rPr/>
              <w:t> </w:t>
            </w:r>
          </w:p>
        </w:tc>
      </w:tr>
      <w:tr>
        <w:trPr/>
        <w:tc>
          <w:tcPr>
            <w:tcW w:w="407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2" w:type="dxa"/>
            <w:tcBorders/>
            <w:shd w:fill="CCEEFF" w:val="clear"/>
            <w:vAlign w:val="center"/>
          </w:tcPr>
          <w:p>
            <w:pPr>
              <w:pStyle w:val="TableContents"/>
              <w:bidi w:val="0"/>
              <w:spacing w:before="0" w:after="283"/>
              <w:jc w:val="left"/>
              <w:rPr/>
            </w:pPr>
            <w:r>
              <w:rPr/>
              <w:t> </w:t>
            </w:r>
          </w:p>
        </w:tc>
        <w:tc>
          <w:tcPr>
            <w:tcW w:w="887"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2" w:type="dxa"/>
            <w:tcBorders/>
            <w:shd w:fill="CCEEFF" w:val="clear"/>
            <w:vAlign w:val="center"/>
          </w:tcPr>
          <w:p>
            <w:pPr>
              <w:pStyle w:val="TableContents"/>
              <w:bidi w:val="0"/>
              <w:spacing w:before="0" w:after="283"/>
              <w:jc w:val="left"/>
              <w:rPr/>
            </w:pPr>
            <w:r>
              <w:rPr/>
              <w:t> </w:t>
            </w:r>
          </w:p>
        </w:tc>
        <w:tc>
          <w:tcPr>
            <w:tcW w:w="887"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407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New Homes Business</w:t>
            </w:r>
          </w:p>
        </w:tc>
        <w:tc>
          <w:tcPr>
            <w:tcW w:w="60" w:type="dxa"/>
            <w:tcBorders/>
            <w:shd w:fill="FFFFFF" w:val="clear"/>
            <w:vAlign w:val="center"/>
          </w:tcPr>
          <w:p>
            <w:pPr>
              <w:pStyle w:val="TableContents"/>
              <w:bidi w:val="0"/>
              <w:spacing w:before="0" w:after="283"/>
              <w:jc w:val="left"/>
              <w:rPr/>
            </w:pPr>
            <w:r>
              <w:rPr/>
              <w:t> </w:t>
            </w:r>
          </w:p>
        </w:tc>
        <w:tc>
          <w:tcPr>
            <w:tcW w:w="182" w:type="dxa"/>
            <w:tcBorders/>
            <w:shd w:fill="FFFFFF" w:val="clear"/>
            <w:vAlign w:val="center"/>
          </w:tcPr>
          <w:p>
            <w:pPr>
              <w:pStyle w:val="TableContents"/>
              <w:bidi w:val="0"/>
              <w:spacing w:before="0" w:after="283"/>
              <w:jc w:val="left"/>
              <w:rPr/>
            </w:pPr>
            <w:r>
              <w:rPr/>
              <w:t> </w:t>
            </w:r>
          </w:p>
        </w:tc>
        <w:tc>
          <w:tcPr>
            <w:tcW w:w="887"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2" w:type="dxa"/>
            <w:tcBorders/>
            <w:shd w:fill="FFFFFF" w:val="clear"/>
            <w:vAlign w:val="center"/>
          </w:tcPr>
          <w:p>
            <w:pPr>
              <w:pStyle w:val="TableContents"/>
              <w:bidi w:val="0"/>
              <w:spacing w:before="0" w:after="283"/>
              <w:jc w:val="left"/>
              <w:rPr/>
            </w:pPr>
            <w:r>
              <w:rPr/>
              <w:t> </w:t>
            </w:r>
          </w:p>
        </w:tc>
        <w:tc>
          <w:tcPr>
            <w:tcW w:w="887" w:type="dxa"/>
            <w:tcBorders/>
            <w:shd w:fill="FFFFFF" w:val="clear"/>
            <w:vAlign w:val="center"/>
          </w:tcPr>
          <w:p>
            <w:pPr>
              <w:pStyle w:val="TableContents"/>
              <w:bidi w:val="0"/>
              <w:spacing w:before="0" w:after="283"/>
              <w:jc w:val="right"/>
              <w:rPr/>
            </w:pPr>
            <w:r>
              <w:rPr/>
              <w:t> </w:t>
            </w:r>
          </w:p>
        </w:tc>
        <w:tc>
          <w:tcPr>
            <w:tcW w:w="75" w:type="dxa"/>
            <w:tcBorders/>
            <w:shd w:fill="FFFFFF" w:val="clear"/>
            <w:vAlign w:val="center"/>
          </w:tcPr>
          <w:p>
            <w:pPr>
              <w:pStyle w:val="TableContents"/>
              <w:bidi w:val="0"/>
              <w:spacing w:before="0" w:after="283"/>
              <w:jc w:val="left"/>
              <w:rPr/>
            </w:pPr>
            <w:r>
              <w:rPr/>
              <w:t> </w:t>
            </w:r>
          </w:p>
        </w:tc>
      </w:tr>
      <w:tr>
        <w:trPr/>
        <w:tc>
          <w:tcPr>
            <w:tcW w:w="407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Revenue recognized over time</w:t>
            </w:r>
          </w:p>
        </w:tc>
        <w:tc>
          <w:tcPr>
            <w:tcW w:w="60" w:type="dxa"/>
            <w:tcBorders/>
            <w:shd w:fill="CCEEFF" w:val="clear"/>
            <w:vAlign w:val="center"/>
          </w:tcPr>
          <w:p>
            <w:pPr>
              <w:pStyle w:val="TableContents"/>
              <w:bidi w:val="0"/>
              <w:spacing w:before="0" w:after="283"/>
              <w:jc w:val="left"/>
              <w:rPr/>
            </w:pPr>
            <w:r>
              <w:rPr/>
              <w:t> </w:t>
            </w:r>
          </w:p>
        </w:tc>
        <w:tc>
          <w:tcPr>
            <w:tcW w:w="182" w:type="dxa"/>
            <w:tcBorders/>
            <w:shd w:fill="CCEEFF" w:val="clear"/>
            <w:vAlign w:val="center"/>
          </w:tcPr>
          <w:p>
            <w:pPr>
              <w:pStyle w:val="TableContents"/>
              <w:bidi w:val="0"/>
              <w:spacing w:before="0" w:after="283"/>
              <w:jc w:val="left"/>
              <w:rPr/>
            </w:pPr>
            <w:r>
              <w:rPr/>
              <w:t> </w:t>
            </w:r>
          </w:p>
        </w:tc>
        <w:tc>
          <w:tcPr>
            <w:tcW w:w="887"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10,106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2" w:type="dxa"/>
            <w:tcBorders/>
            <w:shd w:fill="CCEEFF" w:val="clear"/>
            <w:vAlign w:val="center"/>
          </w:tcPr>
          <w:p>
            <w:pPr>
              <w:pStyle w:val="TableContents"/>
              <w:bidi w:val="0"/>
              <w:spacing w:before="0" w:after="283"/>
              <w:jc w:val="left"/>
              <w:rPr/>
            </w:pPr>
            <w:r>
              <w:rPr/>
              <w:t> </w:t>
            </w:r>
          </w:p>
        </w:tc>
        <w:tc>
          <w:tcPr>
            <w:tcW w:w="887"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15,466</w:t>
            </w:r>
          </w:p>
        </w:tc>
        <w:tc>
          <w:tcPr>
            <w:tcW w:w="75" w:type="dxa"/>
            <w:tcBorders/>
            <w:shd w:fill="CCEEFF" w:val="clear"/>
            <w:vAlign w:val="center"/>
          </w:tcPr>
          <w:p>
            <w:pPr>
              <w:pStyle w:val="TableContents"/>
              <w:bidi w:val="0"/>
              <w:spacing w:before="0" w:after="283"/>
              <w:jc w:val="left"/>
              <w:rPr/>
            </w:pPr>
            <w:r>
              <w:rPr/>
              <w:t> </w:t>
            </w:r>
          </w:p>
        </w:tc>
      </w:tr>
      <w:tr>
        <w:trPr/>
        <w:tc>
          <w:tcPr>
            <w:tcW w:w="407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Revenue recognized at a point in time</w:t>
            </w:r>
          </w:p>
        </w:tc>
        <w:tc>
          <w:tcPr>
            <w:tcW w:w="60" w:type="dxa"/>
            <w:tcBorders/>
            <w:shd w:fill="FFFFFF" w:val="clear"/>
            <w:vAlign w:val="center"/>
          </w:tcPr>
          <w:p>
            <w:pPr>
              <w:pStyle w:val="TableContents"/>
              <w:bidi w:val="0"/>
              <w:spacing w:before="0" w:after="283"/>
              <w:jc w:val="left"/>
              <w:rPr/>
            </w:pPr>
            <w:r>
              <w:rPr/>
              <w:t> </w:t>
            </w:r>
          </w:p>
        </w:tc>
        <w:tc>
          <w:tcPr>
            <w:tcW w:w="182"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887"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4,523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2"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887"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26,443</w:t>
            </w:r>
          </w:p>
        </w:tc>
        <w:tc>
          <w:tcPr>
            <w:tcW w:w="75" w:type="dxa"/>
            <w:tcBorders/>
            <w:shd w:fill="FFFFFF" w:val="clear"/>
            <w:vAlign w:val="center"/>
          </w:tcPr>
          <w:p>
            <w:pPr>
              <w:pStyle w:val="TableContents"/>
              <w:bidi w:val="0"/>
              <w:spacing w:before="0" w:after="283"/>
              <w:jc w:val="left"/>
              <w:rPr/>
            </w:pPr>
            <w:r>
              <w:rPr/>
              <w:t> </w:t>
            </w:r>
          </w:p>
        </w:tc>
      </w:tr>
      <w:tr>
        <w:trPr/>
        <w:tc>
          <w:tcPr>
            <w:tcW w:w="407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Total New Homes Business</w:t>
            </w:r>
          </w:p>
        </w:tc>
        <w:tc>
          <w:tcPr>
            <w:tcW w:w="60" w:type="dxa"/>
            <w:tcBorders/>
            <w:shd w:fill="CCEEFF" w:val="clear"/>
            <w:vAlign w:val="center"/>
          </w:tcPr>
          <w:p>
            <w:pPr>
              <w:pStyle w:val="TableContents"/>
              <w:bidi w:val="0"/>
              <w:spacing w:before="0" w:after="283"/>
              <w:jc w:val="left"/>
              <w:rPr/>
            </w:pPr>
            <w:r>
              <w:rPr/>
              <w:t> </w:t>
            </w:r>
          </w:p>
        </w:tc>
        <w:tc>
          <w:tcPr>
            <w:tcW w:w="182"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87"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14,629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2"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87"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41,909</w:t>
            </w:r>
          </w:p>
        </w:tc>
        <w:tc>
          <w:tcPr>
            <w:tcW w:w="75" w:type="dxa"/>
            <w:tcBorders/>
            <w:shd w:fill="CCEEFF" w:val="clear"/>
            <w:vAlign w:val="center"/>
          </w:tcPr>
          <w:p>
            <w:pPr>
              <w:pStyle w:val="TableContents"/>
              <w:bidi w:val="0"/>
              <w:spacing w:before="0" w:after="283"/>
              <w:jc w:val="left"/>
              <w:rPr/>
            </w:pPr>
            <w:r>
              <w:rPr/>
              <w:t> </w:t>
            </w:r>
          </w:p>
        </w:tc>
      </w:tr>
      <w:tr>
        <w:trPr/>
        <w:tc>
          <w:tcPr>
            <w:tcW w:w="407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2" w:type="dxa"/>
            <w:tcBorders/>
            <w:shd w:fill="FFFFFF" w:val="clear"/>
            <w:vAlign w:val="center"/>
          </w:tcPr>
          <w:p>
            <w:pPr>
              <w:pStyle w:val="TableContents"/>
              <w:bidi w:val="0"/>
              <w:spacing w:before="0" w:after="283"/>
              <w:jc w:val="left"/>
              <w:rPr/>
            </w:pPr>
            <w:r>
              <w:rPr/>
              <w:t> </w:t>
            </w:r>
          </w:p>
        </w:tc>
        <w:tc>
          <w:tcPr>
            <w:tcW w:w="887"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2" w:type="dxa"/>
            <w:tcBorders/>
            <w:shd w:fill="FFFFFF" w:val="clear"/>
            <w:vAlign w:val="center"/>
          </w:tcPr>
          <w:p>
            <w:pPr>
              <w:pStyle w:val="TableContents"/>
              <w:bidi w:val="0"/>
              <w:spacing w:before="0" w:after="283"/>
              <w:jc w:val="left"/>
              <w:rPr/>
            </w:pPr>
            <w:r>
              <w:rPr/>
              <w:t> </w:t>
            </w:r>
          </w:p>
        </w:tc>
        <w:tc>
          <w:tcPr>
            <w:tcW w:w="887" w:type="dxa"/>
            <w:tcBorders/>
            <w:shd w:fill="FFFFFF" w:val="clear"/>
            <w:vAlign w:val="center"/>
          </w:tcPr>
          <w:p>
            <w:pPr>
              <w:pStyle w:val="TableContents"/>
              <w:bidi w:val="0"/>
              <w:spacing w:before="0" w:after="283"/>
              <w:jc w:val="right"/>
              <w:rPr/>
            </w:pPr>
            <w:r>
              <w:rPr/>
              <w:t> </w:t>
            </w:r>
          </w:p>
        </w:tc>
        <w:tc>
          <w:tcPr>
            <w:tcW w:w="75" w:type="dxa"/>
            <w:tcBorders/>
            <w:shd w:fill="FFFFFF" w:val="clear"/>
            <w:vAlign w:val="center"/>
          </w:tcPr>
          <w:p>
            <w:pPr>
              <w:pStyle w:val="TableContents"/>
              <w:bidi w:val="0"/>
              <w:spacing w:before="0" w:after="283"/>
              <w:jc w:val="left"/>
              <w:rPr/>
            </w:pPr>
            <w:r>
              <w:rPr/>
              <w:t> </w:t>
            </w:r>
          </w:p>
        </w:tc>
      </w:tr>
      <w:tr>
        <w:trPr/>
        <w:tc>
          <w:tcPr>
            <w:tcW w:w="407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Dealer</w:t>
            </w:r>
          </w:p>
        </w:tc>
        <w:tc>
          <w:tcPr>
            <w:tcW w:w="60" w:type="dxa"/>
            <w:tcBorders/>
            <w:shd w:fill="CCEEFF" w:val="clear"/>
            <w:vAlign w:val="center"/>
          </w:tcPr>
          <w:p>
            <w:pPr>
              <w:pStyle w:val="TableContents"/>
              <w:bidi w:val="0"/>
              <w:spacing w:before="0" w:after="283"/>
              <w:jc w:val="left"/>
              <w:rPr/>
            </w:pPr>
            <w:r>
              <w:rPr/>
              <w:t> </w:t>
            </w:r>
          </w:p>
        </w:tc>
        <w:tc>
          <w:tcPr>
            <w:tcW w:w="182" w:type="dxa"/>
            <w:tcBorders/>
            <w:shd w:fill="CCEEFF" w:val="clear"/>
            <w:vAlign w:val="center"/>
          </w:tcPr>
          <w:p>
            <w:pPr>
              <w:pStyle w:val="TableContents"/>
              <w:bidi w:val="0"/>
              <w:spacing w:before="0" w:after="283"/>
              <w:jc w:val="left"/>
              <w:rPr/>
            </w:pPr>
            <w:r>
              <w:rPr/>
              <w:t> </w:t>
            </w:r>
          </w:p>
        </w:tc>
        <w:tc>
          <w:tcPr>
            <w:tcW w:w="887"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2" w:type="dxa"/>
            <w:tcBorders/>
            <w:shd w:fill="CCEEFF" w:val="clear"/>
            <w:vAlign w:val="center"/>
          </w:tcPr>
          <w:p>
            <w:pPr>
              <w:pStyle w:val="TableContents"/>
              <w:bidi w:val="0"/>
              <w:spacing w:before="0" w:after="283"/>
              <w:jc w:val="left"/>
              <w:rPr/>
            </w:pPr>
            <w:r>
              <w:rPr/>
              <w:t> </w:t>
            </w:r>
          </w:p>
        </w:tc>
        <w:tc>
          <w:tcPr>
            <w:tcW w:w="887"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407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Revenue recognized at a point in time</w:t>
            </w:r>
          </w:p>
        </w:tc>
        <w:tc>
          <w:tcPr>
            <w:tcW w:w="60" w:type="dxa"/>
            <w:tcBorders/>
            <w:shd w:fill="FFFFFF" w:val="clear"/>
            <w:vAlign w:val="center"/>
          </w:tcPr>
          <w:p>
            <w:pPr>
              <w:pStyle w:val="TableContents"/>
              <w:bidi w:val="0"/>
              <w:spacing w:before="0" w:after="283"/>
              <w:jc w:val="left"/>
              <w:rPr/>
            </w:pPr>
            <w:r>
              <w:rPr/>
              <w:t> </w:t>
            </w:r>
          </w:p>
        </w:tc>
        <w:tc>
          <w:tcPr>
            <w:tcW w:w="182"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887"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26,627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2"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887"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75" w:type="dxa"/>
            <w:tcBorders/>
            <w:shd w:fill="FFFFFF" w:val="clear"/>
            <w:vAlign w:val="center"/>
          </w:tcPr>
          <w:p>
            <w:pPr>
              <w:pStyle w:val="TableContents"/>
              <w:bidi w:val="0"/>
              <w:spacing w:before="0" w:after="283"/>
              <w:jc w:val="left"/>
              <w:rPr/>
            </w:pPr>
            <w:r>
              <w:rPr/>
              <w:t> </w:t>
            </w:r>
          </w:p>
        </w:tc>
      </w:tr>
      <w:tr>
        <w:trPr/>
        <w:tc>
          <w:tcPr>
            <w:tcW w:w="407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Total Dealer</w:t>
            </w:r>
          </w:p>
        </w:tc>
        <w:tc>
          <w:tcPr>
            <w:tcW w:w="60" w:type="dxa"/>
            <w:tcBorders/>
            <w:shd w:fill="CCEEFF" w:val="clear"/>
            <w:vAlign w:val="center"/>
          </w:tcPr>
          <w:p>
            <w:pPr>
              <w:pStyle w:val="TableContents"/>
              <w:bidi w:val="0"/>
              <w:spacing w:before="0" w:after="283"/>
              <w:jc w:val="left"/>
              <w:rPr/>
            </w:pPr>
            <w:r>
              <w:rPr/>
              <w:t> </w:t>
            </w:r>
          </w:p>
        </w:tc>
        <w:tc>
          <w:tcPr>
            <w:tcW w:w="182"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87"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26,627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2"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87"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75" w:type="dxa"/>
            <w:tcBorders/>
            <w:shd w:fill="CCEEFF" w:val="clear"/>
            <w:vAlign w:val="center"/>
          </w:tcPr>
          <w:p>
            <w:pPr>
              <w:pStyle w:val="TableContents"/>
              <w:bidi w:val="0"/>
              <w:spacing w:before="0" w:after="283"/>
              <w:jc w:val="left"/>
              <w:rPr/>
            </w:pPr>
            <w:r>
              <w:rPr/>
              <w:t> </w:t>
            </w:r>
          </w:p>
        </w:tc>
      </w:tr>
      <w:tr>
        <w:trPr/>
        <w:tc>
          <w:tcPr>
            <w:tcW w:w="407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Total revenue</w:t>
            </w:r>
          </w:p>
        </w:tc>
        <w:tc>
          <w:tcPr>
            <w:tcW w:w="60" w:type="dxa"/>
            <w:tcBorders/>
            <w:shd w:fill="FFFFFF" w:val="clear"/>
            <w:vAlign w:val="center"/>
          </w:tcPr>
          <w:p>
            <w:pPr>
              <w:pStyle w:val="TableContents"/>
              <w:bidi w:val="0"/>
              <w:spacing w:before="0" w:after="283"/>
              <w:jc w:val="left"/>
              <w:rPr/>
            </w:pPr>
            <w:r>
              <w:rPr/>
              <w:t> </w:t>
            </w:r>
          </w:p>
        </w:tc>
        <w:tc>
          <w:tcPr>
            <w:tcW w:w="182" w:type="dxa"/>
            <w:tcBorders>
              <w:bottom w:val="double" w:sz="10"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887" w:type="dxa"/>
            <w:tcBorders>
              <w:bottom w:val="double" w:sz="10"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72,793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2" w:type="dxa"/>
            <w:tcBorders>
              <w:bottom w:val="double" w:sz="10"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887" w:type="dxa"/>
            <w:tcBorders>
              <w:bottom w:val="double" w:sz="10"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78,413</w:t>
            </w:r>
          </w:p>
        </w:tc>
        <w:tc>
          <w:tcPr>
            <w:tcW w:w="75" w:type="dxa"/>
            <w:tcBorders/>
            <w:shd w:fill="FFFFFF" w:val="clear"/>
            <w:vAlign w:val="center"/>
          </w:tcPr>
          <w:p>
            <w:pPr>
              <w:pStyle w:val="TableContents"/>
              <w:bidi w:val="0"/>
              <w:spacing w:before="0" w:after="283"/>
              <w:jc w:val="left"/>
              <w:rPr/>
            </w:pPr>
            <w:r>
              <w:rPr/>
              <w:t> </w:t>
            </w:r>
          </w:p>
        </w:tc>
      </w:tr>
      <w:tr>
        <w:trPr/>
        <w:tc>
          <w:tcPr>
            <w:tcW w:w="407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2" w:type="dxa"/>
            <w:tcBorders/>
            <w:shd w:fill="CCEEFF" w:val="clear"/>
            <w:vAlign w:val="center"/>
          </w:tcPr>
          <w:p>
            <w:pPr>
              <w:pStyle w:val="TableContents"/>
              <w:bidi w:val="0"/>
              <w:spacing w:before="0" w:after="283"/>
              <w:jc w:val="left"/>
              <w:rPr/>
            </w:pPr>
            <w:r>
              <w:rPr/>
              <w:t> </w:t>
            </w:r>
          </w:p>
        </w:tc>
        <w:tc>
          <w:tcPr>
            <w:tcW w:w="887"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2" w:type="dxa"/>
            <w:tcBorders/>
            <w:shd w:fill="CCEEFF" w:val="clear"/>
            <w:vAlign w:val="center"/>
          </w:tcPr>
          <w:p>
            <w:pPr>
              <w:pStyle w:val="TableContents"/>
              <w:bidi w:val="0"/>
              <w:spacing w:before="0" w:after="283"/>
              <w:jc w:val="left"/>
              <w:rPr/>
            </w:pPr>
            <w:r>
              <w:rPr/>
              <w:t> </w:t>
            </w:r>
          </w:p>
        </w:tc>
        <w:tc>
          <w:tcPr>
            <w:tcW w:w="887"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407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Total revenue recognized over time</w:t>
            </w:r>
          </w:p>
        </w:tc>
        <w:tc>
          <w:tcPr>
            <w:tcW w:w="60" w:type="dxa"/>
            <w:tcBorders/>
            <w:shd w:fill="FFFFFF" w:val="clear"/>
            <w:vAlign w:val="center"/>
          </w:tcPr>
          <w:p>
            <w:pPr>
              <w:pStyle w:val="TableContents"/>
              <w:bidi w:val="0"/>
              <w:spacing w:before="0" w:after="283"/>
              <w:jc w:val="left"/>
              <w:rPr/>
            </w:pPr>
            <w:r>
              <w:rPr/>
              <w:t> </w:t>
            </w:r>
          </w:p>
        </w:tc>
        <w:tc>
          <w:tcPr>
            <w:tcW w:w="182"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887"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41,642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2"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887"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51,970</w:t>
            </w:r>
          </w:p>
        </w:tc>
        <w:tc>
          <w:tcPr>
            <w:tcW w:w="75" w:type="dxa"/>
            <w:tcBorders/>
            <w:shd w:fill="FFFFFF" w:val="clear"/>
            <w:vAlign w:val="center"/>
          </w:tcPr>
          <w:p>
            <w:pPr>
              <w:pStyle w:val="TableContents"/>
              <w:bidi w:val="0"/>
              <w:spacing w:before="0" w:after="283"/>
              <w:jc w:val="left"/>
              <w:rPr/>
            </w:pPr>
            <w:r>
              <w:rPr/>
              <w:t> </w:t>
            </w:r>
          </w:p>
        </w:tc>
      </w:tr>
      <w:tr>
        <w:trPr/>
        <w:tc>
          <w:tcPr>
            <w:tcW w:w="407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Total revenue recognized at a point in time</w:t>
            </w:r>
          </w:p>
        </w:tc>
        <w:tc>
          <w:tcPr>
            <w:tcW w:w="60" w:type="dxa"/>
            <w:tcBorders/>
            <w:shd w:fill="CCEEFF" w:val="clear"/>
            <w:vAlign w:val="center"/>
          </w:tcPr>
          <w:p>
            <w:pPr>
              <w:pStyle w:val="TableContents"/>
              <w:bidi w:val="0"/>
              <w:spacing w:before="0" w:after="283"/>
              <w:jc w:val="left"/>
              <w:rPr/>
            </w:pPr>
            <w:r>
              <w:rPr/>
              <w:t> </w:t>
            </w:r>
          </w:p>
        </w:tc>
        <w:tc>
          <w:tcPr>
            <w:tcW w:w="182" w:type="dxa"/>
            <w:tcBorders/>
            <w:shd w:fill="CCEEFF" w:val="clear"/>
            <w:vAlign w:val="center"/>
          </w:tcPr>
          <w:p>
            <w:pPr>
              <w:pStyle w:val="TableContents"/>
              <w:bidi w:val="0"/>
              <w:spacing w:before="0" w:after="283"/>
              <w:jc w:val="left"/>
              <w:rPr/>
            </w:pPr>
            <w:r>
              <w:rPr/>
              <w:t> </w:t>
            </w:r>
          </w:p>
        </w:tc>
        <w:tc>
          <w:tcPr>
            <w:tcW w:w="887"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31,151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2" w:type="dxa"/>
            <w:tcBorders/>
            <w:shd w:fill="CCEEFF" w:val="clear"/>
            <w:vAlign w:val="center"/>
          </w:tcPr>
          <w:p>
            <w:pPr>
              <w:pStyle w:val="TableContents"/>
              <w:bidi w:val="0"/>
              <w:spacing w:before="0" w:after="283"/>
              <w:jc w:val="left"/>
              <w:rPr/>
            </w:pPr>
            <w:r>
              <w:rPr/>
              <w:t> </w:t>
            </w:r>
          </w:p>
        </w:tc>
        <w:tc>
          <w:tcPr>
            <w:tcW w:w="887"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26,443</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revenue was generated in the United States.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sz w:val="20"/>
          <w:bdr w:val="single" w:sz="12" w:space="1" w:color="000000"/>
        </w:rPr>
      </w:pPr>
      <w:r>
        <w:rPr>
          <w:sz w:val="20"/>
          <w:bdr w:val="single" w:sz="12" w:space="1" w:color="000000"/>
        </w:rPr>
        <w:t>F-18</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Contract liabilities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Contract liabilities consist of the following </w:t>
      </w:r>
      <w:r>
        <w:rPr>
          <w:rFonts w:ascii="Times New Roman;Times;Serif" w:hAnsi="Times New Roman;Times;Serif"/>
          <w:b w:val="false"/>
          <w:i/>
          <w:caps w:val="false"/>
          <w:smallCaps w:val="false"/>
          <w:sz w:val="20"/>
        </w:rPr>
        <w:t>(in thousands)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tbl>
      <w:tblPr>
        <w:tblW w:w="5623" w:type="dxa"/>
        <w:jc w:val="left"/>
        <w:tblInd w:w="0" w:type="dxa"/>
        <w:tblLayout w:type="fixed"/>
        <w:tblCellMar>
          <w:top w:w="0" w:type="dxa"/>
          <w:left w:w="0" w:type="dxa"/>
          <w:bottom w:w="0" w:type="dxa"/>
          <w:right w:w="0" w:type="dxa"/>
        </w:tblCellMar>
      </w:tblPr>
      <w:tblGrid>
        <w:gridCol w:w="2885"/>
        <w:gridCol w:w="60"/>
        <w:gridCol w:w="182"/>
        <w:gridCol w:w="887"/>
        <w:gridCol w:w="60"/>
        <w:gridCol w:w="60"/>
        <w:gridCol w:w="241"/>
        <w:gridCol w:w="1173"/>
        <w:gridCol w:w="75"/>
      </w:tblGrid>
      <w:tr>
        <w:trPr/>
        <w:tc>
          <w:tcPr>
            <w:tcW w:w="28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3" w:type="dxa"/>
            <w:gridSpan w:val="6"/>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As of</w:t>
            </w:r>
          </w:p>
        </w:tc>
        <w:tc>
          <w:tcPr>
            <w:tcW w:w="75" w:type="dxa"/>
            <w:tcBorders/>
            <w:vAlign w:val="center"/>
          </w:tcPr>
          <w:p>
            <w:pPr>
              <w:pStyle w:val="TableContents"/>
              <w:bidi w:val="0"/>
              <w:spacing w:before="0" w:after="283"/>
              <w:jc w:val="left"/>
              <w:rPr/>
            </w:pPr>
            <w:r>
              <w:rPr/>
              <w:t> </w:t>
            </w:r>
          </w:p>
        </w:tc>
      </w:tr>
      <w:tr>
        <w:trPr/>
        <w:tc>
          <w:tcPr>
            <w:tcW w:w="28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69" w:type="dxa"/>
            <w:gridSpan w:val="2"/>
            <w:tcBorders/>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March 29,</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14" w:type="dxa"/>
            <w:gridSpan w:val="2"/>
            <w:tcBorders/>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December 28,</w:t>
            </w:r>
          </w:p>
        </w:tc>
        <w:tc>
          <w:tcPr>
            <w:tcW w:w="75" w:type="dxa"/>
            <w:tcBorders/>
            <w:vAlign w:val="center"/>
          </w:tcPr>
          <w:p>
            <w:pPr>
              <w:pStyle w:val="TableContents"/>
              <w:bidi w:val="0"/>
              <w:spacing w:before="0" w:after="283"/>
              <w:jc w:val="left"/>
              <w:rPr/>
            </w:pPr>
            <w:r>
              <w:rPr/>
              <w:t> </w:t>
            </w:r>
          </w:p>
        </w:tc>
      </w:tr>
      <w:tr>
        <w:trPr/>
        <w:tc>
          <w:tcPr>
            <w:tcW w:w="28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69"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2026</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14"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2025</w:t>
            </w:r>
          </w:p>
        </w:tc>
        <w:tc>
          <w:tcPr>
            <w:tcW w:w="75" w:type="dxa"/>
            <w:tcBorders/>
            <w:vAlign w:val="center"/>
          </w:tcPr>
          <w:p>
            <w:pPr>
              <w:pStyle w:val="TableContents"/>
              <w:bidi w:val="0"/>
              <w:spacing w:before="0" w:after="283"/>
              <w:jc w:val="left"/>
              <w:rPr/>
            </w:pPr>
            <w:r>
              <w:rPr/>
              <w:t> </w:t>
            </w:r>
          </w:p>
        </w:tc>
      </w:tr>
      <w:tr>
        <w:trPr/>
        <w:tc>
          <w:tcPr>
            <w:tcW w:w="2885"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Contract liabilities:</w:t>
            </w:r>
          </w:p>
        </w:tc>
        <w:tc>
          <w:tcPr>
            <w:tcW w:w="60" w:type="dxa"/>
            <w:tcBorders/>
            <w:vAlign w:val="center"/>
          </w:tcPr>
          <w:p>
            <w:pPr>
              <w:pStyle w:val="TableContents"/>
              <w:bidi w:val="0"/>
              <w:spacing w:before="0" w:after="283"/>
              <w:jc w:val="left"/>
              <w:rPr/>
            </w:pPr>
            <w:r>
              <w:rPr/>
              <w:t> </w:t>
            </w:r>
          </w:p>
        </w:tc>
        <w:tc>
          <w:tcPr>
            <w:tcW w:w="1069"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14" w:type="dxa"/>
            <w:gridSpan w:val="2"/>
            <w:tcBorders/>
            <w:vAlign w:val="center"/>
          </w:tcPr>
          <w:p>
            <w:pPr>
              <w:pStyle w:val="TableContents"/>
              <w:bidi w:val="0"/>
              <w:spacing w:before="0" w:after="283"/>
              <w:jc w:val="right"/>
              <w:rPr/>
            </w:pPr>
            <w:r>
              <w:rPr/>
              <w:t> </w:t>
            </w:r>
          </w:p>
        </w:tc>
        <w:tc>
          <w:tcPr>
            <w:tcW w:w="75" w:type="dxa"/>
            <w:tcBorders/>
            <w:vAlign w:val="center"/>
          </w:tcPr>
          <w:p>
            <w:pPr>
              <w:pStyle w:val="TableContents"/>
              <w:bidi w:val="0"/>
              <w:spacing w:before="0" w:after="283"/>
              <w:jc w:val="left"/>
              <w:rPr/>
            </w:pPr>
            <w:r>
              <w:rPr/>
              <w:t> </w:t>
            </w:r>
          </w:p>
        </w:tc>
      </w:tr>
      <w:tr>
        <w:trPr/>
        <w:tc>
          <w:tcPr>
            <w:tcW w:w="288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Contract liabilities, current</w:t>
            </w:r>
          </w:p>
        </w:tc>
        <w:tc>
          <w:tcPr>
            <w:tcW w:w="60" w:type="dxa"/>
            <w:tcBorders/>
            <w:shd w:fill="CCEEFF" w:val="clear"/>
            <w:vAlign w:val="center"/>
          </w:tcPr>
          <w:p>
            <w:pPr>
              <w:pStyle w:val="TableContents"/>
              <w:bidi w:val="0"/>
              <w:spacing w:before="0" w:after="283"/>
              <w:jc w:val="left"/>
              <w:rPr/>
            </w:pPr>
            <w:r>
              <w:rPr/>
              <w:t> </w:t>
            </w:r>
          </w:p>
        </w:tc>
        <w:tc>
          <w:tcPr>
            <w:tcW w:w="182"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887"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12,634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1"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173"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20,336</w:t>
            </w:r>
          </w:p>
        </w:tc>
        <w:tc>
          <w:tcPr>
            <w:tcW w:w="75" w:type="dxa"/>
            <w:tcBorders/>
            <w:shd w:fill="CCEEFF" w:val="clear"/>
            <w:vAlign w:val="center"/>
          </w:tcPr>
          <w:p>
            <w:pPr>
              <w:pStyle w:val="TableContents"/>
              <w:bidi w:val="0"/>
              <w:spacing w:before="0" w:after="283"/>
              <w:jc w:val="left"/>
              <w:rPr/>
            </w:pPr>
            <w:r>
              <w:rPr/>
              <w:t> </w:t>
            </w:r>
          </w:p>
        </w:tc>
      </w:tr>
      <w:tr>
        <w:trPr/>
        <w:tc>
          <w:tcPr>
            <w:tcW w:w="288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Contract liabilities, noncurrent</w:t>
            </w:r>
          </w:p>
        </w:tc>
        <w:tc>
          <w:tcPr>
            <w:tcW w:w="60" w:type="dxa"/>
            <w:tcBorders/>
            <w:shd w:fill="FFFFFF" w:val="clear"/>
            <w:vAlign w:val="center"/>
          </w:tcPr>
          <w:p>
            <w:pPr>
              <w:pStyle w:val="TableContents"/>
              <w:bidi w:val="0"/>
              <w:spacing w:before="0" w:after="283"/>
              <w:jc w:val="left"/>
              <w:rPr/>
            </w:pPr>
            <w:r>
              <w:rPr/>
              <w:t> </w:t>
            </w:r>
          </w:p>
        </w:tc>
        <w:tc>
          <w:tcPr>
            <w:tcW w:w="182"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887"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794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41"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73"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794</w:t>
            </w:r>
          </w:p>
        </w:tc>
        <w:tc>
          <w:tcPr>
            <w:tcW w:w="75" w:type="dxa"/>
            <w:tcBorders/>
            <w:shd w:fill="FFFFFF" w:val="clear"/>
            <w:vAlign w:val="center"/>
          </w:tcPr>
          <w:p>
            <w:pPr>
              <w:pStyle w:val="TableContents"/>
              <w:bidi w:val="0"/>
              <w:spacing w:before="0" w:after="283"/>
              <w:jc w:val="left"/>
              <w:rPr/>
            </w:pPr>
            <w:r>
              <w:rPr/>
              <w:t> </w:t>
            </w:r>
          </w:p>
        </w:tc>
      </w:tr>
      <w:tr>
        <w:trPr/>
        <w:tc>
          <w:tcPr>
            <w:tcW w:w="288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Total contract liabilities</w:t>
            </w:r>
          </w:p>
        </w:tc>
        <w:tc>
          <w:tcPr>
            <w:tcW w:w="60" w:type="dxa"/>
            <w:tcBorders/>
            <w:shd w:fill="CCEEFF" w:val="clear"/>
            <w:vAlign w:val="center"/>
          </w:tcPr>
          <w:p>
            <w:pPr>
              <w:pStyle w:val="TableContents"/>
              <w:bidi w:val="0"/>
              <w:spacing w:before="0" w:after="283"/>
              <w:jc w:val="left"/>
              <w:rPr/>
            </w:pPr>
            <w:r>
              <w:rPr/>
              <w:t> </w:t>
            </w:r>
          </w:p>
        </w:tc>
        <w:tc>
          <w:tcPr>
            <w:tcW w:w="182" w:type="dxa"/>
            <w:tcBorders>
              <w:bottom w:val="double" w:sz="10"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887" w:type="dxa"/>
            <w:tcBorders>
              <w:bottom w:val="double" w:sz="10"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13,428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1" w:type="dxa"/>
            <w:tcBorders>
              <w:bottom w:val="double" w:sz="10"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173" w:type="dxa"/>
            <w:tcBorders>
              <w:bottom w:val="double" w:sz="10"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21,130</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Revenue recognized in the current period from contract liabilities as of December 28, 2025 was $18.5 million in the thirteen week period ended March 29, 2026.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(5) Fair Value Measurements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following table sets forth the Company’s financial assets and liabilities that are measured at fair value on a recurring basis </w:t>
      </w:r>
      <w:r>
        <w:rPr>
          <w:rFonts w:ascii="Times New Roman;Times;Serif" w:hAnsi="Times New Roman;Times;Serif"/>
          <w:b w:val="false"/>
          <w:i/>
          <w:caps w:val="false"/>
          <w:smallCaps w:val="false"/>
          <w:sz w:val="20"/>
        </w:rPr>
        <w:t>(in thousands)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tbl>
      <w:tblPr>
        <w:tblW w:w="8914" w:type="dxa"/>
        <w:jc w:val="left"/>
        <w:tblInd w:w="0" w:type="dxa"/>
        <w:tblLayout w:type="fixed"/>
        <w:tblCellMar>
          <w:top w:w="0" w:type="dxa"/>
          <w:left w:w="0" w:type="dxa"/>
          <w:bottom w:w="0" w:type="dxa"/>
          <w:right w:w="0" w:type="dxa"/>
        </w:tblCellMar>
      </w:tblPr>
      <w:tblGrid>
        <w:gridCol w:w="5030"/>
        <w:gridCol w:w="60"/>
        <w:gridCol w:w="151"/>
        <w:gridCol w:w="604"/>
        <w:gridCol w:w="60"/>
        <w:gridCol w:w="60"/>
        <w:gridCol w:w="263"/>
        <w:gridCol w:w="491"/>
        <w:gridCol w:w="60"/>
        <w:gridCol w:w="60"/>
        <w:gridCol w:w="140"/>
        <w:gridCol w:w="800"/>
        <w:gridCol w:w="60"/>
        <w:gridCol w:w="60"/>
        <w:gridCol w:w="140"/>
        <w:gridCol w:w="800"/>
        <w:gridCol w:w="75"/>
      </w:tblGrid>
      <w:tr>
        <w:trPr/>
        <w:tc>
          <w:tcPr>
            <w:tcW w:w="5030"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p>
        </w:tc>
        <w:tc>
          <w:tcPr>
            <w:tcW w:w="3749" w:type="dxa"/>
            <w:gridSpan w:val="14"/>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As of March 29, 2026</w:t>
            </w:r>
          </w:p>
        </w:tc>
        <w:tc>
          <w:tcPr>
            <w:tcW w:w="75" w:type="dxa"/>
            <w:tcBorders/>
            <w:vAlign w:val="center"/>
          </w:tcPr>
          <w:p>
            <w:pPr>
              <w:pStyle w:val="TableContents"/>
              <w:bidi w:val="0"/>
              <w:spacing w:before="0" w:after="283"/>
              <w:jc w:val="left"/>
              <w:rPr/>
            </w:pPr>
            <w:r>
              <w:rPr/>
              <w:t> </w:t>
            </w:r>
          </w:p>
        </w:tc>
      </w:tr>
      <w:tr>
        <w:trPr/>
        <w:tc>
          <w:tcPr>
            <w:tcW w:w="5030"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p>
        </w:tc>
        <w:tc>
          <w:tcPr>
            <w:tcW w:w="755"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Level 1</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54"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Level 2</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40"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Level 3</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40"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Total</w:t>
            </w:r>
          </w:p>
        </w:tc>
        <w:tc>
          <w:tcPr>
            <w:tcW w:w="75" w:type="dxa"/>
            <w:tcBorders/>
            <w:vAlign w:val="center"/>
          </w:tcPr>
          <w:p>
            <w:pPr>
              <w:pStyle w:val="TableContents"/>
              <w:bidi w:val="0"/>
              <w:spacing w:before="0" w:after="283"/>
              <w:jc w:val="left"/>
              <w:rPr/>
            </w:pPr>
            <w:r>
              <w:rPr/>
              <w:t> </w:t>
            </w:r>
          </w:p>
        </w:tc>
      </w:tr>
      <w:tr>
        <w:trPr/>
        <w:tc>
          <w:tcPr>
            <w:tcW w:w="5030" w:type="dxa"/>
            <w:tcBorders/>
            <w:vAlign w:val="center"/>
          </w:tcPr>
          <w:p>
            <w:pPr>
              <w:pStyle w:val="TableContents"/>
              <w:bidi w:val="0"/>
              <w:spacing w:before="0" w:after="283"/>
              <w:jc w:val="both"/>
              <w:rPr>
                <w:rFonts w:ascii="Times New Roman;Times;Serif" w:hAnsi="Times New Roman;Times;Serif"/>
                <w:b/>
              </w:rPr>
            </w:pPr>
            <w:r>
              <w:rPr>
                <w:rFonts w:ascii="Times New Roman;Times;Serif" w:hAnsi="Times New Roman;Times;Serif"/>
                <w:b/>
              </w:rPr>
              <w:t>Financial Assets</w:t>
            </w:r>
          </w:p>
        </w:tc>
        <w:tc>
          <w:tcPr>
            <w:tcW w:w="60" w:type="dxa"/>
            <w:tcBorders/>
            <w:vAlign w:val="center"/>
          </w:tcPr>
          <w:p>
            <w:pPr>
              <w:pStyle w:val="TableContents"/>
              <w:bidi w:val="0"/>
              <w:spacing w:before="0" w:after="283"/>
              <w:jc w:val="left"/>
              <w:rPr/>
            </w:pPr>
            <w:r>
              <w:rPr/>
              <w:t> </w:t>
            </w:r>
          </w:p>
        </w:tc>
        <w:tc>
          <w:tcPr>
            <w:tcW w:w="755" w:type="dxa"/>
            <w:gridSpan w:val="2"/>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54" w:type="dxa"/>
            <w:gridSpan w:val="2"/>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40" w:type="dxa"/>
            <w:gridSpan w:val="2"/>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40" w:type="dxa"/>
            <w:gridSpan w:val="2"/>
            <w:tcBorders/>
            <w:vAlign w:val="center"/>
          </w:tcPr>
          <w:p>
            <w:pPr>
              <w:pStyle w:val="TableContents"/>
              <w:bidi w:val="0"/>
              <w:spacing w:before="0" w:after="283"/>
              <w:jc w:val="right"/>
              <w:rPr/>
            </w:pPr>
            <w:r>
              <w:rPr/>
              <w:t> </w:t>
            </w:r>
          </w:p>
        </w:tc>
        <w:tc>
          <w:tcPr>
            <w:tcW w:w="75" w:type="dxa"/>
            <w:tcBorders/>
            <w:vAlign w:val="center"/>
          </w:tcPr>
          <w:p>
            <w:pPr>
              <w:pStyle w:val="TableContents"/>
              <w:bidi w:val="0"/>
              <w:spacing w:before="0" w:after="283"/>
              <w:jc w:val="left"/>
              <w:rPr/>
            </w:pPr>
            <w:r>
              <w:rPr/>
              <w:t> </w:t>
            </w:r>
          </w:p>
        </w:tc>
      </w:tr>
      <w:tr>
        <w:trPr/>
        <w:tc>
          <w:tcPr>
            <w:tcW w:w="5030" w:type="dxa"/>
            <w:tcBorders/>
            <w:shd w:fill="CCEEFF" w:val="cle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Restricted cash</w:t>
            </w:r>
          </w:p>
        </w:tc>
        <w:tc>
          <w:tcPr>
            <w:tcW w:w="60" w:type="dxa"/>
            <w:tcBorders/>
            <w:shd w:fill="CCEEFF" w:val="clear"/>
            <w:vAlign w:val="center"/>
          </w:tcPr>
          <w:p>
            <w:pPr>
              <w:pStyle w:val="TableContents"/>
              <w:bidi w:val="0"/>
              <w:spacing w:before="0" w:after="283"/>
              <w:jc w:val="left"/>
              <w:rPr/>
            </w:pPr>
            <w:r>
              <w:rPr/>
              <w:t> </w:t>
            </w:r>
          </w:p>
        </w:tc>
        <w:tc>
          <w:tcPr>
            <w:tcW w:w="151" w:type="dxa"/>
            <w:tcBorders>
              <w:bottom w:val="single" w:sz="12"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4"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1,134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63" w:type="dxa"/>
            <w:tcBorders>
              <w:bottom w:val="single" w:sz="12"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491"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800"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800"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1,134</w:t>
            </w:r>
          </w:p>
        </w:tc>
        <w:tc>
          <w:tcPr>
            <w:tcW w:w="75" w:type="dxa"/>
            <w:tcBorders/>
            <w:shd w:fill="CCEEFF" w:val="clear"/>
            <w:vAlign w:val="center"/>
          </w:tcPr>
          <w:p>
            <w:pPr>
              <w:pStyle w:val="TableContents"/>
              <w:bidi w:val="0"/>
              <w:spacing w:before="0" w:after="283"/>
              <w:jc w:val="left"/>
              <w:rPr/>
            </w:pPr>
            <w:r>
              <w:rPr/>
              <w:t> </w:t>
            </w:r>
          </w:p>
        </w:tc>
      </w:tr>
      <w:tr>
        <w:trPr/>
        <w:tc>
          <w:tcPr>
            <w:tcW w:w="503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Total</w:t>
            </w:r>
          </w:p>
        </w:tc>
        <w:tc>
          <w:tcPr>
            <w:tcW w:w="60" w:type="dxa"/>
            <w:tcBorders/>
            <w:shd w:fill="FFFFFF" w:val="clear"/>
            <w:vAlign w:val="center"/>
          </w:tcPr>
          <w:p>
            <w:pPr>
              <w:pStyle w:val="TableContents"/>
              <w:bidi w:val="0"/>
              <w:spacing w:before="0" w:after="283"/>
              <w:jc w:val="left"/>
              <w:rPr/>
            </w:pPr>
            <w:r>
              <w:rPr/>
              <w:t> </w:t>
            </w:r>
          </w:p>
        </w:tc>
        <w:tc>
          <w:tcPr>
            <w:tcW w:w="151" w:type="dxa"/>
            <w:tcBorders>
              <w:bottom w:val="double" w:sz="10"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4" w:type="dxa"/>
            <w:tcBorders>
              <w:bottom w:val="double" w:sz="10"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1,134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63" w:type="dxa"/>
            <w:tcBorders>
              <w:bottom w:val="double" w:sz="10"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491" w:type="dxa"/>
            <w:tcBorders>
              <w:bottom w:val="double" w:sz="10" w:space="0" w:color="000000"/>
            </w:tcBorders>
            <w:shd w:fill="FFFFFF" w:val="clear"/>
            <w:tcMar>
              <w:bottom w:w="28" w:type="dxa"/>
            </w:tcM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10"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800" w:type="dxa"/>
            <w:tcBorders>
              <w:bottom w:val="double" w:sz="10" w:space="0" w:color="000000"/>
            </w:tcBorders>
            <w:shd w:fill="FFFFFF" w:val="clear"/>
            <w:tcMar>
              <w:bottom w:w="28" w:type="dxa"/>
            </w:tcM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10"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800" w:type="dxa"/>
            <w:tcBorders>
              <w:bottom w:val="double" w:sz="10"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1,134</w:t>
            </w:r>
          </w:p>
        </w:tc>
        <w:tc>
          <w:tcPr>
            <w:tcW w:w="75" w:type="dxa"/>
            <w:tcBorders/>
            <w:shd w:fill="FFFFFF" w:val="clear"/>
            <w:vAlign w:val="center"/>
          </w:tcPr>
          <w:p>
            <w:pPr>
              <w:pStyle w:val="TableContents"/>
              <w:bidi w:val="0"/>
              <w:spacing w:before="0" w:after="283"/>
              <w:jc w:val="left"/>
              <w:rPr/>
            </w:pPr>
            <w:r>
              <w:rPr/>
              <w:t> </w:t>
            </w:r>
          </w:p>
        </w:tc>
      </w:tr>
      <w:tr>
        <w:trPr/>
        <w:tc>
          <w:tcPr>
            <w:tcW w:w="5030" w:type="dxa"/>
            <w:tcBorders/>
            <w:shd w:fill="CCEEFF" w:val="clear"/>
            <w:vAlign w:val="center"/>
          </w:tcPr>
          <w:p>
            <w:pPr>
              <w:pStyle w:val="TableContents"/>
              <w:bidi w:val="0"/>
              <w:spacing w:before="0" w:after="283"/>
              <w:jc w:val="both"/>
              <w:rPr>
                <w:rFonts w:ascii="Times New Roman;Times;Serif" w:hAnsi="Times New Roman;Times;Serif"/>
                <w:b/>
              </w:rPr>
            </w:pPr>
            <w:r>
              <w:rPr>
                <w:rFonts w:ascii="Times New Roman;Times;Serif" w:hAnsi="Times New Roman;Times;Serif"/>
                <w:b/>
              </w:rPr>
              <w:t>Financial Liabilities</w:t>
            </w:r>
          </w:p>
        </w:tc>
        <w:tc>
          <w:tcPr>
            <w:tcW w:w="60" w:type="dxa"/>
            <w:tcBorders/>
            <w:shd w:fill="CCEEFF" w:val="clear"/>
            <w:vAlign w:val="center"/>
          </w:tcPr>
          <w:p>
            <w:pPr>
              <w:pStyle w:val="TableContents"/>
              <w:bidi w:val="0"/>
              <w:spacing w:before="0" w:after="283"/>
              <w:jc w:val="left"/>
              <w:rPr/>
            </w:pPr>
            <w:r>
              <w:rPr/>
              <w:t> </w:t>
            </w:r>
          </w:p>
        </w:tc>
        <w:tc>
          <w:tcPr>
            <w:tcW w:w="151" w:type="dxa"/>
            <w:tcBorders/>
            <w:shd w:fill="CCEEFF" w:val="clear"/>
            <w:vAlign w:val="center"/>
          </w:tcPr>
          <w:p>
            <w:pPr>
              <w:pStyle w:val="TableContents"/>
              <w:bidi w:val="0"/>
              <w:spacing w:before="0" w:after="283"/>
              <w:jc w:val="left"/>
              <w:rPr/>
            </w:pPr>
            <w:r>
              <w:rPr/>
              <w:t> </w:t>
            </w:r>
          </w:p>
        </w:tc>
        <w:tc>
          <w:tcPr>
            <w:tcW w:w="604"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63" w:type="dxa"/>
            <w:tcBorders/>
            <w:shd w:fill="CCEEFF" w:val="clear"/>
            <w:vAlign w:val="center"/>
          </w:tcPr>
          <w:p>
            <w:pPr>
              <w:pStyle w:val="TableContents"/>
              <w:bidi w:val="0"/>
              <w:spacing w:before="0" w:after="283"/>
              <w:jc w:val="left"/>
              <w:rPr/>
            </w:pPr>
            <w:r>
              <w:rPr/>
              <w:t> </w:t>
            </w:r>
          </w:p>
        </w:tc>
        <w:tc>
          <w:tcPr>
            <w:tcW w:w="491"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5030" w:type="dxa"/>
            <w:tcBorders/>
            <w:shd w:fill="FFFFFF" w:val="cle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 xml:space="preserve">July 2024 Notes derivative liability </w:t>
            </w:r>
            <w:r>
              <w:rPr>
                <w:rFonts w:ascii="Times New Roman;Times;Serif" w:hAnsi="Times New Roman;Times;Serif"/>
                <w:position w:val="7"/>
                <w:sz w:val="16"/>
                <w:sz w:val="20"/>
              </w:rPr>
              <w:t>(1)</w:t>
            </w:r>
          </w:p>
        </w:tc>
        <w:tc>
          <w:tcPr>
            <w:tcW w:w="60" w:type="dxa"/>
            <w:tcBorders/>
            <w:shd w:fill="FFFFFF" w:val="clear"/>
            <w:vAlign w:val="center"/>
          </w:tcPr>
          <w:p>
            <w:pPr>
              <w:pStyle w:val="TableContents"/>
              <w:bidi w:val="0"/>
              <w:spacing w:before="0" w:after="283"/>
              <w:jc w:val="left"/>
              <w:rPr/>
            </w:pPr>
            <w:r>
              <w:rPr/>
              <w:t> </w:t>
            </w:r>
          </w:p>
        </w:tc>
        <w:tc>
          <w:tcPr>
            <w:tcW w:w="151"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4"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63"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491"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80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14,042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80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14,042</w:t>
            </w:r>
          </w:p>
        </w:tc>
        <w:tc>
          <w:tcPr>
            <w:tcW w:w="75" w:type="dxa"/>
            <w:tcBorders/>
            <w:shd w:fill="FFFFFF" w:val="clear"/>
            <w:vAlign w:val="center"/>
          </w:tcPr>
          <w:p>
            <w:pPr>
              <w:pStyle w:val="TableContents"/>
              <w:bidi w:val="0"/>
              <w:spacing w:before="0" w:after="283"/>
              <w:jc w:val="left"/>
              <w:rPr/>
            </w:pPr>
            <w:r>
              <w:rPr/>
              <w:t> </w:t>
            </w:r>
          </w:p>
        </w:tc>
      </w:tr>
      <w:tr>
        <w:trPr/>
        <w:tc>
          <w:tcPr>
            <w:tcW w:w="5030" w:type="dxa"/>
            <w:tcBorders/>
            <w:shd w:fill="CCEEFF" w:val="cle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 xml:space="preserve">July 2024 Notes derivative liability – related parties </w:t>
            </w:r>
            <w:r>
              <w:rPr>
                <w:rFonts w:ascii="Times New Roman;Times;Serif" w:hAnsi="Times New Roman;Times;Serif"/>
                <w:position w:val="7"/>
                <w:sz w:val="16"/>
                <w:sz w:val="20"/>
              </w:rPr>
              <w:t>(1)</w:t>
            </w:r>
          </w:p>
        </w:tc>
        <w:tc>
          <w:tcPr>
            <w:tcW w:w="60" w:type="dxa"/>
            <w:tcBorders/>
            <w:shd w:fill="CCEEFF" w:val="clear"/>
            <w:vAlign w:val="center"/>
          </w:tcPr>
          <w:p>
            <w:pPr>
              <w:pStyle w:val="TableContents"/>
              <w:bidi w:val="0"/>
              <w:spacing w:before="0" w:after="283"/>
              <w:jc w:val="left"/>
              <w:rPr/>
            </w:pPr>
            <w:r>
              <w:rPr/>
              <w:t> </w:t>
            </w:r>
          </w:p>
        </w:tc>
        <w:tc>
          <w:tcPr>
            <w:tcW w:w="151" w:type="dxa"/>
            <w:tcBorders/>
            <w:shd w:fill="CCEEFF" w:val="clear"/>
            <w:vAlign w:val="center"/>
          </w:tcPr>
          <w:p>
            <w:pPr>
              <w:pStyle w:val="TableContents"/>
              <w:bidi w:val="0"/>
              <w:spacing w:before="0" w:after="283"/>
              <w:jc w:val="left"/>
              <w:rPr/>
            </w:pPr>
            <w:r>
              <w:rPr/>
              <w:t> </w:t>
            </w:r>
          </w:p>
        </w:tc>
        <w:tc>
          <w:tcPr>
            <w:tcW w:w="604"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63" w:type="dxa"/>
            <w:tcBorders/>
            <w:shd w:fill="CCEEFF" w:val="clear"/>
            <w:vAlign w:val="center"/>
          </w:tcPr>
          <w:p>
            <w:pPr>
              <w:pStyle w:val="TableContents"/>
              <w:bidi w:val="0"/>
              <w:spacing w:before="0" w:after="283"/>
              <w:jc w:val="left"/>
              <w:rPr/>
            </w:pPr>
            <w:r>
              <w:rPr/>
              <w:t> </w:t>
            </w:r>
          </w:p>
        </w:tc>
        <w:tc>
          <w:tcPr>
            <w:tcW w:w="491"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9,036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9,036</w:t>
            </w:r>
          </w:p>
        </w:tc>
        <w:tc>
          <w:tcPr>
            <w:tcW w:w="75" w:type="dxa"/>
            <w:tcBorders/>
            <w:shd w:fill="CCEEFF" w:val="clear"/>
            <w:vAlign w:val="center"/>
          </w:tcPr>
          <w:p>
            <w:pPr>
              <w:pStyle w:val="TableContents"/>
              <w:bidi w:val="0"/>
              <w:spacing w:before="0" w:after="283"/>
              <w:jc w:val="left"/>
              <w:rPr/>
            </w:pPr>
            <w:r>
              <w:rPr/>
              <w:t> </w:t>
            </w:r>
          </w:p>
        </w:tc>
      </w:tr>
      <w:tr>
        <w:trPr/>
        <w:tc>
          <w:tcPr>
            <w:tcW w:w="5030" w:type="dxa"/>
            <w:tcBorders/>
            <w:shd w:fill="FFFFFF" w:val="cle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 xml:space="preserve">September 2024 Notes derivative liability </w:t>
            </w:r>
            <w:r>
              <w:rPr>
                <w:rFonts w:ascii="Times New Roman;Times;Serif" w:hAnsi="Times New Roman;Times;Serif"/>
                <w:position w:val="7"/>
                <w:sz w:val="16"/>
                <w:sz w:val="20"/>
              </w:rPr>
              <w:t>(1)</w:t>
            </w:r>
          </w:p>
        </w:tc>
        <w:tc>
          <w:tcPr>
            <w:tcW w:w="60" w:type="dxa"/>
            <w:tcBorders/>
            <w:shd w:fill="FFFFFF" w:val="clear"/>
            <w:vAlign w:val="center"/>
          </w:tcPr>
          <w:p>
            <w:pPr>
              <w:pStyle w:val="TableContents"/>
              <w:bidi w:val="0"/>
              <w:spacing w:before="0" w:after="283"/>
              <w:jc w:val="left"/>
              <w:rPr/>
            </w:pPr>
            <w:r>
              <w:rPr/>
              <w:t> </w:t>
            </w:r>
          </w:p>
        </w:tc>
        <w:tc>
          <w:tcPr>
            <w:tcW w:w="151" w:type="dxa"/>
            <w:tcBorders/>
            <w:shd w:fill="FFFFFF" w:val="clear"/>
            <w:vAlign w:val="center"/>
          </w:tcPr>
          <w:p>
            <w:pPr>
              <w:pStyle w:val="TableContents"/>
              <w:bidi w:val="0"/>
              <w:spacing w:before="0" w:after="283"/>
              <w:jc w:val="left"/>
              <w:rPr/>
            </w:pPr>
            <w:r>
              <w:rPr/>
              <w:t> </w:t>
            </w:r>
          </w:p>
        </w:tc>
        <w:tc>
          <w:tcPr>
            <w:tcW w:w="604"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63" w:type="dxa"/>
            <w:tcBorders/>
            <w:shd w:fill="FFFFFF" w:val="clear"/>
            <w:vAlign w:val="center"/>
          </w:tcPr>
          <w:p>
            <w:pPr>
              <w:pStyle w:val="TableContents"/>
              <w:bidi w:val="0"/>
              <w:spacing w:before="0" w:after="283"/>
              <w:jc w:val="left"/>
              <w:rPr/>
            </w:pPr>
            <w:r>
              <w:rPr/>
              <w:t> </w:t>
            </w:r>
          </w:p>
        </w:tc>
        <w:tc>
          <w:tcPr>
            <w:tcW w:w="491"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26,351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26,351</w:t>
            </w:r>
          </w:p>
        </w:tc>
        <w:tc>
          <w:tcPr>
            <w:tcW w:w="75" w:type="dxa"/>
            <w:tcBorders/>
            <w:shd w:fill="FFFFFF" w:val="clear"/>
            <w:vAlign w:val="center"/>
          </w:tcPr>
          <w:p>
            <w:pPr>
              <w:pStyle w:val="TableContents"/>
              <w:bidi w:val="0"/>
              <w:spacing w:before="0" w:after="283"/>
              <w:jc w:val="left"/>
              <w:rPr/>
            </w:pPr>
            <w:r>
              <w:rPr/>
              <w:t> </w:t>
            </w:r>
          </w:p>
        </w:tc>
      </w:tr>
      <w:tr>
        <w:trPr/>
        <w:tc>
          <w:tcPr>
            <w:tcW w:w="5030" w:type="dxa"/>
            <w:tcBorders/>
            <w:shd w:fill="CCEEFF" w:val="cle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 xml:space="preserve">September 2024 Notes derivative liability – related parties </w:t>
            </w:r>
            <w:r>
              <w:rPr>
                <w:rFonts w:ascii="Times New Roman;Times;Serif" w:hAnsi="Times New Roman;Times;Serif"/>
                <w:position w:val="7"/>
                <w:sz w:val="16"/>
                <w:sz w:val="20"/>
              </w:rPr>
              <w:t>(1)</w:t>
            </w:r>
          </w:p>
        </w:tc>
        <w:tc>
          <w:tcPr>
            <w:tcW w:w="60" w:type="dxa"/>
            <w:tcBorders/>
            <w:shd w:fill="CCEEFF" w:val="clear"/>
            <w:vAlign w:val="center"/>
          </w:tcPr>
          <w:p>
            <w:pPr>
              <w:pStyle w:val="TableContents"/>
              <w:bidi w:val="0"/>
              <w:spacing w:before="0" w:after="283"/>
              <w:jc w:val="left"/>
              <w:rPr/>
            </w:pPr>
            <w:r>
              <w:rPr/>
              <w:t> </w:t>
            </w:r>
          </w:p>
        </w:tc>
        <w:tc>
          <w:tcPr>
            <w:tcW w:w="151" w:type="dxa"/>
            <w:tcBorders/>
            <w:shd w:fill="CCEEFF" w:val="clear"/>
            <w:vAlign w:val="center"/>
          </w:tcPr>
          <w:p>
            <w:pPr>
              <w:pStyle w:val="TableContents"/>
              <w:bidi w:val="0"/>
              <w:spacing w:before="0" w:after="283"/>
              <w:jc w:val="left"/>
              <w:rPr/>
            </w:pPr>
            <w:r>
              <w:rPr/>
              <w:t> </w:t>
            </w:r>
          </w:p>
        </w:tc>
        <w:tc>
          <w:tcPr>
            <w:tcW w:w="604"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63" w:type="dxa"/>
            <w:tcBorders/>
            <w:shd w:fill="CCEEFF" w:val="clear"/>
            <w:vAlign w:val="center"/>
          </w:tcPr>
          <w:p>
            <w:pPr>
              <w:pStyle w:val="TableContents"/>
              <w:bidi w:val="0"/>
              <w:spacing w:before="0" w:after="283"/>
              <w:jc w:val="left"/>
              <w:rPr/>
            </w:pPr>
            <w:r>
              <w:rPr/>
              <w:t> </w:t>
            </w:r>
          </w:p>
        </w:tc>
        <w:tc>
          <w:tcPr>
            <w:tcW w:w="491"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4,286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4,286</w:t>
            </w:r>
          </w:p>
        </w:tc>
        <w:tc>
          <w:tcPr>
            <w:tcW w:w="75" w:type="dxa"/>
            <w:tcBorders/>
            <w:shd w:fill="CCEEFF" w:val="clear"/>
            <w:vAlign w:val="center"/>
          </w:tcPr>
          <w:p>
            <w:pPr>
              <w:pStyle w:val="TableContents"/>
              <w:bidi w:val="0"/>
              <w:spacing w:before="0" w:after="283"/>
              <w:jc w:val="left"/>
              <w:rPr/>
            </w:pPr>
            <w:r>
              <w:rPr/>
              <w:t> </w:t>
            </w:r>
          </w:p>
        </w:tc>
      </w:tr>
      <w:tr>
        <w:trPr/>
        <w:tc>
          <w:tcPr>
            <w:tcW w:w="5030" w:type="dxa"/>
            <w:tcBorders/>
            <w:shd w:fill="FFFFFF" w:val="cle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 xml:space="preserve">July 2025 Note derivative liability– related party </w:t>
            </w:r>
            <w:r>
              <w:rPr>
                <w:rFonts w:ascii="Times New Roman;Times;Serif" w:hAnsi="Times New Roman;Times;Serif"/>
                <w:position w:val="7"/>
                <w:sz w:val="16"/>
                <w:sz w:val="20"/>
              </w:rPr>
              <w:t>(1)</w:t>
            </w:r>
          </w:p>
        </w:tc>
        <w:tc>
          <w:tcPr>
            <w:tcW w:w="60" w:type="dxa"/>
            <w:tcBorders/>
            <w:shd w:fill="FFFFFF" w:val="clear"/>
            <w:vAlign w:val="center"/>
          </w:tcPr>
          <w:p>
            <w:pPr>
              <w:pStyle w:val="TableContents"/>
              <w:bidi w:val="0"/>
              <w:spacing w:before="0" w:after="283"/>
              <w:jc w:val="left"/>
              <w:rPr/>
            </w:pPr>
            <w:r>
              <w:rPr/>
              <w:t> </w:t>
            </w:r>
          </w:p>
        </w:tc>
        <w:tc>
          <w:tcPr>
            <w:tcW w:w="151" w:type="dxa"/>
            <w:tcBorders/>
            <w:shd w:fill="FFFFFF" w:val="clear"/>
            <w:vAlign w:val="center"/>
          </w:tcPr>
          <w:p>
            <w:pPr>
              <w:pStyle w:val="TableContents"/>
              <w:bidi w:val="0"/>
              <w:spacing w:before="0" w:after="283"/>
              <w:jc w:val="left"/>
              <w:rPr/>
            </w:pPr>
            <w:r>
              <w:rPr/>
              <w:t> </w:t>
            </w:r>
          </w:p>
        </w:tc>
        <w:tc>
          <w:tcPr>
            <w:tcW w:w="604"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63" w:type="dxa"/>
            <w:tcBorders/>
            <w:shd w:fill="FFFFFF" w:val="clear"/>
            <w:vAlign w:val="center"/>
          </w:tcPr>
          <w:p>
            <w:pPr>
              <w:pStyle w:val="TableContents"/>
              <w:bidi w:val="0"/>
              <w:spacing w:before="0" w:after="283"/>
              <w:jc w:val="left"/>
              <w:rPr/>
            </w:pPr>
            <w:r>
              <w:rPr/>
              <w:t> </w:t>
            </w:r>
          </w:p>
        </w:tc>
        <w:tc>
          <w:tcPr>
            <w:tcW w:w="491"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2,239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2,239</w:t>
            </w:r>
          </w:p>
        </w:tc>
        <w:tc>
          <w:tcPr>
            <w:tcW w:w="75" w:type="dxa"/>
            <w:tcBorders/>
            <w:shd w:fill="FFFFFF" w:val="clear"/>
            <w:vAlign w:val="center"/>
          </w:tcPr>
          <w:p>
            <w:pPr>
              <w:pStyle w:val="TableContents"/>
              <w:bidi w:val="0"/>
              <w:spacing w:before="0" w:after="283"/>
              <w:jc w:val="left"/>
              <w:rPr/>
            </w:pPr>
            <w:r>
              <w:rPr/>
              <w:t> </w:t>
            </w:r>
          </w:p>
        </w:tc>
      </w:tr>
      <w:tr>
        <w:trPr/>
        <w:tc>
          <w:tcPr>
            <w:tcW w:w="5030" w:type="dxa"/>
            <w:tcBorders/>
            <w:shd w:fill="CCEEFF" w:val="cle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 xml:space="preserve">September 2025 Notes derivative liability </w:t>
            </w:r>
            <w:r>
              <w:rPr>
                <w:rFonts w:ascii="Times New Roman;Times;Serif" w:hAnsi="Times New Roman;Times;Serif"/>
                <w:position w:val="7"/>
                <w:sz w:val="16"/>
                <w:sz w:val="20"/>
              </w:rPr>
              <w:t>(1)</w:t>
            </w:r>
          </w:p>
        </w:tc>
        <w:tc>
          <w:tcPr>
            <w:tcW w:w="60" w:type="dxa"/>
            <w:tcBorders/>
            <w:shd w:fill="CCEEFF" w:val="clear"/>
            <w:vAlign w:val="center"/>
          </w:tcPr>
          <w:p>
            <w:pPr>
              <w:pStyle w:val="TableContents"/>
              <w:bidi w:val="0"/>
              <w:spacing w:before="0" w:after="283"/>
              <w:jc w:val="left"/>
              <w:rPr/>
            </w:pPr>
            <w:r>
              <w:rPr/>
              <w:t> </w:t>
            </w:r>
          </w:p>
        </w:tc>
        <w:tc>
          <w:tcPr>
            <w:tcW w:w="151" w:type="dxa"/>
            <w:tcBorders/>
            <w:shd w:fill="CCEEFF" w:val="clear"/>
            <w:vAlign w:val="center"/>
          </w:tcPr>
          <w:p>
            <w:pPr>
              <w:pStyle w:val="TableContents"/>
              <w:bidi w:val="0"/>
              <w:spacing w:before="0" w:after="283"/>
              <w:jc w:val="left"/>
              <w:rPr/>
            </w:pPr>
            <w:r>
              <w:rPr/>
              <w:t> </w:t>
            </w:r>
          </w:p>
        </w:tc>
        <w:tc>
          <w:tcPr>
            <w:tcW w:w="604"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63" w:type="dxa"/>
            <w:tcBorders/>
            <w:shd w:fill="CCEEFF" w:val="clear"/>
            <w:vAlign w:val="center"/>
          </w:tcPr>
          <w:p>
            <w:pPr>
              <w:pStyle w:val="TableContents"/>
              <w:bidi w:val="0"/>
              <w:spacing w:before="0" w:after="283"/>
              <w:jc w:val="left"/>
              <w:rPr/>
            </w:pPr>
            <w:r>
              <w:rPr/>
              <w:t> </w:t>
            </w:r>
          </w:p>
        </w:tc>
        <w:tc>
          <w:tcPr>
            <w:tcW w:w="491"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10,825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10,825</w:t>
            </w:r>
          </w:p>
        </w:tc>
        <w:tc>
          <w:tcPr>
            <w:tcW w:w="75" w:type="dxa"/>
            <w:tcBorders/>
            <w:shd w:fill="CCEEFF" w:val="clear"/>
            <w:vAlign w:val="center"/>
          </w:tcPr>
          <w:p>
            <w:pPr>
              <w:pStyle w:val="TableContents"/>
              <w:bidi w:val="0"/>
              <w:spacing w:before="0" w:after="283"/>
              <w:jc w:val="left"/>
              <w:rPr/>
            </w:pPr>
            <w:r>
              <w:rPr/>
              <w:t> </w:t>
            </w:r>
          </w:p>
        </w:tc>
      </w:tr>
      <w:tr>
        <w:trPr/>
        <w:tc>
          <w:tcPr>
            <w:tcW w:w="5030" w:type="dxa"/>
            <w:tcBorders/>
            <w:shd w:fill="FFFFFF" w:val="cle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 xml:space="preserve">November 2025 Note derivative liability – related party </w:t>
            </w:r>
            <w:r>
              <w:rPr>
                <w:rFonts w:ascii="Times New Roman;Times;Serif" w:hAnsi="Times New Roman;Times;Serif"/>
                <w:position w:val="7"/>
                <w:sz w:val="16"/>
                <w:sz w:val="20"/>
              </w:rPr>
              <w:t>(1)</w:t>
            </w:r>
          </w:p>
        </w:tc>
        <w:tc>
          <w:tcPr>
            <w:tcW w:w="60" w:type="dxa"/>
            <w:tcBorders/>
            <w:shd w:fill="FFFFFF" w:val="clear"/>
            <w:vAlign w:val="center"/>
          </w:tcPr>
          <w:p>
            <w:pPr>
              <w:pStyle w:val="TableContents"/>
              <w:bidi w:val="0"/>
              <w:spacing w:before="0" w:after="283"/>
              <w:jc w:val="left"/>
              <w:rPr/>
            </w:pPr>
            <w:r>
              <w:rPr/>
              <w:t> </w:t>
            </w:r>
          </w:p>
        </w:tc>
        <w:tc>
          <w:tcPr>
            <w:tcW w:w="151" w:type="dxa"/>
            <w:tcBorders/>
            <w:shd w:fill="FFFFFF" w:val="clear"/>
            <w:vAlign w:val="center"/>
          </w:tcPr>
          <w:p>
            <w:pPr>
              <w:pStyle w:val="TableContents"/>
              <w:bidi w:val="0"/>
              <w:spacing w:before="0" w:after="283"/>
              <w:jc w:val="left"/>
              <w:rPr/>
            </w:pPr>
            <w:r>
              <w:rPr/>
              <w:t> </w:t>
            </w:r>
          </w:p>
        </w:tc>
        <w:tc>
          <w:tcPr>
            <w:tcW w:w="604"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63" w:type="dxa"/>
            <w:tcBorders/>
            <w:shd w:fill="FFFFFF" w:val="clear"/>
            <w:vAlign w:val="center"/>
          </w:tcPr>
          <w:p>
            <w:pPr>
              <w:pStyle w:val="TableContents"/>
              <w:bidi w:val="0"/>
              <w:spacing w:before="0" w:after="283"/>
              <w:jc w:val="left"/>
              <w:rPr/>
            </w:pPr>
            <w:r>
              <w:rPr/>
              <w:t> </w:t>
            </w:r>
          </w:p>
        </w:tc>
        <w:tc>
          <w:tcPr>
            <w:tcW w:w="491"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1,069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1,069</w:t>
            </w:r>
          </w:p>
        </w:tc>
        <w:tc>
          <w:tcPr>
            <w:tcW w:w="75" w:type="dxa"/>
            <w:tcBorders/>
            <w:shd w:fill="FFFFFF" w:val="clear"/>
            <w:vAlign w:val="center"/>
          </w:tcPr>
          <w:p>
            <w:pPr>
              <w:pStyle w:val="TableContents"/>
              <w:bidi w:val="0"/>
              <w:spacing w:before="0" w:after="283"/>
              <w:jc w:val="left"/>
              <w:rPr/>
            </w:pPr>
            <w:r>
              <w:rPr/>
              <w:t> </w:t>
            </w:r>
          </w:p>
        </w:tc>
      </w:tr>
      <w:tr>
        <w:trPr/>
        <w:tc>
          <w:tcPr>
            <w:tcW w:w="5030" w:type="dxa"/>
            <w:tcBorders/>
            <w:shd w:fill="CCEEFF" w:val="cle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January 2026 Note derivative liability – related party</w:t>
            </w:r>
          </w:p>
        </w:tc>
        <w:tc>
          <w:tcPr>
            <w:tcW w:w="60" w:type="dxa"/>
            <w:tcBorders/>
            <w:shd w:fill="CCEEFF" w:val="clear"/>
            <w:vAlign w:val="center"/>
          </w:tcPr>
          <w:p>
            <w:pPr>
              <w:pStyle w:val="TableContents"/>
              <w:bidi w:val="0"/>
              <w:spacing w:before="0" w:after="283"/>
              <w:jc w:val="left"/>
              <w:rPr/>
            </w:pPr>
            <w:r>
              <w:rPr/>
              <w:t> </w:t>
            </w:r>
          </w:p>
        </w:tc>
        <w:tc>
          <w:tcPr>
            <w:tcW w:w="151" w:type="dxa"/>
            <w:tcBorders/>
            <w:shd w:fill="CCEEFF" w:val="clear"/>
            <w:vAlign w:val="center"/>
          </w:tcPr>
          <w:p>
            <w:pPr>
              <w:pStyle w:val="TableContents"/>
              <w:bidi w:val="0"/>
              <w:spacing w:before="0" w:after="283"/>
              <w:jc w:val="left"/>
              <w:rPr/>
            </w:pPr>
            <w:r>
              <w:rPr/>
              <w:t> </w:t>
            </w:r>
          </w:p>
        </w:tc>
        <w:tc>
          <w:tcPr>
            <w:tcW w:w="604"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63" w:type="dxa"/>
            <w:tcBorders/>
            <w:shd w:fill="CCEEFF" w:val="clear"/>
            <w:vAlign w:val="center"/>
          </w:tcPr>
          <w:p>
            <w:pPr>
              <w:pStyle w:val="TableContents"/>
              <w:bidi w:val="0"/>
              <w:spacing w:before="0" w:after="283"/>
              <w:jc w:val="left"/>
              <w:rPr/>
            </w:pPr>
            <w:r>
              <w:rPr/>
              <w:t> </w:t>
            </w:r>
          </w:p>
        </w:tc>
        <w:tc>
          <w:tcPr>
            <w:tcW w:w="491"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1,467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1,467</w:t>
            </w:r>
          </w:p>
        </w:tc>
        <w:tc>
          <w:tcPr>
            <w:tcW w:w="75" w:type="dxa"/>
            <w:tcBorders/>
            <w:shd w:fill="CCEEFF" w:val="clear"/>
            <w:vAlign w:val="center"/>
          </w:tcPr>
          <w:p>
            <w:pPr>
              <w:pStyle w:val="TableContents"/>
              <w:bidi w:val="0"/>
              <w:spacing w:before="0" w:after="283"/>
              <w:jc w:val="left"/>
              <w:rPr/>
            </w:pPr>
            <w:r>
              <w:rPr/>
              <w:t> </w:t>
            </w:r>
          </w:p>
        </w:tc>
      </w:tr>
      <w:tr>
        <w:trPr/>
        <w:tc>
          <w:tcPr>
            <w:tcW w:w="5030" w:type="dxa"/>
            <w:tcBorders/>
            <w:shd w:fill="FFFFFF" w:val="cle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$1.9 Million Note</w:t>
            </w:r>
          </w:p>
        </w:tc>
        <w:tc>
          <w:tcPr>
            <w:tcW w:w="60" w:type="dxa"/>
            <w:tcBorders/>
            <w:shd w:fill="FFFFFF" w:val="clear"/>
            <w:vAlign w:val="center"/>
          </w:tcPr>
          <w:p>
            <w:pPr>
              <w:pStyle w:val="TableContents"/>
              <w:bidi w:val="0"/>
              <w:spacing w:before="0" w:after="283"/>
              <w:jc w:val="left"/>
              <w:rPr/>
            </w:pPr>
            <w:r>
              <w:rPr/>
              <w:t> </w:t>
            </w:r>
          </w:p>
        </w:tc>
        <w:tc>
          <w:tcPr>
            <w:tcW w:w="151" w:type="dxa"/>
            <w:tcBorders/>
            <w:shd w:fill="FFFFFF" w:val="clear"/>
            <w:vAlign w:val="center"/>
          </w:tcPr>
          <w:p>
            <w:pPr>
              <w:pStyle w:val="TableContents"/>
              <w:bidi w:val="0"/>
              <w:spacing w:before="0" w:after="283"/>
              <w:jc w:val="left"/>
              <w:rPr/>
            </w:pPr>
            <w:r>
              <w:rPr/>
              <w:t> </w:t>
            </w:r>
          </w:p>
        </w:tc>
        <w:tc>
          <w:tcPr>
            <w:tcW w:w="604"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63" w:type="dxa"/>
            <w:tcBorders/>
            <w:shd w:fill="FFFFFF" w:val="clear"/>
            <w:vAlign w:val="center"/>
          </w:tcPr>
          <w:p>
            <w:pPr>
              <w:pStyle w:val="TableContents"/>
              <w:bidi w:val="0"/>
              <w:spacing w:before="0" w:after="283"/>
              <w:jc w:val="left"/>
              <w:rPr/>
            </w:pPr>
            <w:r>
              <w:rPr/>
              <w:t> </w:t>
            </w:r>
          </w:p>
        </w:tc>
        <w:tc>
          <w:tcPr>
            <w:tcW w:w="491"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1,530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1,530</w:t>
            </w:r>
          </w:p>
        </w:tc>
        <w:tc>
          <w:tcPr>
            <w:tcW w:w="75" w:type="dxa"/>
            <w:tcBorders/>
            <w:shd w:fill="FFFFFF" w:val="clear"/>
            <w:vAlign w:val="center"/>
          </w:tcPr>
          <w:p>
            <w:pPr>
              <w:pStyle w:val="TableContents"/>
              <w:bidi w:val="0"/>
              <w:spacing w:before="0" w:after="283"/>
              <w:jc w:val="left"/>
              <w:rPr/>
            </w:pPr>
            <w:r>
              <w:rPr/>
              <w:t> </w:t>
            </w:r>
          </w:p>
        </w:tc>
      </w:tr>
      <w:tr>
        <w:trPr/>
        <w:tc>
          <w:tcPr>
            <w:tcW w:w="5030" w:type="dxa"/>
            <w:tcBorders/>
            <w:shd w:fill="CCEEFF" w:val="cle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March 2026 Bridge Note</w:t>
            </w:r>
          </w:p>
        </w:tc>
        <w:tc>
          <w:tcPr>
            <w:tcW w:w="60" w:type="dxa"/>
            <w:tcBorders/>
            <w:shd w:fill="CCEEFF" w:val="clear"/>
            <w:vAlign w:val="center"/>
          </w:tcPr>
          <w:p>
            <w:pPr>
              <w:pStyle w:val="TableContents"/>
              <w:bidi w:val="0"/>
              <w:spacing w:before="0" w:after="283"/>
              <w:jc w:val="left"/>
              <w:rPr/>
            </w:pPr>
            <w:r>
              <w:rPr/>
              <w:t> </w:t>
            </w:r>
          </w:p>
        </w:tc>
        <w:tc>
          <w:tcPr>
            <w:tcW w:w="151" w:type="dxa"/>
            <w:tcBorders/>
            <w:shd w:fill="CCEEFF" w:val="clear"/>
            <w:vAlign w:val="center"/>
          </w:tcPr>
          <w:p>
            <w:pPr>
              <w:pStyle w:val="TableContents"/>
              <w:bidi w:val="0"/>
              <w:spacing w:before="0" w:after="283"/>
              <w:jc w:val="left"/>
              <w:rPr/>
            </w:pPr>
            <w:r>
              <w:rPr/>
              <w:t> </w:t>
            </w:r>
          </w:p>
        </w:tc>
        <w:tc>
          <w:tcPr>
            <w:tcW w:w="604"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63" w:type="dxa"/>
            <w:tcBorders/>
            <w:shd w:fill="CCEEFF" w:val="clear"/>
            <w:vAlign w:val="center"/>
          </w:tcPr>
          <w:p>
            <w:pPr>
              <w:pStyle w:val="TableContents"/>
              <w:bidi w:val="0"/>
              <w:spacing w:before="0" w:after="283"/>
              <w:jc w:val="left"/>
              <w:rPr/>
            </w:pPr>
            <w:r>
              <w:rPr/>
              <w:t> </w:t>
            </w:r>
          </w:p>
        </w:tc>
        <w:tc>
          <w:tcPr>
            <w:tcW w:w="491"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9,500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9,500</w:t>
            </w:r>
          </w:p>
        </w:tc>
        <w:tc>
          <w:tcPr>
            <w:tcW w:w="75" w:type="dxa"/>
            <w:tcBorders/>
            <w:shd w:fill="CCEEFF" w:val="clear"/>
            <w:vAlign w:val="center"/>
          </w:tcPr>
          <w:p>
            <w:pPr>
              <w:pStyle w:val="TableContents"/>
              <w:bidi w:val="0"/>
              <w:spacing w:before="0" w:after="283"/>
              <w:jc w:val="left"/>
              <w:rPr/>
            </w:pPr>
            <w:r>
              <w:rPr/>
              <w:t> </w:t>
            </w:r>
          </w:p>
        </w:tc>
      </w:tr>
      <w:tr>
        <w:trPr/>
        <w:tc>
          <w:tcPr>
            <w:tcW w:w="5030" w:type="dxa"/>
            <w:tcBorders/>
            <w:shd w:fill="FFFFFF" w:val="cle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Forward purchase agreement liabilities</w:t>
            </w:r>
          </w:p>
        </w:tc>
        <w:tc>
          <w:tcPr>
            <w:tcW w:w="60" w:type="dxa"/>
            <w:tcBorders/>
            <w:shd w:fill="FFFFFF" w:val="clear"/>
            <w:vAlign w:val="center"/>
          </w:tcPr>
          <w:p>
            <w:pPr>
              <w:pStyle w:val="TableContents"/>
              <w:bidi w:val="0"/>
              <w:spacing w:before="0" w:after="283"/>
              <w:jc w:val="left"/>
              <w:rPr/>
            </w:pPr>
            <w:r>
              <w:rPr/>
              <w:t> </w:t>
            </w:r>
          </w:p>
        </w:tc>
        <w:tc>
          <w:tcPr>
            <w:tcW w:w="151" w:type="dxa"/>
            <w:tcBorders/>
            <w:shd w:fill="FFFFFF" w:val="clear"/>
            <w:vAlign w:val="center"/>
          </w:tcPr>
          <w:p>
            <w:pPr>
              <w:pStyle w:val="TableContents"/>
              <w:bidi w:val="0"/>
              <w:spacing w:before="0" w:after="283"/>
              <w:jc w:val="left"/>
              <w:rPr/>
            </w:pPr>
            <w:r>
              <w:rPr/>
              <w:t> </w:t>
            </w:r>
          </w:p>
        </w:tc>
        <w:tc>
          <w:tcPr>
            <w:tcW w:w="604"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63" w:type="dxa"/>
            <w:tcBorders/>
            <w:shd w:fill="FFFFFF" w:val="clear"/>
            <w:vAlign w:val="center"/>
          </w:tcPr>
          <w:p>
            <w:pPr>
              <w:pStyle w:val="TableContents"/>
              <w:bidi w:val="0"/>
              <w:spacing w:before="0" w:after="283"/>
              <w:jc w:val="left"/>
              <w:rPr/>
            </w:pPr>
            <w:r>
              <w:rPr/>
              <w:t> </w:t>
            </w:r>
          </w:p>
        </w:tc>
        <w:tc>
          <w:tcPr>
            <w:tcW w:w="491"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5,107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5,107</w:t>
            </w:r>
          </w:p>
        </w:tc>
        <w:tc>
          <w:tcPr>
            <w:tcW w:w="75" w:type="dxa"/>
            <w:tcBorders/>
            <w:shd w:fill="FFFFFF" w:val="clear"/>
            <w:vAlign w:val="center"/>
          </w:tcPr>
          <w:p>
            <w:pPr>
              <w:pStyle w:val="TableContents"/>
              <w:bidi w:val="0"/>
              <w:spacing w:before="0" w:after="283"/>
              <w:jc w:val="left"/>
              <w:rPr/>
            </w:pPr>
            <w:r>
              <w:rPr/>
              <w:t> </w:t>
            </w:r>
          </w:p>
        </w:tc>
      </w:tr>
      <w:tr>
        <w:trPr/>
        <w:tc>
          <w:tcPr>
            <w:tcW w:w="5030" w:type="dxa"/>
            <w:tcBorders/>
            <w:shd w:fill="CCEEFF" w:val="cle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SAFE Agreement with related party</w:t>
            </w:r>
          </w:p>
        </w:tc>
        <w:tc>
          <w:tcPr>
            <w:tcW w:w="60" w:type="dxa"/>
            <w:tcBorders/>
            <w:shd w:fill="CCEEFF" w:val="clear"/>
            <w:vAlign w:val="center"/>
          </w:tcPr>
          <w:p>
            <w:pPr>
              <w:pStyle w:val="TableContents"/>
              <w:bidi w:val="0"/>
              <w:spacing w:before="0" w:after="283"/>
              <w:jc w:val="left"/>
              <w:rPr/>
            </w:pPr>
            <w:r>
              <w:rPr/>
              <w:t> </w:t>
            </w:r>
          </w:p>
        </w:tc>
        <w:tc>
          <w:tcPr>
            <w:tcW w:w="151" w:type="dxa"/>
            <w:tcBorders/>
            <w:shd w:fill="CCEEFF" w:val="clear"/>
            <w:vAlign w:val="center"/>
          </w:tcPr>
          <w:p>
            <w:pPr>
              <w:pStyle w:val="TableContents"/>
              <w:bidi w:val="0"/>
              <w:spacing w:before="0" w:after="283"/>
              <w:jc w:val="left"/>
              <w:rPr/>
            </w:pPr>
            <w:r>
              <w:rPr/>
              <w:t> </w:t>
            </w:r>
          </w:p>
        </w:tc>
        <w:tc>
          <w:tcPr>
            <w:tcW w:w="604"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63" w:type="dxa"/>
            <w:tcBorders/>
            <w:shd w:fill="CCEEFF" w:val="clear"/>
            <w:vAlign w:val="center"/>
          </w:tcPr>
          <w:p>
            <w:pPr>
              <w:pStyle w:val="TableContents"/>
              <w:bidi w:val="0"/>
              <w:spacing w:before="0" w:after="283"/>
              <w:jc w:val="left"/>
              <w:rPr/>
            </w:pPr>
            <w:r>
              <w:rPr/>
              <w:t> </w:t>
            </w:r>
          </w:p>
        </w:tc>
        <w:tc>
          <w:tcPr>
            <w:tcW w:w="491"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579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579</w:t>
            </w:r>
          </w:p>
        </w:tc>
        <w:tc>
          <w:tcPr>
            <w:tcW w:w="75" w:type="dxa"/>
            <w:tcBorders/>
            <w:shd w:fill="CCEEFF" w:val="clear"/>
            <w:vAlign w:val="center"/>
          </w:tcPr>
          <w:p>
            <w:pPr>
              <w:pStyle w:val="TableContents"/>
              <w:bidi w:val="0"/>
              <w:spacing w:before="0" w:after="283"/>
              <w:jc w:val="left"/>
              <w:rPr/>
            </w:pPr>
            <w:r>
              <w:rPr/>
              <w:t> </w:t>
            </w:r>
          </w:p>
        </w:tc>
      </w:tr>
      <w:tr>
        <w:trPr/>
        <w:tc>
          <w:tcPr>
            <w:tcW w:w="5030" w:type="dxa"/>
            <w:tcBorders/>
            <w:shd w:fill="FFFFFF" w:val="cle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Private placement warrants</w:t>
            </w:r>
          </w:p>
        </w:tc>
        <w:tc>
          <w:tcPr>
            <w:tcW w:w="60" w:type="dxa"/>
            <w:tcBorders/>
            <w:shd w:fill="FFFFFF" w:val="clear"/>
            <w:vAlign w:val="center"/>
          </w:tcPr>
          <w:p>
            <w:pPr>
              <w:pStyle w:val="TableContents"/>
              <w:bidi w:val="0"/>
              <w:spacing w:before="0" w:after="283"/>
              <w:jc w:val="left"/>
              <w:rPr/>
            </w:pPr>
            <w:r>
              <w:rPr/>
              <w:t> </w:t>
            </w:r>
          </w:p>
        </w:tc>
        <w:tc>
          <w:tcPr>
            <w:tcW w:w="151" w:type="dxa"/>
            <w:tcBorders/>
            <w:shd w:fill="FFFFFF" w:val="clear"/>
            <w:vAlign w:val="center"/>
          </w:tcPr>
          <w:p>
            <w:pPr>
              <w:pStyle w:val="TableContents"/>
              <w:bidi w:val="0"/>
              <w:spacing w:before="0" w:after="283"/>
              <w:jc w:val="left"/>
              <w:rPr/>
            </w:pPr>
            <w:r>
              <w:rPr/>
              <w:t> </w:t>
            </w:r>
          </w:p>
        </w:tc>
        <w:tc>
          <w:tcPr>
            <w:tcW w:w="604"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63" w:type="dxa"/>
            <w:tcBorders/>
            <w:shd w:fill="FFFFFF" w:val="clear"/>
            <w:vAlign w:val="center"/>
          </w:tcPr>
          <w:p>
            <w:pPr>
              <w:pStyle w:val="TableContents"/>
              <w:bidi w:val="0"/>
              <w:spacing w:before="0" w:after="283"/>
              <w:jc w:val="left"/>
              <w:rPr/>
            </w:pPr>
            <w:r>
              <w:rPr/>
              <w:t> </w:t>
            </w:r>
          </w:p>
        </w:tc>
        <w:tc>
          <w:tcPr>
            <w:tcW w:w="491"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1,504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1,504</w:t>
            </w:r>
          </w:p>
        </w:tc>
        <w:tc>
          <w:tcPr>
            <w:tcW w:w="75" w:type="dxa"/>
            <w:tcBorders/>
            <w:shd w:fill="FFFFFF" w:val="clear"/>
            <w:vAlign w:val="center"/>
          </w:tcPr>
          <w:p>
            <w:pPr>
              <w:pStyle w:val="TableContents"/>
              <w:bidi w:val="0"/>
              <w:spacing w:before="0" w:after="283"/>
              <w:jc w:val="left"/>
              <w:rPr/>
            </w:pPr>
            <w:r>
              <w:rPr/>
              <w:t> </w:t>
            </w:r>
          </w:p>
        </w:tc>
      </w:tr>
      <w:tr>
        <w:trPr/>
        <w:tc>
          <w:tcPr>
            <w:tcW w:w="5030" w:type="dxa"/>
            <w:tcBorders/>
            <w:shd w:fill="CCEEFF" w:val="cle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Working capital warrants</w:t>
            </w:r>
          </w:p>
        </w:tc>
        <w:tc>
          <w:tcPr>
            <w:tcW w:w="60" w:type="dxa"/>
            <w:tcBorders/>
            <w:shd w:fill="CCEEFF" w:val="clear"/>
            <w:vAlign w:val="center"/>
          </w:tcPr>
          <w:p>
            <w:pPr>
              <w:pStyle w:val="TableContents"/>
              <w:bidi w:val="0"/>
              <w:spacing w:before="0" w:after="283"/>
              <w:jc w:val="left"/>
              <w:rPr/>
            </w:pPr>
            <w:r>
              <w:rPr/>
              <w:t> </w:t>
            </w:r>
          </w:p>
        </w:tc>
        <w:tc>
          <w:tcPr>
            <w:tcW w:w="151" w:type="dxa"/>
            <w:tcBorders/>
            <w:shd w:fill="CCEEFF" w:val="clear"/>
            <w:vAlign w:val="center"/>
          </w:tcPr>
          <w:p>
            <w:pPr>
              <w:pStyle w:val="TableContents"/>
              <w:bidi w:val="0"/>
              <w:spacing w:before="0" w:after="283"/>
              <w:jc w:val="left"/>
              <w:rPr/>
            </w:pPr>
            <w:r>
              <w:rPr/>
              <w:t> </w:t>
            </w:r>
          </w:p>
        </w:tc>
        <w:tc>
          <w:tcPr>
            <w:tcW w:w="604"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63" w:type="dxa"/>
            <w:tcBorders/>
            <w:shd w:fill="CCEEFF" w:val="clear"/>
            <w:vAlign w:val="center"/>
          </w:tcPr>
          <w:p>
            <w:pPr>
              <w:pStyle w:val="TableContents"/>
              <w:bidi w:val="0"/>
              <w:spacing w:before="0" w:after="283"/>
              <w:jc w:val="left"/>
              <w:rPr/>
            </w:pPr>
            <w:r>
              <w:rPr/>
              <w:t> </w:t>
            </w:r>
          </w:p>
        </w:tc>
        <w:tc>
          <w:tcPr>
            <w:tcW w:w="491"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172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172</w:t>
            </w:r>
          </w:p>
        </w:tc>
        <w:tc>
          <w:tcPr>
            <w:tcW w:w="75" w:type="dxa"/>
            <w:tcBorders/>
            <w:shd w:fill="CCEEFF" w:val="clear"/>
            <w:vAlign w:val="center"/>
          </w:tcPr>
          <w:p>
            <w:pPr>
              <w:pStyle w:val="TableContents"/>
              <w:bidi w:val="0"/>
              <w:spacing w:before="0" w:after="283"/>
              <w:jc w:val="left"/>
              <w:rPr/>
            </w:pPr>
            <w:r>
              <w:rPr/>
              <w:t> </w:t>
            </w:r>
          </w:p>
        </w:tc>
      </w:tr>
      <w:tr>
        <w:trPr/>
        <w:tc>
          <w:tcPr>
            <w:tcW w:w="5030" w:type="dxa"/>
            <w:tcBorders/>
            <w:shd w:fill="FFFFFF" w:val="cle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Public warrants</w:t>
            </w:r>
          </w:p>
        </w:tc>
        <w:tc>
          <w:tcPr>
            <w:tcW w:w="60" w:type="dxa"/>
            <w:tcBorders/>
            <w:shd w:fill="FFFFFF" w:val="clear"/>
            <w:vAlign w:val="center"/>
          </w:tcPr>
          <w:p>
            <w:pPr>
              <w:pStyle w:val="TableContents"/>
              <w:bidi w:val="0"/>
              <w:spacing w:before="0" w:after="283"/>
              <w:jc w:val="left"/>
              <w:rPr/>
            </w:pPr>
            <w:r>
              <w:rPr/>
              <w:t> </w:t>
            </w:r>
          </w:p>
        </w:tc>
        <w:tc>
          <w:tcPr>
            <w:tcW w:w="151" w:type="dxa"/>
            <w:tcBorders/>
            <w:shd w:fill="FFFFFF" w:val="clear"/>
            <w:vAlign w:val="center"/>
          </w:tcPr>
          <w:p>
            <w:pPr>
              <w:pStyle w:val="TableContents"/>
              <w:bidi w:val="0"/>
              <w:spacing w:before="0" w:after="283"/>
              <w:jc w:val="left"/>
              <w:rPr/>
            </w:pPr>
            <w:r>
              <w:rPr/>
              <w:t> </w:t>
            </w:r>
          </w:p>
        </w:tc>
        <w:tc>
          <w:tcPr>
            <w:tcW w:w="604"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2,070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63" w:type="dxa"/>
            <w:tcBorders/>
            <w:shd w:fill="FFFFFF" w:val="clear"/>
            <w:vAlign w:val="center"/>
          </w:tcPr>
          <w:p>
            <w:pPr>
              <w:pStyle w:val="TableContents"/>
              <w:bidi w:val="0"/>
              <w:spacing w:before="0" w:after="283"/>
              <w:jc w:val="left"/>
              <w:rPr/>
            </w:pPr>
            <w:r>
              <w:rPr/>
              <w:t> </w:t>
            </w:r>
          </w:p>
        </w:tc>
        <w:tc>
          <w:tcPr>
            <w:tcW w:w="491"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2,070</w:t>
            </w:r>
          </w:p>
        </w:tc>
        <w:tc>
          <w:tcPr>
            <w:tcW w:w="75" w:type="dxa"/>
            <w:tcBorders/>
            <w:shd w:fill="FFFFFF" w:val="clear"/>
            <w:vAlign w:val="center"/>
          </w:tcPr>
          <w:p>
            <w:pPr>
              <w:pStyle w:val="TableContents"/>
              <w:bidi w:val="0"/>
              <w:spacing w:before="0" w:after="283"/>
              <w:jc w:val="left"/>
              <w:rPr/>
            </w:pPr>
            <w:r>
              <w:rPr/>
              <w:t> </w:t>
            </w:r>
          </w:p>
        </w:tc>
      </w:tr>
      <w:tr>
        <w:trPr/>
        <w:tc>
          <w:tcPr>
            <w:tcW w:w="5030" w:type="dxa"/>
            <w:tcBorders/>
            <w:shd w:fill="CCEEFF" w:val="cle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Deferred Cobalt Consideration Shares</w:t>
            </w:r>
          </w:p>
        </w:tc>
        <w:tc>
          <w:tcPr>
            <w:tcW w:w="60" w:type="dxa"/>
            <w:tcBorders/>
            <w:shd w:fill="CCEEFF" w:val="clear"/>
            <w:vAlign w:val="center"/>
          </w:tcPr>
          <w:p>
            <w:pPr>
              <w:pStyle w:val="TableContents"/>
              <w:bidi w:val="0"/>
              <w:spacing w:before="0" w:after="283"/>
              <w:jc w:val="left"/>
              <w:rPr/>
            </w:pPr>
            <w:r>
              <w:rPr/>
              <w:t> </w:t>
            </w:r>
          </w:p>
        </w:tc>
        <w:tc>
          <w:tcPr>
            <w:tcW w:w="151" w:type="dxa"/>
            <w:tcBorders/>
            <w:shd w:fill="CCEEFF" w:val="clear"/>
            <w:vAlign w:val="center"/>
          </w:tcPr>
          <w:p>
            <w:pPr>
              <w:pStyle w:val="TableContents"/>
              <w:bidi w:val="0"/>
              <w:spacing w:before="0" w:after="283"/>
              <w:jc w:val="left"/>
              <w:rPr/>
            </w:pPr>
            <w:r>
              <w:rPr/>
              <w:t> </w:t>
            </w:r>
          </w:p>
        </w:tc>
        <w:tc>
          <w:tcPr>
            <w:tcW w:w="604"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63" w:type="dxa"/>
            <w:tcBorders/>
            <w:shd w:fill="CCEEFF" w:val="clear"/>
            <w:vAlign w:val="center"/>
          </w:tcPr>
          <w:p>
            <w:pPr>
              <w:pStyle w:val="TableContents"/>
              <w:bidi w:val="0"/>
              <w:spacing w:before="0" w:after="283"/>
              <w:jc w:val="left"/>
              <w:rPr/>
            </w:pPr>
            <w:r>
              <w:rPr/>
              <w:t> </w:t>
            </w:r>
          </w:p>
        </w:tc>
        <w:tc>
          <w:tcPr>
            <w:tcW w:w="491"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6,331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6,331</w:t>
            </w:r>
          </w:p>
        </w:tc>
        <w:tc>
          <w:tcPr>
            <w:tcW w:w="75" w:type="dxa"/>
            <w:tcBorders/>
            <w:shd w:fill="CCEEFF" w:val="clear"/>
            <w:vAlign w:val="center"/>
          </w:tcPr>
          <w:p>
            <w:pPr>
              <w:pStyle w:val="TableContents"/>
              <w:bidi w:val="0"/>
              <w:spacing w:before="0" w:after="283"/>
              <w:jc w:val="left"/>
              <w:rPr/>
            </w:pPr>
            <w:r>
              <w:rPr/>
              <w:t> </w:t>
            </w:r>
          </w:p>
        </w:tc>
      </w:tr>
      <w:tr>
        <w:trPr/>
        <w:tc>
          <w:tcPr>
            <w:tcW w:w="5030" w:type="dxa"/>
            <w:tcBorders/>
            <w:shd w:fill="FFFFFF" w:val="cle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Deferred Ambia Consideration Shares</w:t>
            </w:r>
          </w:p>
        </w:tc>
        <w:tc>
          <w:tcPr>
            <w:tcW w:w="60" w:type="dxa"/>
            <w:tcBorders/>
            <w:shd w:fill="FFFFFF" w:val="clear"/>
            <w:vAlign w:val="center"/>
          </w:tcPr>
          <w:p>
            <w:pPr>
              <w:pStyle w:val="TableContents"/>
              <w:bidi w:val="0"/>
              <w:spacing w:before="0" w:after="283"/>
              <w:jc w:val="left"/>
              <w:rPr/>
            </w:pPr>
            <w:r>
              <w:rPr/>
              <w:t> </w:t>
            </w:r>
          </w:p>
        </w:tc>
        <w:tc>
          <w:tcPr>
            <w:tcW w:w="151"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604"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63"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491"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800"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13,936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800"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13,936</w:t>
            </w:r>
          </w:p>
        </w:tc>
        <w:tc>
          <w:tcPr>
            <w:tcW w:w="75" w:type="dxa"/>
            <w:tcBorders/>
            <w:shd w:fill="FFFFFF" w:val="clear"/>
            <w:vAlign w:val="center"/>
          </w:tcPr>
          <w:p>
            <w:pPr>
              <w:pStyle w:val="TableContents"/>
              <w:bidi w:val="0"/>
              <w:spacing w:before="0" w:after="283"/>
              <w:jc w:val="left"/>
              <w:rPr/>
            </w:pPr>
            <w:r>
              <w:rPr/>
              <w:t> </w:t>
            </w:r>
          </w:p>
        </w:tc>
      </w:tr>
      <w:tr>
        <w:trPr/>
        <w:tc>
          <w:tcPr>
            <w:tcW w:w="5030" w:type="dxa"/>
            <w:tcBorders/>
            <w:shd w:fill="CCEEFF" w:val="cle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Total</w:t>
            </w:r>
          </w:p>
        </w:tc>
        <w:tc>
          <w:tcPr>
            <w:tcW w:w="60" w:type="dxa"/>
            <w:tcBorders/>
            <w:shd w:fill="CCEEFF" w:val="clear"/>
            <w:vAlign w:val="center"/>
          </w:tcPr>
          <w:p>
            <w:pPr>
              <w:pStyle w:val="TableContents"/>
              <w:bidi w:val="0"/>
              <w:spacing w:before="0" w:after="283"/>
              <w:jc w:val="left"/>
              <w:rPr/>
            </w:pPr>
            <w:r>
              <w:rPr/>
              <w:t> </w:t>
            </w:r>
          </w:p>
        </w:tc>
        <w:tc>
          <w:tcPr>
            <w:tcW w:w="151" w:type="dxa"/>
            <w:tcBorders>
              <w:bottom w:val="double" w:sz="10"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4" w:type="dxa"/>
            <w:tcBorders>
              <w:bottom w:val="double" w:sz="10"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2,070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63" w:type="dxa"/>
            <w:tcBorders>
              <w:bottom w:val="double" w:sz="10"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491" w:type="dxa"/>
            <w:tcBorders>
              <w:bottom w:val="double" w:sz="10" w:space="0" w:color="000000"/>
            </w:tcBorders>
            <w:shd w:fill="CCEEFF" w:val="clear"/>
            <w:tcMar>
              <w:bottom w:w="28" w:type="dxa"/>
            </w:tcM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10"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800" w:type="dxa"/>
            <w:tcBorders>
              <w:bottom w:val="double" w:sz="10"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107,974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10"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800" w:type="dxa"/>
            <w:tcBorders>
              <w:bottom w:val="double" w:sz="10"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110,044</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sz w:val="20"/>
          <w:bdr w:val="single" w:sz="12" w:space="1" w:color="000000"/>
        </w:rPr>
      </w:pPr>
      <w:r>
        <w:rPr>
          <w:sz w:val="20"/>
          <w:bdr w:val="single" w:sz="12" w:space="1" w:color="000000"/>
        </w:rPr>
        <w:t>F-19</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tbl>
      <w:tblPr>
        <w:tblW w:w="8979" w:type="dxa"/>
        <w:jc w:val="left"/>
        <w:tblInd w:w="0" w:type="dxa"/>
        <w:tblLayout w:type="fixed"/>
        <w:tblCellMar>
          <w:top w:w="0" w:type="dxa"/>
          <w:left w:w="0" w:type="dxa"/>
          <w:bottom w:w="0" w:type="dxa"/>
          <w:right w:w="0" w:type="dxa"/>
        </w:tblCellMar>
      </w:tblPr>
      <w:tblGrid>
        <w:gridCol w:w="5030"/>
        <w:gridCol w:w="60"/>
        <w:gridCol w:w="140"/>
        <w:gridCol w:w="680"/>
        <w:gridCol w:w="60"/>
        <w:gridCol w:w="60"/>
        <w:gridCol w:w="263"/>
        <w:gridCol w:w="491"/>
        <w:gridCol w:w="60"/>
        <w:gridCol w:w="60"/>
        <w:gridCol w:w="140"/>
        <w:gridCol w:w="800"/>
        <w:gridCol w:w="60"/>
        <w:gridCol w:w="60"/>
        <w:gridCol w:w="140"/>
        <w:gridCol w:w="800"/>
        <w:gridCol w:w="75"/>
      </w:tblGrid>
      <w:tr>
        <w:trPr/>
        <w:tc>
          <w:tcPr>
            <w:tcW w:w="5030"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p>
        </w:tc>
        <w:tc>
          <w:tcPr>
            <w:tcW w:w="3814" w:type="dxa"/>
            <w:gridSpan w:val="14"/>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As of December 28, 2025</w:t>
            </w:r>
          </w:p>
        </w:tc>
        <w:tc>
          <w:tcPr>
            <w:tcW w:w="75" w:type="dxa"/>
            <w:tcBorders/>
            <w:vAlign w:val="center"/>
          </w:tcPr>
          <w:p>
            <w:pPr>
              <w:pStyle w:val="TableContents"/>
              <w:bidi w:val="0"/>
              <w:spacing w:before="0" w:after="283"/>
              <w:jc w:val="left"/>
              <w:rPr/>
            </w:pPr>
            <w:r>
              <w:rPr/>
              <w:t> </w:t>
            </w:r>
          </w:p>
        </w:tc>
      </w:tr>
      <w:tr>
        <w:trPr/>
        <w:tc>
          <w:tcPr>
            <w:tcW w:w="5030"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p>
        </w:tc>
        <w:tc>
          <w:tcPr>
            <w:tcW w:w="820"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Level 1</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54"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Level 2</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40"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Level 3</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40"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Total</w:t>
            </w:r>
          </w:p>
        </w:tc>
        <w:tc>
          <w:tcPr>
            <w:tcW w:w="75" w:type="dxa"/>
            <w:tcBorders/>
            <w:vAlign w:val="center"/>
          </w:tcPr>
          <w:p>
            <w:pPr>
              <w:pStyle w:val="TableContents"/>
              <w:bidi w:val="0"/>
              <w:spacing w:before="0" w:after="283"/>
              <w:jc w:val="left"/>
              <w:rPr/>
            </w:pPr>
            <w:r>
              <w:rPr/>
              <w:t> </w:t>
            </w:r>
          </w:p>
        </w:tc>
      </w:tr>
      <w:tr>
        <w:trPr/>
        <w:tc>
          <w:tcPr>
            <w:tcW w:w="5030" w:type="dxa"/>
            <w:tcBorders/>
            <w:vAlign w:val="center"/>
          </w:tcPr>
          <w:p>
            <w:pPr>
              <w:pStyle w:val="TableContents"/>
              <w:bidi w:val="0"/>
              <w:spacing w:before="0" w:after="283"/>
              <w:jc w:val="both"/>
              <w:rPr>
                <w:rFonts w:ascii="Times New Roman;Times;Serif" w:hAnsi="Times New Roman;Times;Serif"/>
                <w:b/>
              </w:rPr>
            </w:pPr>
            <w:r>
              <w:rPr>
                <w:rFonts w:ascii="Times New Roman;Times;Serif" w:hAnsi="Times New Roman;Times;Serif"/>
                <w:b/>
              </w:rPr>
              <w:t>Financial Assets</w:t>
            </w:r>
          </w:p>
        </w:tc>
        <w:tc>
          <w:tcPr>
            <w:tcW w:w="60" w:type="dxa"/>
            <w:tcBorders/>
            <w:vAlign w:val="center"/>
          </w:tcPr>
          <w:p>
            <w:pPr>
              <w:pStyle w:val="TableContents"/>
              <w:bidi w:val="0"/>
              <w:spacing w:before="0" w:after="283"/>
              <w:jc w:val="left"/>
              <w:rPr/>
            </w:pPr>
            <w:r>
              <w:rPr/>
              <w:t> </w:t>
            </w:r>
          </w:p>
        </w:tc>
        <w:tc>
          <w:tcPr>
            <w:tcW w:w="820" w:type="dxa"/>
            <w:gridSpan w:val="2"/>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54" w:type="dxa"/>
            <w:gridSpan w:val="2"/>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40" w:type="dxa"/>
            <w:gridSpan w:val="2"/>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40" w:type="dxa"/>
            <w:gridSpan w:val="2"/>
            <w:tcBorders/>
            <w:vAlign w:val="center"/>
          </w:tcPr>
          <w:p>
            <w:pPr>
              <w:pStyle w:val="TableContents"/>
              <w:bidi w:val="0"/>
              <w:spacing w:before="0" w:after="283"/>
              <w:jc w:val="right"/>
              <w:rPr/>
            </w:pPr>
            <w:r>
              <w:rPr/>
              <w:t> </w:t>
            </w:r>
          </w:p>
        </w:tc>
        <w:tc>
          <w:tcPr>
            <w:tcW w:w="75" w:type="dxa"/>
            <w:tcBorders/>
            <w:vAlign w:val="center"/>
          </w:tcPr>
          <w:p>
            <w:pPr>
              <w:pStyle w:val="TableContents"/>
              <w:bidi w:val="0"/>
              <w:spacing w:before="0" w:after="283"/>
              <w:jc w:val="left"/>
              <w:rPr/>
            </w:pPr>
            <w:r>
              <w:rPr/>
              <w:t> </w:t>
            </w:r>
          </w:p>
        </w:tc>
      </w:tr>
      <w:tr>
        <w:trPr/>
        <w:tc>
          <w:tcPr>
            <w:tcW w:w="5030" w:type="dxa"/>
            <w:tcBorders/>
            <w:shd w:fill="CCEEFF" w:val="cle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Restricted cash</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80"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3,841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63" w:type="dxa"/>
            <w:tcBorders>
              <w:bottom w:val="single" w:sz="12"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491"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800"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800"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3,841</w:t>
            </w:r>
          </w:p>
        </w:tc>
        <w:tc>
          <w:tcPr>
            <w:tcW w:w="75" w:type="dxa"/>
            <w:tcBorders/>
            <w:shd w:fill="CCEEFF" w:val="clear"/>
            <w:vAlign w:val="center"/>
          </w:tcPr>
          <w:p>
            <w:pPr>
              <w:pStyle w:val="TableContents"/>
              <w:bidi w:val="0"/>
              <w:spacing w:before="0" w:after="283"/>
              <w:jc w:val="left"/>
              <w:rPr/>
            </w:pPr>
            <w:r>
              <w:rPr/>
              <w:t> </w:t>
            </w:r>
          </w:p>
        </w:tc>
      </w:tr>
      <w:tr>
        <w:trPr/>
        <w:tc>
          <w:tcPr>
            <w:tcW w:w="503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Total</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10"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80" w:type="dxa"/>
            <w:tcBorders>
              <w:bottom w:val="double" w:sz="10"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3,841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63" w:type="dxa"/>
            <w:tcBorders>
              <w:bottom w:val="double" w:sz="10"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491" w:type="dxa"/>
            <w:tcBorders>
              <w:bottom w:val="double" w:sz="10" w:space="0" w:color="000000"/>
            </w:tcBorders>
            <w:shd w:fill="FFFFFF" w:val="clear"/>
            <w:tcMar>
              <w:bottom w:w="28" w:type="dxa"/>
            </w:tcM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10"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800" w:type="dxa"/>
            <w:tcBorders>
              <w:bottom w:val="double" w:sz="10" w:space="0" w:color="000000"/>
            </w:tcBorders>
            <w:shd w:fill="FFFFFF" w:val="clear"/>
            <w:tcMar>
              <w:bottom w:w="28" w:type="dxa"/>
            </w:tcM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10"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800" w:type="dxa"/>
            <w:tcBorders>
              <w:bottom w:val="double" w:sz="10"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3,841</w:t>
            </w:r>
          </w:p>
        </w:tc>
        <w:tc>
          <w:tcPr>
            <w:tcW w:w="75" w:type="dxa"/>
            <w:tcBorders/>
            <w:shd w:fill="FFFFFF" w:val="clear"/>
            <w:vAlign w:val="center"/>
          </w:tcPr>
          <w:p>
            <w:pPr>
              <w:pStyle w:val="TableContents"/>
              <w:bidi w:val="0"/>
              <w:spacing w:before="0" w:after="283"/>
              <w:jc w:val="left"/>
              <w:rPr/>
            </w:pPr>
            <w:r>
              <w:rPr/>
              <w:t> </w:t>
            </w:r>
          </w:p>
        </w:tc>
      </w:tr>
      <w:tr>
        <w:trPr/>
        <w:tc>
          <w:tcPr>
            <w:tcW w:w="5030" w:type="dxa"/>
            <w:tcBorders/>
            <w:shd w:fill="CCEEFF" w:val="clear"/>
            <w:vAlign w:val="center"/>
          </w:tcPr>
          <w:p>
            <w:pPr>
              <w:pStyle w:val="TableContents"/>
              <w:bidi w:val="0"/>
              <w:spacing w:before="0" w:after="283"/>
              <w:jc w:val="both"/>
              <w:rPr>
                <w:rFonts w:ascii="Times New Roman;Times;Serif" w:hAnsi="Times New Roman;Times;Serif"/>
                <w:b/>
              </w:rPr>
            </w:pPr>
            <w:r>
              <w:rPr>
                <w:rFonts w:ascii="Times New Roman;Times;Serif" w:hAnsi="Times New Roman;Times;Serif"/>
                <w:b/>
              </w:rPr>
              <w:t>Financial Liabilities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63" w:type="dxa"/>
            <w:tcBorders/>
            <w:shd w:fill="CCEEFF" w:val="clear"/>
            <w:vAlign w:val="center"/>
          </w:tcPr>
          <w:p>
            <w:pPr>
              <w:pStyle w:val="TableContents"/>
              <w:bidi w:val="0"/>
              <w:spacing w:before="0" w:after="283"/>
              <w:jc w:val="left"/>
              <w:rPr/>
            </w:pPr>
            <w:r>
              <w:rPr/>
              <w:t> </w:t>
            </w:r>
          </w:p>
        </w:tc>
        <w:tc>
          <w:tcPr>
            <w:tcW w:w="491"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5030" w:type="dxa"/>
            <w:tcBorders/>
            <w:shd w:fill="FFFFFF" w:val="cle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 xml:space="preserve">July 2024 Notes derivative liability </w:t>
            </w:r>
            <w:r>
              <w:rPr>
                <w:rFonts w:ascii="Times New Roman;Times;Serif" w:hAnsi="Times New Roman;Times;Serif"/>
                <w:position w:val="7"/>
                <w:sz w:val="16"/>
                <w:sz w:val="20"/>
              </w:rPr>
              <w:t>(1)</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8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63"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491"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80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19,604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80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19,604</w:t>
            </w:r>
          </w:p>
        </w:tc>
        <w:tc>
          <w:tcPr>
            <w:tcW w:w="75" w:type="dxa"/>
            <w:tcBorders/>
            <w:shd w:fill="FFFFFF" w:val="clear"/>
            <w:vAlign w:val="center"/>
          </w:tcPr>
          <w:p>
            <w:pPr>
              <w:pStyle w:val="TableContents"/>
              <w:bidi w:val="0"/>
              <w:spacing w:before="0" w:after="283"/>
              <w:jc w:val="left"/>
              <w:rPr/>
            </w:pPr>
            <w:r>
              <w:rPr/>
              <w:t> </w:t>
            </w:r>
          </w:p>
        </w:tc>
      </w:tr>
      <w:tr>
        <w:trPr/>
        <w:tc>
          <w:tcPr>
            <w:tcW w:w="5030" w:type="dxa"/>
            <w:tcBorders/>
            <w:shd w:fill="CCEEFF" w:val="cle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 xml:space="preserve">July 2024 Notes derivative liability – related parties </w:t>
            </w:r>
            <w:r>
              <w:rPr>
                <w:rFonts w:ascii="Times New Roman;Times;Serif" w:hAnsi="Times New Roman;Times;Serif"/>
                <w:position w:val="7"/>
                <w:sz w:val="16"/>
                <w:sz w:val="20"/>
              </w:rPr>
              <w:t>(1)</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63" w:type="dxa"/>
            <w:tcBorders/>
            <w:shd w:fill="CCEEFF" w:val="clear"/>
            <w:vAlign w:val="center"/>
          </w:tcPr>
          <w:p>
            <w:pPr>
              <w:pStyle w:val="TableContents"/>
              <w:bidi w:val="0"/>
              <w:spacing w:before="0" w:after="283"/>
              <w:jc w:val="left"/>
              <w:rPr/>
            </w:pPr>
            <w:r>
              <w:rPr/>
              <w:t> </w:t>
            </w:r>
          </w:p>
        </w:tc>
        <w:tc>
          <w:tcPr>
            <w:tcW w:w="491"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12,615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12,615</w:t>
            </w:r>
          </w:p>
        </w:tc>
        <w:tc>
          <w:tcPr>
            <w:tcW w:w="75" w:type="dxa"/>
            <w:tcBorders/>
            <w:shd w:fill="CCEEFF" w:val="clear"/>
            <w:vAlign w:val="center"/>
          </w:tcPr>
          <w:p>
            <w:pPr>
              <w:pStyle w:val="TableContents"/>
              <w:bidi w:val="0"/>
              <w:spacing w:before="0" w:after="283"/>
              <w:jc w:val="left"/>
              <w:rPr/>
            </w:pPr>
            <w:r>
              <w:rPr/>
              <w:t> </w:t>
            </w:r>
          </w:p>
        </w:tc>
      </w:tr>
      <w:tr>
        <w:trPr/>
        <w:tc>
          <w:tcPr>
            <w:tcW w:w="5030" w:type="dxa"/>
            <w:tcBorders/>
            <w:shd w:fill="FFFFFF" w:val="cle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 xml:space="preserve">September 2024 Notes derivative liability </w:t>
            </w:r>
            <w:r>
              <w:rPr>
                <w:rFonts w:ascii="Times New Roman;Times;Serif" w:hAnsi="Times New Roman;Times;Serif"/>
                <w:position w:val="7"/>
                <w:sz w:val="16"/>
                <w:sz w:val="20"/>
              </w:rPr>
              <w:t>(1)</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63" w:type="dxa"/>
            <w:tcBorders/>
            <w:shd w:fill="FFFFFF" w:val="clear"/>
            <w:vAlign w:val="center"/>
          </w:tcPr>
          <w:p>
            <w:pPr>
              <w:pStyle w:val="TableContents"/>
              <w:bidi w:val="0"/>
              <w:spacing w:before="0" w:after="283"/>
              <w:jc w:val="left"/>
              <w:rPr/>
            </w:pPr>
            <w:r>
              <w:rPr/>
              <w:t> </w:t>
            </w:r>
          </w:p>
        </w:tc>
        <w:tc>
          <w:tcPr>
            <w:tcW w:w="491"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37,930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37,930</w:t>
            </w:r>
          </w:p>
        </w:tc>
        <w:tc>
          <w:tcPr>
            <w:tcW w:w="75" w:type="dxa"/>
            <w:tcBorders/>
            <w:shd w:fill="FFFFFF" w:val="clear"/>
            <w:vAlign w:val="center"/>
          </w:tcPr>
          <w:p>
            <w:pPr>
              <w:pStyle w:val="TableContents"/>
              <w:bidi w:val="0"/>
              <w:spacing w:before="0" w:after="283"/>
              <w:jc w:val="left"/>
              <w:rPr/>
            </w:pPr>
            <w:r>
              <w:rPr/>
              <w:t> </w:t>
            </w:r>
          </w:p>
        </w:tc>
      </w:tr>
      <w:tr>
        <w:trPr/>
        <w:tc>
          <w:tcPr>
            <w:tcW w:w="5030" w:type="dxa"/>
            <w:tcBorders/>
            <w:shd w:fill="CCEEFF" w:val="cle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 xml:space="preserve">September 2024 Notes derivative liability – related parties </w:t>
            </w:r>
            <w:r>
              <w:rPr>
                <w:rFonts w:ascii="Times New Roman;Times;Serif" w:hAnsi="Times New Roman;Times;Serif"/>
                <w:position w:val="7"/>
                <w:sz w:val="16"/>
                <w:sz w:val="20"/>
              </w:rPr>
              <w:t>(1)</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63" w:type="dxa"/>
            <w:tcBorders/>
            <w:shd w:fill="CCEEFF" w:val="clear"/>
            <w:vAlign w:val="center"/>
          </w:tcPr>
          <w:p>
            <w:pPr>
              <w:pStyle w:val="TableContents"/>
              <w:bidi w:val="0"/>
              <w:spacing w:before="0" w:after="283"/>
              <w:jc w:val="left"/>
              <w:rPr/>
            </w:pPr>
            <w:r>
              <w:rPr/>
              <w:t> </w:t>
            </w:r>
          </w:p>
        </w:tc>
        <w:tc>
          <w:tcPr>
            <w:tcW w:w="491"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5,870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5,870</w:t>
            </w:r>
          </w:p>
        </w:tc>
        <w:tc>
          <w:tcPr>
            <w:tcW w:w="75" w:type="dxa"/>
            <w:tcBorders/>
            <w:shd w:fill="CCEEFF" w:val="clear"/>
            <w:vAlign w:val="center"/>
          </w:tcPr>
          <w:p>
            <w:pPr>
              <w:pStyle w:val="TableContents"/>
              <w:bidi w:val="0"/>
              <w:spacing w:before="0" w:after="283"/>
              <w:jc w:val="left"/>
              <w:rPr/>
            </w:pPr>
            <w:r>
              <w:rPr/>
              <w:t> </w:t>
            </w:r>
          </w:p>
        </w:tc>
      </w:tr>
      <w:tr>
        <w:trPr/>
        <w:tc>
          <w:tcPr>
            <w:tcW w:w="5030" w:type="dxa"/>
            <w:tcBorders/>
            <w:shd w:fill="FFFFFF" w:val="cle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 xml:space="preserve">July 2025 Note derivative liability– related party </w:t>
            </w:r>
            <w:r>
              <w:rPr>
                <w:rFonts w:ascii="Times New Roman;Times;Serif" w:hAnsi="Times New Roman;Times;Serif"/>
                <w:position w:val="7"/>
                <w:sz w:val="16"/>
                <w:sz w:val="20"/>
              </w:rPr>
              <w:t>(1)</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63" w:type="dxa"/>
            <w:tcBorders/>
            <w:shd w:fill="FFFFFF" w:val="clear"/>
            <w:vAlign w:val="center"/>
          </w:tcPr>
          <w:p>
            <w:pPr>
              <w:pStyle w:val="TableContents"/>
              <w:bidi w:val="0"/>
              <w:spacing w:before="0" w:after="283"/>
              <w:jc w:val="left"/>
              <w:rPr/>
            </w:pPr>
            <w:r>
              <w:rPr/>
              <w:t> </w:t>
            </w:r>
          </w:p>
        </w:tc>
        <w:tc>
          <w:tcPr>
            <w:tcW w:w="491"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3,246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3,246</w:t>
            </w:r>
          </w:p>
        </w:tc>
        <w:tc>
          <w:tcPr>
            <w:tcW w:w="75" w:type="dxa"/>
            <w:tcBorders/>
            <w:shd w:fill="FFFFFF" w:val="clear"/>
            <w:vAlign w:val="center"/>
          </w:tcPr>
          <w:p>
            <w:pPr>
              <w:pStyle w:val="TableContents"/>
              <w:bidi w:val="0"/>
              <w:spacing w:before="0" w:after="283"/>
              <w:jc w:val="left"/>
              <w:rPr/>
            </w:pPr>
            <w:r>
              <w:rPr/>
              <w:t> </w:t>
            </w:r>
          </w:p>
        </w:tc>
      </w:tr>
      <w:tr>
        <w:trPr/>
        <w:tc>
          <w:tcPr>
            <w:tcW w:w="5030" w:type="dxa"/>
            <w:tcBorders/>
            <w:shd w:fill="CCEEFF" w:val="cle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 xml:space="preserve">September 2025 Notes derivative liability </w:t>
            </w:r>
            <w:r>
              <w:rPr>
                <w:rFonts w:ascii="Times New Roman;Times;Serif" w:hAnsi="Times New Roman;Times;Serif"/>
                <w:position w:val="7"/>
                <w:sz w:val="16"/>
                <w:sz w:val="20"/>
              </w:rPr>
              <w:t>(1)</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63" w:type="dxa"/>
            <w:tcBorders/>
            <w:shd w:fill="CCEEFF" w:val="clear"/>
            <w:vAlign w:val="center"/>
          </w:tcPr>
          <w:p>
            <w:pPr>
              <w:pStyle w:val="TableContents"/>
              <w:bidi w:val="0"/>
              <w:spacing w:before="0" w:after="283"/>
              <w:jc w:val="left"/>
              <w:rPr/>
            </w:pPr>
            <w:r>
              <w:rPr/>
              <w:t> </w:t>
            </w:r>
          </w:p>
        </w:tc>
        <w:tc>
          <w:tcPr>
            <w:tcW w:w="491"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14,756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14,756</w:t>
            </w:r>
          </w:p>
        </w:tc>
        <w:tc>
          <w:tcPr>
            <w:tcW w:w="75" w:type="dxa"/>
            <w:tcBorders/>
            <w:shd w:fill="CCEEFF" w:val="clear"/>
            <w:vAlign w:val="center"/>
          </w:tcPr>
          <w:p>
            <w:pPr>
              <w:pStyle w:val="TableContents"/>
              <w:bidi w:val="0"/>
              <w:spacing w:before="0" w:after="283"/>
              <w:jc w:val="left"/>
              <w:rPr/>
            </w:pPr>
            <w:r>
              <w:rPr/>
              <w:t> </w:t>
            </w:r>
          </w:p>
        </w:tc>
      </w:tr>
      <w:tr>
        <w:trPr/>
        <w:tc>
          <w:tcPr>
            <w:tcW w:w="5030" w:type="dxa"/>
            <w:tcBorders/>
            <w:shd w:fill="FFFFFF" w:val="cle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 xml:space="preserve">November 2025 Note derivative liability – related party </w:t>
            </w:r>
            <w:r>
              <w:rPr>
                <w:rFonts w:ascii="Times New Roman;Times;Serif" w:hAnsi="Times New Roman;Times;Serif"/>
                <w:position w:val="7"/>
                <w:sz w:val="16"/>
                <w:sz w:val="20"/>
              </w:rPr>
              <w:t>(1)</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63" w:type="dxa"/>
            <w:tcBorders/>
            <w:shd w:fill="FFFFFF" w:val="clear"/>
            <w:vAlign w:val="center"/>
          </w:tcPr>
          <w:p>
            <w:pPr>
              <w:pStyle w:val="TableContents"/>
              <w:bidi w:val="0"/>
              <w:spacing w:before="0" w:after="283"/>
              <w:jc w:val="left"/>
              <w:rPr/>
            </w:pPr>
            <w:r>
              <w:rPr/>
              <w:t> </w:t>
            </w:r>
          </w:p>
        </w:tc>
        <w:tc>
          <w:tcPr>
            <w:tcW w:w="491"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1,488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1,488</w:t>
            </w:r>
          </w:p>
        </w:tc>
        <w:tc>
          <w:tcPr>
            <w:tcW w:w="75" w:type="dxa"/>
            <w:tcBorders/>
            <w:shd w:fill="FFFFFF" w:val="clear"/>
            <w:vAlign w:val="center"/>
          </w:tcPr>
          <w:p>
            <w:pPr>
              <w:pStyle w:val="TableContents"/>
              <w:bidi w:val="0"/>
              <w:spacing w:before="0" w:after="283"/>
              <w:jc w:val="left"/>
              <w:rPr/>
            </w:pPr>
            <w:r>
              <w:rPr/>
              <w:t> </w:t>
            </w:r>
          </w:p>
        </w:tc>
      </w:tr>
      <w:tr>
        <w:trPr/>
        <w:tc>
          <w:tcPr>
            <w:tcW w:w="5030" w:type="dxa"/>
            <w:tcBorders/>
            <w:shd w:fill="CCEEFF" w:val="cle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Forward purchase agreement liabilities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63" w:type="dxa"/>
            <w:tcBorders/>
            <w:shd w:fill="CCEEFF" w:val="clear"/>
            <w:vAlign w:val="center"/>
          </w:tcPr>
          <w:p>
            <w:pPr>
              <w:pStyle w:val="TableContents"/>
              <w:bidi w:val="0"/>
              <w:spacing w:before="0" w:after="283"/>
              <w:jc w:val="left"/>
              <w:rPr/>
            </w:pPr>
            <w:r>
              <w:rPr/>
              <w:t> </w:t>
            </w:r>
          </w:p>
        </w:tc>
        <w:tc>
          <w:tcPr>
            <w:tcW w:w="491"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3,965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3,965</w:t>
            </w:r>
          </w:p>
        </w:tc>
        <w:tc>
          <w:tcPr>
            <w:tcW w:w="75" w:type="dxa"/>
            <w:tcBorders/>
            <w:shd w:fill="CCEEFF" w:val="clear"/>
            <w:vAlign w:val="center"/>
          </w:tcPr>
          <w:p>
            <w:pPr>
              <w:pStyle w:val="TableContents"/>
              <w:bidi w:val="0"/>
              <w:spacing w:before="0" w:after="283"/>
              <w:jc w:val="left"/>
              <w:rPr/>
            </w:pPr>
            <w:r>
              <w:rPr/>
              <w:t> </w:t>
            </w:r>
          </w:p>
        </w:tc>
      </w:tr>
      <w:tr>
        <w:trPr/>
        <w:tc>
          <w:tcPr>
            <w:tcW w:w="5030" w:type="dxa"/>
            <w:tcBorders/>
            <w:shd w:fill="FFFFFF" w:val="cle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SAFE Agreement with related party</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63" w:type="dxa"/>
            <w:tcBorders/>
            <w:shd w:fill="FFFFFF" w:val="clear"/>
            <w:vAlign w:val="center"/>
          </w:tcPr>
          <w:p>
            <w:pPr>
              <w:pStyle w:val="TableContents"/>
              <w:bidi w:val="0"/>
              <w:spacing w:before="0" w:after="283"/>
              <w:jc w:val="left"/>
              <w:rPr/>
            </w:pPr>
            <w:r>
              <w:rPr/>
              <w:t> </w:t>
            </w:r>
          </w:p>
        </w:tc>
        <w:tc>
          <w:tcPr>
            <w:tcW w:w="491"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535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535</w:t>
            </w:r>
          </w:p>
        </w:tc>
        <w:tc>
          <w:tcPr>
            <w:tcW w:w="75" w:type="dxa"/>
            <w:tcBorders/>
            <w:shd w:fill="FFFFFF" w:val="clear"/>
            <w:vAlign w:val="center"/>
          </w:tcPr>
          <w:p>
            <w:pPr>
              <w:pStyle w:val="TableContents"/>
              <w:bidi w:val="0"/>
              <w:spacing w:before="0" w:after="283"/>
              <w:jc w:val="left"/>
              <w:rPr/>
            </w:pPr>
            <w:r>
              <w:rPr/>
              <w:t> </w:t>
            </w:r>
          </w:p>
        </w:tc>
      </w:tr>
      <w:tr>
        <w:trPr/>
        <w:tc>
          <w:tcPr>
            <w:tcW w:w="5030" w:type="dxa"/>
            <w:tcBorders/>
            <w:shd w:fill="CCEEFF" w:val="cle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Private placement warrants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63" w:type="dxa"/>
            <w:tcBorders/>
            <w:shd w:fill="CCEEFF" w:val="clear"/>
            <w:vAlign w:val="center"/>
          </w:tcPr>
          <w:p>
            <w:pPr>
              <w:pStyle w:val="TableContents"/>
              <w:bidi w:val="0"/>
              <w:spacing w:before="0" w:after="283"/>
              <w:jc w:val="left"/>
              <w:rPr/>
            </w:pPr>
            <w:r>
              <w:rPr/>
              <w:t> </w:t>
            </w:r>
          </w:p>
        </w:tc>
        <w:tc>
          <w:tcPr>
            <w:tcW w:w="491"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1,692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1,692</w:t>
            </w:r>
          </w:p>
        </w:tc>
        <w:tc>
          <w:tcPr>
            <w:tcW w:w="75" w:type="dxa"/>
            <w:tcBorders/>
            <w:shd w:fill="CCEEFF" w:val="clear"/>
            <w:vAlign w:val="center"/>
          </w:tcPr>
          <w:p>
            <w:pPr>
              <w:pStyle w:val="TableContents"/>
              <w:bidi w:val="0"/>
              <w:spacing w:before="0" w:after="283"/>
              <w:jc w:val="left"/>
              <w:rPr/>
            </w:pPr>
            <w:r>
              <w:rPr/>
              <w:t> </w:t>
            </w:r>
          </w:p>
        </w:tc>
      </w:tr>
      <w:tr>
        <w:trPr/>
        <w:tc>
          <w:tcPr>
            <w:tcW w:w="5030" w:type="dxa"/>
            <w:tcBorders/>
            <w:shd w:fill="FFFFFF" w:val="cle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Working capital warrants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63" w:type="dxa"/>
            <w:tcBorders/>
            <w:shd w:fill="FFFFFF" w:val="clear"/>
            <w:vAlign w:val="center"/>
          </w:tcPr>
          <w:p>
            <w:pPr>
              <w:pStyle w:val="TableContents"/>
              <w:bidi w:val="0"/>
              <w:spacing w:before="0" w:after="283"/>
              <w:jc w:val="left"/>
              <w:rPr/>
            </w:pPr>
            <w:r>
              <w:rPr/>
              <w:t> </w:t>
            </w:r>
          </w:p>
        </w:tc>
        <w:tc>
          <w:tcPr>
            <w:tcW w:w="491"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194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194</w:t>
            </w:r>
          </w:p>
        </w:tc>
        <w:tc>
          <w:tcPr>
            <w:tcW w:w="75" w:type="dxa"/>
            <w:tcBorders/>
            <w:shd w:fill="FFFFFF" w:val="clear"/>
            <w:vAlign w:val="center"/>
          </w:tcPr>
          <w:p>
            <w:pPr>
              <w:pStyle w:val="TableContents"/>
              <w:bidi w:val="0"/>
              <w:spacing w:before="0" w:after="283"/>
              <w:jc w:val="left"/>
              <w:rPr/>
            </w:pPr>
            <w:r>
              <w:rPr/>
              <w:t> </w:t>
            </w:r>
          </w:p>
        </w:tc>
      </w:tr>
      <w:tr>
        <w:trPr/>
        <w:tc>
          <w:tcPr>
            <w:tcW w:w="5030" w:type="dxa"/>
            <w:tcBorders/>
            <w:shd w:fill="CCEEFF" w:val="cle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Public warrants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2,475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63" w:type="dxa"/>
            <w:tcBorders/>
            <w:shd w:fill="CCEEFF" w:val="clear"/>
            <w:vAlign w:val="center"/>
          </w:tcPr>
          <w:p>
            <w:pPr>
              <w:pStyle w:val="TableContents"/>
              <w:bidi w:val="0"/>
              <w:spacing w:before="0" w:after="283"/>
              <w:jc w:val="left"/>
              <w:rPr/>
            </w:pPr>
            <w:r>
              <w:rPr/>
              <w:t> </w:t>
            </w:r>
          </w:p>
        </w:tc>
        <w:tc>
          <w:tcPr>
            <w:tcW w:w="491"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2,475</w:t>
            </w:r>
          </w:p>
        </w:tc>
        <w:tc>
          <w:tcPr>
            <w:tcW w:w="75" w:type="dxa"/>
            <w:tcBorders/>
            <w:shd w:fill="CCEEFF" w:val="clear"/>
            <w:vAlign w:val="center"/>
          </w:tcPr>
          <w:p>
            <w:pPr>
              <w:pStyle w:val="TableContents"/>
              <w:bidi w:val="0"/>
              <w:spacing w:before="0" w:after="283"/>
              <w:jc w:val="left"/>
              <w:rPr/>
            </w:pPr>
            <w:r>
              <w:rPr/>
              <w:t> </w:t>
            </w:r>
          </w:p>
        </w:tc>
      </w:tr>
      <w:tr>
        <w:trPr/>
        <w:tc>
          <w:tcPr>
            <w:tcW w:w="5030" w:type="dxa"/>
            <w:tcBorders/>
            <w:shd w:fill="FFFFFF" w:val="cle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Deferred Sunder Consideration Shares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10,840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63" w:type="dxa"/>
            <w:tcBorders/>
            <w:shd w:fill="FFFFFF" w:val="clear"/>
            <w:vAlign w:val="center"/>
          </w:tcPr>
          <w:p>
            <w:pPr>
              <w:pStyle w:val="TableContents"/>
              <w:bidi w:val="0"/>
              <w:spacing w:before="0" w:after="283"/>
              <w:jc w:val="left"/>
              <w:rPr/>
            </w:pPr>
            <w:r>
              <w:rPr/>
              <w:t> </w:t>
            </w:r>
          </w:p>
        </w:tc>
        <w:tc>
          <w:tcPr>
            <w:tcW w:w="491"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10,840</w:t>
            </w:r>
          </w:p>
        </w:tc>
        <w:tc>
          <w:tcPr>
            <w:tcW w:w="75" w:type="dxa"/>
            <w:tcBorders/>
            <w:shd w:fill="FFFFFF" w:val="clear"/>
            <w:vAlign w:val="center"/>
          </w:tcPr>
          <w:p>
            <w:pPr>
              <w:pStyle w:val="TableContents"/>
              <w:bidi w:val="0"/>
              <w:spacing w:before="0" w:after="283"/>
              <w:jc w:val="left"/>
              <w:rPr/>
            </w:pPr>
            <w:r>
              <w:rPr/>
              <w:t> </w:t>
            </w:r>
          </w:p>
        </w:tc>
      </w:tr>
      <w:tr>
        <w:trPr/>
        <w:tc>
          <w:tcPr>
            <w:tcW w:w="5030" w:type="dxa"/>
            <w:tcBorders/>
            <w:shd w:fill="CCEEFF" w:val="cle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Deferred Ambia Consideration Shares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680"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63"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491"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00"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16,879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00"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16,879</w:t>
            </w:r>
          </w:p>
        </w:tc>
        <w:tc>
          <w:tcPr>
            <w:tcW w:w="75" w:type="dxa"/>
            <w:tcBorders/>
            <w:shd w:fill="CCEEFF" w:val="clear"/>
            <w:vAlign w:val="center"/>
          </w:tcPr>
          <w:p>
            <w:pPr>
              <w:pStyle w:val="TableContents"/>
              <w:bidi w:val="0"/>
              <w:spacing w:before="0" w:after="283"/>
              <w:jc w:val="left"/>
              <w:rPr/>
            </w:pPr>
            <w:r>
              <w:rPr/>
              <w:t> </w:t>
            </w:r>
          </w:p>
        </w:tc>
      </w:tr>
      <w:tr>
        <w:trPr/>
        <w:tc>
          <w:tcPr>
            <w:tcW w:w="5030" w:type="dxa"/>
            <w:tcBorders/>
            <w:shd w:fill="FFFFFF" w:val="cle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Total</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10"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80" w:type="dxa"/>
            <w:tcBorders>
              <w:bottom w:val="double" w:sz="10"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13,315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63" w:type="dxa"/>
            <w:tcBorders>
              <w:bottom w:val="double" w:sz="10"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491" w:type="dxa"/>
            <w:tcBorders>
              <w:bottom w:val="double" w:sz="10" w:space="0" w:color="000000"/>
            </w:tcBorders>
            <w:shd w:fill="FFFFFF" w:val="clear"/>
            <w:tcMar>
              <w:bottom w:w="28" w:type="dxa"/>
            </w:tcM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10"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800" w:type="dxa"/>
            <w:tcBorders>
              <w:bottom w:val="double" w:sz="10"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118,774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10"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800" w:type="dxa"/>
            <w:tcBorders>
              <w:bottom w:val="double" w:sz="10"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132,089</w:t>
            </w:r>
          </w:p>
        </w:tc>
        <w:tc>
          <w:tcPr>
            <w:tcW w:w="75"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02"/>
        <w:gridCol w:w="10003"/>
      </w:tblGrid>
      <w:tr>
        <w:trPr/>
        <w:tc>
          <w:tcPr>
            <w:tcW w:w="202" w:type="dxa"/>
            <w:tcBorders/>
            <w:vAlign w:val="center"/>
          </w:tcPr>
          <w:p>
            <w:pPr>
              <w:pStyle w:val="TableContents"/>
              <w:bidi w:val="0"/>
              <w:spacing w:before="0" w:after="283"/>
              <w:jc w:val="both"/>
              <w:rPr>
                <w:rFonts w:ascii="Times New Roman;Times;Serif" w:hAnsi="Times New Roman;Times;Serif"/>
                <w:position w:val="7"/>
                <w:sz w:val="16"/>
                <w:sz w:val="20"/>
              </w:rPr>
            </w:pPr>
            <w:r>
              <w:rPr>
                <w:rFonts w:ascii="Times New Roman;Times;Serif" w:hAnsi="Times New Roman;Times;Serif"/>
                <w:position w:val="7"/>
                <w:sz w:val="16"/>
                <w:sz w:val="20"/>
              </w:rPr>
              <w:t>(1)</w:t>
            </w:r>
          </w:p>
        </w:tc>
        <w:tc>
          <w:tcPr>
            <w:tcW w:w="10003"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 xml:space="preserve">The derivative liabilities are associated with the Company’s outstanding senior unsecured convertible notes with stated interest rates of 7.0% (the “September 2024 Notes” and “September 2025 Notes”) and 12.0% (the “July 2024 Notes”, “July 2025 Note”, “November 2025 Note” and “January 2026 Note”) all of which are defined in </w:t>
            </w:r>
            <w:r>
              <w:rPr>
                <w:rFonts w:ascii="Times New Roman;Times;Serif" w:hAnsi="Times New Roman;Times;Serif"/>
                <w:b/>
                <w:sz w:val="20"/>
              </w:rPr>
              <w:t>Note 9 – Borrowings and Derivative Liabilities</w:t>
            </w:r>
            <w:r>
              <w:rPr>
                <w:rFonts w:ascii="Times New Roman;Times;Serif" w:hAnsi="Times New Roman;Times;Serif"/>
                <w:sz w:val="20"/>
              </w:rPr>
              <w: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sz w:val="20"/>
          <w:bdr w:val="single" w:sz="12" w:space="1" w:color="000000"/>
        </w:rPr>
      </w:pPr>
      <w:r>
        <w:rPr>
          <w:sz w:val="20"/>
          <w:bdr w:val="single" w:sz="12" w:space="1" w:color="000000"/>
        </w:rPr>
        <w:t>F-20</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reconciliation of liabilities by class and categorized within Level 3 under the fair value hierarchy is as follows for the thirteen week periods ended March 29, 2026 and March 30, 2025 </w:t>
      </w:r>
      <w:r>
        <w:rPr>
          <w:rFonts w:ascii="Times New Roman;Times;Serif" w:hAnsi="Times New Roman;Times;Serif"/>
          <w:b w:val="false"/>
          <w:i/>
          <w:caps w:val="false"/>
          <w:smallCaps w:val="false"/>
          <w:sz w:val="20"/>
        </w:rPr>
        <w:t>(in thousands)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tbl>
      <w:tblPr>
        <w:tblW w:w="10335" w:type="dxa"/>
        <w:jc w:val="left"/>
        <w:tblInd w:w="0" w:type="dxa"/>
        <w:tblLayout w:type="fixed"/>
        <w:tblCellMar>
          <w:top w:w="0" w:type="dxa"/>
          <w:left w:w="0" w:type="dxa"/>
          <w:bottom w:w="0" w:type="dxa"/>
          <w:right w:w="0" w:type="dxa"/>
        </w:tblCellMar>
      </w:tblPr>
      <w:tblGrid>
        <w:gridCol w:w="1355"/>
        <w:gridCol w:w="60"/>
        <w:gridCol w:w="167"/>
        <w:gridCol w:w="903"/>
        <w:gridCol w:w="95"/>
        <w:gridCol w:w="60"/>
        <w:gridCol w:w="208"/>
        <w:gridCol w:w="1012"/>
        <w:gridCol w:w="60"/>
        <w:gridCol w:w="60"/>
        <w:gridCol w:w="235"/>
        <w:gridCol w:w="940"/>
        <w:gridCol w:w="60"/>
        <w:gridCol w:w="60"/>
        <w:gridCol w:w="332"/>
        <w:gridCol w:w="903"/>
        <w:gridCol w:w="60"/>
        <w:gridCol w:w="60"/>
        <w:gridCol w:w="184"/>
        <w:gridCol w:w="736"/>
        <w:gridCol w:w="95"/>
        <w:gridCol w:w="60"/>
        <w:gridCol w:w="249"/>
        <w:gridCol w:w="1211"/>
        <w:gridCol w:w="95"/>
        <w:gridCol w:w="60"/>
        <w:gridCol w:w="140"/>
        <w:gridCol w:w="800"/>
        <w:gridCol w:w="75"/>
      </w:tblGrid>
      <w:tr>
        <w:trPr/>
        <w:tc>
          <w:tcPr>
            <w:tcW w:w="13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70" w:type="dxa"/>
            <w:gridSpan w:val="2"/>
            <w:tcBorders/>
            <w:vAlign w:val="center"/>
          </w:tcPr>
          <w:p>
            <w:pPr>
              <w:pStyle w:val="TableContents"/>
              <w:bidi w:val="0"/>
              <w:spacing w:before="0" w:after="283"/>
              <w:jc w:val="center"/>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620" w:type="dxa"/>
            <w:gridSpan w:val="2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Thirteen Weeks Ended March 29, 2026</w:t>
            </w:r>
          </w:p>
        </w:tc>
        <w:tc>
          <w:tcPr>
            <w:tcW w:w="75" w:type="dxa"/>
            <w:tcBorders/>
            <w:vAlign w:val="center"/>
          </w:tcPr>
          <w:p>
            <w:pPr>
              <w:pStyle w:val="TableContents"/>
              <w:bidi w:val="0"/>
              <w:spacing w:before="0" w:after="283"/>
              <w:jc w:val="left"/>
              <w:rPr/>
            </w:pPr>
            <w:r>
              <w:rPr/>
              <w:t> </w:t>
            </w:r>
          </w:p>
        </w:tc>
      </w:tr>
      <w:tr>
        <w:trPr/>
        <w:tc>
          <w:tcPr>
            <w:tcW w:w="135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070"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Derivative</w:t>
              <w:br/>
              <w:t>liabilities</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20"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Convertible</w:t>
              <w:br/>
              <w:t>debt at fair</w:t>
              <w:br/>
              <w:t>value</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75"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Forward</w:t>
              <w:br/>
              <w:t>purchase</w:t>
              <w:br/>
              <w:t>agreements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35"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SAFE</w:t>
              <w:br/>
              <w:t>Agreements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20"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Warrant</w:t>
              <w:br/>
              <w:t>liabilities</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60"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Deferred</w:t>
              <w:br/>
              <w:t>Consideration</w:t>
              <w:br/>
              <w:t>Shares</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40"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Total</w:t>
            </w:r>
          </w:p>
        </w:tc>
        <w:tc>
          <w:tcPr>
            <w:tcW w:w="75" w:type="dxa"/>
            <w:tcBorders/>
            <w:vAlign w:val="center"/>
          </w:tcPr>
          <w:p>
            <w:pPr>
              <w:pStyle w:val="TableContents"/>
              <w:bidi w:val="0"/>
              <w:spacing w:before="0" w:after="283"/>
              <w:ind w:left="0" w:right="0" w:hanging="180"/>
              <w:jc w:val="left"/>
              <w:rPr/>
            </w:pPr>
            <w:r>
              <w:rPr/>
              <w:t> </w:t>
            </w:r>
          </w:p>
        </w:tc>
      </w:tr>
      <w:tr>
        <w:trPr/>
        <w:tc>
          <w:tcPr>
            <w:tcW w:w="135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Balance as of December 28, 2025</w:t>
            </w:r>
          </w:p>
        </w:tc>
        <w:tc>
          <w:tcPr>
            <w:tcW w:w="60" w:type="dxa"/>
            <w:tcBorders/>
            <w:shd w:fill="CCEEFF" w:val="clear"/>
            <w:vAlign w:val="center"/>
          </w:tcPr>
          <w:p>
            <w:pPr>
              <w:pStyle w:val="TableContents"/>
              <w:bidi w:val="0"/>
              <w:spacing w:before="0" w:after="283"/>
              <w:jc w:val="left"/>
              <w:rPr/>
            </w:pPr>
            <w:r>
              <w:rPr/>
              <w:t> </w:t>
            </w:r>
          </w:p>
        </w:tc>
        <w:tc>
          <w:tcPr>
            <w:tcW w:w="167"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03"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95,509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8"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012"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4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3,965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32"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03"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535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4"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736"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1,886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9"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211"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16,879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80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118,774</w:t>
            </w:r>
          </w:p>
        </w:tc>
        <w:tc>
          <w:tcPr>
            <w:tcW w:w="75" w:type="dxa"/>
            <w:tcBorders/>
            <w:shd w:fill="CCEEFF" w:val="clear"/>
            <w:vAlign w:val="center"/>
          </w:tcPr>
          <w:p>
            <w:pPr>
              <w:pStyle w:val="TableContents"/>
              <w:bidi w:val="0"/>
              <w:spacing w:before="0" w:after="283"/>
              <w:ind w:left="0" w:right="0" w:hanging="180"/>
              <w:jc w:val="left"/>
              <w:rPr/>
            </w:pPr>
            <w:r>
              <w:rPr/>
              <w:t> </w:t>
            </w:r>
          </w:p>
        </w:tc>
      </w:tr>
      <w:tr>
        <w:trPr/>
        <w:tc>
          <w:tcPr>
            <w:tcW w:w="135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Additions</w:t>
            </w:r>
          </w:p>
        </w:tc>
        <w:tc>
          <w:tcPr>
            <w:tcW w:w="60" w:type="dxa"/>
            <w:tcBorders/>
            <w:shd w:fill="FFFFFF" w:val="clear"/>
            <w:vAlign w:val="center"/>
          </w:tcPr>
          <w:p>
            <w:pPr>
              <w:pStyle w:val="TableContents"/>
              <w:bidi w:val="0"/>
              <w:spacing w:before="0" w:after="283"/>
              <w:jc w:val="left"/>
              <w:rPr/>
            </w:pPr>
            <w:r>
              <w:rPr/>
              <w:t> </w:t>
            </w:r>
          </w:p>
        </w:tc>
        <w:tc>
          <w:tcPr>
            <w:tcW w:w="167" w:type="dxa"/>
            <w:tcBorders/>
            <w:shd w:fill="FFFFFF" w:val="clear"/>
            <w:vAlign w:val="center"/>
          </w:tcPr>
          <w:p>
            <w:pPr>
              <w:pStyle w:val="TableContents"/>
              <w:bidi w:val="0"/>
              <w:spacing w:before="0" w:after="283"/>
              <w:jc w:val="left"/>
              <w:rPr/>
            </w:pPr>
            <w:r>
              <w:rPr/>
              <w:t> </w:t>
            </w:r>
          </w:p>
        </w:tc>
        <w:tc>
          <w:tcPr>
            <w:tcW w:w="903"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2,297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8" w:type="dxa"/>
            <w:tcBorders/>
            <w:shd w:fill="FFFFFF" w:val="clear"/>
            <w:vAlign w:val="center"/>
          </w:tcPr>
          <w:p>
            <w:pPr>
              <w:pStyle w:val="TableContents"/>
              <w:bidi w:val="0"/>
              <w:spacing w:before="0" w:after="283"/>
              <w:jc w:val="left"/>
              <w:rPr/>
            </w:pPr>
            <w:r>
              <w:rPr/>
              <w:t> </w:t>
            </w:r>
          </w:p>
        </w:tc>
        <w:tc>
          <w:tcPr>
            <w:tcW w:w="1012"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10,710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5" w:type="dxa"/>
            <w:tcBorders/>
            <w:shd w:fill="FFFFFF" w:val="clear"/>
            <w:vAlign w:val="center"/>
          </w:tcPr>
          <w:p>
            <w:pPr>
              <w:pStyle w:val="TableContents"/>
              <w:bidi w:val="0"/>
              <w:spacing w:before="0" w:after="283"/>
              <w:jc w:val="left"/>
              <w:rPr/>
            </w:pPr>
            <w:r>
              <w:rPr/>
              <w:t> </w:t>
            </w:r>
          </w:p>
        </w:tc>
        <w:tc>
          <w:tcPr>
            <w:tcW w:w="94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32" w:type="dxa"/>
            <w:tcBorders/>
            <w:shd w:fill="FFFFFF" w:val="clear"/>
            <w:vAlign w:val="center"/>
          </w:tcPr>
          <w:p>
            <w:pPr>
              <w:pStyle w:val="TableContents"/>
              <w:bidi w:val="0"/>
              <w:spacing w:before="0" w:after="283"/>
              <w:jc w:val="left"/>
              <w:rPr/>
            </w:pPr>
            <w:r>
              <w:rPr/>
              <w:t> </w:t>
            </w:r>
          </w:p>
        </w:tc>
        <w:tc>
          <w:tcPr>
            <w:tcW w:w="903"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4" w:type="dxa"/>
            <w:tcBorders/>
            <w:shd w:fill="FFFFFF" w:val="clear"/>
            <w:vAlign w:val="center"/>
          </w:tcPr>
          <w:p>
            <w:pPr>
              <w:pStyle w:val="TableContents"/>
              <w:bidi w:val="0"/>
              <w:spacing w:before="0" w:after="283"/>
              <w:jc w:val="left"/>
              <w:rPr/>
            </w:pPr>
            <w:r>
              <w:rPr/>
              <w:t> </w:t>
            </w:r>
          </w:p>
        </w:tc>
        <w:tc>
          <w:tcPr>
            <w:tcW w:w="736"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49" w:type="dxa"/>
            <w:tcBorders/>
            <w:shd w:fill="FFFFFF" w:val="clear"/>
            <w:vAlign w:val="center"/>
          </w:tcPr>
          <w:p>
            <w:pPr>
              <w:pStyle w:val="TableContents"/>
              <w:bidi w:val="0"/>
              <w:spacing w:before="0" w:after="283"/>
              <w:jc w:val="left"/>
              <w:rPr/>
            </w:pPr>
            <w:r>
              <w:rPr/>
              <w:t> </w:t>
            </w:r>
          </w:p>
        </w:tc>
        <w:tc>
          <w:tcPr>
            <w:tcW w:w="1211"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6,331</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19,338</w:t>
            </w:r>
          </w:p>
        </w:tc>
        <w:tc>
          <w:tcPr>
            <w:tcW w:w="75" w:type="dxa"/>
            <w:tcBorders/>
            <w:shd w:fill="FFFFFF" w:val="clear"/>
            <w:vAlign w:val="center"/>
          </w:tcPr>
          <w:p>
            <w:pPr>
              <w:pStyle w:val="TableContents"/>
              <w:bidi w:val="0"/>
              <w:spacing w:before="0" w:after="283"/>
              <w:ind w:left="0" w:right="0" w:hanging="180"/>
              <w:jc w:val="left"/>
              <w:rPr/>
            </w:pPr>
            <w:r>
              <w:rPr/>
              <w:t> </w:t>
            </w:r>
          </w:p>
        </w:tc>
      </w:tr>
      <w:tr>
        <w:trPr/>
        <w:tc>
          <w:tcPr>
            <w:tcW w:w="135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Conversions</w:t>
            </w:r>
          </w:p>
        </w:tc>
        <w:tc>
          <w:tcPr>
            <w:tcW w:w="60" w:type="dxa"/>
            <w:tcBorders/>
            <w:shd w:fill="CCEEFF" w:val="clear"/>
            <w:vAlign w:val="center"/>
          </w:tcPr>
          <w:p>
            <w:pPr>
              <w:pStyle w:val="TableContents"/>
              <w:bidi w:val="0"/>
              <w:spacing w:before="0" w:after="283"/>
              <w:jc w:val="left"/>
              <w:rPr/>
            </w:pPr>
            <w:r>
              <w:rPr/>
              <w:t> </w:t>
            </w:r>
          </w:p>
        </w:tc>
        <w:tc>
          <w:tcPr>
            <w:tcW w:w="167" w:type="dxa"/>
            <w:tcBorders/>
            <w:shd w:fill="CCEEFF" w:val="clear"/>
            <w:vAlign w:val="center"/>
          </w:tcPr>
          <w:p>
            <w:pPr>
              <w:pStyle w:val="TableContents"/>
              <w:bidi w:val="0"/>
              <w:spacing w:before="0" w:after="283"/>
              <w:jc w:val="left"/>
              <w:rPr/>
            </w:pPr>
            <w:r>
              <w:rPr/>
              <w:t> </w:t>
            </w:r>
          </w:p>
        </w:tc>
        <w:tc>
          <w:tcPr>
            <w:tcW w:w="903"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(1,883</w:t>
            </w:r>
          </w:p>
        </w:tc>
        <w:tc>
          <w:tcPr>
            <w:tcW w:w="9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208" w:type="dxa"/>
            <w:tcBorders/>
            <w:shd w:fill="CCEEFF" w:val="clear"/>
            <w:vAlign w:val="center"/>
          </w:tcPr>
          <w:p>
            <w:pPr>
              <w:pStyle w:val="TableContents"/>
              <w:bidi w:val="0"/>
              <w:spacing w:before="0" w:after="283"/>
              <w:jc w:val="left"/>
              <w:rPr/>
            </w:pPr>
            <w:r>
              <w:rPr/>
              <w:t> </w:t>
            </w:r>
          </w:p>
        </w:tc>
        <w:tc>
          <w:tcPr>
            <w:tcW w:w="1012"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5" w:type="dxa"/>
            <w:tcBorders/>
            <w:shd w:fill="CCEEFF" w:val="clear"/>
            <w:vAlign w:val="center"/>
          </w:tcPr>
          <w:p>
            <w:pPr>
              <w:pStyle w:val="TableContents"/>
              <w:bidi w:val="0"/>
              <w:spacing w:before="0" w:after="283"/>
              <w:jc w:val="left"/>
              <w:rPr/>
            </w:pPr>
            <w:r>
              <w:rPr/>
              <w:t> </w:t>
            </w:r>
          </w:p>
        </w:tc>
        <w:tc>
          <w:tcPr>
            <w:tcW w:w="94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32" w:type="dxa"/>
            <w:tcBorders/>
            <w:shd w:fill="CCEEFF" w:val="clear"/>
            <w:vAlign w:val="center"/>
          </w:tcPr>
          <w:p>
            <w:pPr>
              <w:pStyle w:val="TableContents"/>
              <w:bidi w:val="0"/>
              <w:spacing w:before="0" w:after="283"/>
              <w:jc w:val="left"/>
              <w:rPr/>
            </w:pPr>
            <w:r>
              <w:rPr/>
              <w:t> </w:t>
            </w:r>
          </w:p>
        </w:tc>
        <w:tc>
          <w:tcPr>
            <w:tcW w:w="903"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4" w:type="dxa"/>
            <w:tcBorders/>
            <w:shd w:fill="CCEEFF" w:val="clear"/>
            <w:vAlign w:val="center"/>
          </w:tcPr>
          <w:p>
            <w:pPr>
              <w:pStyle w:val="TableContents"/>
              <w:bidi w:val="0"/>
              <w:spacing w:before="0" w:after="283"/>
              <w:jc w:val="left"/>
              <w:rPr/>
            </w:pPr>
            <w:r>
              <w:rPr/>
              <w:t> </w:t>
            </w:r>
          </w:p>
        </w:tc>
        <w:tc>
          <w:tcPr>
            <w:tcW w:w="736"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9" w:type="dxa"/>
            <w:tcBorders/>
            <w:shd w:fill="CCEEFF" w:val="clear"/>
            <w:vAlign w:val="center"/>
          </w:tcPr>
          <w:p>
            <w:pPr>
              <w:pStyle w:val="TableContents"/>
              <w:bidi w:val="0"/>
              <w:spacing w:before="0" w:after="283"/>
              <w:jc w:val="left"/>
              <w:rPr/>
            </w:pPr>
            <w:r>
              <w:rPr/>
              <w:t> </w:t>
            </w:r>
          </w:p>
        </w:tc>
        <w:tc>
          <w:tcPr>
            <w:tcW w:w="1211"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(1,883</w:t>
            </w:r>
          </w:p>
        </w:tc>
        <w:tc>
          <w:tcPr>
            <w:tcW w:w="75" w:type="dxa"/>
            <w:tcBorders/>
            <w:shd w:fill="CCEEFF" w:val="clear"/>
            <w:vAlign w:val="center"/>
          </w:tcPr>
          <w:p>
            <w:pPr>
              <w:pStyle w:val="TableContents"/>
              <w:bidi w:val="0"/>
              <w:spacing w:before="0" w:after="283"/>
              <w:ind w:left="0" w:right="0" w:hanging="180"/>
              <w:jc w:val="left"/>
              <w:rPr>
                <w:rFonts w:ascii="Times New Roman;Times;Serif" w:hAnsi="Times New Roman;Times;Serif"/>
              </w:rPr>
            </w:pPr>
            <w:r>
              <w:rPr>
                <w:rFonts w:ascii="Times New Roman;Times;Serif" w:hAnsi="Times New Roman;Times;Serif"/>
              </w:rPr>
              <w:t>)</w:t>
            </w:r>
          </w:p>
        </w:tc>
      </w:tr>
      <w:tr>
        <w:trPr/>
        <w:tc>
          <w:tcPr>
            <w:tcW w:w="135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Net (gain) loss recognized within Other non-operating income, net in the consolidated statement of operations</w:t>
            </w:r>
          </w:p>
        </w:tc>
        <w:tc>
          <w:tcPr>
            <w:tcW w:w="60" w:type="dxa"/>
            <w:tcBorders/>
            <w:shd w:fill="FFFFFF" w:val="clear"/>
            <w:vAlign w:val="center"/>
          </w:tcPr>
          <w:p>
            <w:pPr>
              <w:pStyle w:val="TableContents"/>
              <w:bidi w:val="0"/>
              <w:spacing w:before="0" w:after="283"/>
              <w:jc w:val="left"/>
              <w:rPr/>
            </w:pPr>
            <w:r>
              <w:rPr/>
              <w:t> </w:t>
            </w:r>
          </w:p>
        </w:tc>
        <w:tc>
          <w:tcPr>
            <w:tcW w:w="167"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903"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(26,608</w:t>
            </w:r>
          </w:p>
        </w:tc>
        <w:tc>
          <w:tcPr>
            <w:tcW w:w="9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208"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012"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320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5"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940"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1,142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32"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903"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4"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736"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(210</w:t>
            </w:r>
          </w:p>
        </w:tc>
        <w:tc>
          <w:tcPr>
            <w:tcW w:w="9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249"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11"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(2,943</w:t>
            </w:r>
          </w:p>
        </w:tc>
        <w:tc>
          <w:tcPr>
            <w:tcW w:w="9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800"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(28,255</w:t>
            </w:r>
          </w:p>
        </w:tc>
        <w:tc>
          <w:tcPr>
            <w:tcW w:w="75" w:type="dxa"/>
            <w:tcBorders/>
            <w:shd w:fill="FFFFFF" w:val="clear"/>
            <w:vAlign w:val="center"/>
          </w:tcPr>
          <w:p>
            <w:pPr>
              <w:pStyle w:val="TableContents"/>
              <w:bidi w:val="0"/>
              <w:spacing w:before="0" w:after="283"/>
              <w:ind w:left="0" w:right="0" w:hanging="180"/>
              <w:jc w:val="left"/>
              <w:rPr>
                <w:rFonts w:ascii="Times New Roman;Times;Serif" w:hAnsi="Times New Roman;Times;Serif"/>
              </w:rPr>
            </w:pPr>
            <w:r>
              <w:rPr>
                <w:rFonts w:ascii="Times New Roman;Times;Serif" w:hAnsi="Times New Roman;Times;Serif"/>
              </w:rPr>
              <w:t>)</w:t>
            </w:r>
          </w:p>
        </w:tc>
      </w:tr>
      <w:tr>
        <w:trPr/>
        <w:tc>
          <w:tcPr>
            <w:tcW w:w="135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Balance as of March 29, 2026</w:t>
            </w:r>
          </w:p>
        </w:tc>
        <w:tc>
          <w:tcPr>
            <w:tcW w:w="60" w:type="dxa"/>
            <w:tcBorders/>
            <w:shd w:fill="CCEEFF" w:val="clear"/>
            <w:vAlign w:val="center"/>
          </w:tcPr>
          <w:p>
            <w:pPr>
              <w:pStyle w:val="TableContents"/>
              <w:bidi w:val="0"/>
              <w:spacing w:before="0" w:after="283"/>
              <w:jc w:val="left"/>
              <w:rPr/>
            </w:pPr>
            <w:r>
              <w:rPr/>
              <w:t> </w:t>
            </w:r>
          </w:p>
        </w:tc>
        <w:tc>
          <w:tcPr>
            <w:tcW w:w="167" w:type="dxa"/>
            <w:tcBorders>
              <w:bottom w:val="double" w:sz="10"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03" w:type="dxa"/>
            <w:tcBorders>
              <w:bottom w:val="double" w:sz="10"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69,315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8" w:type="dxa"/>
            <w:tcBorders>
              <w:bottom w:val="double" w:sz="10"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012" w:type="dxa"/>
            <w:tcBorders>
              <w:bottom w:val="double" w:sz="10"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11,030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5" w:type="dxa"/>
            <w:tcBorders>
              <w:bottom w:val="double" w:sz="10"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40" w:type="dxa"/>
            <w:tcBorders>
              <w:bottom w:val="double" w:sz="10"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5,107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32" w:type="dxa"/>
            <w:tcBorders>
              <w:bottom w:val="double" w:sz="10"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03" w:type="dxa"/>
            <w:tcBorders>
              <w:bottom w:val="double" w:sz="10"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579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4" w:type="dxa"/>
            <w:tcBorders>
              <w:bottom w:val="double" w:sz="10"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736" w:type="dxa"/>
            <w:tcBorders>
              <w:bottom w:val="double" w:sz="10"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1,676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9" w:type="dxa"/>
            <w:tcBorders>
              <w:bottom w:val="double" w:sz="10"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211" w:type="dxa"/>
            <w:tcBorders>
              <w:bottom w:val="double" w:sz="10"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20,267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10"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800" w:type="dxa"/>
            <w:tcBorders>
              <w:bottom w:val="double" w:sz="10"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107,974</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4169"/>
        <w:gridCol w:w="60"/>
        <w:gridCol w:w="167"/>
        <w:gridCol w:w="903"/>
        <w:gridCol w:w="95"/>
        <w:gridCol w:w="60"/>
        <w:gridCol w:w="235"/>
        <w:gridCol w:w="940"/>
        <w:gridCol w:w="95"/>
        <w:gridCol w:w="60"/>
        <w:gridCol w:w="332"/>
        <w:gridCol w:w="903"/>
        <w:gridCol w:w="60"/>
        <w:gridCol w:w="60"/>
        <w:gridCol w:w="184"/>
        <w:gridCol w:w="736"/>
        <w:gridCol w:w="60"/>
        <w:gridCol w:w="60"/>
        <w:gridCol w:w="140"/>
        <w:gridCol w:w="800"/>
        <w:gridCol w:w="86"/>
      </w:tblGrid>
      <w:tr>
        <w:trPr/>
        <w:tc>
          <w:tcPr>
            <w:tcW w:w="4169"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890" w:type="dxa"/>
            <w:gridSpan w:val="18"/>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Thirteen Weeks Ended March 30, 2025</w:t>
            </w:r>
          </w:p>
        </w:tc>
        <w:tc>
          <w:tcPr>
            <w:tcW w:w="86" w:type="dxa"/>
            <w:tcBorders/>
            <w:vAlign w:val="center"/>
          </w:tcPr>
          <w:p>
            <w:pPr>
              <w:pStyle w:val="TableContents"/>
              <w:bidi w:val="0"/>
              <w:spacing w:before="0" w:after="283"/>
              <w:jc w:val="left"/>
              <w:rPr/>
            </w:pPr>
            <w:r>
              <w:rPr/>
              <w:t> </w:t>
            </w:r>
          </w:p>
        </w:tc>
      </w:tr>
      <w:tr>
        <w:trPr/>
        <w:tc>
          <w:tcPr>
            <w:tcW w:w="4169"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070"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Derivative</w:t>
              <w:br/>
              <w:t>liabilities</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75"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Forward</w:t>
              <w:br/>
              <w:t>purchase</w:t>
              <w:br/>
              <w:t>agreements</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35"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SAFE</w:t>
              <w:br/>
              <w:t>Agreements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20"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Warrant</w:t>
              <w:br/>
              <w:t>liabilities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40"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Total</w:t>
            </w:r>
          </w:p>
        </w:tc>
        <w:tc>
          <w:tcPr>
            <w:tcW w:w="86" w:type="dxa"/>
            <w:tcBorders/>
            <w:vAlign w:val="center"/>
          </w:tcPr>
          <w:p>
            <w:pPr>
              <w:pStyle w:val="TableContents"/>
              <w:bidi w:val="0"/>
              <w:spacing w:before="0" w:after="283"/>
              <w:ind w:left="0" w:right="0" w:hanging="180"/>
              <w:jc w:val="left"/>
              <w:rPr/>
            </w:pPr>
            <w:r>
              <w:rPr/>
              <w:t> </w:t>
            </w:r>
          </w:p>
        </w:tc>
      </w:tr>
      <w:tr>
        <w:trPr/>
        <w:tc>
          <w:tcPr>
            <w:tcW w:w="4169"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Balance as of December 29, 2024</w:t>
            </w:r>
          </w:p>
        </w:tc>
        <w:tc>
          <w:tcPr>
            <w:tcW w:w="60" w:type="dxa"/>
            <w:tcBorders/>
            <w:shd w:fill="CCEEFF" w:val="clear"/>
            <w:vAlign w:val="center"/>
          </w:tcPr>
          <w:p>
            <w:pPr>
              <w:pStyle w:val="TableContents"/>
              <w:bidi w:val="0"/>
              <w:spacing w:before="0" w:after="283"/>
              <w:jc w:val="left"/>
              <w:rPr/>
            </w:pPr>
            <w:r>
              <w:rPr/>
              <w:t> </w:t>
            </w:r>
          </w:p>
        </w:tc>
        <w:tc>
          <w:tcPr>
            <w:tcW w:w="167"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03"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97,122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4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3,494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32"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03"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384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4"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736"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699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80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101,699</w:t>
            </w:r>
          </w:p>
        </w:tc>
        <w:tc>
          <w:tcPr>
            <w:tcW w:w="86" w:type="dxa"/>
            <w:tcBorders/>
            <w:shd w:fill="CCEEFF" w:val="clear"/>
            <w:vAlign w:val="center"/>
          </w:tcPr>
          <w:p>
            <w:pPr>
              <w:pStyle w:val="TableContents"/>
              <w:bidi w:val="0"/>
              <w:spacing w:before="0" w:after="283"/>
              <w:ind w:left="0" w:right="0" w:hanging="180"/>
              <w:jc w:val="left"/>
              <w:rPr/>
            </w:pPr>
            <w:r>
              <w:rPr/>
              <w:t> </w:t>
            </w:r>
          </w:p>
        </w:tc>
      </w:tr>
      <w:tr>
        <w:trPr/>
        <w:tc>
          <w:tcPr>
            <w:tcW w:w="4169"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Additions</w:t>
            </w:r>
          </w:p>
        </w:tc>
        <w:tc>
          <w:tcPr>
            <w:tcW w:w="60" w:type="dxa"/>
            <w:tcBorders/>
            <w:shd w:fill="FFFFFF" w:val="clear"/>
            <w:vAlign w:val="center"/>
          </w:tcPr>
          <w:p>
            <w:pPr>
              <w:pStyle w:val="TableContents"/>
              <w:bidi w:val="0"/>
              <w:spacing w:before="0" w:after="283"/>
              <w:jc w:val="left"/>
              <w:rPr/>
            </w:pPr>
            <w:r>
              <w:rPr/>
              <w:t> </w:t>
            </w:r>
          </w:p>
        </w:tc>
        <w:tc>
          <w:tcPr>
            <w:tcW w:w="167" w:type="dxa"/>
            <w:tcBorders/>
            <w:shd w:fill="FFFFFF" w:val="clear"/>
            <w:vAlign w:val="center"/>
          </w:tcPr>
          <w:p>
            <w:pPr>
              <w:pStyle w:val="TableContents"/>
              <w:bidi w:val="0"/>
              <w:spacing w:before="0" w:after="283"/>
              <w:jc w:val="left"/>
              <w:rPr/>
            </w:pPr>
            <w:r>
              <w:rPr/>
              <w:t> </w:t>
            </w:r>
          </w:p>
        </w:tc>
        <w:tc>
          <w:tcPr>
            <w:tcW w:w="903"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5" w:type="dxa"/>
            <w:tcBorders/>
            <w:shd w:fill="FFFFFF" w:val="clear"/>
            <w:vAlign w:val="center"/>
          </w:tcPr>
          <w:p>
            <w:pPr>
              <w:pStyle w:val="TableContents"/>
              <w:bidi w:val="0"/>
              <w:spacing w:before="0" w:after="283"/>
              <w:jc w:val="left"/>
              <w:rPr/>
            </w:pPr>
            <w:r>
              <w:rPr/>
              <w:t> </w:t>
            </w:r>
          </w:p>
        </w:tc>
        <w:tc>
          <w:tcPr>
            <w:tcW w:w="940"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32" w:type="dxa"/>
            <w:tcBorders/>
            <w:shd w:fill="FFFFFF" w:val="clear"/>
            <w:vAlign w:val="center"/>
          </w:tcPr>
          <w:p>
            <w:pPr>
              <w:pStyle w:val="TableContents"/>
              <w:bidi w:val="0"/>
              <w:spacing w:before="0" w:after="283"/>
              <w:jc w:val="left"/>
              <w:rPr/>
            </w:pPr>
            <w:r>
              <w:rPr/>
              <w:t> </w:t>
            </w:r>
          </w:p>
        </w:tc>
        <w:tc>
          <w:tcPr>
            <w:tcW w:w="903"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4" w:type="dxa"/>
            <w:tcBorders/>
            <w:shd w:fill="FFFFFF" w:val="clear"/>
            <w:vAlign w:val="center"/>
          </w:tcPr>
          <w:p>
            <w:pPr>
              <w:pStyle w:val="TableContents"/>
              <w:bidi w:val="0"/>
              <w:spacing w:before="0" w:after="283"/>
              <w:jc w:val="left"/>
              <w:rPr/>
            </w:pPr>
            <w:r>
              <w:rPr/>
              <w:t> </w:t>
            </w:r>
          </w:p>
        </w:tc>
        <w:tc>
          <w:tcPr>
            <w:tcW w:w="736"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w:t>
            </w:r>
          </w:p>
        </w:tc>
        <w:tc>
          <w:tcPr>
            <w:tcW w:w="86" w:type="dxa"/>
            <w:tcBorders/>
            <w:shd w:fill="FFFFFF" w:val="clear"/>
            <w:vAlign w:val="center"/>
          </w:tcPr>
          <w:p>
            <w:pPr>
              <w:pStyle w:val="TableContents"/>
              <w:bidi w:val="0"/>
              <w:spacing w:before="0" w:after="283"/>
              <w:ind w:left="0" w:right="0" w:hanging="180"/>
              <w:jc w:val="left"/>
              <w:rPr/>
            </w:pPr>
            <w:r>
              <w:rPr/>
              <w:t> </w:t>
            </w:r>
          </w:p>
        </w:tc>
      </w:tr>
      <w:tr>
        <w:trPr/>
        <w:tc>
          <w:tcPr>
            <w:tcW w:w="4169"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Conversions</w:t>
            </w:r>
          </w:p>
        </w:tc>
        <w:tc>
          <w:tcPr>
            <w:tcW w:w="60" w:type="dxa"/>
            <w:tcBorders/>
            <w:shd w:fill="CCEEFF" w:val="clear"/>
            <w:vAlign w:val="center"/>
          </w:tcPr>
          <w:p>
            <w:pPr>
              <w:pStyle w:val="TableContents"/>
              <w:bidi w:val="0"/>
              <w:spacing w:before="0" w:after="283"/>
              <w:jc w:val="left"/>
              <w:rPr/>
            </w:pPr>
            <w:r>
              <w:rPr/>
              <w:t> </w:t>
            </w:r>
          </w:p>
        </w:tc>
        <w:tc>
          <w:tcPr>
            <w:tcW w:w="167" w:type="dxa"/>
            <w:tcBorders/>
            <w:shd w:fill="CCEEFF" w:val="clear"/>
            <w:vAlign w:val="center"/>
          </w:tcPr>
          <w:p>
            <w:pPr>
              <w:pStyle w:val="TableContents"/>
              <w:bidi w:val="0"/>
              <w:spacing w:before="0" w:after="283"/>
              <w:jc w:val="left"/>
              <w:rPr/>
            </w:pPr>
            <w:r>
              <w:rPr/>
              <w:t> </w:t>
            </w:r>
          </w:p>
        </w:tc>
        <w:tc>
          <w:tcPr>
            <w:tcW w:w="903"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5" w:type="dxa"/>
            <w:tcBorders/>
            <w:shd w:fill="CCEEFF" w:val="clear"/>
            <w:vAlign w:val="center"/>
          </w:tcPr>
          <w:p>
            <w:pPr>
              <w:pStyle w:val="TableContents"/>
              <w:bidi w:val="0"/>
              <w:spacing w:before="0" w:after="283"/>
              <w:jc w:val="left"/>
              <w:rPr/>
            </w:pPr>
            <w:r>
              <w:rPr/>
              <w:t> </w:t>
            </w:r>
          </w:p>
        </w:tc>
        <w:tc>
          <w:tcPr>
            <w:tcW w:w="940"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32" w:type="dxa"/>
            <w:tcBorders/>
            <w:shd w:fill="CCEEFF" w:val="clear"/>
            <w:vAlign w:val="center"/>
          </w:tcPr>
          <w:p>
            <w:pPr>
              <w:pStyle w:val="TableContents"/>
              <w:bidi w:val="0"/>
              <w:spacing w:before="0" w:after="283"/>
              <w:jc w:val="left"/>
              <w:rPr/>
            </w:pPr>
            <w:r>
              <w:rPr/>
              <w:t> </w:t>
            </w:r>
          </w:p>
        </w:tc>
        <w:tc>
          <w:tcPr>
            <w:tcW w:w="903"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4" w:type="dxa"/>
            <w:tcBorders/>
            <w:shd w:fill="CCEEFF" w:val="clear"/>
            <w:vAlign w:val="center"/>
          </w:tcPr>
          <w:p>
            <w:pPr>
              <w:pStyle w:val="TableContents"/>
              <w:bidi w:val="0"/>
              <w:spacing w:before="0" w:after="283"/>
              <w:jc w:val="left"/>
              <w:rPr/>
            </w:pPr>
            <w:r>
              <w:rPr/>
              <w:t> </w:t>
            </w:r>
          </w:p>
        </w:tc>
        <w:tc>
          <w:tcPr>
            <w:tcW w:w="736"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w:t>
            </w:r>
          </w:p>
        </w:tc>
        <w:tc>
          <w:tcPr>
            <w:tcW w:w="86" w:type="dxa"/>
            <w:tcBorders/>
            <w:shd w:fill="CCEEFF" w:val="clear"/>
            <w:vAlign w:val="center"/>
          </w:tcPr>
          <w:p>
            <w:pPr>
              <w:pStyle w:val="TableContents"/>
              <w:bidi w:val="0"/>
              <w:spacing w:before="0" w:after="283"/>
              <w:ind w:left="0" w:right="0" w:hanging="180"/>
              <w:jc w:val="left"/>
              <w:rPr/>
            </w:pPr>
            <w:r>
              <w:rPr/>
              <w:t> </w:t>
            </w:r>
          </w:p>
        </w:tc>
      </w:tr>
      <w:tr>
        <w:trPr/>
        <w:tc>
          <w:tcPr>
            <w:tcW w:w="4169"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Net (gain) loss recognized within Other non-operating income, net in the consolidated statement of operations</w:t>
            </w:r>
          </w:p>
        </w:tc>
        <w:tc>
          <w:tcPr>
            <w:tcW w:w="60" w:type="dxa"/>
            <w:tcBorders/>
            <w:shd w:fill="FFFFFF" w:val="clear"/>
            <w:vAlign w:val="center"/>
          </w:tcPr>
          <w:p>
            <w:pPr>
              <w:pStyle w:val="TableContents"/>
              <w:bidi w:val="0"/>
              <w:spacing w:before="0" w:after="283"/>
              <w:jc w:val="left"/>
              <w:rPr/>
            </w:pPr>
            <w:r>
              <w:rPr/>
              <w:t> </w:t>
            </w:r>
          </w:p>
        </w:tc>
        <w:tc>
          <w:tcPr>
            <w:tcW w:w="167"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903"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(15,127</w:t>
            </w:r>
          </w:p>
        </w:tc>
        <w:tc>
          <w:tcPr>
            <w:tcW w:w="9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235"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940"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(268</w:t>
            </w:r>
          </w:p>
        </w:tc>
        <w:tc>
          <w:tcPr>
            <w:tcW w:w="9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332"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903"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4"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736"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488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800"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(14,887</w:t>
            </w:r>
          </w:p>
        </w:tc>
        <w:tc>
          <w:tcPr>
            <w:tcW w:w="86" w:type="dxa"/>
            <w:tcBorders/>
            <w:shd w:fill="FFFFFF" w:val="clear"/>
            <w:vAlign w:val="center"/>
          </w:tcPr>
          <w:p>
            <w:pPr>
              <w:pStyle w:val="TableContents"/>
              <w:bidi w:val="0"/>
              <w:spacing w:before="0" w:after="283"/>
              <w:ind w:left="0" w:right="0" w:hanging="180"/>
              <w:jc w:val="left"/>
              <w:rPr>
                <w:rFonts w:ascii="Times New Roman;Times;Serif" w:hAnsi="Times New Roman;Times;Serif"/>
              </w:rPr>
            </w:pPr>
            <w:r>
              <w:rPr>
                <w:rFonts w:ascii="Times New Roman;Times;Serif" w:hAnsi="Times New Roman;Times;Serif"/>
              </w:rPr>
              <w:t>)</w:t>
            </w:r>
          </w:p>
        </w:tc>
      </w:tr>
      <w:tr>
        <w:trPr/>
        <w:tc>
          <w:tcPr>
            <w:tcW w:w="4169"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Balance as of March 30, 2025</w:t>
            </w:r>
          </w:p>
        </w:tc>
        <w:tc>
          <w:tcPr>
            <w:tcW w:w="60" w:type="dxa"/>
            <w:tcBorders/>
            <w:shd w:fill="CCEEFF" w:val="clear"/>
            <w:vAlign w:val="center"/>
          </w:tcPr>
          <w:p>
            <w:pPr>
              <w:pStyle w:val="TableContents"/>
              <w:bidi w:val="0"/>
              <w:spacing w:before="0" w:after="283"/>
              <w:jc w:val="left"/>
              <w:rPr/>
            </w:pPr>
            <w:r>
              <w:rPr/>
              <w:t> </w:t>
            </w:r>
          </w:p>
        </w:tc>
        <w:tc>
          <w:tcPr>
            <w:tcW w:w="167" w:type="dxa"/>
            <w:tcBorders>
              <w:bottom w:val="double" w:sz="10"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03" w:type="dxa"/>
            <w:tcBorders>
              <w:bottom w:val="double" w:sz="10"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81,995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5" w:type="dxa"/>
            <w:tcBorders>
              <w:bottom w:val="double" w:sz="10"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40" w:type="dxa"/>
            <w:tcBorders>
              <w:bottom w:val="double" w:sz="10"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3,226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32" w:type="dxa"/>
            <w:tcBorders>
              <w:bottom w:val="double" w:sz="10"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03" w:type="dxa"/>
            <w:tcBorders>
              <w:bottom w:val="double" w:sz="10"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404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4" w:type="dxa"/>
            <w:tcBorders>
              <w:bottom w:val="double" w:sz="10"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736" w:type="dxa"/>
            <w:tcBorders>
              <w:bottom w:val="double" w:sz="10"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1,187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10"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800" w:type="dxa"/>
            <w:tcBorders>
              <w:bottom w:val="double" w:sz="10"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86,812</w:t>
            </w:r>
          </w:p>
        </w:tc>
        <w:tc>
          <w:tcPr>
            <w:tcW w:w="86"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Subsequent to issuance, changes in the fair value of the derivative liabilities, liability classified warrants, forward purchase agreements and SAFEs are recorded within Other non-operating income, net in the Company’s unaudited condensed consolidated statements of operations and comprehensive income.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 xml:space="preserve">Derivative liabilities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Company recognized derivative liabilities arising from the conversion features of its senior unsecured convertible notes issued (refer to </w:t>
      </w:r>
      <w:r>
        <w:rPr>
          <w:rFonts w:ascii="Times New Roman;Times;Serif" w:hAnsi="Times New Roman;Times;Serif"/>
          <w:b/>
          <w:i w:val="false"/>
          <w:caps w:val="false"/>
          <w:smallCaps w:val="false"/>
          <w:sz w:val="20"/>
        </w:rPr>
        <w:t>Note 9 – Borrowings and Derivative Liabilities</w:t>
      </w:r>
      <w:r>
        <w:rPr>
          <w:rFonts w:ascii="Times New Roman;Times;Serif" w:hAnsi="Times New Roman;Times;Serif"/>
          <w:b w:val="false"/>
          <w:i w:val="false"/>
          <w:caps w:val="false"/>
          <w:smallCaps w:val="false"/>
          <w:sz w:val="20"/>
        </w:rPr>
        <w:t xml:space="preserve">). Derivative liabilities are measured at fair value in accordance with ASC 820, </w:t>
      </w:r>
      <w:r>
        <w:rPr>
          <w:rFonts w:ascii="Times New Roman;Times;Serif" w:hAnsi="Times New Roman;Times;Serif"/>
          <w:b w:val="false"/>
          <w:i/>
          <w:caps w:val="false"/>
          <w:smallCaps w:val="false"/>
          <w:sz w:val="20"/>
        </w:rPr>
        <w:t>Fair Value Measurement</w:t>
      </w:r>
      <w:r>
        <w:rPr>
          <w:rFonts w:ascii="Times New Roman;Times;Serif" w:hAnsi="Times New Roman;Times;Serif"/>
          <w:b w:val="false"/>
          <w:i w:val="false"/>
          <w:caps w:val="false"/>
          <w:smallCaps w:val="false"/>
          <w:sz w:val="20"/>
        </w:rPr>
        <w:t>. The fair value of each respective derivative liability is measured using a Monte Carlo simulation that incorporates a binomial lattice model. Significant inputs to the binomial lattice model include the terms of the senior unsecured convertible notes (including the interest rate, conversion rate and conversion price), the underlying price of the Company’s common stock, risk-free rate and volatility. Certain of these inputs are unobservable. Thus, these derivative liabilities are classified within Level 3 of the fair value hierarchy. The binomial lattice model produces an estimated fair value based on changes in the price of the underlying shares of the Company’s common stock over successive periods of time. As a result of these interrelationships and inherent unobservable assumptions, the fair value of a derivative liability is subject to significant measurement uncertainty, and alternative reasonable assumptions could have produced materially different results as of March 29, 2026 and December 28, 2025.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sz w:val="20"/>
          <w:bdr w:val="single" w:sz="12" w:space="1" w:color="000000"/>
        </w:rPr>
      </w:pPr>
      <w:r>
        <w:rPr>
          <w:sz w:val="20"/>
          <w:bdr w:val="single" w:sz="12" w:space="1" w:color="000000"/>
        </w:rPr>
        <w:t>F-21</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assumptions used to value the derivative liabilities as of March 29, 2026 were as follows:</w:t>
      </w:r>
    </w:p>
    <w:p>
      <w:pPr>
        <w:pStyle w:val="TextBody"/>
        <w:bidi w:val="0"/>
        <w:spacing w:before="0" w:after="0"/>
        <w:ind w:left="0" w:right="0" w:hanging="0"/>
        <w:jc w:val="both"/>
        <w:rPr>
          <w:caps w:val="false"/>
          <w:smallCaps w:val="false"/>
        </w:rPr>
      </w:pPr>
      <w:r>
        <w:rPr>
          <w:caps w:val="false"/>
          <w:smallCaps w:val="false"/>
        </w:rPr>
        <w:t> </w:t>
      </w:r>
    </w:p>
    <w:tbl>
      <w:tblPr>
        <w:tblW w:w="9935" w:type="dxa"/>
        <w:jc w:val="left"/>
        <w:tblInd w:w="0" w:type="dxa"/>
        <w:tblLayout w:type="fixed"/>
        <w:tblCellMar>
          <w:top w:w="0" w:type="dxa"/>
          <w:left w:w="0" w:type="dxa"/>
          <w:bottom w:w="0" w:type="dxa"/>
          <w:right w:w="0" w:type="dxa"/>
        </w:tblCellMar>
      </w:tblPr>
      <w:tblGrid>
        <w:gridCol w:w="2195"/>
        <w:gridCol w:w="60"/>
        <w:gridCol w:w="153"/>
        <w:gridCol w:w="746"/>
        <w:gridCol w:w="235"/>
        <w:gridCol w:w="65"/>
        <w:gridCol w:w="153"/>
        <w:gridCol w:w="746"/>
        <w:gridCol w:w="235"/>
        <w:gridCol w:w="65"/>
        <w:gridCol w:w="195"/>
        <w:gridCol w:w="950"/>
        <w:gridCol w:w="235"/>
        <w:gridCol w:w="65"/>
        <w:gridCol w:w="153"/>
        <w:gridCol w:w="746"/>
        <w:gridCol w:w="215"/>
        <w:gridCol w:w="60"/>
        <w:gridCol w:w="178"/>
        <w:gridCol w:w="864"/>
        <w:gridCol w:w="273"/>
        <w:gridCol w:w="76"/>
        <w:gridCol w:w="178"/>
        <w:gridCol w:w="864"/>
        <w:gridCol w:w="230"/>
      </w:tblGrid>
      <w:tr>
        <w:trPr/>
        <w:tc>
          <w:tcPr>
            <w:tcW w:w="21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742" w:type="dxa"/>
            <w:gridSpan w:val="14"/>
            <w:tcBorders>
              <w:bottom w:val="single" w:sz="12" w:space="0" w:color="000000"/>
            </w:tcBorders>
            <w:tcMar>
              <w:bottom w:w="28" w:type="dxa"/>
            </w:tcMar>
            <w:vAlign w:val="center"/>
          </w:tcPr>
          <w:p>
            <w:pPr>
              <w:pStyle w:val="TableContents"/>
              <w:bidi w:val="0"/>
              <w:spacing w:before="0" w:after="283"/>
              <w:jc w:val="center"/>
              <w:rPr/>
            </w:pPr>
            <w:r>
              <w:rPr/>
              <w:t> </w:t>
            </w:r>
            <w:r>
              <w:rPr>
                <w:rFonts w:ascii="Times New Roman;Times;Serif" w:hAnsi="Times New Roman;Times;Serif"/>
                <w:b/>
              </w:rPr>
              <w:t>12.0% Senior Unsecured Convertible Notes</w:t>
            </w:r>
          </w:p>
        </w:tc>
        <w:tc>
          <w:tcPr>
            <w:tcW w:w="2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433" w:type="dxa"/>
            <w:gridSpan w:val="6"/>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7.0% Senior Unsecured</w:t>
              <w:br/>
              <w:t>Convertible Notes</w:t>
            </w:r>
          </w:p>
        </w:tc>
        <w:tc>
          <w:tcPr>
            <w:tcW w:w="230" w:type="dxa"/>
            <w:tcBorders/>
            <w:vAlign w:val="center"/>
          </w:tcPr>
          <w:p>
            <w:pPr>
              <w:pStyle w:val="TableContents"/>
              <w:bidi w:val="0"/>
              <w:spacing w:before="0" w:after="283"/>
              <w:jc w:val="left"/>
              <w:rPr/>
            </w:pPr>
            <w:r>
              <w:rPr/>
              <w:t> </w:t>
            </w:r>
          </w:p>
        </w:tc>
      </w:tr>
      <w:tr>
        <w:trPr/>
        <w:tc>
          <w:tcPr>
            <w:tcW w:w="21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99"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July</w:t>
              <w:br/>
              <w:t>2024</w:t>
              <w:br/>
              <w:t>Notes</w:t>
            </w:r>
            <w:r>
              <w:rPr>
                <w:rFonts w:ascii="Times New Roman;Times;Serif" w:hAnsi="Times New Roman;Times;Serif"/>
                <w:b/>
                <w:position w:val="7"/>
                <w:sz w:val="16"/>
                <w:sz w:val="20"/>
              </w:rPr>
              <w:t>(1)</w:t>
            </w:r>
          </w:p>
        </w:tc>
        <w:tc>
          <w:tcPr>
            <w:tcW w:w="235" w:type="dxa"/>
            <w:tcBorders/>
            <w:vAlign w:val="center"/>
          </w:tcPr>
          <w:p>
            <w:pPr>
              <w:pStyle w:val="TableContents"/>
              <w:bidi w:val="0"/>
              <w:spacing w:before="0" w:after="283"/>
              <w:jc w:val="left"/>
              <w:rPr/>
            </w:pPr>
            <w:r>
              <w:rPr/>
              <w:t> </w:t>
            </w:r>
          </w:p>
        </w:tc>
        <w:tc>
          <w:tcPr>
            <w:tcW w:w="65" w:type="dxa"/>
            <w:tcBorders/>
            <w:vAlign w:val="center"/>
          </w:tcPr>
          <w:p>
            <w:pPr>
              <w:pStyle w:val="TableContents"/>
              <w:bidi w:val="0"/>
              <w:spacing w:before="0" w:after="283"/>
              <w:jc w:val="left"/>
              <w:rPr/>
            </w:pPr>
            <w:r>
              <w:rPr/>
              <w:t> </w:t>
            </w:r>
          </w:p>
        </w:tc>
        <w:tc>
          <w:tcPr>
            <w:tcW w:w="899"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 xml:space="preserve">July </w:t>
              <w:br/>
              <w:t>2025</w:t>
              <w:br/>
              <w:t>Note</w:t>
            </w:r>
          </w:p>
        </w:tc>
        <w:tc>
          <w:tcPr>
            <w:tcW w:w="235" w:type="dxa"/>
            <w:tcBorders/>
            <w:vAlign w:val="center"/>
          </w:tcPr>
          <w:p>
            <w:pPr>
              <w:pStyle w:val="TableContents"/>
              <w:bidi w:val="0"/>
              <w:spacing w:before="0" w:after="283"/>
              <w:jc w:val="left"/>
              <w:rPr/>
            </w:pPr>
            <w:r>
              <w:rPr/>
              <w:t> </w:t>
            </w:r>
          </w:p>
        </w:tc>
        <w:tc>
          <w:tcPr>
            <w:tcW w:w="65" w:type="dxa"/>
            <w:tcBorders/>
            <w:vAlign w:val="center"/>
          </w:tcPr>
          <w:p>
            <w:pPr>
              <w:pStyle w:val="TableContents"/>
              <w:bidi w:val="0"/>
              <w:spacing w:before="0" w:after="283"/>
              <w:jc w:val="left"/>
              <w:rPr/>
            </w:pPr>
            <w:r>
              <w:rPr/>
              <w:t> </w:t>
            </w:r>
          </w:p>
        </w:tc>
        <w:tc>
          <w:tcPr>
            <w:tcW w:w="1145" w:type="dxa"/>
            <w:gridSpan w:val="2"/>
            <w:tcBorders>
              <w:bottom w:val="single" w:sz="12" w:space="0" w:color="000000"/>
            </w:tcBorders>
            <w:tcMar>
              <w:bottom w:w="28" w:type="dxa"/>
            </w:tcMar>
            <w:vAlign w:val="center"/>
          </w:tcPr>
          <w:p>
            <w:pPr>
              <w:pStyle w:val="TableContents"/>
              <w:bidi w:val="0"/>
              <w:spacing w:before="0" w:after="283"/>
              <w:jc w:val="center"/>
              <w:rPr/>
            </w:pPr>
            <w:r>
              <w:rPr/>
              <w:t> </w:t>
            </w:r>
            <w:r>
              <w:rPr>
                <w:rFonts w:ascii="Times New Roman;Times;Serif" w:hAnsi="Times New Roman;Times;Serif"/>
                <w:b/>
              </w:rPr>
              <w:t>November</w:t>
              <w:br/>
              <w:t xml:space="preserve">2025 </w:t>
              <w:br/>
              <w:t>Note</w:t>
            </w:r>
          </w:p>
        </w:tc>
        <w:tc>
          <w:tcPr>
            <w:tcW w:w="235" w:type="dxa"/>
            <w:tcBorders/>
            <w:vAlign w:val="center"/>
          </w:tcPr>
          <w:p>
            <w:pPr>
              <w:pStyle w:val="TableContents"/>
              <w:bidi w:val="0"/>
              <w:spacing w:before="0" w:after="283"/>
              <w:jc w:val="left"/>
              <w:rPr/>
            </w:pPr>
            <w:r>
              <w:rPr/>
              <w:t> </w:t>
            </w:r>
          </w:p>
        </w:tc>
        <w:tc>
          <w:tcPr>
            <w:tcW w:w="65" w:type="dxa"/>
            <w:tcBorders/>
            <w:vAlign w:val="center"/>
          </w:tcPr>
          <w:p>
            <w:pPr>
              <w:pStyle w:val="TableContents"/>
              <w:bidi w:val="0"/>
              <w:spacing w:before="0" w:after="283"/>
              <w:jc w:val="left"/>
              <w:rPr/>
            </w:pPr>
            <w:r>
              <w:rPr/>
              <w:t> </w:t>
            </w:r>
          </w:p>
        </w:tc>
        <w:tc>
          <w:tcPr>
            <w:tcW w:w="899"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January</w:t>
              <w:br/>
              <w:t xml:space="preserve">2026 </w:t>
              <w:br/>
              <w:t>Note</w:t>
            </w:r>
          </w:p>
        </w:tc>
        <w:tc>
          <w:tcPr>
            <w:tcW w:w="2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42"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September</w:t>
              <w:br/>
              <w:t>2024</w:t>
              <w:br/>
              <w:t>Notes</w:t>
            </w:r>
            <w:r>
              <w:rPr>
                <w:rFonts w:ascii="Times New Roman;Times;Serif" w:hAnsi="Times New Roman;Times;Serif"/>
                <w:b/>
                <w:position w:val="7"/>
                <w:sz w:val="16"/>
                <w:sz w:val="20"/>
              </w:rPr>
              <w:t>(1)</w:t>
            </w:r>
          </w:p>
        </w:tc>
        <w:tc>
          <w:tcPr>
            <w:tcW w:w="273" w:type="dxa"/>
            <w:tcBorders/>
            <w:vAlign w:val="center"/>
          </w:tcPr>
          <w:p>
            <w:pPr>
              <w:pStyle w:val="TableContents"/>
              <w:bidi w:val="0"/>
              <w:spacing w:before="0" w:after="283"/>
              <w:jc w:val="left"/>
              <w:rPr/>
            </w:pPr>
            <w:r>
              <w:rPr/>
              <w:t> </w:t>
            </w:r>
          </w:p>
        </w:tc>
        <w:tc>
          <w:tcPr>
            <w:tcW w:w="76" w:type="dxa"/>
            <w:tcBorders/>
            <w:vAlign w:val="center"/>
          </w:tcPr>
          <w:p>
            <w:pPr>
              <w:pStyle w:val="TableContents"/>
              <w:bidi w:val="0"/>
              <w:spacing w:before="0" w:after="283"/>
              <w:jc w:val="left"/>
              <w:rPr/>
            </w:pPr>
            <w:r>
              <w:rPr/>
              <w:t> </w:t>
            </w:r>
          </w:p>
        </w:tc>
        <w:tc>
          <w:tcPr>
            <w:tcW w:w="1042"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September</w:t>
              <w:br/>
              <w:t>2025</w:t>
              <w:br/>
              <w:t>Notes</w:t>
            </w:r>
            <w:r>
              <w:rPr>
                <w:rFonts w:ascii="Times New Roman;Times;Serif" w:hAnsi="Times New Roman;Times;Serif"/>
                <w:b/>
                <w:position w:val="7"/>
                <w:sz w:val="16"/>
                <w:sz w:val="20"/>
              </w:rPr>
              <w:t>(1)</w:t>
            </w:r>
          </w:p>
        </w:tc>
        <w:tc>
          <w:tcPr>
            <w:tcW w:w="230" w:type="dxa"/>
            <w:tcBorders/>
            <w:vAlign w:val="center"/>
          </w:tcPr>
          <w:p>
            <w:pPr>
              <w:pStyle w:val="TableContents"/>
              <w:bidi w:val="0"/>
              <w:spacing w:before="0" w:after="283"/>
              <w:jc w:val="left"/>
              <w:rPr/>
            </w:pPr>
            <w:r>
              <w:rPr/>
              <w:t> </w:t>
            </w:r>
          </w:p>
        </w:tc>
      </w:tr>
      <w:tr>
        <w:trPr/>
        <w:tc>
          <w:tcPr>
            <w:tcW w:w="219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Coupon rate</w:t>
            </w:r>
          </w:p>
        </w:tc>
        <w:tc>
          <w:tcPr>
            <w:tcW w:w="60" w:type="dxa"/>
            <w:tcBorders/>
            <w:shd w:fill="CCEEFF" w:val="clear"/>
            <w:vAlign w:val="center"/>
          </w:tcPr>
          <w:p>
            <w:pPr>
              <w:pStyle w:val="TableContents"/>
              <w:bidi w:val="0"/>
              <w:spacing w:before="0" w:after="283"/>
              <w:jc w:val="left"/>
              <w:rPr/>
            </w:pPr>
            <w:r>
              <w:rPr/>
              <w:t> </w:t>
            </w:r>
          </w:p>
        </w:tc>
        <w:tc>
          <w:tcPr>
            <w:tcW w:w="153" w:type="dxa"/>
            <w:tcBorders/>
            <w:shd w:fill="CCEEFF" w:val="clear"/>
            <w:vAlign w:val="center"/>
          </w:tcPr>
          <w:p>
            <w:pPr>
              <w:pStyle w:val="TableContents"/>
              <w:bidi w:val="0"/>
              <w:spacing w:before="0" w:after="283"/>
              <w:jc w:val="left"/>
              <w:rPr/>
            </w:pPr>
            <w:r>
              <w:rPr/>
              <w:t> </w:t>
            </w:r>
          </w:p>
        </w:tc>
        <w:tc>
          <w:tcPr>
            <w:tcW w:w="746"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12.0</w:t>
            </w:r>
          </w:p>
        </w:tc>
        <w:tc>
          <w:tcPr>
            <w:tcW w:w="23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5" w:type="dxa"/>
            <w:tcBorders/>
            <w:shd w:fill="CCEEFF" w:val="clear"/>
            <w:vAlign w:val="center"/>
          </w:tcPr>
          <w:p>
            <w:pPr>
              <w:pStyle w:val="TableContents"/>
              <w:bidi w:val="0"/>
              <w:spacing w:before="0" w:after="283"/>
              <w:jc w:val="left"/>
              <w:rPr/>
            </w:pPr>
            <w:r>
              <w:rPr/>
              <w:t> </w:t>
            </w:r>
          </w:p>
        </w:tc>
        <w:tc>
          <w:tcPr>
            <w:tcW w:w="153" w:type="dxa"/>
            <w:tcBorders/>
            <w:shd w:fill="CCEEFF" w:val="clear"/>
            <w:vAlign w:val="center"/>
          </w:tcPr>
          <w:p>
            <w:pPr>
              <w:pStyle w:val="TableContents"/>
              <w:bidi w:val="0"/>
              <w:spacing w:before="0" w:after="283"/>
              <w:jc w:val="left"/>
              <w:rPr/>
            </w:pPr>
            <w:r>
              <w:rPr/>
              <w:t> </w:t>
            </w:r>
          </w:p>
        </w:tc>
        <w:tc>
          <w:tcPr>
            <w:tcW w:w="746"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12.0</w:t>
            </w:r>
          </w:p>
        </w:tc>
        <w:tc>
          <w:tcPr>
            <w:tcW w:w="23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5" w:type="dxa"/>
            <w:tcBorders/>
            <w:shd w:fill="CCEEFF" w:val="clear"/>
            <w:vAlign w:val="center"/>
          </w:tcPr>
          <w:p>
            <w:pPr>
              <w:pStyle w:val="TableContents"/>
              <w:bidi w:val="0"/>
              <w:spacing w:before="0" w:after="283"/>
              <w:jc w:val="left"/>
              <w:rPr/>
            </w:pPr>
            <w:r>
              <w:rPr/>
              <w:t> </w:t>
            </w:r>
          </w:p>
        </w:tc>
        <w:tc>
          <w:tcPr>
            <w:tcW w:w="195" w:type="dxa"/>
            <w:tcBorders/>
            <w:shd w:fill="CCEEFF" w:val="clear"/>
            <w:vAlign w:val="center"/>
          </w:tcPr>
          <w:p>
            <w:pPr>
              <w:pStyle w:val="TableContents"/>
              <w:bidi w:val="0"/>
              <w:spacing w:before="0" w:after="283"/>
              <w:jc w:val="left"/>
              <w:rPr/>
            </w:pPr>
            <w:r>
              <w:rPr/>
              <w:t> </w:t>
            </w:r>
          </w:p>
        </w:tc>
        <w:tc>
          <w:tcPr>
            <w:tcW w:w="95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12.0</w:t>
            </w:r>
          </w:p>
        </w:tc>
        <w:tc>
          <w:tcPr>
            <w:tcW w:w="23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5" w:type="dxa"/>
            <w:tcBorders/>
            <w:shd w:fill="CCEEFF" w:val="clear"/>
            <w:vAlign w:val="center"/>
          </w:tcPr>
          <w:p>
            <w:pPr>
              <w:pStyle w:val="TableContents"/>
              <w:bidi w:val="0"/>
              <w:spacing w:before="0" w:after="283"/>
              <w:jc w:val="left"/>
              <w:rPr/>
            </w:pPr>
            <w:r>
              <w:rPr/>
              <w:t> </w:t>
            </w:r>
          </w:p>
        </w:tc>
        <w:tc>
          <w:tcPr>
            <w:tcW w:w="153"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746"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12.0</w:t>
            </w:r>
          </w:p>
        </w:tc>
        <w:tc>
          <w:tcPr>
            <w:tcW w:w="21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178" w:type="dxa"/>
            <w:tcBorders/>
            <w:shd w:fill="CCEEFF" w:val="clear"/>
            <w:vAlign w:val="center"/>
          </w:tcPr>
          <w:p>
            <w:pPr>
              <w:pStyle w:val="TableContents"/>
              <w:bidi w:val="0"/>
              <w:spacing w:before="0" w:after="283"/>
              <w:jc w:val="left"/>
              <w:rPr/>
            </w:pPr>
            <w:r>
              <w:rPr/>
              <w:t> </w:t>
            </w:r>
          </w:p>
        </w:tc>
        <w:tc>
          <w:tcPr>
            <w:tcW w:w="864"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7.0</w:t>
            </w:r>
          </w:p>
        </w:tc>
        <w:tc>
          <w:tcPr>
            <w:tcW w:w="273"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76" w:type="dxa"/>
            <w:tcBorders/>
            <w:shd w:fill="CCEEFF" w:val="clear"/>
            <w:vAlign w:val="center"/>
          </w:tcPr>
          <w:p>
            <w:pPr>
              <w:pStyle w:val="TableContents"/>
              <w:bidi w:val="0"/>
              <w:spacing w:before="0" w:after="283"/>
              <w:jc w:val="left"/>
              <w:rPr/>
            </w:pPr>
            <w:r>
              <w:rPr/>
              <w:t> </w:t>
            </w:r>
          </w:p>
        </w:tc>
        <w:tc>
          <w:tcPr>
            <w:tcW w:w="178" w:type="dxa"/>
            <w:tcBorders/>
            <w:shd w:fill="CCEEFF" w:val="clear"/>
            <w:vAlign w:val="center"/>
          </w:tcPr>
          <w:p>
            <w:pPr>
              <w:pStyle w:val="TableContents"/>
              <w:bidi w:val="0"/>
              <w:spacing w:before="0" w:after="283"/>
              <w:jc w:val="left"/>
              <w:rPr/>
            </w:pPr>
            <w:r>
              <w:rPr/>
              <w:t> </w:t>
            </w:r>
          </w:p>
        </w:tc>
        <w:tc>
          <w:tcPr>
            <w:tcW w:w="864"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7.0</w:t>
            </w:r>
          </w:p>
        </w:tc>
        <w:tc>
          <w:tcPr>
            <w:tcW w:w="23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219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Initial conversion rate</w:t>
            </w:r>
          </w:p>
        </w:tc>
        <w:tc>
          <w:tcPr>
            <w:tcW w:w="60" w:type="dxa"/>
            <w:tcBorders/>
            <w:shd w:fill="FFFFFF" w:val="clear"/>
            <w:vAlign w:val="center"/>
          </w:tcPr>
          <w:p>
            <w:pPr>
              <w:pStyle w:val="TableContents"/>
              <w:bidi w:val="0"/>
              <w:spacing w:before="0" w:after="283"/>
              <w:jc w:val="left"/>
              <w:rPr/>
            </w:pPr>
            <w:r>
              <w:rPr/>
              <w:t> </w:t>
            </w:r>
          </w:p>
        </w:tc>
        <w:tc>
          <w:tcPr>
            <w:tcW w:w="153" w:type="dxa"/>
            <w:tcBorders/>
            <w:shd w:fill="FFFFFF" w:val="clear"/>
            <w:vAlign w:val="center"/>
          </w:tcPr>
          <w:p>
            <w:pPr>
              <w:pStyle w:val="TableContents"/>
              <w:bidi w:val="0"/>
              <w:spacing w:before="0" w:after="283"/>
              <w:jc w:val="left"/>
              <w:rPr/>
            </w:pPr>
            <w:r>
              <w:rPr/>
              <w:t> </w:t>
            </w:r>
          </w:p>
        </w:tc>
        <w:tc>
          <w:tcPr>
            <w:tcW w:w="746"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595.24</w:t>
            </w:r>
          </w:p>
        </w:tc>
        <w:tc>
          <w:tcPr>
            <w:tcW w:w="235" w:type="dxa"/>
            <w:tcBorders/>
            <w:shd w:fill="FFFFFF" w:val="clear"/>
            <w:vAlign w:val="center"/>
          </w:tcPr>
          <w:p>
            <w:pPr>
              <w:pStyle w:val="TableContents"/>
              <w:bidi w:val="0"/>
              <w:spacing w:before="0" w:after="283"/>
              <w:jc w:val="left"/>
              <w:rPr/>
            </w:pPr>
            <w:r>
              <w:rPr/>
              <w:t> </w:t>
            </w:r>
          </w:p>
        </w:tc>
        <w:tc>
          <w:tcPr>
            <w:tcW w:w="65" w:type="dxa"/>
            <w:tcBorders/>
            <w:shd w:fill="FFFFFF" w:val="clear"/>
            <w:vAlign w:val="center"/>
          </w:tcPr>
          <w:p>
            <w:pPr>
              <w:pStyle w:val="TableContents"/>
              <w:bidi w:val="0"/>
              <w:spacing w:before="0" w:after="283"/>
              <w:jc w:val="left"/>
              <w:rPr/>
            </w:pPr>
            <w:r>
              <w:rPr/>
              <w:t> </w:t>
            </w:r>
          </w:p>
        </w:tc>
        <w:tc>
          <w:tcPr>
            <w:tcW w:w="153" w:type="dxa"/>
            <w:tcBorders/>
            <w:shd w:fill="FFFFFF" w:val="clear"/>
            <w:vAlign w:val="center"/>
          </w:tcPr>
          <w:p>
            <w:pPr>
              <w:pStyle w:val="TableContents"/>
              <w:bidi w:val="0"/>
              <w:spacing w:before="0" w:after="283"/>
              <w:jc w:val="left"/>
              <w:rPr/>
            </w:pPr>
            <w:r>
              <w:rPr/>
              <w:t> </w:t>
            </w:r>
          </w:p>
        </w:tc>
        <w:tc>
          <w:tcPr>
            <w:tcW w:w="746"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558.66</w:t>
            </w:r>
          </w:p>
        </w:tc>
        <w:tc>
          <w:tcPr>
            <w:tcW w:w="235" w:type="dxa"/>
            <w:tcBorders/>
            <w:shd w:fill="FFFFFF" w:val="clear"/>
            <w:vAlign w:val="center"/>
          </w:tcPr>
          <w:p>
            <w:pPr>
              <w:pStyle w:val="TableContents"/>
              <w:bidi w:val="0"/>
              <w:spacing w:before="0" w:after="283"/>
              <w:jc w:val="left"/>
              <w:rPr/>
            </w:pPr>
            <w:r>
              <w:rPr/>
              <w:t> </w:t>
            </w:r>
          </w:p>
        </w:tc>
        <w:tc>
          <w:tcPr>
            <w:tcW w:w="65" w:type="dxa"/>
            <w:tcBorders/>
            <w:shd w:fill="FFFFFF" w:val="clear"/>
            <w:vAlign w:val="center"/>
          </w:tcPr>
          <w:p>
            <w:pPr>
              <w:pStyle w:val="TableContents"/>
              <w:bidi w:val="0"/>
              <w:spacing w:before="0" w:after="283"/>
              <w:jc w:val="left"/>
              <w:rPr/>
            </w:pPr>
            <w:r>
              <w:rPr/>
              <w:t> </w:t>
            </w:r>
          </w:p>
        </w:tc>
        <w:tc>
          <w:tcPr>
            <w:tcW w:w="195" w:type="dxa"/>
            <w:tcBorders/>
            <w:shd w:fill="FFFFFF" w:val="clear"/>
            <w:vAlign w:val="center"/>
          </w:tcPr>
          <w:p>
            <w:pPr>
              <w:pStyle w:val="TableContents"/>
              <w:bidi w:val="0"/>
              <w:spacing w:before="0" w:after="283"/>
              <w:jc w:val="left"/>
              <w:rPr/>
            </w:pPr>
            <w:r>
              <w:rPr/>
              <w:t> </w:t>
            </w:r>
          </w:p>
        </w:tc>
        <w:tc>
          <w:tcPr>
            <w:tcW w:w="95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626.96</w:t>
            </w:r>
          </w:p>
        </w:tc>
        <w:tc>
          <w:tcPr>
            <w:tcW w:w="235" w:type="dxa"/>
            <w:tcBorders/>
            <w:shd w:fill="FFFFFF" w:val="clear"/>
            <w:vAlign w:val="center"/>
          </w:tcPr>
          <w:p>
            <w:pPr>
              <w:pStyle w:val="TableContents"/>
              <w:bidi w:val="0"/>
              <w:spacing w:before="0" w:after="283"/>
              <w:jc w:val="left"/>
              <w:rPr/>
            </w:pPr>
            <w:r>
              <w:rPr/>
              <w:t> </w:t>
            </w:r>
          </w:p>
        </w:tc>
        <w:tc>
          <w:tcPr>
            <w:tcW w:w="65" w:type="dxa"/>
            <w:tcBorders/>
            <w:shd w:fill="FFFFFF" w:val="clear"/>
            <w:vAlign w:val="center"/>
          </w:tcPr>
          <w:p>
            <w:pPr>
              <w:pStyle w:val="TableContents"/>
              <w:bidi w:val="0"/>
              <w:spacing w:before="0" w:after="283"/>
              <w:jc w:val="left"/>
              <w:rPr/>
            </w:pPr>
            <w:r>
              <w:rPr/>
              <w:t> </w:t>
            </w:r>
          </w:p>
        </w:tc>
        <w:tc>
          <w:tcPr>
            <w:tcW w:w="153" w:type="dxa"/>
            <w:tcBorders/>
            <w:shd w:fill="FFFFFF" w:val="clear"/>
            <w:vAlign w:val="center"/>
          </w:tcPr>
          <w:p>
            <w:pPr>
              <w:pStyle w:val="TableContents"/>
              <w:bidi w:val="0"/>
              <w:spacing w:before="0" w:after="283"/>
              <w:jc w:val="left"/>
              <w:rPr/>
            </w:pPr>
            <w:r>
              <w:rPr/>
              <w:t> </w:t>
            </w:r>
          </w:p>
        </w:tc>
        <w:tc>
          <w:tcPr>
            <w:tcW w:w="746"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540.54</w:t>
            </w:r>
          </w:p>
        </w:tc>
        <w:tc>
          <w:tcPr>
            <w:tcW w:w="2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8" w:type="dxa"/>
            <w:tcBorders/>
            <w:shd w:fill="FFFFFF" w:val="clear"/>
            <w:vAlign w:val="center"/>
          </w:tcPr>
          <w:p>
            <w:pPr>
              <w:pStyle w:val="TableContents"/>
              <w:bidi w:val="0"/>
              <w:spacing w:before="0" w:after="283"/>
              <w:jc w:val="left"/>
              <w:rPr/>
            </w:pPr>
            <w:r>
              <w:rPr/>
              <w:t> </w:t>
            </w:r>
          </w:p>
        </w:tc>
        <w:tc>
          <w:tcPr>
            <w:tcW w:w="864"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467.84</w:t>
            </w:r>
          </w:p>
        </w:tc>
        <w:tc>
          <w:tcPr>
            <w:tcW w:w="273" w:type="dxa"/>
            <w:tcBorders/>
            <w:shd w:fill="FFFFFF" w:val="clear"/>
            <w:vAlign w:val="center"/>
          </w:tcPr>
          <w:p>
            <w:pPr>
              <w:pStyle w:val="TableContents"/>
              <w:bidi w:val="0"/>
              <w:spacing w:before="0" w:after="283"/>
              <w:jc w:val="left"/>
              <w:rPr/>
            </w:pPr>
            <w:r>
              <w:rPr/>
              <w:t> </w:t>
            </w:r>
          </w:p>
        </w:tc>
        <w:tc>
          <w:tcPr>
            <w:tcW w:w="76" w:type="dxa"/>
            <w:tcBorders/>
            <w:shd w:fill="FFFFFF" w:val="clear"/>
            <w:vAlign w:val="center"/>
          </w:tcPr>
          <w:p>
            <w:pPr>
              <w:pStyle w:val="TableContents"/>
              <w:bidi w:val="0"/>
              <w:spacing w:before="0" w:after="283"/>
              <w:jc w:val="left"/>
              <w:rPr/>
            </w:pPr>
            <w:r>
              <w:rPr/>
              <w:t> </w:t>
            </w:r>
          </w:p>
        </w:tc>
        <w:tc>
          <w:tcPr>
            <w:tcW w:w="178" w:type="dxa"/>
            <w:tcBorders/>
            <w:shd w:fill="FFFFFF" w:val="clear"/>
            <w:vAlign w:val="center"/>
          </w:tcPr>
          <w:p>
            <w:pPr>
              <w:pStyle w:val="TableContents"/>
              <w:bidi w:val="0"/>
              <w:spacing w:before="0" w:after="283"/>
              <w:jc w:val="left"/>
              <w:rPr/>
            </w:pPr>
            <w:r>
              <w:rPr/>
              <w:t> </w:t>
            </w:r>
          </w:p>
        </w:tc>
        <w:tc>
          <w:tcPr>
            <w:tcW w:w="864"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467.84</w:t>
            </w:r>
          </w:p>
        </w:tc>
        <w:tc>
          <w:tcPr>
            <w:tcW w:w="230" w:type="dxa"/>
            <w:tcBorders/>
            <w:shd w:fill="FFFFFF" w:val="clear"/>
            <w:vAlign w:val="center"/>
          </w:tcPr>
          <w:p>
            <w:pPr>
              <w:pStyle w:val="TableContents"/>
              <w:bidi w:val="0"/>
              <w:spacing w:before="0" w:after="283"/>
              <w:jc w:val="left"/>
              <w:rPr/>
            </w:pPr>
            <w:r>
              <w:rPr/>
              <w:t> </w:t>
            </w:r>
          </w:p>
        </w:tc>
      </w:tr>
      <w:tr>
        <w:trPr/>
        <w:tc>
          <w:tcPr>
            <w:tcW w:w="219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Initial conversion price</w:t>
            </w:r>
          </w:p>
        </w:tc>
        <w:tc>
          <w:tcPr>
            <w:tcW w:w="60" w:type="dxa"/>
            <w:tcBorders/>
            <w:shd w:fill="CCEEFF" w:val="clear"/>
            <w:vAlign w:val="center"/>
          </w:tcPr>
          <w:p>
            <w:pPr>
              <w:pStyle w:val="TableContents"/>
              <w:bidi w:val="0"/>
              <w:spacing w:before="0" w:after="283"/>
              <w:jc w:val="left"/>
              <w:rPr/>
            </w:pPr>
            <w:r>
              <w:rPr/>
              <w:t> </w:t>
            </w:r>
          </w:p>
        </w:tc>
        <w:tc>
          <w:tcPr>
            <w:tcW w:w="153"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746"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1.68</w:t>
            </w:r>
          </w:p>
        </w:tc>
        <w:tc>
          <w:tcPr>
            <w:tcW w:w="235"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jc w:val="left"/>
              <w:rPr/>
            </w:pPr>
            <w:r>
              <w:rPr/>
              <w:t> </w:t>
            </w:r>
          </w:p>
        </w:tc>
        <w:tc>
          <w:tcPr>
            <w:tcW w:w="153"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746"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1.79</w:t>
            </w:r>
          </w:p>
        </w:tc>
        <w:tc>
          <w:tcPr>
            <w:tcW w:w="235"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jc w:val="left"/>
              <w:rPr/>
            </w:pPr>
            <w:r>
              <w:rPr/>
              <w:t> </w:t>
            </w:r>
          </w:p>
        </w:tc>
        <w:tc>
          <w:tcPr>
            <w:tcW w:w="19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5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1.60</w:t>
            </w:r>
          </w:p>
        </w:tc>
        <w:tc>
          <w:tcPr>
            <w:tcW w:w="235"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jc w:val="left"/>
              <w:rPr/>
            </w:pPr>
            <w:r>
              <w:rPr/>
              <w:t> </w:t>
            </w:r>
          </w:p>
        </w:tc>
        <w:tc>
          <w:tcPr>
            <w:tcW w:w="153"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746"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1.85</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8"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864"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2.14</w:t>
            </w:r>
          </w:p>
        </w:tc>
        <w:tc>
          <w:tcPr>
            <w:tcW w:w="273" w:type="dxa"/>
            <w:tcBorders/>
            <w:shd w:fill="CCEEFF" w:val="clear"/>
            <w:vAlign w:val="center"/>
          </w:tcPr>
          <w:p>
            <w:pPr>
              <w:pStyle w:val="TableContents"/>
              <w:bidi w:val="0"/>
              <w:spacing w:before="0" w:after="283"/>
              <w:jc w:val="left"/>
              <w:rPr/>
            </w:pPr>
            <w:r>
              <w:rPr/>
              <w:t> </w:t>
            </w:r>
          </w:p>
        </w:tc>
        <w:tc>
          <w:tcPr>
            <w:tcW w:w="76" w:type="dxa"/>
            <w:tcBorders/>
            <w:shd w:fill="CCEEFF" w:val="clear"/>
            <w:vAlign w:val="center"/>
          </w:tcPr>
          <w:p>
            <w:pPr>
              <w:pStyle w:val="TableContents"/>
              <w:bidi w:val="0"/>
              <w:spacing w:before="0" w:after="283"/>
              <w:jc w:val="left"/>
              <w:rPr/>
            </w:pPr>
            <w:r>
              <w:rPr/>
              <w:t> </w:t>
            </w:r>
          </w:p>
        </w:tc>
        <w:tc>
          <w:tcPr>
            <w:tcW w:w="178"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864"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2.14</w:t>
            </w:r>
          </w:p>
        </w:tc>
        <w:tc>
          <w:tcPr>
            <w:tcW w:w="230" w:type="dxa"/>
            <w:tcBorders/>
            <w:shd w:fill="CCEEFF" w:val="clear"/>
            <w:vAlign w:val="center"/>
          </w:tcPr>
          <w:p>
            <w:pPr>
              <w:pStyle w:val="TableContents"/>
              <w:bidi w:val="0"/>
              <w:spacing w:before="0" w:after="283"/>
              <w:jc w:val="left"/>
              <w:rPr/>
            </w:pPr>
            <w:r>
              <w:rPr/>
              <w:t> </w:t>
            </w:r>
          </w:p>
        </w:tc>
      </w:tr>
      <w:tr>
        <w:trPr/>
        <w:tc>
          <w:tcPr>
            <w:tcW w:w="219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Common stock price</w:t>
            </w:r>
          </w:p>
        </w:tc>
        <w:tc>
          <w:tcPr>
            <w:tcW w:w="60" w:type="dxa"/>
            <w:tcBorders/>
            <w:shd w:fill="FFFFFF" w:val="clear"/>
            <w:vAlign w:val="center"/>
          </w:tcPr>
          <w:p>
            <w:pPr>
              <w:pStyle w:val="TableContents"/>
              <w:bidi w:val="0"/>
              <w:spacing w:before="0" w:after="283"/>
              <w:jc w:val="left"/>
              <w:rPr/>
            </w:pPr>
            <w:r>
              <w:rPr/>
              <w:t> </w:t>
            </w:r>
          </w:p>
        </w:tc>
        <w:tc>
          <w:tcPr>
            <w:tcW w:w="153"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746"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1.25</w:t>
            </w:r>
          </w:p>
        </w:tc>
        <w:tc>
          <w:tcPr>
            <w:tcW w:w="235" w:type="dxa"/>
            <w:tcBorders/>
            <w:shd w:fill="FFFFFF" w:val="clear"/>
            <w:vAlign w:val="center"/>
          </w:tcPr>
          <w:p>
            <w:pPr>
              <w:pStyle w:val="TableContents"/>
              <w:bidi w:val="0"/>
              <w:spacing w:before="0" w:after="283"/>
              <w:jc w:val="left"/>
              <w:rPr/>
            </w:pPr>
            <w:r>
              <w:rPr/>
              <w:t> </w:t>
            </w:r>
          </w:p>
        </w:tc>
        <w:tc>
          <w:tcPr>
            <w:tcW w:w="65" w:type="dxa"/>
            <w:tcBorders/>
            <w:shd w:fill="FFFFFF" w:val="clear"/>
            <w:vAlign w:val="center"/>
          </w:tcPr>
          <w:p>
            <w:pPr>
              <w:pStyle w:val="TableContents"/>
              <w:bidi w:val="0"/>
              <w:spacing w:before="0" w:after="283"/>
              <w:jc w:val="left"/>
              <w:rPr/>
            </w:pPr>
            <w:r>
              <w:rPr/>
              <w:t> </w:t>
            </w:r>
          </w:p>
        </w:tc>
        <w:tc>
          <w:tcPr>
            <w:tcW w:w="153"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746"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1.25</w:t>
            </w:r>
          </w:p>
        </w:tc>
        <w:tc>
          <w:tcPr>
            <w:tcW w:w="235" w:type="dxa"/>
            <w:tcBorders/>
            <w:shd w:fill="FFFFFF" w:val="clear"/>
            <w:vAlign w:val="center"/>
          </w:tcPr>
          <w:p>
            <w:pPr>
              <w:pStyle w:val="TableContents"/>
              <w:bidi w:val="0"/>
              <w:spacing w:before="0" w:after="283"/>
              <w:jc w:val="left"/>
              <w:rPr/>
            </w:pPr>
            <w:r>
              <w:rPr/>
              <w:t> </w:t>
            </w:r>
          </w:p>
        </w:tc>
        <w:tc>
          <w:tcPr>
            <w:tcW w:w="65" w:type="dxa"/>
            <w:tcBorders/>
            <w:shd w:fill="FFFFFF" w:val="clear"/>
            <w:vAlign w:val="center"/>
          </w:tcPr>
          <w:p>
            <w:pPr>
              <w:pStyle w:val="TableContents"/>
              <w:bidi w:val="0"/>
              <w:spacing w:before="0" w:after="283"/>
              <w:jc w:val="left"/>
              <w:rPr/>
            </w:pPr>
            <w:r>
              <w:rPr/>
              <w:t> </w:t>
            </w:r>
          </w:p>
        </w:tc>
        <w:tc>
          <w:tcPr>
            <w:tcW w:w="19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5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1.25</w:t>
            </w:r>
          </w:p>
        </w:tc>
        <w:tc>
          <w:tcPr>
            <w:tcW w:w="235" w:type="dxa"/>
            <w:tcBorders/>
            <w:shd w:fill="FFFFFF" w:val="clear"/>
            <w:vAlign w:val="center"/>
          </w:tcPr>
          <w:p>
            <w:pPr>
              <w:pStyle w:val="TableContents"/>
              <w:bidi w:val="0"/>
              <w:spacing w:before="0" w:after="283"/>
              <w:jc w:val="left"/>
              <w:rPr/>
            </w:pPr>
            <w:r>
              <w:rPr/>
              <w:t> </w:t>
            </w:r>
          </w:p>
        </w:tc>
        <w:tc>
          <w:tcPr>
            <w:tcW w:w="65" w:type="dxa"/>
            <w:tcBorders/>
            <w:shd w:fill="FFFFFF" w:val="clear"/>
            <w:vAlign w:val="center"/>
          </w:tcPr>
          <w:p>
            <w:pPr>
              <w:pStyle w:val="TableContents"/>
              <w:bidi w:val="0"/>
              <w:spacing w:before="0" w:after="283"/>
              <w:jc w:val="left"/>
              <w:rPr/>
            </w:pPr>
            <w:r>
              <w:rPr/>
              <w:t> </w:t>
            </w:r>
          </w:p>
        </w:tc>
        <w:tc>
          <w:tcPr>
            <w:tcW w:w="153"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746"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1.25</w:t>
            </w:r>
          </w:p>
        </w:tc>
        <w:tc>
          <w:tcPr>
            <w:tcW w:w="2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8"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864"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1.25</w:t>
            </w:r>
          </w:p>
        </w:tc>
        <w:tc>
          <w:tcPr>
            <w:tcW w:w="273" w:type="dxa"/>
            <w:tcBorders/>
            <w:shd w:fill="FFFFFF" w:val="clear"/>
            <w:vAlign w:val="center"/>
          </w:tcPr>
          <w:p>
            <w:pPr>
              <w:pStyle w:val="TableContents"/>
              <w:bidi w:val="0"/>
              <w:spacing w:before="0" w:after="283"/>
              <w:jc w:val="left"/>
              <w:rPr/>
            </w:pPr>
            <w:r>
              <w:rPr/>
              <w:t> </w:t>
            </w:r>
          </w:p>
        </w:tc>
        <w:tc>
          <w:tcPr>
            <w:tcW w:w="76" w:type="dxa"/>
            <w:tcBorders/>
            <w:shd w:fill="FFFFFF" w:val="clear"/>
            <w:vAlign w:val="center"/>
          </w:tcPr>
          <w:p>
            <w:pPr>
              <w:pStyle w:val="TableContents"/>
              <w:bidi w:val="0"/>
              <w:spacing w:before="0" w:after="283"/>
              <w:jc w:val="left"/>
              <w:rPr/>
            </w:pPr>
            <w:r>
              <w:rPr/>
              <w:t> </w:t>
            </w:r>
          </w:p>
        </w:tc>
        <w:tc>
          <w:tcPr>
            <w:tcW w:w="178"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864"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1.25</w:t>
            </w:r>
          </w:p>
        </w:tc>
        <w:tc>
          <w:tcPr>
            <w:tcW w:w="230" w:type="dxa"/>
            <w:tcBorders/>
            <w:shd w:fill="FFFFFF" w:val="clear"/>
            <w:vAlign w:val="center"/>
          </w:tcPr>
          <w:p>
            <w:pPr>
              <w:pStyle w:val="TableContents"/>
              <w:bidi w:val="0"/>
              <w:spacing w:before="0" w:after="283"/>
              <w:jc w:val="left"/>
              <w:rPr/>
            </w:pPr>
            <w:r>
              <w:rPr/>
              <w:t> </w:t>
            </w:r>
          </w:p>
        </w:tc>
      </w:tr>
      <w:tr>
        <w:trPr/>
        <w:tc>
          <w:tcPr>
            <w:tcW w:w="219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Risk-free interest rate</w:t>
            </w:r>
          </w:p>
        </w:tc>
        <w:tc>
          <w:tcPr>
            <w:tcW w:w="60" w:type="dxa"/>
            <w:tcBorders/>
            <w:shd w:fill="CCEEFF" w:val="clear"/>
            <w:vAlign w:val="center"/>
          </w:tcPr>
          <w:p>
            <w:pPr>
              <w:pStyle w:val="TableContents"/>
              <w:bidi w:val="0"/>
              <w:spacing w:before="0" w:after="283"/>
              <w:jc w:val="left"/>
              <w:rPr/>
            </w:pPr>
            <w:r>
              <w:rPr/>
              <w:t> </w:t>
            </w:r>
          </w:p>
        </w:tc>
        <w:tc>
          <w:tcPr>
            <w:tcW w:w="153" w:type="dxa"/>
            <w:tcBorders/>
            <w:shd w:fill="CCEEFF" w:val="clear"/>
            <w:vAlign w:val="center"/>
          </w:tcPr>
          <w:p>
            <w:pPr>
              <w:pStyle w:val="TableContents"/>
              <w:bidi w:val="0"/>
              <w:spacing w:before="0" w:after="283"/>
              <w:jc w:val="left"/>
              <w:rPr/>
            </w:pPr>
            <w:r>
              <w:rPr/>
              <w:t> </w:t>
            </w:r>
          </w:p>
        </w:tc>
        <w:tc>
          <w:tcPr>
            <w:tcW w:w="746"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4.00</w:t>
            </w:r>
          </w:p>
        </w:tc>
        <w:tc>
          <w:tcPr>
            <w:tcW w:w="23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5" w:type="dxa"/>
            <w:tcBorders/>
            <w:shd w:fill="CCEEFF" w:val="clear"/>
            <w:vAlign w:val="center"/>
          </w:tcPr>
          <w:p>
            <w:pPr>
              <w:pStyle w:val="TableContents"/>
              <w:bidi w:val="0"/>
              <w:spacing w:before="0" w:after="283"/>
              <w:jc w:val="left"/>
              <w:rPr/>
            </w:pPr>
            <w:r>
              <w:rPr/>
              <w:t> </w:t>
            </w:r>
          </w:p>
        </w:tc>
        <w:tc>
          <w:tcPr>
            <w:tcW w:w="153" w:type="dxa"/>
            <w:tcBorders/>
            <w:shd w:fill="CCEEFF" w:val="clear"/>
            <w:vAlign w:val="center"/>
          </w:tcPr>
          <w:p>
            <w:pPr>
              <w:pStyle w:val="TableContents"/>
              <w:bidi w:val="0"/>
              <w:spacing w:before="0" w:after="283"/>
              <w:jc w:val="left"/>
              <w:rPr/>
            </w:pPr>
            <w:r>
              <w:rPr/>
              <w:t> </w:t>
            </w:r>
          </w:p>
        </w:tc>
        <w:tc>
          <w:tcPr>
            <w:tcW w:w="746"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4.00</w:t>
            </w:r>
          </w:p>
        </w:tc>
        <w:tc>
          <w:tcPr>
            <w:tcW w:w="23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5" w:type="dxa"/>
            <w:tcBorders/>
            <w:shd w:fill="CCEEFF" w:val="clear"/>
            <w:vAlign w:val="center"/>
          </w:tcPr>
          <w:p>
            <w:pPr>
              <w:pStyle w:val="TableContents"/>
              <w:bidi w:val="0"/>
              <w:spacing w:before="0" w:after="283"/>
              <w:jc w:val="left"/>
              <w:rPr/>
            </w:pPr>
            <w:r>
              <w:rPr/>
              <w:t> </w:t>
            </w:r>
          </w:p>
        </w:tc>
        <w:tc>
          <w:tcPr>
            <w:tcW w:w="195" w:type="dxa"/>
            <w:tcBorders/>
            <w:shd w:fill="CCEEFF" w:val="clear"/>
            <w:vAlign w:val="center"/>
          </w:tcPr>
          <w:p>
            <w:pPr>
              <w:pStyle w:val="TableContents"/>
              <w:bidi w:val="0"/>
              <w:spacing w:before="0" w:after="283"/>
              <w:jc w:val="left"/>
              <w:rPr/>
            </w:pPr>
            <w:r>
              <w:rPr/>
              <w:t> </w:t>
            </w:r>
          </w:p>
        </w:tc>
        <w:tc>
          <w:tcPr>
            <w:tcW w:w="95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3.96</w:t>
            </w:r>
          </w:p>
        </w:tc>
        <w:tc>
          <w:tcPr>
            <w:tcW w:w="23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5" w:type="dxa"/>
            <w:tcBorders/>
            <w:shd w:fill="CCEEFF" w:val="clear"/>
            <w:vAlign w:val="center"/>
          </w:tcPr>
          <w:p>
            <w:pPr>
              <w:pStyle w:val="TableContents"/>
              <w:bidi w:val="0"/>
              <w:spacing w:before="0" w:after="283"/>
              <w:jc w:val="left"/>
              <w:rPr/>
            </w:pPr>
            <w:r>
              <w:rPr/>
              <w:t> </w:t>
            </w:r>
          </w:p>
        </w:tc>
        <w:tc>
          <w:tcPr>
            <w:tcW w:w="153" w:type="dxa"/>
            <w:tcBorders/>
            <w:shd w:fill="CCEEFF" w:val="clear"/>
            <w:vAlign w:val="center"/>
          </w:tcPr>
          <w:p>
            <w:pPr>
              <w:pStyle w:val="TableContents"/>
              <w:bidi w:val="0"/>
              <w:spacing w:before="0" w:after="283"/>
              <w:jc w:val="left"/>
              <w:rPr/>
            </w:pPr>
            <w:r>
              <w:rPr/>
              <w:t> </w:t>
            </w:r>
          </w:p>
        </w:tc>
        <w:tc>
          <w:tcPr>
            <w:tcW w:w="746"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4.00</w:t>
            </w:r>
          </w:p>
        </w:tc>
        <w:tc>
          <w:tcPr>
            <w:tcW w:w="21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178" w:type="dxa"/>
            <w:tcBorders/>
            <w:shd w:fill="CCEEFF" w:val="clear"/>
            <w:vAlign w:val="center"/>
          </w:tcPr>
          <w:p>
            <w:pPr>
              <w:pStyle w:val="TableContents"/>
              <w:bidi w:val="0"/>
              <w:spacing w:before="0" w:after="283"/>
              <w:jc w:val="left"/>
              <w:rPr/>
            </w:pPr>
            <w:r>
              <w:rPr/>
              <w:t> </w:t>
            </w:r>
          </w:p>
        </w:tc>
        <w:tc>
          <w:tcPr>
            <w:tcW w:w="864"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3.96</w:t>
            </w:r>
          </w:p>
        </w:tc>
        <w:tc>
          <w:tcPr>
            <w:tcW w:w="273"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76" w:type="dxa"/>
            <w:tcBorders/>
            <w:shd w:fill="CCEEFF" w:val="clear"/>
            <w:vAlign w:val="center"/>
          </w:tcPr>
          <w:p>
            <w:pPr>
              <w:pStyle w:val="TableContents"/>
              <w:bidi w:val="0"/>
              <w:spacing w:before="0" w:after="283"/>
              <w:jc w:val="left"/>
              <w:rPr/>
            </w:pPr>
            <w:r>
              <w:rPr/>
              <w:t> </w:t>
            </w:r>
          </w:p>
        </w:tc>
        <w:tc>
          <w:tcPr>
            <w:tcW w:w="178" w:type="dxa"/>
            <w:tcBorders/>
            <w:shd w:fill="CCEEFF" w:val="clear"/>
            <w:vAlign w:val="center"/>
          </w:tcPr>
          <w:p>
            <w:pPr>
              <w:pStyle w:val="TableContents"/>
              <w:bidi w:val="0"/>
              <w:spacing w:before="0" w:after="283"/>
              <w:jc w:val="left"/>
              <w:rPr/>
            </w:pPr>
            <w:r>
              <w:rPr/>
              <w:t> </w:t>
            </w:r>
          </w:p>
        </w:tc>
        <w:tc>
          <w:tcPr>
            <w:tcW w:w="864"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3.96</w:t>
            </w:r>
          </w:p>
        </w:tc>
        <w:tc>
          <w:tcPr>
            <w:tcW w:w="23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219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Volatility</w:t>
            </w:r>
          </w:p>
        </w:tc>
        <w:tc>
          <w:tcPr>
            <w:tcW w:w="60" w:type="dxa"/>
            <w:tcBorders/>
            <w:shd w:fill="FFFFFF" w:val="clear"/>
            <w:vAlign w:val="center"/>
          </w:tcPr>
          <w:p>
            <w:pPr>
              <w:pStyle w:val="TableContents"/>
              <w:bidi w:val="0"/>
              <w:spacing w:before="0" w:after="283"/>
              <w:jc w:val="left"/>
              <w:rPr/>
            </w:pPr>
            <w:r>
              <w:rPr/>
              <w:t> </w:t>
            </w:r>
          </w:p>
        </w:tc>
        <w:tc>
          <w:tcPr>
            <w:tcW w:w="153" w:type="dxa"/>
            <w:tcBorders/>
            <w:shd w:fill="FFFFFF" w:val="clear"/>
            <w:vAlign w:val="center"/>
          </w:tcPr>
          <w:p>
            <w:pPr>
              <w:pStyle w:val="TableContents"/>
              <w:bidi w:val="0"/>
              <w:spacing w:before="0" w:after="283"/>
              <w:jc w:val="left"/>
              <w:rPr/>
            </w:pPr>
            <w:r>
              <w:rPr/>
              <w:t> </w:t>
            </w:r>
          </w:p>
        </w:tc>
        <w:tc>
          <w:tcPr>
            <w:tcW w:w="746"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88.1</w:t>
            </w:r>
          </w:p>
        </w:tc>
        <w:tc>
          <w:tcPr>
            <w:tcW w:w="23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5" w:type="dxa"/>
            <w:tcBorders/>
            <w:shd w:fill="FFFFFF" w:val="clear"/>
            <w:vAlign w:val="center"/>
          </w:tcPr>
          <w:p>
            <w:pPr>
              <w:pStyle w:val="TableContents"/>
              <w:bidi w:val="0"/>
              <w:spacing w:before="0" w:after="283"/>
              <w:jc w:val="left"/>
              <w:rPr/>
            </w:pPr>
            <w:r>
              <w:rPr/>
              <w:t> </w:t>
            </w:r>
          </w:p>
        </w:tc>
        <w:tc>
          <w:tcPr>
            <w:tcW w:w="153" w:type="dxa"/>
            <w:tcBorders/>
            <w:shd w:fill="FFFFFF" w:val="clear"/>
            <w:vAlign w:val="center"/>
          </w:tcPr>
          <w:p>
            <w:pPr>
              <w:pStyle w:val="TableContents"/>
              <w:bidi w:val="0"/>
              <w:spacing w:before="0" w:after="283"/>
              <w:jc w:val="left"/>
              <w:rPr/>
            </w:pPr>
            <w:r>
              <w:rPr/>
              <w:t> </w:t>
            </w:r>
          </w:p>
        </w:tc>
        <w:tc>
          <w:tcPr>
            <w:tcW w:w="746"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88.8</w:t>
            </w:r>
          </w:p>
        </w:tc>
        <w:tc>
          <w:tcPr>
            <w:tcW w:w="23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5" w:type="dxa"/>
            <w:tcBorders/>
            <w:shd w:fill="FFFFFF" w:val="clear"/>
            <w:vAlign w:val="center"/>
          </w:tcPr>
          <w:p>
            <w:pPr>
              <w:pStyle w:val="TableContents"/>
              <w:bidi w:val="0"/>
              <w:spacing w:before="0" w:after="283"/>
              <w:jc w:val="left"/>
              <w:rPr/>
            </w:pPr>
            <w:r>
              <w:rPr/>
              <w:t> </w:t>
            </w:r>
          </w:p>
        </w:tc>
        <w:tc>
          <w:tcPr>
            <w:tcW w:w="195" w:type="dxa"/>
            <w:tcBorders/>
            <w:shd w:fill="FFFFFF" w:val="clear"/>
            <w:vAlign w:val="center"/>
          </w:tcPr>
          <w:p>
            <w:pPr>
              <w:pStyle w:val="TableContents"/>
              <w:bidi w:val="0"/>
              <w:spacing w:before="0" w:after="283"/>
              <w:jc w:val="left"/>
              <w:rPr/>
            </w:pPr>
            <w:r>
              <w:rPr/>
              <w:t> </w:t>
            </w:r>
          </w:p>
        </w:tc>
        <w:tc>
          <w:tcPr>
            <w:tcW w:w="95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87.5</w:t>
            </w:r>
          </w:p>
        </w:tc>
        <w:tc>
          <w:tcPr>
            <w:tcW w:w="23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5" w:type="dxa"/>
            <w:tcBorders/>
            <w:shd w:fill="FFFFFF" w:val="clear"/>
            <w:vAlign w:val="center"/>
          </w:tcPr>
          <w:p>
            <w:pPr>
              <w:pStyle w:val="TableContents"/>
              <w:bidi w:val="0"/>
              <w:spacing w:before="0" w:after="283"/>
              <w:jc w:val="left"/>
              <w:rPr/>
            </w:pPr>
            <w:r>
              <w:rPr/>
              <w:t> </w:t>
            </w:r>
          </w:p>
        </w:tc>
        <w:tc>
          <w:tcPr>
            <w:tcW w:w="153" w:type="dxa"/>
            <w:tcBorders/>
            <w:shd w:fill="FFFFFF" w:val="clear"/>
            <w:vAlign w:val="center"/>
          </w:tcPr>
          <w:p>
            <w:pPr>
              <w:pStyle w:val="TableContents"/>
              <w:bidi w:val="0"/>
              <w:spacing w:before="0" w:after="283"/>
              <w:jc w:val="left"/>
              <w:rPr/>
            </w:pPr>
            <w:r>
              <w:rPr/>
              <w:t> </w:t>
            </w:r>
          </w:p>
        </w:tc>
        <w:tc>
          <w:tcPr>
            <w:tcW w:w="746"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89.2</w:t>
            </w:r>
          </w:p>
        </w:tc>
        <w:tc>
          <w:tcPr>
            <w:tcW w:w="21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178" w:type="dxa"/>
            <w:tcBorders/>
            <w:shd w:fill="FFFFFF" w:val="clear"/>
            <w:vAlign w:val="center"/>
          </w:tcPr>
          <w:p>
            <w:pPr>
              <w:pStyle w:val="TableContents"/>
              <w:bidi w:val="0"/>
              <w:spacing w:before="0" w:after="283"/>
              <w:jc w:val="left"/>
              <w:rPr/>
            </w:pPr>
            <w:r>
              <w:rPr/>
              <w:t> </w:t>
            </w:r>
          </w:p>
        </w:tc>
        <w:tc>
          <w:tcPr>
            <w:tcW w:w="864"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90.7</w:t>
            </w:r>
          </w:p>
        </w:tc>
        <w:tc>
          <w:tcPr>
            <w:tcW w:w="273"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76" w:type="dxa"/>
            <w:tcBorders/>
            <w:shd w:fill="FFFFFF" w:val="clear"/>
            <w:vAlign w:val="center"/>
          </w:tcPr>
          <w:p>
            <w:pPr>
              <w:pStyle w:val="TableContents"/>
              <w:bidi w:val="0"/>
              <w:spacing w:before="0" w:after="283"/>
              <w:jc w:val="left"/>
              <w:rPr/>
            </w:pPr>
            <w:r>
              <w:rPr/>
              <w:t> </w:t>
            </w:r>
          </w:p>
        </w:tc>
        <w:tc>
          <w:tcPr>
            <w:tcW w:w="178" w:type="dxa"/>
            <w:tcBorders/>
            <w:shd w:fill="FFFFFF" w:val="clear"/>
            <w:vAlign w:val="center"/>
          </w:tcPr>
          <w:p>
            <w:pPr>
              <w:pStyle w:val="TableContents"/>
              <w:bidi w:val="0"/>
              <w:spacing w:before="0" w:after="283"/>
              <w:jc w:val="left"/>
              <w:rPr/>
            </w:pPr>
            <w:r>
              <w:rPr/>
              <w:t> </w:t>
            </w:r>
          </w:p>
        </w:tc>
        <w:tc>
          <w:tcPr>
            <w:tcW w:w="864"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90.7</w:t>
            </w:r>
          </w:p>
        </w:tc>
        <w:tc>
          <w:tcPr>
            <w:tcW w:w="23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219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Dividend yield</w:t>
            </w:r>
          </w:p>
        </w:tc>
        <w:tc>
          <w:tcPr>
            <w:tcW w:w="60" w:type="dxa"/>
            <w:tcBorders/>
            <w:shd w:fill="CCEEFF" w:val="clear"/>
            <w:vAlign w:val="center"/>
          </w:tcPr>
          <w:p>
            <w:pPr>
              <w:pStyle w:val="TableContents"/>
              <w:bidi w:val="0"/>
              <w:spacing w:before="0" w:after="283"/>
              <w:jc w:val="left"/>
              <w:rPr/>
            </w:pPr>
            <w:r>
              <w:rPr/>
              <w:t> </w:t>
            </w:r>
          </w:p>
        </w:tc>
        <w:tc>
          <w:tcPr>
            <w:tcW w:w="153" w:type="dxa"/>
            <w:tcBorders/>
            <w:shd w:fill="CCEEFF" w:val="clear"/>
            <w:vAlign w:val="center"/>
          </w:tcPr>
          <w:p>
            <w:pPr>
              <w:pStyle w:val="TableContents"/>
              <w:bidi w:val="0"/>
              <w:spacing w:before="0" w:after="283"/>
              <w:jc w:val="left"/>
              <w:rPr/>
            </w:pPr>
            <w:r>
              <w:rPr/>
              <w:t> </w:t>
            </w:r>
          </w:p>
        </w:tc>
        <w:tc>
          <w:tcPr>
            <w:tcW w:w="746"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0.00</w:t>
            </w:r>
          </w:p>
        </w:tc>
        <w:tc>
          <w:tcPr>
            <w:tcW w:w="23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5" w:type="dxa"/>
            <w:tcBorders/>
            <w:shd w:fill="CCEEFF" w:val="clear"/>
            <w:vAlign w:val="center"/>
          </w:tcPr>
          <w:p>
            <w:pPr>
              <w:pStyle w:val="TableContents"/>
              <w:bidi w:val="0"/>
              <w:spacing w:before="0" w:after="283"/>
              <w:jc w:val="left"/>
              <w:rPr/>
            </w:pPr>
            <w:r>
              <w:rPr/>
              <w:t> </w:t>
            </w:r>
          </w:p>
        </w:tc>
        <w:tc>
          <w:tcPr>
            <w:tcW w:w="153" w:type="dxa"/>
            <w:tcBorders/>
            <w:shd w:fill="CCEEFF" w:val="clear"/>
            <w:vAlign w:val="center"/>
          </w:tcPr>
          <w:p>
            <w:pPr>
              <w:pStyle w:val="TableContents"/>
              <w:bidi w:val="0"/>
              <w:spacing w:before="0" w:after="283"/>
              <w:jc w:val="left"/>
              <w:rPr/>
            </w:pPr>
            <w:r>
              <w:rPr/>
              <w:t> </w:t>
            </w:r>
          </w:p>
        </w:tc>
        <w:tc>
          <w:tcPr>
            <w:tcW w:w="746"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0.00</w:t>
            </w:r>
          </w:p>
        </w:tc>
        <w:tc>
          <w:tcPr>
            <w:tcW w:w="23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5" w:type="dxa"/>
            <w:tcBorders/>
            <w:shd w:fill="CCEEFF" w:val="clear"/>
            <w:vAlign w:val="center"/>
          </w:tcPr>
          <w:p>
            <w:pPr>
              <w:pStyle w:val="TableContents"/>
              <w:bidi w:val="0"/>
              <w:spacing w:before="0" w:after="283"/>
              <w:jc w:val="left"/>
              <w:rPr/>
            </w:pPr>
            <w:r>
              <w:rPr/>
              <w:t> </w:t>
            </w:r>
          </w:p>
        </w:tc>
        <w:tc>
          <w:tcPr>
            <w:tcW w:w="195" w:type="dxa"/>
            <w:tcBorders/>
            <w:shd w:fill="CCEEFF" w:val="clear"/>
            <w:vAlign w:val="center"/>
          </w:tcPr>
          <w:p>
            <w:pPr>
              <w:pStyle w:val="TableContents"/>
              <w:bidi w:val="0"/>
              <w:spacing w:before="0" w:after="283"/>
              <w:jc w:val="left"/>
              <w:rPr/>
            </w:pPr>
            <w:r>
              <w:rPr/>
              <w:t> </w:t>
            </w:r>
          </w:p>
        </w:tc>
        <w:tc>
          <w:tcPr>
            <w:tcW w:w="95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0.00</w:t>
            </w:r>
          </w:p>
        </w:tc>
        <w:tc>
          <w:tcPr>
            <w:tcW w:w="23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5" w:type="dxa"/>
            <w:tcBorders/>
            <w:shd w:fill="CCEEFF" w:val="clear"/>
            <w:vAlign w:val="center"/>
          </w:tcPr>
          <w:p>
            <w:pPr>
              <w:pStyle w:val="TableContents"/>
              <w:bidi w:val="0"/>
              <w:spacing w:before="0" w:after="283"/>
              <w:jc w:val="left"/>
              <w:rPr/>
            </w:pPr>
            <w:r>
              <w:rPr/>
              <w:t> </w:t>
            </w:r>
          </w:p>
        </w:tc>
        <w:tc>
          <w:tcPr>
            <w:tcW w:w="153" w:type="dxa"/>
            <w:tcBorders/>
            <w:shd w:fill="CCEEFF" w:val="clear"/>
            <w:vAlign w:val="center"/>
          </w:tcPr>
          <w:p>
            <w:pPr>
              <w:pStyle w:val="TableContents"/>
              <w:bidi w:val="0"/>
              <w:spacing w:before="0" w:after="283"/>
              <w:jc w:val="left"/>
              <w:rPr/>
            </w:pPr>
            <w:r>
              <w:rPr/>
              <w:t> </w:t>
            </w:r>
          </w:p>
        </w:tc>
        <w:tc>
          <w:tcPr>
            <w:tcW w:w="746"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0.00</w:t>
            </w:r>
          </w:p>
        </w:tc>
        <w:tc>
          <w:tcPr>
            <w:tcW w:w="21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178" w:type="dxa"/>
            <w:tcBorders/>
            <w:shd w:fill="CCEEFF" w:val="clear"/>
            <w:vAlign w:val="center"/>
          </w:tcPr>
          <w:p>
            <w:pPr>
              <w:pStyle w:val="TableContents"/>
              <w:bidi w:val="0"/>
              <w:spacing w:before="0" w:after="283"/>
              <w:jc w:val="left"/>
              <w:rPr/>
            </w:pPr>
            <w:r>
              <w:rPr/>
              <w:t> </w:t>
            </w:r>
          </w:p>
        </w:tc>
        <w:tc>
          <w:tcPr>
            <w:tcW w:w="864"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0.00</w:t>
            </w:r>
          </w:p>
        </w:tc>
        <w:tc>
          <w:tcPr>
            <w:tcW w:w="273"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76" w:type="dxa"/>
            <w:tcBorders/>
            <w:shd w:fill="CCEEFF" w:val="clear"/>
            <w:vAlign w:val="center"/>
          </w:tcPr>
          <w:p>
            <w:pPr>
              <w:pStyle w:val="TableContents"/>
              <w:bidi w:val="0"/>
              <w:spacing w:before="0" w:after="283"/>
              <w:jc w:val="left"/>
              <w:rPr/>
            </w:pPr>
            <w:r>
              <w:rPr/>
              <w:t> </w:t>
            </w:r>
          </w:p>
        </w:tc>
        <w:tc>
          <w:tcPr>
            <w:tcW w:w="178" w:type="dxa"/>
            <w:tcBorders/>
            <w:shd w:fill="CCEEFF" w:val="clear"/>
            <w:vAlign w:val="center"/>
          </w:tcPr>
          <w:p>
            <w:pPr>
              <w:pStyle w:val="TableContents"/>
              <w:bidi w:val="0"/>
              <w:spacing w:before="0" w:after="283"/>
              <w:jc w:val="left"/>
              <w:rPr/>
            </w:pPr>
            <w:r>
              <w:rPr/>
              <w:t> </w:t>
            </w:r>
          </w:p>
        </w:tc>
        <w:tc>
          <w:tcPr>
            <w:tcW w:w="864"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0.00</w:t>
            </w:r>
          </w:p>
        </w:tc>
        <w:tc>
          <w:tcPr>
            <w:tcW w:w="23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assumptions used to value the derivative liabilities as of December 28, 2025 were as follows:</w:t>
      </w:r>
    </w:p>
    <w:p>
      <w:pPr>
        <w:pStyle w:val="TextBody"/>
        <w:bidi w:val="0"/>
        <w:spacing w:before="0" w:after="0"/>
        <w:ind w:left="0" w:right="0" w:hanging="0"/>
        <w:jc w:val="both"/>
        <w:rPr>
          <w:caps w:val="false"/>
          <w:smallCaps w:val="false"/>
        </w:rPr>
      </w:pPr>
      <w:r>
        <w:rPr>
          <w:caps w:val="false"/>
          <w:smallCaps w:val="false"/>
        </w:rPr>
        <w:t> </w:t>
      </w:r>
    </w:p>
    <w:tbl>
      <w:tblPr>
        <w:tblW w:w="9633" w:type="dxa"/>
        <w:jc w:val="left"/>
        <w:tblInd w:w="0" w:type="dxa"/>
        <w:tblLayout w:type="fixed"/>
        <w:tblCellMar>
          <w:top w:w="0" w:type="dxa"/>
          <w:left w:w="0" w:type="dxa"/>
          <w:bottom w:w="0" w:type="dxa"/>
          <w:right w:w="0" w:type="dxa"/>
        </w:tblCellMar>
      </w:tblPr>
      <w:tblGrid>
        <w:gridCol w:w="2195"/>
        <w:gridCol w:w="60"/>
        <w:gridCol w:w="206"/>
        <w:gridCol w:w="1004"/>
        <w:gridCol w:w="317"/>
        <w:gridCol w:w="88"/>
        <w:gridCol w:w="206"/>
        <w:gridCol w:w="1004"/>
        <w:gridCol w:w="317"/>
        <w:gridCol w:w="88"/>
        <w:gridCol w:w="206"/>
        <w:gridCol w:w="1004"/>
        <w:gridCol w:w="215"/>
        <w:gridCol w:w="60"/>
        <w:gridCol w:w="178"/>
        <w:gridCol w:w="864"/>
        <w:gridCol w:w="273"/>
        <w:gridCol w:w="76"/>
        <w:gridCol w:w="178"/>
        <w:gridCol w:w="864"/>
        <w:gridCol w:w="230"/>
      </w:tblGrid>
      <w:tr>
        <w:trPr/>
        <w:tc>
          <w:tcPr>
            <w:tcW w:w="21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440" w:type="dxa"/>
            <w:gridSpan w:val="10"/>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12.0% Senior Unsecured Convertible Notes</w:t>
            </w:r>
          </w:p>
        </w:tc>
        <w:tc>
          <w:tcPr>
            <w:tcW w:w="2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433" w:type="dxa"/>
            <w:gridSpan w:val="6"/>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7.0% Senior Unsecured</w:t>
              <w:br/>
              <w:t>Convertible Notes</w:t>
            </w:r>
          </w:p>
        </w:tc>
        <w:tc>
          <w:tcPr>
            <w:tcW w:w="230" w:type="dxa"/>
            <w:tcBorders/>
            <w:vAlign w:val="center"/>
          </w:tcPr>
          <w:p>
            <w:pPr>
              <w:pStyle w:val="TableContents"/>
              <w:bidi w:val="0"/>
              <w:spacing w:before="0" w:after="283"/>
              <w:jc w:val="left"/>
              <w:rPr/>
            </w:pPr>
            <w:r>
              <w:rPr/>
              <w:t> </w:t>
            </w:r>
          </w:p>
        </w:tc>
      </w:tr>
      <w:tr>
        <w:trPr/>
        <w:tc>
          <w:tcPr>
            <w:tcW w:w="21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10"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 xml:space="preserve">July </w:t>
              <w:br/>
              <w:t>2024</w:t>
              <w:br/>
              <w:t>Notes</w:t>
            </w:r>
            <w:r>
              <w:rPr>
                <w:rFonts w:ascii="Times New Roman;Times;Serif" w:hAnsi="Times New Roman;Times;Serif"/>
                <w:b/>
                <w:position w:val="7"/>
                <w:sz w:val="16"/>
                <w:sz w:val="20"/>
              </w:rPr>
              <w:t>(1)</w:t>
            </w:r>
          </w:p>
        </w:tc>
        <w:tc>
          <w:tcPr>
            <w:tcW w:w="317" w:type="dxa"/>
            <w:tcBorders/>
            <w:vAlign w:val="center"/>
          </w:tcPr>
          <w:p>
            <w:pPr>
              <w:pStyle w:val="TableContents"/>
              <w:bidi w:val="0"/>
              <w:spacing w:before="0" w:after="283"/>
              <w:jc w:val="left"/>
              <w:rPr/>
            </w:pPr>
            <w:r>
              <w:rPr/>
              <w:t> </w:t>
            </w:r>
          </w:p>
        </w:tc>
        <w:tc>
          <w:tcPr>
            <w:tcW w:w="88" w:type="dxa"/>
            <w:tcBorders/>
            <w:vAlign w:val="center"/>
          </w:tcPr>
          <w:p>
            <w:pPr>
              <w:pStyle w:val="TableContents"/>
              <w:bidi w:val="0"/>
              <w:spacing w:before="0" w:after="283"/>
              <w:jc w:val="left"/>
              <w:rPr/>
            </w:pPr>
            <w:r>
              <w:rPr/>
              <w:t> </w:t>
            </w:r>
          </w:p>
        </w:tc>
        <w:tc>
          <w:tcPr>
            <w:tcW w:w="1210"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 xml:space="preserve">July </w:t>
              <w:br/>
              <w:t>2025</w:t>
              <w:br/>
              <w:t>Note</w:t>
            </w:r>
          </w:p>
        </w:tc>
        <w:tc>
          <w:tcPr>
            <w:tcW w:w="317" w:type="dxa"/>
            <w:tcBorders/>
            <w:vAlign w:val="center"/>
          </w:tcPr>
          <w:p>
            <w:pPr>
              <w:pStyle w:val="TableContents"/>
              <w:bidi w:val="0"/>
              <w:spacing w:before="0" w:after="283"/>
              <w:jc w:val="left"/>
              <w:rPr/>
            </w:pPr>
            <w:r>
              <w:rPr/>
              <w:t> </w:t>
            </w:r>
          </w:p>
        </w:tc>
        <w:tc>
          <w:tcPr>
            <w:tcW w:w="88" w:type="dxa"/>
            <w:tcBorders/>
            <w:vAlign w:val="center"/>
          </w:tcPr>
          <w:p>
            <w:pPr>
              <w:pStyle w:val="TableContents"/>
              <w:bidi w:val="0"/>
              <w:spacing w:before="0" w:after="283"/>
              <w:jc w:val="left"/>
              <w:rPr/>
            </w:pPr>
            <w:r>
              <w:rPr/>
              <w:t> </w:t>
            </w:r>
          </w:p>
        </w:tc>
        <w:tc>
          <w:tcPr>
            <w:tcW w:w="1210"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November</w:t>
              <w:br/>
              <w:t>2025</w:t>
              <w:br/>
              <w:t>Note</w:t>
            </w:r>
          </w:p>
        </w:tc>
        <w:tc>
          <w:tcPr>
            <w:tcW w:w="2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42"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September</w:t>
              <w:br/>
              <w:t>2024</w:t>
              <w:br/>
              <w:t>Notes</w:t>
            </w:r>
            <w:r>
              <w:rPr>
                <w:rFonts w:ascii="Times New Roman;Times;Serif" w:hAnsi="Times New Roman;Times;Serif"/>
                <w:b/>
                <w:position w:val="7"/>
                <w:sz w:val="16"/>
                <w:sz w:val="20"/>
              </w:rPr>
              <w:t>(1)</w:t>
            </w:r>
          </w:p>
        </w:tc>
        <w:tc>
          <w:tcPr>
            <w:tcW w:w="273" w:type="dxa"/>
            <w:tcBorders/>
            <w:vAlign w:val="center"/>
          </w:tcPr>
          <w:p>
            <w:pPr>
              <w:pStyle w:val="TableContents"/>
              <w:bidi w:val="0"/>
              <w:spacing w:before="0" w:after="283"/>
              <w:jc w:val="left"/>
              <w:rPr/>
            </w:pPr>
            <w:r>
              <w:rPr/>
              <w:t> </w:t>
            </w:r>
          </w:p>
        </w:tc>
        <w:tc>
          <w:tcPr>
            <w:tcW w:w="76" w:type="dxa"/>
            <w:tcBorders/>
            <w:vAlign w:val="center"/>
          </w:tcPr>
          <w:p>
            <w:pPr>
              <w:pStyle w:val="TableContents"/>
              <w:bidi w:val="0"/>
              <w:spacing w:before="0" w:after="283"/>
              <w:jc w:val="left"/>
              <w:rPr/>
            </w:pPr>
            <w:r>
              <w:rPr/>
              <w:t> </w:t>
            </w:r>
          </w:p>
        </w:tc>
        <w:tc>
          <w:tcPr>
            <w:tcW w:w="1042"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September</w:t>
              <w:br/>
              <w:t>2025</w:t>
              <w:br/>
              <w:t>Notes</w:t>
            </w:r>
            <w:r>
              <w:rPr>
                <w:rFonts w:ascii="Times New Roman;Times;Serif" w:hAnsi="Times New Roman;Times;Serif"/>
                <w:b/>
                <w:position w:val="7"/>
                <w:sz w:val="16"/>
                <w:sz w:val="20"/>
              </w:rPr>
              <w:t>(1)</w:t>
            </w:r>
          </w:p>
        </w:tc>
        <w:tc>
          <w:tcPr>
            <w:tcW w:w="230" w:type="dxa"/>
            <w:tcBorders/>
            <w:vAlign w:val="center"/>
          </w:tcPr>
          <w:p>
            <w:pPr>
              <w:pStyle w:val="TableContents"/>
              <w:bidi w:val="0"/>
              <w:spacing w:before="0" w:after="283"/>
              <w:jc w:val="left"/>
              <w:rPr/>
            </w:pPr>
            <w:r>
              <w:rPr/>
              <w:t> </w:t>
            </w:r>
          </w:p>
        </w:tc>
      </w:tr>
      <w:tr>
        <w:trPr/>
        <w:tc>
          <w:tcPr>
            <w:tcW w:w="219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Coupon rate</w:t>
            </w:r>
          </w:p>
        </w:tc>
        <w:tc>
          <w:tcPr>
            <w:tcW w:w="60" w:type="dxa"/>
            <w:tcBorders/>
            <w:shd w:fill="CCEEFF" w:val="clear"/>
            <w:vAlign w:val="center"/>
          </w:tcPr>
          <w:p>
            <w:pPr>
              <w:pStyle w:val="TableContents"/>
              <w:bidi w:val="0"/>
              <w:spacing w:before="0" w:after="283"/>
              <w:jc w:val="left"/>
              <w:rPr/>
            </w:pPr>
            <w:r>
              <w:rPr/>
              <w:t> </w:t>
            </w:r>
          </w:p>
        </w:tc>
        <w:tc>
          <w:tcPr>
            <w:tcW w:w="206" w:type="dxa"/>
            <w:tcBorders/>
            <w:shd w:fill="CCEEFF" w:val="clear"/>
            <w:vAlign w:val="center"/>
          </w:tcPr>
          <w:p>
            <w:pPr>
              <w:pStyle w:val="TableContents"/>
              <w:bidi w:val="0"/>
              <w:spacing w:before="0" w:after="283"/>
              <w:jc w:val="left"/>
              <w:rPr/>
            </w:pPr>
            <w:r>
              <w:rPr/>
              <w:t> </w:t>
            </w:r>
          </w:p>
        </w:tc>
        <w:tc>
          <w:tcPr>
            <w:tcW w:w="1004"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12.0</w:t>
            </w:r>
          </w:p>
        </w:tc>
        <w:tc>
          <w:tcPr>
            <w:tcW w:w="317"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88" w:type="dxa"/>
            <w:tcBorders/>
            <w:shd w:fill="CCEEFF" w:val="clear"/>
            <w:vAlign w:val="center"/>
          </w:tcPr>
          <w:p>
            <w:pPr>
              <w:pStyle w:val="TableContents"/>
              <w:bidi w:val="0"/>
              <w:spacing w:before="0" w:after="283"/>
              <w:jc w:val="left"/>
              <w:rPr/>
            </w:pPr>
            <w:r>
              <w:rPr/>
              <w:t> </w:t>
            </w:r>
          </w:p>
        </w:tc>
        <w:tc>
          <w:tcPr>
            <w:tcW w:w="206" w:type="dxa"/>
            <w:tcBorders/>
            <w:shd w:fill="CCEEFF" w:val="clear"/>
            <w:vAlign w:val="center"/>
          </w:tcPr>
          <w:p>
            <w:pPr>
              <w:pStyle w:val="TableContents"/>
              <w:bidi w:val="0"/>
              <w:spacing w:before="0" w:after="283"/>
              <w:jc w:val="left"/>
              <w:rPr/>
            </w:pPr>
            <w:r>
              <w:rPr/>
              <w:t> </w:t>
            </w:r>
          </w:p>
        </w:tc>
        <w:tc>
          <w:tcPr>
            <w:tcW w:w="1004"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12.0</w:t>
            </w:r>
          </w:p>
        </w:tc>
        <w:tc>
          <w:tcPr>
            <w:tcW w:w="317"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88" w:type="dxa"/>
            <w:tcBorders/>
            <w:shd w:fill="CCEEFF" w:val="clear"/>
            <w:vAlign w:val="center"/>
          </w:tcPr>
          <w:p>
            <w:pPr>
              <w:pStyle w:val="TableContents"/>
              <w:bidi w:val="0"/>
              <w:spacing w:before="0" w:after="283"/>
              <w:jc w:val="left"/>
              <w:rPr/>
            </w:pPr>
            <w:r>
              <w:rPr/>
              <w:t> </w:t>
            </w:r>
          </w:p>
        </w:tc>
        <w:tc>
          <w:tcPr>
            <w:tcW w:w="206" w:type="dxa"/>
            <w:tcBorders/>
            <w:shd w:fill="CCEEFF" w:val="clear"/>
            <w:vAlign w:val="center"/>
          </w:tcPr>
          <w:p>
            <w:pPr>
              <w:pStyle w:val="TableContents"/>
              <w:bidi w:val="0"/>
              <w:spacing w:before="0" w:after="283"/>
              <w:jc w:val="left"/>
              <w:rPr/>
            </w:pPr>
            <w:r>
              <w:rPr/>
              <w:t> </w:t>
            </w:r>
          </w:p>
        </w:tc>
        <w:tc>
          <w:tcPr>
            <w:tcW w:w="1004"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12.0</w:t>
            </w:r>
          </w:p>
        </w:tc>
        <w:tc>
          <w:tcPr>
            <w:tcW w:w="21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178" w:type="dxa"/>
            <w:tcBorders/>
            <w:shd w:fill="CCEEFF" w:val="clear"/>
            <w:vAlign w:val="center"/>
          </w:tcPr>
          <w:p>
            <w:pPr>
              <w:pStyle w:val="TableContents"/>
              <w:bidi w:val="0"/>
              <w:spacing w:before="0" w:after="283"/>
              <w:jc w:val="left"/>
              <w:rPr/>
            </w:pPr>
            <w:r>
              <w:rPr/>
              <w:t> </w:t>
            </w:r>
          </w:p>
        </w:tc>
        <w:tc>
          <w:tcPr>
            <w:tcW w:w="864"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7.0</w:t>
            </w:r>
          </w:p>
        </w:tc>
        <w:tc>
          <w:tcPr>
            <w:tcW w:w="273"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76" w:type="dxa"/>
            <w:tcBorders/>
            <w:shd w:fill="CCEEFF" w:val="clear"/>
            <w:vAlign w:val="center"/>
          </w:tcPr>
          <w:p>
            <w:pPr>
              <w:pStyle w:val="TableContents"/>
              <w:bidi w:val="0"/>
              <w:spacing w:before="0" w:after="283"/>
              <w:jc w:val="left"/>
              <w:rPr/>
            </w:pPr>
            <w:r>
              <w:rPr/>
              <w:t> </w:t>
            </w:r>
          </w:p>
        </w:tc>
        <w:tc>
          <w:tcPr>
            <w:tcW w:w="178" w:type="dxa"/>
            <w:tcBorders/>
            <w:shd w:fill="CCEEFF" w:val="clear"/>
            <w:vAlign w:val="center"/>
          </w:tcPr>
          <w:p>
            <w:pPr>
              <w:pStyle w:val="TableContents"/>
              <w:bidi w:val="0"/>
              <w:spacing w:before="0" w:after="283"/>
              <w:jc w:val="left"/>
              <w:rPr/>
            </w:pPr>
            <w:r>
              <w:rPr/>
              <w:t> </w:t>
            </w:r>
          </w:p>
        </w:tc>
        <w:tc>
          <w:tcPr>
            <w:tcW w:w="864"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7.0</w:t>
            </w:r>
          </w:p>
        </w:tc>
        <w:tc>
          <w:tcPr>
            <w:tcW w:w="23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219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Initial conversion rate</w:t>
            </w:r>
          </w:p>
        </w:tc>
        <w:tc>
          <w:tcPr>
            <w:tcW w:w="60" w:type="dxa"/>
            <w:tcBorders/>
            <w:shd w:fill="FFFFFF" w:val="clear"/>
            <w:vAlign w:val="center"/>
          </w:tcPr>
          <w:p>
            <w:pPr>
              <w:pStyle w:val="TableContents"/>
              <w:bidi w:val="0"/>
              <w:spacing w:before="0" w:after="283"/>
              <w:jc w:val="left"/>
              <w:rPr/>
            </w:pPr>
            <w:r>
              <w:rPr/>
              <w:t> </w:t>
            </w:r>
          </w:p>
        </w:tc>
        <w:tc>
          <w:tcPr>
            <w:tcW w:w="206" w:type="dxa"/>
            <w:tcBorders/>
            <w:shd w:fill="FFFFFF" w:val="clear"/>
            <w:vAlign w:val="center"/>
          </w:tcPr>
          <w:p>
            <w:pPr>
              <w:pStyle w:val="TableContents"/>
              <w:bidi w:val="0"/>
              <w:spacing w:before="0" w:after="283"/>
              <w:jc w:val="left"/>
              <w:rPr/>
            </w:pPr>
            <w:r>
              <w:rPr/>
              <w:t> </w:t>
            </w:r>
          </w:p>
        </w:tc>
        <w:tc>
          <w:tcPr>
            <w:tcW w:w="1004"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595.24</w:t>
            </w:r>
          </w:p>
        </w:tc>
        <w:tc>
          <w:tcPr>
            <w:tcW w:w="317" w:type="dxa"/>
            <w:tcBorders/>
            <w:shd w:fill="FFFFFF" w:val="clear"/>
            <w:vAlign w:val="center"/>
          </w:tcPr>
          <w:p>
            <w:pPr>
              <w:pStyle w:val="TableContents"/>
              <w:bidi w:val="0"/>
              <w:spacing w:before="0" w:after="283"/>
              <w:jc w:val="left"/>
              <w:rPr/>
            </w:pPr>
            <w:r>
              <w:rPr/>
              <w:t> </w:t>
            </w:r>
          </w:p>
        </w:tc>
        <w:tc>
          <w:tcPr>
            <w:tcW w:w="88" w:type="dxa"/>
            <w:tcBorders/>
            <w:shd w:fill="FFFFFF" w:val="clear"/>
            <w:vAlign w:val="center"/>
          </w:tcPr>
          <w:p>
            <w:pPr>
              <w:pStyle w:val="TableContents"/>
              <w:bidi w:val="0"/>
              <w:spacing w:before="0" w:after="283"/>
              <w:jc w:val="left"/>
              <w:rPr/>
            </w:pPr>
            <w:r>
              <w:rPr/>
              <w:t> </w:t>
            </w:r>
          </w:p>
        </w:tc>
        <w:tc>
          <w:tcPr>
            <w:tcW w:w="206" w:type="dxa"/>
            <w:tcBorders/>
            <w:shd w:fill="FFFFFF" w:val="clear"/>
            <w:vAlign w:val="center"/>
          </w:tcPr>
          <w:p>
            <w:pPr>
              <w:pStyle w:val="TableContents"/>
              <w:bidi w:val="0"/>
              <w:spacing w:before="0" w:after="283"/>
              <w:jc w:val="left"/>
              <w:rPr/>
            </w:pPr>
            <w:r>
              <w:rPr/>
              <w:t> </w:t>
            </w:r>
          </w:p>
        </w:tc>
        <w:tc>
          <w:tcPr>
            <w:tcW w:w="1004"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558.66</w:t>
            </w:r>
          </w:p>
        </w:tc>
        <w:tc>
          <w:tcPr>
            <w:tcW w:w="317" w:type="dxa"/>
            <w:tcBorders/>
            <w:shd w:fill="FFFFFF" w:val="clear"/>
            <w:vAlign w:val="center"/>
          </w:tcPr>
          <w:p>
            <w:pPr>
              <w:pStyle w:val="TableContents"/>
              <w:bidi w:val="0"/>
              <w:spacing w:before="0" w:after="283"/>
              <w:jc w:val="left"/>
              <w:rPr/>
            </w:pPr>
            <w:r>
              <w:rPr/>
              <w:t> </w:t>
            </w:r>
          </w:p>
        </w:tc>
        <w:tc>
          <w:tcPr>
            <w:tcW w:w="88" w:type="dxa"/>
            <w:tcBorders/>
            <w:shd w:fill="FFFFFF" w:val="clear"/>
            <w:vAlign w:val="center"/>
          </w:tcPr>
          <w:p>
            <w:pPr>
              <w:pStyle w:val="TableContents"/>
              <w:bidi w:val="0"/>
              <w:spacing w:before="0" w:after="283"/>
              <w:jc w:val="left"/>
              <w:rPr/>
            </w:pPr>
            <w:r>
              <w:rPr/>
              <w:t> </w:t>
            </w:r>
          </w:p>
        </w:tc>
        <w:tc>
          <w:tcPr>
            <w:tcW w:w="206" w:type="dxa"/>
            <w:tcBorders/>
            <w:shd w:fill="FFFFFF" w:val="clear"/>
            <w:vAlign w:val="center"/>
          </w:tcPr>
          <w:p>
            <w:pPr>
              <w:pStyle w:val="TableContents"/>
              <w:bidi w:val="0"/>
              <w:spacing w:before="0" w:after="283"/>
              <w:jc w:val="left"/>
              <w:rPr/>
            </w:pPr>
            <w:r>
              <w:rPr/>
              <w:t> </w:t>
            </w:r>
          </w:p>
        </w:tc>
        <w:tc>
          <w:tcPr>
            <w:tcW w:w="1004"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626.96</w:t>
            </w:r>
          </w:p>
        </w:tc>
        <w:tc>
          <w:tcPr>
            <w:tcW w:w="2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8" w:type="dxa"/>
            <w:tcBorders/>
            <w:shd w:fill="FFFFFF" w:val="clear"/>
            <w:vAlign w:val="center"/>
          </w:tcPr>
          <w:p>
            <w:pPr>
              <w:pStyle w:val="TableContents"/>
              <w:bidi w:val="0"/>
              <w:spacing w:before="0" w:after="283"/>
              <w:jc w:val="left"/>
              <w:rPr/>
            </w:pPr>
            <w:r>
              <w:rPr/>
              <w:t> </w:t>
            </w:r>
          </w:p>
        </w:tc>
        <w:tc>
          <w:tcPr>
            <w:tcW w:w="864"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467.84</w:t>
            </w:r>
          </w:p>
        </w:tc>
        <w:tc>
          <w:tcPr>
            <w:tcW w:w="273" w:type="dxa"/>
            <w:tcBorders/>
            <w:shd w:fill="FFFFFF" w:val="clear"/>
            <w:vAlign w:val="center"/>
          </w:tcPr>
          <w:p>
            <w:pPr>
              <w:pStyle w:val="TableContents"/>
              <w:bidi w:val="0"/>
              <w:spacing w:before="0" w:after="283"/>
              <w:jc w:val="left"/>
              <w:rPr/>
            </w:pPr>
            <w:r>
              <w:rPr/>
              <w:t> </w:t>
            </w:r>
          </w:p>
        </w:tc>
        <w:tc>
          <w:tcPr>
            <w:tcW w:w="76" w:type="dxa"/>
            <w:tcBorders/>
            <w:shd w:fill="FFFFFF" w:val="clear"/>
            <w:vAlign w:val="center"/>
          </w:tcPr>
          <w:p>
            <w:pPr>
              <w:pStyle w:val="TableContents"/>
              <w:bidi w:val="0"/>
              <w:spacing w:before="0" w:after="283"/>
              <w:jc w:val="left"/>
              <w:rPr/>
            </w:pPr>
            <w:r>
              <w:rPr/>
              <w:t> </w:t>
            </w:r>
          </w:p>
        </w:tc>
        <w:tc>
          <w:tcPr>
            <w:tcW w:w="178" w:type="dxa"/>
            <w:tcBorders/>
            <w:shd w:fill="FFFFFF" w:val="clear"/>
            <w:vAlign w:val="center"/>
          </w:tcPr>
          <w:p>
            <w:pPr>
              <w:pStyle w:val="TableContents"/>
              <w:bidi w:val="0"/>
              <w:spacing w:before="0" w:after="283"/>
              <w:jc w:val="left"/>
              <w:rPr/>
            </w:pPr>
            <w:r>
              <w:rPr/>
              <w:t> </w:t>
            </w:r>
          </w:p>
        </w:tc>
        <w:tc>
          <w:tcPr>
            <w:tcW w:w="864"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467.84</w:t>
            </w:r>
          </w:p>
        </w:tc>
        <w:tc>
          <w:tcPr>
            <w:tcW w:w="230" w:type="dxa"/>
            <w:tcBorders/>
            <w:shd w:fill="FFFFFF" w:val="clear"/>
            <w:vAlign w:val="center"/>
          </w:tcPr>
          <w:p>
            <w:pPr>
              <w:pStyle w:val="TableContents"/>
              <w:bidi w:val="0"/>
              <w:spacing w:before="0" w:after="283"/>
              <w:jc w:val="left"/>
              <w:rPr/>
            </w:pPr>
            <w:r>
              <w:rPr/>
              <w:t> </w:t>
            </w:r>
          </w:p>
        </w:tc>
      </w:tr>
      <w:tr>
        <w:trPr/>
        <w:tc>
          <w:tcPr>
            <w:tcW w:w="219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Initial conversion price</w:t>
            </w:r>
          </w:p>
        </w:tc>
        <w:tc>
          <w:tcPr>
            <w:tcW w:w="60" w:type="dxa"/>
            <w:tcBorders/>
            <w:shd w:fill="CCEEFF" w:val="clear"/>
            <w:vAlign w:val="center"/>
          </w:tcPr>
          <w:p>
            <w:pPr>
              <w:pStyle w:val="TableContents"/>
              <w:bidi w:val="0"/>
              <w:spacing w:before="0" w:after="283"/>
              <w:jc w:val="left"/>
              <w:rPr/>
            </w:pPr>
            <w:r>
              <w:rPr/>
              <w:t> </w:t>
            </w:r>
          </w:p>
        </w:tc>
        <w:tc>
          <w:tcPr>
            <w:tcW w:w="206"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004"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1.68</w:t>
            </w:r>
          </w:p>
        </w:tc>
        <w:tc>
          <w:tcPr>
            <w:tcW w:w="317" w:type="dxa"/>
            <w:tcBorders/>
            <w:shd w:fill="CCEEFF" w:val="clear"/>
            <w:vAlign w:val="center"/>
          </w:tcPr>
          <w:p>
            <w:pPr>
              <w:pStyle w:val="TableContents"/>
              <w:bidi w:val="0"/>
              <w:spacing w:before="0" w:after="283"/>
              <w:jc w:val="left"/>
              <w:rPr/>
            </w:pPr>
            <w:r>
              <w:rPr/>
              <w:t> </w:t>
            </w:r>
          </w:p>
        </w:tc>
        <w:tc>
          <w:tcPr>
            <w:tcW w:w="88" w:type="dxa"/>
            <w:tcBorders/>
            <w:shd w:fill="CCEEFF" w:val="clear"/>
            <w:vAlign w:val="center"/>
          </w:tcPr>
          <w:p>
            <w:pPr>
              <w:pStyle w:val="TableContents"/>
              <w:bidi w:val="0"/>
              <w:spacing w:before="0" w:after="283"/>
              <w:jc w:val="left"/>
              <w:rPr/>
            </w:pPr>
            <w:r>
              <w:rPr/>
              <w:t> </w:t>
            </w:r>
          </w:p>
        </w:tc>
        <w:tc>
          <w:tcPr>
            <w:tcW w:w="206"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004"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1.79</w:t>
            </w:r>
          </w:p>
        </w:tc>
        <w:tc>
          <w:tcPr>
            <w:tcW w:w="317" w:type="dxa"/>
            <w:tcBorders/>
            <w:shd w:fill="CCEEFF" w:val="clear"/>
            <w:vAlign w:val="center"/>
          </w:tcPr>
          <w:p>
            <w:pPr>
              <w:pStyle w:val="TableContents"/>
              <w:bidi w:val="0"/>
              <w:spacing w:before="0" w:after="283"/>
              <w:jc w:val="left"/>
              <w:rPr/>
            </w:pPr>
            <w:r>
              <w:rPr/>
              <w:t> </w:t>
            </w:r>
          </w:p>
        </w:tc>
        <w:tc>
          <w:tcPr>
            <w:tcW w:w="88" w:type="dxa"/>
            <w:tcBorders/>
            <w:shd w:fill="CCEEFF" w:val="clear"/>
            <w:vAlign w:val="center"/>
          </w:tcPr>
          <w:p>
            <w:pPr>
              <w:pStyle w:val="TableContents"/>
              <w:bidi w:val="0"/>
              <w:spacing w:before="0" w:after="283"/>
              <w:jc w:val="left"/>
              <w:rPr/>
            </w:pPr>
            <w:r>
              <w:rPr/>
              <w:t> </w:t>
            </w:r>
          </w:p>
        </w:tc>
        <w:tc>
          <w:tcPr>
            <w:tcW w:w="206"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004"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1.60</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8"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864"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2.14</w:t>
            </w:r>
          </w:p>
        </w:tc>
        <w:tc>
          <w:tcPr>
            <w:tcW w:w="273" w:type="dxa"/>
            <w:tcBorders/>
            <w:shd w:fill="CCEEFF" w:val="clear"/>
            <w:vAlign w:val="center"/>
          </w:tcPr>
          <w:p>
            <w:pPr>
              <w:pStyle w:val="TableContents"/>
              <w:bidi w:val="0"/>
              <w:spacing w:before="0" w:after="283"/>
              <w:jc w:val="left"/>
              <w:rPr/>
            </w:pPr>
            <w:r>
              <w:rPr/>
              <w:t> </w:t>
            </w:r>
          </w:p>
        </w:tc>
        <w:tc>
          <w:tcPr>
            <w:tcW w:w="76" w:type="dxa"/>
            <w:tcBorders/>
            <w:shd w:fill="CCEEFF" w:val="clear"/>
            <w:vAlign w:val="center"/>
          </w:tcPr>
          <w:p>
            <w:pPr>
              <w:pStyle w:val="TableContents"/>
              <w:bidi w:val="0"/>
              <w:spacing w:before="0" w:after="283"/>
              <w:jc w:val="left"/>
              <w:rPr/>
            </w:pPr>
            <w:r>
              <w:rPr/>
              <w:t> </w:t>
            </w:r>
          </w:p>
        </w:tc>
        <w:tc>
          <w:tcPr>
            <w:tcW w:w="178"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864"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2.14</w:t>
            </w:r>
          </w:p>
        </w:tc>
        <w:tc>
          <w:tcPr>
            <w:tcW w:w="230" w:type="dxa"/>
            <w:tcBorders/>
            <w:shd w:fill="CCEEFF" w:val="clear"/>
            <w:vAlign w:val="center"/>
          </w:tcPr>
          <w:p>
            <w:pPr>
              <w:pStyle w:val="TableContents"/>
              <w:bidi w:val="0"/>
              <w:spacing w:before="0" w:after="283"/>
              <w:jc w:val="left"/>
              <w:rPr/>
            </w:pPr>
            <w:r>
              <w:rPr/>
              <w:t> </w:t>
            </w:r>
          </w:p>
        </w:tc>
      </w:tr>
      <w:tr>
        <w:trPr/>
        <w:tc>
          <w:tcPr>
            <w:tcW w:w="219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Common stock price</w:t>
            </w:r>
          </w:p>
        </w:tc>
        <w:tc>
          <w:tcPr>
            <w:tcW w:w="60" w:type="dxa"/>
            <w:tcBorders/>
            <w:shd w:fill="FFFFFF" w:val="clear"/>
            <w:vAlign w:val="center"/>
          </w:tcPr>
          <w:p>
            <w:pPr>
              <w:pStyle w:val="TableContents"/>
              <w:bidi w:val="0"/>
              <w:spacing w:before="0" w:after="283"/>
              <w:jc w:val="left"/>
              <w:rPr/>
            </w:pPr>
            <w:r>
              <w:rPr/>
              <w:t> </w:t>
            </w:r>
          </w:p>
        </w:tc>
        <w:tc>
          <w:tcPr>
            <w:tcW w:w="206"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004"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1.62</w:t>
            </w:r>
          </w:p>
        </w:tc>
        <w:tc>
          <w:tcPr>
            <w:tcW w:w="317" w:type="dxa"/>
            <w:tcBorders/>
            <w:shd w:fill="FFFFFF" w:val="clear"/>
            <w:vAlign w:val="center"/>
          </w:tcPr>
          <w:p>
            <w:pPr>
              <w:pStyle w:val="TableContents"/>
              <w:bidi w:val="0"/>
              <w:spacing w:before="0" w:after="283"/>
              <w:jc w:val="left"/>
              <w:rPr/>
            </w:pPr>
            <w:r>
              <w:rPr/>
              <w:t> </w:t>
            </w:r>
          </w:p>
        </w:tc>
        <w:tc>
          <w:tcPr>
            <w:tcW w:w="88" w:type="dxa"/>
            <w:tcBorders/>
            <w:shd w:fill="FFFFFF" w:val="clear"/>
            <w:vAlign w:val="center"/>
          </w:tcPr>
          <w:p>
            <w:pPr>
              <w:pStyle w:val="TableContents"/>
              <w:bidi w:val="0"/>
              <w:spacing w:before="0" w:after="283"/>
              <w:jc w:val="left"/>
              <w:rPr/>
            </w:pPr>
            <w:r>
              <w:rPr/>
              <w:t> </w:t>
            </w:r>
          </w:p>
        </w:tc>
        <w:tc>
          <w:tcPr>
            <w:tcW w:w="206"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004"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1.62</w:t>
            </w:r>
          </w:p>
        </w:tc>
        <w:tc>
          <w:tcPr>
            <w:tcW w:w="317" w:type="dxa"/>
            <w:tcBorders/>
            <w:shd w:fill="FFFFFF" w:val="clear"/>
            <w:vAlign w:val="center"/>
          </w:tcPr>
          <w:p>
            <w:pPr>
              <w:pStyle w:val="TableContents"/>
              <w:bidi w:val="0"/>
              <w:spacing w:before="0" w:after="283"/>
              <w:jc w:val="left"/>
              <w:rPr/>
            </w:pPr>
            <w:r>
              <w:rPr/>
              <w:t> </w:t>
            </w:r>
          </w:p>
        </w:tc>
        <w:tc>
          <w:tcPr>
            <w:tcW w:w="88" w:type="dxa"/>
            <w:tcBorders/>
            <w:shd w:fill="FFFFFF" w:val="clear"/>
            <w:vAlign w:val="center"/>
          </w:tcPr>
          <w:p>
            <w:pPr>
              <w:pStyle w:val="TableContents"/>
              <w:bidi w:val="0"/>
              <w:spacing w:before="0" w:after="283"/>
              <w:jc w:val="left"/>
              <w:rPr/>
            </w:pPr>
            <w:r>
              <w:rPr/>
              <w:t> </w:t>
            </w:r>
          </w:p>
        </w:tc>
        <w:tc>
          <w:tcPr>
            <w:tcW w:w="206"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004"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1.62</w:t>
            </w:r>
          </w:p>
        </w:tc>
        <w:tc>
          <w:tcPr>
            <w:tcW w:w="2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8"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864"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1.62</w:t>
            </w:r>
          </w:p>
        </w:tc>
        <w:tc>
          <w:tcPr>
            <w:tcW w:w="273" w:type="dxa"/>
            <w:tcBorders/>
            <w:shd w:fill="FFFFFF" w:val="clear"/>
            <w:vAlign w:val="center"/>
          </w:tcPr>
          <w:p>
            <w:pPr>
              <w:pStyle w:val="TableContents"/>
              <w:bidi w:val="0"/>
              <w:spacing w:before="0" w:after="283"/>
              <w:jc w:val="left"/>
              <w:rPr/>
            </w:pPr>
            <w:r>
              <w:rPr/>
              <w:t> </w:t>
            </w:r>
          </w:p>
        </w:tc>
        <w:tc>
          <w:tcPr>
            <w:tcW w:w="76" w:type="dxa"/>
            <w:tcBorders/>
            <w:shd w:fill="FFFFFF" w:val="clear"/>
            <w:vAlign w:val="center"/>
          </w:tcPr>
          <w:p>
            <w:pPr>
              <w:pStyle w:val="TableContents"/>
              <w:bidi w:val="0"/>
              <w:spacing w:before="0" w:after="283"/>
              <w:jc w:val="left"/>
              <w:rPr/>
            </w:pPr>
            <w:r>
              <w:rPr/>
              <w:t> </w:t>
            </w:r>
          </w:p>
        </w:tc>
        <w:tc>
          <w:tcPr>
            <w:tcW w:w="178"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864"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1.62</w:t>
            </w:r>
          </w:p>
        </w:tc>
        <w:tc>
          <w:tcPr>
            <w:tcW w:w="230" w:type="dxa"/>
            <w:tcBorders/>
            <w:shd w:fill="FFFFFF" w:val="clear"/>
            <w:vAlign w:val="center"/>
          </w:tcPr>
          <w:p>
            <w:pPr>
              <w:pStyle w:val="TableContents"/>
              <w:bidi w:val="0"/>
              <w:spacing w:before="0" w:after="283"/>
              <w:jc w:val="left"/>
              <w:rPr/>
            </w:pPr>
            <w:r>
              <w:rPr/>
              <w:t> </w:t>
            </w:r>
          </w:p>
        </w:tc>
      </w:tr>
      <w:tr>
        <w:trPr/>
        <w:tc>
          <w:tcPr>
            <w:tcW w:w="219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Risk-free interest rate</w:t>
            </w:r>
          </w:p>
        </w:tc>
        <w:tc>
          <w:tcPr>
            <w:tcW w:w="60" w:type="dxa"/>
            <w:tcBorders/>
            <w:shd w:fill="CCEEFF" w:val="clear"/>
            <w:vAlign w:val="center"/>
          </w:tcPr>
          <w:p>
            <w:pPr>
              <w:pStyle w:val="TableContents"/>
              <w:bidi w:val="0"/>
              <w:spacing w:before="0" w:after="283"/>
              <w:jc w:val="left"/>
              <w:rPr/>
            </w:pPr>
            <w:r>
              <w:rPr/>
              <w:t> </w:t>
            </w:r>
          </w:p>
        </w:tc>
        <w:tc>
          <w:tcPr>
            <w:tcW w:w="206" w:type="dxa"/>
            <w:tcBorders/>
            <w:shd w:fill="CCEEFF" w:val="clear"/>
            <w:vAlign w:val="center"/>
          </w:tcPr>
          <w:p>
            <w:pPr>
              <w:pStyle w:val="TableContents"/>
              <w:bidi w:val="0"/>
              <w:spacing w:before="0" w:after="283"/>
              <w:jc w:val="left"/>
              <w:rPr/>
            </w:pPr>
            <w:r>
              <w:rPr/>
              <w:t> </w:t>
            </w:r>
          </w:p>
        </w:tc>
        <w:tc>
          <w:tcPr>
            <w:tcW w:w="1004"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3.6</w:t>
            </w:r>
          </w:p>
        </w:tc>
        <w:tc>
          <w:tcPr>
            <w:tcW w:w="317"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88" w:type="dxa"/>
            <w:tcBorders/>
            <w:shd w:fill="CCEEFF" w:val="clear"/>
            <w:vAlign w:val="center"/>
          </w:tcPr>
          <w:p>
            <w:pPr>
              <w:pStyle w:val="TableContents"/>
              <w:bidi w:val="0"/>
              <w:spacing w:before="0" w:after="283"/>
              <w:jc w:val="left"/>
              <w:rPr/>
            </w:pPr>
            <w:r>
              <w:rPr/>
              <w:t> </w:t>
            </w:r>
          </w:p>
        </w:tc>
        <w:tc>
          <w:tcPr>
            <w:tcW w:w="206" w:type="dxa"/>
            <w:tcBorders/>
            <w:shd w:fill="CCEEFF" w:val="clear"/>
            <w:vAlign w:val="center"/>
          </w:tcPr>
          <w:p>
            <w:pPr>
              <w:pStyle w:val="TableContents"/>
              <w:bidi w:val="0"/>
              <w:spacing w:before="0" w:after="283"/>
              <w:jc w:val="left"/>
              <w:rPr/>
            </w:pPr>
            <w:r>
              <w:rPr/>
              <w:t> </w:t>
            </w:r>
          </w:p>
        </w:tc>
        <w:tc>
          <w:tcPr>
            <w:tcW w:w="1004"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3.6</w:t>
            </w:r>
          </w:p>
        </w:tc>
        <w:tc>
          <w:tcPr>
            <w:tcW w:w="317"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88" w:type="dxa"/>
            <w:tcBorders/>
            <w:shd w:fill="CCEEFF" w:val="clear"/>
            <w:vAlign w:val="center"/>
          </w:tcPr>
          <w:p>
            <w:pPr>
              <w:pStyle w:val="TableContents"/>
              <w:bidi w:val="0"/>
              <w:spacing w:before="0" w:after="283"/>
              <w:jc w:val="left"/>
              <w:rPr/>
            </w:pPr>
            <w:r>
              <w:rPr/>
              <w:t> </w:t>
            </w:r>
          </w:p>
        </w:tc>
        <w:tc>
          <w:tcPr>
            <w:tcW w:w="206" w:type="dxa"/>
            <w:tcBorders/>
            <w:shd w:fill="CCEEFF" w:val="clear"/>
            <w:vAlign w:val="center"/>
          </w:tcPr>
          <w:p>
            <w:pPr>
              <w:pStyle w:val="TableContents"/>
              <w:bidi w:val="0"/>
              <w:spacing w:before="0" w:after="283"/>
              <w:jc w:val="left"/>
              <w:rPr/>
            </w:pPr>
            <w:r>
              <w:rPr/>
              <w:t> </w:t>
            </w:r>
          </w:p>
        </w:tc>
        <w:tc>
          <w:tcPr>
            <w:tcW w:w="1004"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3.6</w:t>
            </w:r>
          </w:p>
        </w:tc>
        <w:tc>
          <w:tcPr>
            <w:tcW w:w="21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178" w:type="dxa"/>
            <w:tcBorders/>
            <w:shd w:fill="CCEEFF" w:val="clear"/>
            <w:vAlign w:val="center"/>
          </w:tcPr>
          <w:p>
            <w:pPr>
              <w:pStyle w:val="TableContents"/>
              <w:bidi w:val="0"/>
              <w:spacing w:before="0" w:after="283"/>
              <w:jc w:val="left"/>
              <w:rPr/>
            </w:pPr>
            <w:r>
              <w:rPr/>
              <w:t> </w:t>
            </w:r>
          </w:p>
        </w:tc>
        <w:tc>
          <w:tcPr>
            <w:tcW w:w="864"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3.58</w:t>
            </w:r>
          </w:p>
        </w:tc>
        <w:tc>
          <w:tcPr>
            <w:tcW w:w="273"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76" w:type="dxa"/>
            <w:tcBorders/>
            <w:shd w:fill="CCEEFF" w:val="clear"/>
            <w:vAlign w:val="center"/>
          </w:tcPr>
          <w:p>
            <w:pPr>
              <w:pStyle w:val="TableContents"/>
              <w:bidi w:val="0"/>
              <w:spacing w:before="0" w:after="283"/>
              <w:jc w:val="left"/>
              <w:rPr/>
            </w:pPr>
            <w:r>
              <w:rPr/>
              <w:t> </w:t>
            </w:r>
          </w:p>
        </w:tc>
        <w:tc>
          <w:tcPr>
            <w:tcW w:w="178" w:type="dxa"/>
            <w:tcBorders/>
            <w:shd w:fill="CCEEFF" w:val="clear"/>
            <w:vAlign w:val="center"/>
          </w:tcPr>
          <w:p>
            <w:pPr>
              <w:pStyle w:val="TableContents"/>
              <w:bidi w:val="0"/>
              <w:spacing w:before="0" w:after="283"/>
              <w:jc w:val="left"/>
              <w:rPr/>
            </w:pPr>
            <w:r>
              <w:rPr/>
              <w:t> </w:t>
            </w:r>
          </w:p>
        </w:tc>
        <w:tc>
          <w:tcPr>
            <w:tcW w:w="864"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3.58</w:t>
            </w:r>
          </w:p>
        </w:tc>
        <w:tc>
          <w:tcPr>
            <w:tcW w:w="23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219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Volatility</w:t>
            </w:r>
          </w:p>
        </w:tc>
        <w:tc>
          <w:tcPr>
            <w:tcW w:w="60" w:type="dxa"/>
            <w:tcBorders/>
            <w:shd w:fill="FFFFFF" w:val="clear"/>
            <w:vAlign w:val="center"/>
          </w:tcPr>
          <w:p>
            <w:pPr>
              <w:pStyle w:val="TableContents"/>
              <w:bidi w:val="0"/>
              <w:spacing w:before="0" w:after="283"/>
              <w:jc w:val="left"/>
              <w:rPr/>
            </w:pPr>
            <w:r>
              <w:rPr/>
              <w:t> </w:t>
            </w:r>
          </w:p>
        </w:tc>
        <w:tc>
          <w:tcPr>
            <w:tcW w:w="206" w:type="dxa"/>
            <w:tcBorders/>
            <w:shd w:fill="FFFFFF" w:val="clear"/>
            <w:vAlign w:val="center"/>
          </w:tcPr>
          <w:p>
            <w:pPr>
              <w:pStyle w:val="TableContents"/>
              <w:bidi w:val="0"/>
              <w:spacing w:before="0" w:after="283"/>
              <w:jc w:val="left"/>
              <w:rPr/>
            </w:pPr>
            <w:r>
              <w:rPr/>
              <w:t> </w:t>
            </w:r>
          </w:p>
        </w:tc>
        <w:tc>
          <w:tcPr>
            <w:tcW w:w="1004"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82.2</w:t>
            </w:r>
          </w:p>
        </w:tc>
        <w:tc>
          <w:tcPr>
            <w:tcW w:w="317"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88" w:type="dxa"/>
            <w:tcBorders/>
            <w:shd w:fill="FFFFFF" w:val="clear"/>
            <w:vAlign w:val="center"/>
          </w:tcPr>
          <w:p>
            <w:pPr>
              <w:pStyle w:val="TableContents"/>
              <w:bidi w:val="0"/>
              <w:spacing w:before="0" w:after="283"/>
              <w:jc w:val="left"/>
              <w:rPr/>
            </w:pPr>
            <w:r>
              <w:rPr/>
              <w:t> </w:t>
            </w:r>
          </w:p>
        </w:tc>
        <w:tc>
          <w:tcPr>
            <w:tcW w:w="206" w:type="dxa"/>
            <w:tcBorders/>
            <w:shd w:fill="FFFFFF" w:val="clear"/>
            <w:vAlign w:val="center"/>
          </w:tcPr>
          <w:p>
            <w:pPr>
              <w:pStyle w:val="TableContents"/>
              <w:bidi w:val="0"/>
              <w:spacing w:before="0" w:after="283"/>
              <w:jc w:val="left"/>
              <w:rPr/>
            </w:pPr>
            <w:r>
              <w:rPr/>
              <w:t> </w:t>
            </w:r>
          </w:p>
        </w:tc>
        <w:tc>
          <w:tcPr>
            <w:tcW w:w="1004"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83.2</w:t>
            </w:r>
          </w:p>
        </w:tc>
        <w:tc>
          <w:tcPr>
            <w:tcW w:w="317"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88" w:type="dxa"/>
            <w:tcBorders/>
            <w:shd w:fill="FFFFFF" w:val="clear"/>
            <w:vAlign w:val="center"/>
          </w:tcPr>
          <w:p>
            <w:pPr>
              <w:pStyle w:val="TableContents"/>
              <w:bidi w:val="0"/>
              <w:spacing w:before="0" w:after="283"/>
              <w:jc w:val="left"/>
              <w:rPr/>
            </w:pPr>
            <w:r>
              <w:rPr/>
              <w:t> </w:t>
            </w:r>
          </w:p>
        </w:tc>
        <w:tc>
          <w:tcPr>
            <w:tcW w:w="206" w:type="dxa"/>
            <w:tcBorders/>
            <w:shd w:fill="FFFFFF" w:val="clear"/>
            <w:vAlign w:val="center"/>
          </w:tcPr>
          <w:p>
            <w:pPr>
              <w:pStyle w:val="TableContents"/>
              <w:bidi w:val="0"/>
              <w:spacing w:before="0" w:after="283"/>
              <w:jc w:val="left"/>
              <w:rPr/>
            </w:pPr>
            <w:r>
              <w:rPr/>
              <w:t> </w:t>
            </w:r>
          </w:p>
        </w:tc>
        <w:tc>
          <w:tcPr>
            <w:tcW w:w="1004"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81.3</w:t>
            </w:r>
          </w:p>
        </w:tc>
        <w:tc>
          <w:tcPr>
            <w:tcW w:w="21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178" w:type="dxa"/>
            <w:tcBorders/>
            <w:shd w:fill="FFFFFF" w:val="clear"/>
            <w:vAlign w:val="center"/>
          </w:tcPr>
          <w:p>
            <w:pPr>
              <w:pStyle w:val="TableContents"/>
              <w:bidi w:val="0"/>
              <w:spacing w:before="0" w:after="283"/>
              <w:jc w:val="left"/>
              <w:rPr/>
            </w:pPr>
            <w:r>
              <w:rPr/>
              <w:t> </w:t>
            </w:r>
          </w:p>
        </w:tc>
        <w:tc>
          <w:tcPr>
            <w:tcW w:w="864"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85.6</w:t>
            </w:r>
          </w:p>
        </w:tc>
        <w:tc>
          <w:tcPr>
            <w:tcW w:w="273"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76" w:type="dxa"/>
            <w:tcBorders/>
            <w:shd w:fill="FFFFFF" w:val="clear"/>
            <w:vAlign w:val="center"/>
          </w:tcPr>
          <w:p>
            <w:pPr>
              <w:pStyle w:val="TableContents"/>
              <w:bidi w:val="0"/>
              <w:spacing w:before="0" w:after="283"/>
              <w:jc w:val="left"/>
              <w:rPr/>
            </w:pPr>
            <w:r>
              <w:rPr/>
              <w:t> </w:t>
            </w:r>
          </w:p>
        </w:tc>
        <w:tc>
          <w:tcPr>
            <w:tcW w:w="178" w:type="dxa"/>
            <w:tcBorders/>
            <w:shd w:fill="FFFFFF" w:val="clear"/>
            <w:vAlign w:val="center"/>
          </w:tcPr>
          <w:p>
            <w:pPr>
              <w:pStyle w:val="TableContents"/>
              <w:bidi w:val="0"/>
              <w:spacing w:before="0" w:after="283"/>
              <w:jc w:val="left"/>
              <w:rPr/>
            </w:pPr>
            <w:r>
              <w:rPr/>
              <w:t> </w:t>
            </w:r>
          </w:p>
        </w:tc>
        <w:tc>
          <w:tcPr>
            <w:tcW w:w="864"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85.6</w:t>
            </w:r>
          </w:p>
        </w:tc>
        <w:tc>
          <w:tcPr>
            <w:tcW w:w="23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219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Dividend yield</w:t>
            </w:r>
          </w:p>
        </w:tc>
        <w:tc>
          <w:tcPr>
            <w:tcW w:w="60" w:type="dxa"/>
            <w:tcBorders/>
            <w:shd w:fill="CCEEFF" w:val="clear"/>
            <w:vAlign w:val="center"/>
          </w:tcPr>
          <w:p>
            <w:pPr>
              <w:pStyle w:val="TableContents"/>
              <w:bidi w:val="0"/>
              <w:spacing w:before="0" w:after="283"/>
              <w:jc w:val="left"/>
              <w:rPr/>
            </w:pPr>
            <w:r>
              <w:rPr/>
              <w:t> </w:t>
            </w:r>
          </w:p>
        </w:tc>
        <w:tc>
          <w:tcPr>
            <w:tcW w:w="206" w:type="dxa"/>
            <w:tcBorders/>
            <w:shd w:fill="CCEEFF" w:val="clear"/>
            <w:vAlign w:val="center"/>
          </w:tcPr>
          <w:p>
            <w:pPr>
              <w:pStyle w:val="TableContents"/>
              <w:bidi w:val="0"/>
              <w:spacing w:before="0" w:after="283"/>
              <w:jc w:val="left"/>
              <w:rPr/>
            </w:pPr>
            <w:r>
              <w:rPr/>
              <w:t> </w:t>
            </w:r>
          </w:p>
        </w:tc>
        <w:tc>
          <w:tcPr>
            <w:tcW w:w="1004"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0.00</w:t>
            </w:r>
          </w:p>
        </w:tc>
        <w:tc>
          <w:tcPr>
            <w:tcW w:w="317"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88" w:type="dxa"/>
            <w:tcBorders/>
            <w:shd w:fill="CCEEFF" w:val="clear"/>
            <w:vAlign w:val="center"/>
          </w:tcPr>
          <w:p>
            <w:pPr>
              <w:pStyle w:val="TableContents"/>
              <w:bidi w:val="0"/>
              <w:spacing w:before="0" w:after="283"/>
              <w:jc w:val="left"/>
              <w:rPr/>
            </w:pPr>
            <w:r>
              <w:rPr/>
              <w:t> </w:t>
            </w:r>
          </w:p>
        </w:tc>
        <w:tc>
          <w:tcPr>
            <w:tcW w:w="206" w:type="dxa"/>
            <w:tcBorders/>
            <w:shd w:fill="CCEEFF" w:val="clear"/>
            <w:vAlign w:val="center"/>
          </w:tcPr>
          <w:p>
            <w:pPr>
              <w:pStyle w:val="TableContents"/>
              <w:bidi w:val="0"/>
              <w:spacing w:before="0" w:after="283"/>
              <w:jc w:val="left"/>
              <w:rPr/>
            </w:pPr>
            <w:r>
              <w:rPr/>
              <w:t> </w:t>
            </w:r>
          </w:p>
        </w:tc>
        <w:tc>
          <w:tcPr>
            <w:tcW w:w="1004"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0.00</w:t>
            </w:r>
          </w:p>
        </w:tc>
        <w:tc>
          <w:tcPr>
            <w:tcW w:w="317"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88" w:type="dxa"/>
            <w:tcBorders/>
            <w:shd w:fill="CCEEFF" w:val="clear"/>
            <w:vAlign w:val="center"/>
          </w:tcPr>
          <w:p>
            <w:pPr>
              <w:pStyle w:val="TableContents"/>
              <w:bidi w:val="0"/>
              <w:spacing w:before="0" w:after="283"/>
              <w:jc w:val="left"/>
              <w:rPr/>
            </w:pPr>
            <w:r>
              <w:rPr/>
              <w:t> </w:t>
            </w:r>
          </w:p>
        </w:tc>
        <w:tc>
          <w:tcPr>
            <w:tcW w:w="206" w:type="dxa"/>
            <w:tcBorders/>
            <w:shd w:fill="CCEEFF" w:val="clear"/>
            <w:vAlign w:val="center"/>
          </w:tcPr>
          <w:p>
            <w:pPr>
              <w:pStyle w:val="TableContents"/>
              <w:bidi w:val="0"/>
              <w:spacing w:before="0" w:after="283"/>
              <w:jc w:val="left"/>
              <w:rPr/>
            </w:pPr>
            <w:r>
              <w:rPr/>
              <w:t> </w:t>
            </w:r>
          </w:p>
        </w:tc>
        <w:tc>
          <w:tcPr>
            <w:tcW w:w="1004"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0.00</w:t>
            </w:r>
          </w:p>
        </w:tc>
        <w:tc>
          <w:tcPr>
            <w:tcW w:w="21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178" w:type="dxa"/>
            <w:tcBorders/>
            <w:shd w:fill="CCEEFF" w:val="clear"/>
            <w:vAlign w:val="center"/>
          </w:tcPr>
          <w:p>
            <w:pPr>
              <w:pStyle w:val="TableContents"/>
              <w:bidi w:val="0"/>
              <w:spacing w:before="0" w:after="283"/>
              <w:jc w:val="left"/>
              <w:rPr/>
            </w:pPr>
            <w:r>
              <w:rPr/>
              <w:t> </w:t>
            </w:r>
          </w:p>
        </w:tc>
        <w:tc>
          <w:tcPr>
            <w:tcW w:w="864"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0.00</w:t>
            </w:r>
          </w:p>
        </w:tc>
        <w:tc>
          <w:tcPr>
            <w:tcW w:w="273"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76" w:type="dxa"/>
            <w:tcBorders/>
            <w:shd w:fill="CCEEFF" w:val="clear"/>
            <w:vAlign w:val="center"/>
          </w:tcPr>
          <w:p>
            <w:pPr>
              <w:pStyle w:val="TableContents"/>
              <w:bidi w:val="0"/>
              <w:spacing w:before="0" w:after="283"/>
              <w:jc w:val="left"/>
              <w:rPr/>
            </w:pPr>
            <w:r>
              <w:rPr/>
              <w:t> </w:t>
            </w:r>
          </w:p>
        </w:tc>
        <w:tc>
          <w:tcPr>
            <w:tcW w:w="178" w:type="dxa"/>
            <w:tcBorders/>
            <w:shd w:fill="CCEEFF" w:val="clear"/>
            <w:vAlign w:val="center"/>
          </w:tcPr>
          <w:p>
            <w:pPr>
              <w:pStyle w:val="TableContents"/>
              <w:bidi w:val="0"/>
              <w:spacing w:before="0" w:after="283"/>
              <w:jc w:val="left"/>
              <w:rPr/>
            </w:pPr>
            <w:r>
              <w:rPr/>
              <w:t> </w:t>
            </w:r>
          </w:p>
        </w:tc>
        <w:tc>
          <w:tcPr>
            <w:tcW w:w="864"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0.00</w:t>
            </w:r>
          </w:p>
        </w:tc>
        <w:tc>
          <w:tcPr>
            <w:tcW w:w="23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17"/>
        <w:gridCol w:w="9950"/>
      </w:tblGrid>
      <w:tr>
        <w:trPr/>
        <w:tc>
          <w:tcPr>
            <w:tcW w:w="38"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rFonts w:ascii="Times New Roman;Times;Serif" w:hAnsi="Times New Roman;Times;Serif"/>
                <w:position w:val="8"/>
                <w:sz w:val="19"/>
              </w:rPr>
            </w:pPr>
            <w:r>
              <w:rPr>
                <w:rFonts w:ascii="Times New Roman;Times;Serif" w:hAnsi="Times New Roman;Times;Serif"/>
                <w:position w:val="8"/>
                <w:sz w:val="19"/>
              </w:rPr>
              <w:t>(1)</w:t>
            </w:r>
          </w:p>
        </w:tc>
        <w:tc>
          <w:tcPr>
            <w:tcW w:w="9950"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The conversion option is derived based upon the above assumptions plus a make-whole provision which is based upon changes in the Company’s stock price and the conversion date.</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$1.9 Million Note and March 2026 Bridge Note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Company elected the fair value option under ASC 825 for the $1.9 Million Note (as defined in </w:t>
      </w:r>
      <w:r>
        <w:rPr>
          <w:rFonts w:ascii="Times New Roman;Times;Serif" w:hAnsi="Times New Roman;Times;Serif"/>
          <w:b/>
          <w:i w:val="false"/>
          <w:caps w:val="false"/>
          <w:smallCaps w:val="false"/>
          <w:sz w:val="20"/>
        </w:rPr>
        <w:t>Note 9 – Borrowings and Derivative Liabilities)</w:t>
      </w:r>
      <w:r>
        <w:rPr>
          <w:rFonts w:ascii="Times New Roman;Times;Serif" w:hAnsi="Times New Roman;Times;Serif"/>
          <w:b w:val="false"/>
          <w:i w:val="false"/>
          <w:caps w:val="false"/>
          <w:smallCaps w:val="false"/>
          <w:sz w:val="20"/>
        </w:rPr>
        <w:t xml:space="preserve"> issued on January 27, 2026 in connection with the Standby Equity Purchase Agreement (as defined in </w:t>
      </w:r>
      <w:r>
        <w:rPr>
          <w:rFonts w:ascii="Times New Roman;Times;Serif" w:hAnsi="Times New Roman;Times;Serif"/>
          <w:b/>
          <w:i w:val="false"/>
          <w:caps w:val="false"/>
          <w:smallCaps w:val="false"/>
          <w:sz w:val="20"/>
        </w:rPr>
        <w:t>Note 9 – Borrowings and Derivative Liabilities</w:t>
      </w:r>
      <w:r>
        <w:rPr>
          <w:rFonts w:ascii="Times New Roman;Times;Serif" w:hAnsi="Times New Roman;Times;Serif"/>
          <w:b w:val="false"/>
          <w:i w:val="false"/>
          <w:caps w:val="false"/>
          <w:smallCaps w:val="false"/>
          <w:sz w:val="20"/>
        </w:rPr>
        <w:t xml:space="preserve">) and the March 2026 Bridge Note (as defined in </w:t>
      </w:r>
      <w:r>
        <w:rPr>
          <w:rFonts w:ascii="Times New Roman;Times;Serif" w:hAnsi="Times New Roman;Times;Serif"/>
          <w:b/>
          <w:i w:val="false"/>
          <w:caps w:val="false"/>
          <w:smallCaps w:val="false"/>
          <w:sz w:val="20"/>
        </w:rPr>
        <w:t xml:space="preserve">Note 9 – Borrowings and Derivative Liabilities) </w:t>
      </w:r>
      <w:r>
        <w:rPr>
          <w:rFonts w:ascii="Times New Roman;Times;Serif" w:hAnsi="Times New Roman;Times;Serif"/>
          <w:b w:val="false"/>
          <w:i w:val="false"/>
          <w:caps w:val="false"/>
          <w:smallCaps w:val="false"/>
          <w:sz w:val="20"/>
        </w:rPr>
        <w:t>issued on March 6, 2026. The $1.9 Million Note and March 2026 Bridge Note were measured at fair value on a recurring basis and classified as a Level 3 liability due to the use of significant unobservable inputs.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estimated the fair value of each obligation using a Monte Carlo simulation model, which captures the economic characteristics of the instrument, including its variable conversion price feature that is dependent on future market prices of the Company’s common stock. The Company utilized a “Bond plus Option” approach, where the value of upside plus amortization was determined in a simulation and the value related to principal repayment was calculated as a single payment of principal at maturity. The Company simulated its stock price from the valuation date to maturity date, at a daily step.</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 respect to the $1.9 Million Note, on each of the simulated paths, the Company (i) tested for an amortization trigger as applicable; and (ii) assumed that the maturity date will not be extended. Once the payoffs for all simulation paths were determined according to above, they were discounted back to the valuation date at the risk-free rate in case the $1.9 Million Note would be converted and at credit risk-adjusted rate otherwise.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sz w:val="20"/>
          <w:bdr w:val="single" w:sz="12" w:space="1" w:color="000000"/>
        </w:rPr>
      </w:pPr>
      <w:r>
        <w:rPr>
          <w:sz w:val="20"/>
          <w:bdr w:val="single" w:sz="12" w:space="1" w:color="000000"/>
        </w:rPr>
        <w:t>F-22</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 respect to the March 2026 Bridge Note, on each of the simulated paths, the Company determined the maximum payoff on each installment date based on conversion price. Once the payoffs for all simulation paths were determined according to above, they were discounted back to the valuation date at the risk-free rate in case the March 2026 Bridge Note would be converted and at credit risk-adjusted rate otherwise.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fair value of these obligations was each calculated as the average present value across all simulation paths plus present value of debt component. The model was calibrated to transaction proceeds by varying credit risk-adjusted rate in the model. The change in yields between the valuation dates was applied to the credit risk-adjusted rate to account for market changes. Thus, these obligations are classified within Level 3 of the fair value hierarchy as the fair values are based upon unobservable inputs.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key inputs for the simulation include stock price, simulation period and volatility of the Company’s common stock and were as follows as of March 29, 2026:</w:t>
      </w:r>
    </w:p>
    <w:p>
      <w:pPr>
        <w:pStyle w:val="TextBody"/>
        <w:bidi w:val="0"/>
        <w:spacing w:before="0" w:after="0"/>
        <w:ind w:left="0" w:right="0" w:hanging="0"/>
        <w:jc w:val="both"/>
        <w:rPr>
          <w:caps w:val="false"/>
          <w:smallCaps w:val="false"/>
        </w:rPr>
      </w:pPr>
      <w:r>
        <w:rPr>
          <w:caps w:val="false"/>
          <w:smallCaps w:val="false"/>
        </w:rPr>
        <w:t> </w:t>
      </w:r>
    </w:p>
    <w:tbl>
      <w:tblPr>
        <w:tblW w:w="5318" w:type="dxa"/>
        <w:jc w:val="left"/>
        <w:tblInd w:w="0" w:type="dxa"/>
        <w:tblLayout w:type="fixed"/>
        <w:tblCellMar>
          <w:top w:w="0" w:type="dxa"/>
          <w:left w:w="0" w:type="dxa"/>
          <w:bottom w:w="0" w:type="dxa"/>
          <w:right w:w="0" w:type="dxa"/>
        </w:tblCellMar>
      </w:tblPr>
      <w:tblGrid>
        <w:gridCol w:w="2285"/>
        <w:gridCol w:w="60"/>
        <w:gridCol w:w="173"/>
        <w:gridCol w:w="1046"/>
        <w:gridCol w:w="215"/>
        <w:gridCol w:w="60"/>
        <w:gridCol w:w="177"/>
        <w:gridCol w:w="1072"/>
        <w:gridCol w:w="230"/>
      </w:tblGrid>
      <w:tr>
        <w:trPr/>
        <w:tc>
          <w:tcPr>
            <w:tcW w:w="2285"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p>
        </w:tc>
        <w:tc>
          <w:tcPr>
            <w:tcW w:w="1219"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$1.9 Million</w:t>
              <w:br/>
              <w:t>Note</w:t>
            </w:r>
          </w:p>
        </w:tc>
        <w:tc>
          <w:tcPr>
            <w:tcW w:w="2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49"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March 2026</w:t>
              <w:br/>
              <w:t>Bridge Note</w:t>
            </w:r>
          </w:p>
        </w:tc>
        <w:tc>
          <w:tcPr>
            <w:tcW w:w="230" w:type="dxa"/>
            <w:tcBorders/>
            <w:vAlign w:val="center"/>
          </w:tcPr>
          <w:p>
            <w:pPr>
              <w:pStyle w:val="TableContents"/>
              <w:bidi w:val="0"/>
              <w:spacing w:before="0" w:after="283"/>
              <w:jc w:val="left"/>
              <w:rPr/>
            </w:pPr>
            <w:r>
              <w:rPr/>
              <w:t> </w:t>
            </w:r>
          </w:p>
        </w:tc>
      </w:tr>
      <w:tr>
        <w:trPr/>
        <w:tc>
          <w:tcPr>
            <w:tcW w:w="2285" w:type="dxa"/>
            <w:tcBorders/>
            <w:shd w:fill="CCEEFF" w:val="cle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VWAP stock price</w:t>
            </w:r>
          </w:p>
        </w:tc>
        <w:tc>
          <w:tcPr>
            <w:tcW w:w="60" w:type="dxa"/>
            <w:tcBorders/>
            <w:shd w:fill="CCEEFF" w:val="clear"/>
            <w:vAlign w:val="center"/>
          </w:tcPr>
          <w:p>
            <w:pPr>
              <w:pStyle w:val="TableContents"/>
              <w:bidi w:val="0"/>
              <w:spacing w:before="0" w:after="283"/>
              <w:jc w:val="left"/>
              <w:rPr/>
            </w:pPr>
            <w:r>
              <w:rPr/>
              <w:t> </w:t>
            </w:r>
          </w:p>
        </w:tc>
        <w:tc>
          <w:tcPr>
            <w:tcW w:w="173"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046"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1.24</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7"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072"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1.24</w:t>
            </w:r>
          </w:p>
        </w:tc>
        <w:tc>
          <w:tcPr>
            <w:tcW w:w="230" w:type="dxa"/>
            <w:tcBorders/>
            <w:shd w:fill="CCEEFF" w:val="clear"/>
            <w:vAlign w:val="center"/>
          </w:tcPr>
          <w:p>
            <w:pPr>
              <w:pStyle w:val="TableContents"/>
              <w:bidi w:val="0"/>
              <w:spacing w:before="0" w:after="283"/>
              <w:jc w:val="left"/>
              <w:rPr/>
            </w:pPr>
            <w:r>
              <w:rPr/>
              <w:t> </w:t>
            </w:r>
          </w:p>
        </w:tc>
      </w:tr>
      <w:tr>
        <w:trPr/>
        <w:tc>
          <w:tcPr>
            <w:tcW w:w="2285" w:type="dxa"/>
            <w:tcBorders/>
            <w:shd w:fill="FFFFFF" w:val="cle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Simulation period</w:t>
            </w:r>
          </w:p>
        </w:tc>
        <w:tc>
          <w:tcPr>
            <w:tcW w:w="60" w:type="dxa"/>
            <w:tcBorders/>
            <w:shd w:fill="FFFFFF" w:val="clear"/>
            <w:vAlign w:val="center"/>
          </w:tcPr>
          <w:p>
            <w:pPr>
              <w:pStyle w:val="TableContents"/>
              <w:bidi w:val="0"/>
              <w:spacing w:before="0" w:after="283"/>
              <w:jc w:val="left"/>
              <w:rPr/>
            </w:pPr>
            <w:r>
              <w:rPr/>
              <w:t> </w:t>
            </w:r>
          </w:p>
        </w:tc>
        <w:tc>
          <w:tcPr>
            <w:tcW w:w="173" w:type="dxa"/>
            <w:tcBorders/>
            <w:shd w:fill="FFFFFF" w:val="clear"/>
            <w:vAlign w:val="center"/>
          </w:tcPr>
          <w:p>
            <w:pPr>
              <w:pStyle w:val="TableContents"/>
              <w:bidi w:val="0"/>
              <w:spacing w:before="0" w:after="283"/>
              <w:jc w:val="left"/>
              <w:rPr/>
            </w:pPr>
            <w:r>
              <w:rPr/>
              <w:t> </w:t>
            </w:r>
          </w:p>
        </w:tc>
        <w:tc>
          <w:tcPr>
            <w:tcW w:w="1046"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0.83 years</w:t>
            </w:r>
          </w:p>
        </w:tc>
        <w:tc>
          <w:tcPr>
            <w:tcW w:w="2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7" w:type="dxa"/>
            <w:tcBorders/>
            <w:shd w:fill="FFFFFF" w:val="clear"/>
            <w:vAlign w:val="center"/>
          </w:tcPr>
          <w:p>
            <w:pPr>
              <w:pStyle w:val="TableContents"/>
              <w:bidi w:val="0"/>
              <w:spacing w:before="0" w:after="283"/>
              <w:jc w:val="left"/>
              <w:rPr/>
            </w:pPr>
            <w:r>
              <w:rPr/>
              <w:t> </w:t>
            </w:r>
          </w:p>
        </w:tc>
        <w:tc>
          <w:tcPr>
            <w:tcW w:w="1072"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0.94 years</w:t>
            </w:r>
          </w:p>
        </w:tc>
        <w:tc>
          <w:tcPr>
            <w:tcW w:w="230" w:type="dxa"/>
            <w:tcBorders/>
            <w:shd w:fill="FFFFFF" w:val="clear"/>
            <w:vAlign w:val="center"/>
          </w:tcPr>
          <w:p>
            <w:pPr>
              <w:pStyle w:val="TableContents"/>
              <w:bidi w:val="0"/>
              <w:spacing w:before="0" w:after="283"/>
              <w:jc w:val="left"/>
              <w:rPr/>
            </w:pPr>
            <w:r>
              <w:rPr/>
              <w:t> </w:t>
            </w:r>
          </w:p>
        </w:tc>
      </w:tr>
      <w:tr>
        <w:trPr/>
        <w:tc>
          <w:tcPr>
            <w:tcW w:w="2285" w:type="dxa"/>
            <w:tcBorders/>
            <w:shd w:fill="CCEEFF" w:val="cle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Risk-free rate</w:t>
            </w:r>
          </w:p>
        </w:tc>
        <w:tc>
          <w:tcPr>
            <w:tcW w:w="60" w:type="dxa"/>
            <w:tcBorders/>
            <w:shd w:fill="CCEEFF" w:val="clear"/>
            <w:vAlign w:val="center"/>
          </w:tcPr>
          <w:p>
            <w:pPr>
              <w:pStyle w:val="TableContents"/>
              <w:bidi w:val="0"/>
              <w:spacing w:before="0" w:after="283"/>
              <w:jc w:val="left"/>
              <w:rPr/>
            </w:pPr>
            <w:r>
              <w:rPr/>
              <w:t> </w:t>
            </w:r>
          </w:p>
        </w:tc>
        <w:tc>
          <w:tcPr>
            <w:tcW w:w="173" w:type="dxa"/>
            <w:tcBorders/>
            <w:shd w:fill="CCEEFF" w:val="clear"/>
            <w:vAlign w:val="center"/>
          </w:tcPr>
          <w:p>
            <w:pPr>
              <w:pStyle w:val="TableContents"/>
              <w:bidi w:val="0"/>
              <w:spacing w:before="0" w:after="283"/>
              <w:jc w:val="left"/>
              <w:rPr/>
            </w:pPr>
            <w:r>
              <w:rPr/>
              <w:t> </w:t>
            </w:r>
          </w:p>
        </w:tc>
        <w:tc>
          <w:tcPr>
            <w:tcW w:w="1046"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3.76</w:t>
            </w:r>
          </w:p>
        </w:tc>
        <w:tc>
          <w:tcPr>
            <w:tcW w:w="21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177" w:type="dxa"/>
            <w:tcBorders/>
            <w:shd w:fill="CCEEFF" w:val="clear"/>
            <w:vAlign w:val="center"/>
          </w:tcPr>
          <w:p>
            <w:pPr>
              <w:pStyle w:val="TableContents"/>
              <w:bidi w:val="0"/>
              <w:spacing w:before="0" w:after="283"/>
              <w:jc w:val="left"/>
              <w:rPr/>
            </w:pPr>
            <w:r>
              <w:rPr/>
              <w:t> </w:t>
            </w:r>
          </w:p>
        </w:tc>
        <w:tc>
          <w:tcPr>
            <w:tcW w:w="1072"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3.77</w:t>
            </w:r>
          </w:p>
        </w:tc>
        <w:tc>
          <w:tcPr>
            <w:tcW w:w="23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2285" w:type="dxa"/>
            <w:tcBorders/>
            <w:shd w:fill="FFFFFF" w:val="cle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Volatility</w:t>
            </w:r>
          </w:p>
        </w:tc>
        <w:tc>
          <w:tcPr>
            <w:tcW w:w="60" w:type="dxa"/>
            <w:tcBorders/>
            <w:shd w:fill="FFFFFF" w:val="clear"/>
            <w:vAlign w:val="center"/>
          </w:tcPr>
          <w:p>
            <w:pPr>
              <w:pStyle w:val="TableContents"/>
              <w:bidi w:val="0"/>
              <w:spacing w:before="0" w:after="283"/>
              <w:jc w:val="left"/>
              <w:rPr/>
            </w:pPr>
            <w:r>
              <w:rPr/>
              <w:t> </w:t>
            </w:r>
          </w:p>
        </w:tc>
        <w:tc>
          <w:tcPr>
            <w:tcW w:w="173" w:type="dxa"/>
            <w:tcBorders/>
            <w:shd w:fill="FFFFFF" w:val="clear"/>
            <w:vAlign w:val="center"/>
          </w:tcPr>
          <w:p>
            <w:pPr>
              <w:pStyle w:val="TableContents"/>
              <w:bidi w:val="0"/>
              <w:spacing w:before="0" w:after="283"/>
              <w:jc w:val="left"/>
              <w:rPr/>
            </w:pPr>
            <w:r>
              <w:rPr/>
              <w:t> </w:t>
            </w:r>
          </w:p>
        </w:tc>
        <w:tc>
          <w:tcPr>
            <w:tcW w:w="1046"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81.4</w:t>
            </w:r>
          </w:p>
        </w:tc>
        <w:tc>
          <w:tcPr>
            <w:tcW w:w="21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177" w:type="dxa"/>
            <w:tcBorders/>
            <w:shd w:fill="FFFFFF" w:val="clear"/>
            <w:vAlign w:val="center"/>
          </w:tcPr>
          <w:p>
            <w:pPr>
              <w:pStyle w:val="TableContents"/>
              <w:bidi w:val="0"/>
              <w:spacing w:before="0" w:after="283"/>
              <w:jc w:val="left"/>
              <w:rPr/>
            </w:pPr>
            <w:r>
              <w:rPr/>
              <w:t> </w:t>
            </w:r>
          </w:p>
        </w:tc>
        <w:tc>
          <w:tcPr>
            <w:tcW w:w="1072"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83.3</w:t>
            </w:r>
          </w:p>
        </w:tc>
        <w:tc>
          <w:tcPr>
            <w:tcW w:w="23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2285" w:type="dxa"/>
            <w:tcBorders/>
            <w:shd w:fill="CCEEFF" w:val="cle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Credit risk-adjusted rate</w:t>
            </w:r>
          </w:p>
        </w:tc>
        <w:tc>
          <w:tcPr>
            <w:tcW w:w="60" w:type="dxa"/>
            <w:tcBorders/>
            <w:shd w:fill="CCEEFF" w:val="clear"/>
            <w:vAlign w:val="center"/>
          </w:tcPr>
          <w:p>
            <w:pPr>
              <w:pStyle w:val="TableContents"/>
              <w:bidi w:val="0"/>
              <w:spacing w:before="0" w:after="283"/>
              <w:jc w:val="left"/>
              <w:rPr/>
            </w:pPr>
            <w:r>
              <w:rPr/>
              <w:t> </w:t>
            </w:r>
          </w:p>
        </w:tc>
        <w:tc>
          <w:tcPr>
            <w:tcW w:w="173" w:type="dxa"/>
            <w:tcBorders/>
            <w:shd w:fill="CCEEFF" w:val="clear"/>
            <w:vAlign w:val="center"/>
          </w:tcPr>
          <w:p>
            <w:pPr>
              <w:pStyle w:val="TableContents"/>
              <w:bidi w:val="0"/>
              <w:spacing w:before="0" w:after="283"/>
              <w:jc w:val="left"/>
              <w:rPr/>
            </w:pPr>
            <w:r>
              <w:rPr/>
              <w:t> </w:t>
            </w:r>
          </w:p>
        </w:tc>
        <w:tc>
          <w:tcPr>
            <w:tcW w:w="1046"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41.4</w:t>
            </w:r>
          </w:p>
        </w:tc>
        <w:tc>
          <w:tcPr>
            <w:tcW w:w="21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177" w:type="dxa"/>
            <w:tcBorders/>
            <w:shd w:fill="CCEEFF" w:val="clear"/>
            <w:vAlign w:val="center"/>
          </w:tcPr>
          <w:p>
            <w:pPr>
              <w:pStyle w:val="TableContents"/>
              <w:bidi w:val="0"/>
              <w:spacing w:before="0" w:after="283"/>
              <w:jc w:val="left"/>
              <w:rPr/>
            </w:pPr>
            <w:r>
              <w:rPr/>
              <w:t> </w:t>
            </w:r>
          </w:p>
        </w:tc>
        <w:tc>
          <w:tcPr>
            <w:tcW w:w="1072"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73.4</w:t>
            </w:r>
          </w:p>
        </w:tc>
        <w:tc>
          <w:tcPr>
            <w:tcW w:w="23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fair value measurement reflects a probability-weighted assessment of settlement outcomes, including conversion into equity versus cash repayment scenarios, and captures the optionality inherent in the instrument. Changes in these assumptions, particularly stock price volatility, credit spread, and the likelihood of conversion, can result in significant fluctuations in the estimated fair value. Changes in fair value are recognized in operating results within “Other non-operating income, net,” in the Company’s unaudited condensed consolidated statements of operations and comprehensive income, and no separate interest expense is recorded, as the fair value measurement incorporates the economic cost of the financing.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Public warrants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public warrants are measured at fair value on a recurring basis. The public warrants were valued based on the closing price of the publicly traded instrument and therefore are considered a Level 1 instrument in the fair value hierarchy.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Private placement and working capital warrants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valued the private placement and working capital warrants, based on a binomial lattice model, which included the following inputs:</w:t>
      </w:r>
    </w:p>
    <w:p>
      <w:pPr>
        <w:pStyle w:val="TextBody"/>
        <w:bidi w:val="0"/>
        <w:spacing w:before="0" w:after="0"/>
        <w:ind w:left="0" w:right="0" w:hanging="0"/>
        <w:jc w:val="both"/>
        <w:rPr>
          <w:caps w:val="false"/>
          <w:smallCaps w:val="false"/>
        </w:rPr>
      </w:pPr>
      <w:r>
        <w:rPr>
          <w:caps w:val="false"/>
          <w:smallCaps w:val="false"/>
        </w:rPr>
        <w:t> </w:t>
      </w:r>
    </w:p>
    <w:tbl>
      <w:tblPr>
        <w:tblW w:w="5379" w:type="dxa"/>
        <w:jc w:val="left"/>
        <w:tblInd w:w="0" w:type="dxa"/>
        <w:tblLayout w:type="fixed"/>
        <w:tblCellMar>
          <w:top w:w="0" w:type="dxa"/>
          <w:left w:w="0" w:type="dxa"/>
          <w:bottom w:w="0" w:type="dxa"/>
          <w:right w:w="0" w:type="dxa"/>
        </w:tblCellMar>
      </w:tblPr>
      <w:tblGrid>
        <w:gridCol w:w="2330"/>
        <w:gridCol w:w="60"/>
        <w:gridCol w:w="152"/>
        <w:gridCol w:w="917"/>
        <w:gridCol w:w="215"/>
        <w:gridCol w:w="60"/>
        <w:gridCol w:w="283"/>
        <w:gridCol w:w="1132"/>
        <w:gridCol w:w="230"/>
      </w:tblGrid>
      <w:tr>
        <w:trPr/>
        <w:tc>
          <w:tcPr>
            <w:tcW w:w="2330"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p>
        </w:tc>
        <w:tc>
          <w:tcPr>
            <w:tcW w:w="2759" w:type="dxa"/>
            <w:gridSpan w:val="6"/>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As of</w:t>
            </w:r>
          </w:p>
        </w:tc>
        <w:tc>
          <w:tcPr>
            <w:tcW w:w="230" w:type="dxa"/>
            <w:tcBorders/>
            <w:vAlign w:val="center"/>
          </w:tcPr>
          <w:p>
            <w:pPr>
              <w:pStyle w:val="TableContents"/>
              <w:bidi w:val="0"/>
              <w:spacing w:before="0" w:after="283"/>
              <w:jc w:val="left"/>
              <w:rPr/>
            </w:pPr>
            <w:r>
              <w:rPr/>
              <w:t> </w:t>
            </w:r>
          </w:p>
        </w:tc>
      </w:tr>
      <w:tr>
        <w:trPr/>
        <w:tc>
          <w:tcPr>
            <w:tcW w:w="2330"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p>
        </w:tc>
        <w:tc>
          <w:tcPr>
            <w:tcW w:w="1069" w:type="dxa"/>
            <w:gridSpan w:val="2"/>
            <w:tcBorders/>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March 29,</w:t>
            </w:r>
          </w:p>
        </w:tc>
        <w:tc>
          <w:tcPr>
            <w:tcW w:w="2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15" w:type="dxa"/>
            <w:gridSpan w:val="2"/>
            <w:tcBorders/>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December 28,</w:t>
            </w:r>
          </w:p>
        </w:tc>
        <w:tc>
          <w:tcPr>
            <w:tcW w:w="230" w:type="dxa"/>
            <w:tcBorders/>
            <w:vAlign w:val="center"/>
          </w:tcPr>
          <w:p>
            <w:pPr>
              <w:pStyle w:val="TableContents"/>
              <w:bidi w:val="0"/>
              <w:spacing w:before="0" w:after="283"/>
              <w:jc w:val="left"/>
              <w:rPr/>
            </w:pPr>
            <w:r>
              <w:rPr/>
              <w:t> </w:t>
            </w:r>
          </w:p>
        </w:tc>
      </w:tr>
      <w:tr>
        <w:trPr/>
        <w:tc>
          <w:tcPr>
            <w:tcW w:w="2330"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p>
        </w:tc>
        <w:tc>
          <w:tcPr>
            <w:tcW w:w="1069"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2026</w:t>
            </w:r>
          </w:p>
        </w:tc>
        <w:tc>
          <w:tcPr>
            <w:tcW w:w="2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15"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2025</w:t>
            </w:r>
          </w:p>
        </w:tc>
        <w:tc>
          <w:tcPr>
            <w:tcW w:w="230" w:type="dxa"/>
            <w:tcBorders/>
            <w:vAlign w:val="center"/>
          </w:tcPr>
          <w:p>
            <w:pPr>
              <w:pStyle w:val="TableContents"/>
              <w:bidi w:val="0"/>
              <w:spacing w:before="0" w:after="283"/>
              <w:jc w:val="left"/>
              <w:rPr/>
            </w:pPr>
            <w:r>
              <w:rPr/>
              <w:t> </w:t>
            </w:r>
          </w:p>
        </w:tc>
      </w:tr>
      <w:tr>
        <w:trPr/>
        <w:tc>
          <w:tcPr>
            <w:tcW w:w="2330" w:type="dxa"/>
            <w:tcBorders/>
            <w:shd w:fill="CCEEFF" w:val="cle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Expected term</w:t>
            </w:r>
          </w:p>
        </w:tc>
        <w:tc>
          <w:tcPr>
            <w:tcW w:w="60" w:type="dxa"/>
            <w:tcBorders/>
            <w:shd w:fill="CCEEFF" w:val="clear"/>
            <w:vAlign w:val="center"/>
          </w:tcPr>
          <w:p>
            <w:pPr>
              <w:pStyle w:val="TableContents"/>
              <w:bidi w:val="0"/>
              <w:spacing w:before="0" w:after="283"/>
              <w:jc w:val="left"/>
              <w:rPr/>
            </w:pPr>
            <w:r>
              <w:rPr/>
              <w:t> </w:t>
            </w:r>
          </w:p>
        </w:tc>
        <w:tc>
          <w:tcPr>
            <w:tcW w:w="152" w:type="dxa"/>
            <w:tcBorders/>
            <w:shd w:fill="CCEEFF" w:val="clear"/>
            <w:vAlign w:val="center"/>
          </w:tcPr>
          <w:p>
            <w:pPr>
              <w:pStyle w:val="TableContents"/>
              <w:bidi w:val="0"/>
              <w:spacing w:before="0" w:after="283"/>
              <w:jc w:val="left"/>
              <w:rPr/>
            </w:pPr>
            <w:r>
              <w:rPr/>
              <w:t> </w:t>
            </w:r>
          </w:p>
        </w:tc>
        <w:tc>
          <w:tcPr>
            <w:tcW w:w="917"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2.31 years</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83" w:type="dxa"/>
            <w:tcBorders/>
            <w:shd w:fill="CCEEFF" w:val="clear"/>
            <w:vAlign w:val="center"/>
          </w:tcPr>
          <w:p>
            <w:pPr>
              <w:pStyle w:val="TableContents"/>
              <w:bidi w:val="0"/>
              <w:spacing w:before="0" w:after="283"/>
              <w:jc w:val="left"/>
              <w:rPr/>
            </w:pPr>
            <w:r>
              <w:rPr/>
              <w:t> </w:t>
            </w:r>
          </w:p>
        </w:tc>
        <w:tc>
          <w:tcPr>
            <w:tcW w:w="1132"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2.56 years</w:t>
            </w:r>
          </w:p>
        </w:tc>
        <w:tc>
          <w:tcPr>
            <w:tcW w:w="230" w:type="dxa"/>
            <w:tcBorders/>
            <w:shd w:fill="CCEEFF" w:val="clear"/>
            <w:vAlign w:val="center"/>
          </w:tcPr>
          <w:p>
            <w:pPr>
              <w:pStyle w:val="TableContents"/>
              <w:bidi w:val="0"/>
              <w:spacing w:before="0" w:after="283"/>
              <w:jc w:val="left"/>
              <w:rPr/>
            </w:pPr>
            <w:r>
              <w:rPr/>
              <w:t> </w:t>
            </w:r>
          </w:p>
        </w:tc>
      </w:tr>
      <w:tr>
        <w:trPr/>
        <w:tc>
          <w:tcPr>
            <w:tcW w:w="2330" w:type="dxa"/>
            <w:tcBorders/>
            <w:shd w:fill="FFFFFF" w:val="cle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Stock price</w:t>
            </w:r>
          </w:p>
        </w:tc>
        <w:tc>
          <w:tcPr>
            <w:tcW w:w="60" w:type="dxa"/>
            <w:tcBorders/>
            <w:shd w:fill="FFFFFF" w:val="clear"/>
            <w:vAlign w:val="center"/>
          </w:tcPr>
          <w:p>
            <w:pPr>
              <w:pStyle w:val="TableContents"/>
              <w:bidi w:val="0"/>
              <w:spacing w:before="0" w:after="283"/>
              <w:jc w:val="left"/>
              <w:rPr/>
            </w:pPr>
            <w:r>
              <w:rPr/>
              <w:t> </w:t>
            </w:r>
          </w:p>
        </w:tc>
        <w:tc>
          <w:tcPr>
            <w:tcW w:w="152"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17"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1.25</w:t>
            </w:r>
          </w:p>
        </w:tc>
        <w:tc>
          <w:tcPr>
            <w:tcW w:w="2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83"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132"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1.62</w:t>
            </w:r>
          </w:p>
        </w:tc>
        <w:tc>
          <w:tcPr>
            <w:tcW w:w="230" w:type="dxa"/>
            <w:tcBorders/>
            <w:shd w:fill="FFFFFF" w:val="clear"/>
            <w:vAlign w:val="center"/>
          </w:tcPr>
          <w:p>
            <w:pPr>
              <w:pStyle w:val="TableContents"/>
              <w:bidi w:val="0"/>
              <w:spacing w:before="0" w:after="283"/>
              <w:jc w:val="left"/>
              <w:rPr/>
            </w:pPr>
            <w:r>
              <w:rPr/>
              <w:t> </w:t>
            </w:r>
          </w:p>
        </w:tc>
      </w:tr>
      <w:tr>
        <w:trPr/>
        <w:tc>
          <w:tcPr>
            <w:tcW w:w="2330" w:type="dxa"/>
            <w:tcBorders/>
            <w:shd w:fill="CCEEFF" w:val="cle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Exercise price</w:t>
            </w:r>
          </w:p>
        </w:tc>
        <w:tc>
          <w:tcPr>
            <w:tcW w:w="60" w:type="dxa"/>
            <w:tcBorders/>
            <w:shd w:fill="CCEEFF" w:val="clear"/>
            <w:vAlign w:val="center"/>
          </w:tcPr>
          <w:p>
            <w:pPr>
              <w:pStyle w:val="TableContents"/>
              <w:bidi w:val="0"/>
              <w:spacing w:before="0" w:after="283"/>
              <w:jc w:val="left"/>
              <w:rPr/>
            </w:pPr>
            <w:r>
              <w:rPr/>
              <w:t> </w:t>
            </w:r>
          </w:p>
        </w:tc>
        <w:tc>
          <w:tcPr>
            <w:tcW w:w="152"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17"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11.50</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83"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132"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11.50</w:t>
            </w:r>
          </w:p>
        </w:tc>
        <w:tc>
          <w:tcPr>
            <w:tcW w:w="230" w:type="dxa"/>
            <w:tcBorders/>
            <w:shd w:fill="CCEEFF" w:val="clear"/>
            <w:vAlign w:val="center"/>
          </w:tcPr>
          <w:p>
            <w:pPr>
              <w:pStyle w:val="TableContents"/>
              <w:bidi w:val="0"/>
              <w:spacing w:before="0" w:after="283"/>
              <w:jc w:val="left"/>
              <w:rPr/>
            </w:pPr>
            <w:r>
              <w:rPr/>
              <w:t> </w:t>
            </w:r>
          </w:p>
        </w:tc>
      </w:tr>
      <w:tr>
        <w:trPr/>
        <w:tc>
          <w:tcPr>
            <w:tcW w:w="2330" w:type="dxa"/>
            <w:tcBorders/>
            <w:shd w:fill="FFFFFF" w:val="cle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Expected volatility</w:t>
            </w:r>
          </w:p>
        </w:tc>
        <w:tc>
          <w:tcPr>
            <w:tcW w:w="60" w:type="dxa"/>
            <w:tcBorders/>
            <w:shd w:fill="FFFFFF" w:val="clear"/>
            <w:vAlign w:val="center"/>
          </w:tcPr>
          <w:p>
            <w:pPr>
              <w:pStyle w:val="TableContents"/>
              <w:bidi w:val="0"/>
              <w:spacing w:before="0" w:after="283"/>
              <w:jc w:val="left"/>
              <w:rPr/>
            </w:pPr>
            <w:r>
              <w:rPr/>
              <w:t> </w:t>
            </w:r>
          </w:p>
        </w:tc>
        <w:tc>
          <w:tcPr>
            <w:tcW w:w="152" w:type="dxa"/>
            <w:tcBorders/>
            <w:shd w:fill="FFFFFF" w:val="clear"/>
            <w:vAlign w:val="center"/>
          </w:tcPr>
          <w:p>
            <w:pPr>
              <w:pStyle w:val="TableContents"/>
              <w:bidi w:val="0"/>
              <w:spacing w:before="0" w:after="283"/>
              <w:jc w:val="left"/>
              <w:rPr/>
            </w:pPr>
            <w:r>
              <w:rPr/>
              <w:t> </w:t>
            </w:r>
          </w:p>
        </w:tc>
        <w:tc>
          <w:tcPr>
            <w:tcW w:w="917"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268.3</w:t>
            </w:r>
          </w:p>
        </w:tc>
        <w:tc>
          <w:tcPr>
            <w:tcW w:w="21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283" w:type="dxa"/>
            <w:tcBorders/>
            <w:shd w:fill="FFFFFF" w:val="clear"/>
            <w:vAlign w:val="center"/>
          </w:tcPr>
          <w:p>
            <w:pPr>
              <w:pStyle w:val="TableContents"/>
              <w:bidi w:val="0"/>
              <w:spacing w:before="0" w:after="283"/>
              <w:jc w:val="left"/>
              <w:rPr/>
            </w:pPr>
            <w:r>
              <w:rPr/>
              <w:t> </w:t>
            </w:r>
          </w:p>
        </w:tc>
        <w:tc>
          <w:tcPr>
            <w:tcW w:w="1132"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179.0</w:t>
            </w:r>
          </w:p>
        </w:tc>
        <w:tc>
          <w:tcPr>
            <w:tcW w:w="23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2330" w:type="dxa"/>
            <w:tcBorders/>
            <w:shd w:fill="CCEEFF" w:val="cle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Risk-free rate</w:t>
            </w:r>
          </w:p>
        </w:tc>
        <w:tc>
          <w:tcPr>
            <w:tcW w:w="60" w:type="dxa"/>
            <w:tcBorders/>
            <w:shd w:fill="CCEEFF" w:val="clear"/>
            <w:vAlign w:val="center"/>
          </w:tcPr>
          <w:p>
            <w:pPr>
              <w:pStyle w:val="TableContents"/>
              <w:bidi w:val="0"/>
              <w:spacing w:before="0" w:after="283"/>
              <w:jc w:val="left"/>
              <w:rPr/>
            </w:pPr>
            <w:r>
              <w:rPr/>
              <w:t> </w:t>
            </w:r>
          </w:p>
        </w:tc>
        <w:tc>
          <w:tcPr>
            <w:tcW w:w="152" w:type="dxa"/>
            <w:tcBorders/>
            <w:shd w:fill="CCEEFF" w:val="clear"/>
            <w:vAlign w:val="center"/>
          </w:tcPr>
          <w:p>
            <w:pPr>
              <w:pStyle w:val="TableContents"/>
              <w:bidi w:val="0"/>
              <w:spacing w:before="0" w:after="283"/>
              <w:jc w:val="left"/>
              <w:rPr/>
            </w:pPr>
            <w:r>
              <w:rPr/>
              <w:t> </w:t>
            </w:r>
          </w:p>
        </w:tc>
        <w:tc>
          <w:tcPr>
            <w:tcW w:w="917"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3.90</w:t>
            </w:r>
          </w:p>
        </w:tc>
        <w:tc>
          <w:tcPr>
            <w:tcW w:w="21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283" w:type="dxa"/>
            <w:tcBorders/>
            <w:shd w:fill="CCEEFF" w:val="clear"/>
            <w:vAlign w:val="center"/>
          </w:tcPr>
          <w:p>
            <w:pPr>
              <w:pStyle w:val="TableContents"/>
              <w:bidi w:val="0"/>
              <w:spacing w:before="0" w:after="283"/>
              <w:jc w:val="left"/>
              <w:rPr/>
            </w:pPr>
            <w:r>
              <w:rPr/>
              <w:t> </w:t>
            </w:r>
          </w:p>
        </w:tc>
        <w:tc>
          <w:tcPr>
            <w:tcW w:w="1132"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3.50</w:t>
            </w:r>
          </w:p>
        </w:tc>
        <w:tc>
          <w:tcPr>
            <w:tcW w:w="23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2330" w:type="dxa"/>
            <w:tcBorders/>
            <w:shd w:fill="FFFFFF" w:val="cle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Expected dividend yield</w:t>
            </w:r>
          </w:p>
        </w:tc>
        <w:tc>
          <w:tcPr>
            <w:tcW w:w="60" w:type="dxa"/>
            <w:tcBorders/>
            <w:shd w:fill="FFFFFF" w:val="clear"/>
            <w:vAlign w:val="center"/>
          </w:tcPr>
          <w:p>
            <w:pPr>
              <w:pStyle w:val="TableContents"/>
              <w:bidi w:val="0"/>
              <w:spacing w:before="0" w:after="283"/>
              <w:jc w:val="left"/>
              <w:rPr/>
            </w:pPr>
            <w:r>
              <w:rPr/>
              <w:t> </w:t>
            </w:r>
          </w:p>
        </w:tc>
        <w:tc>
          <w:tcPr>
            <w:tcW w:w="152" w:type="dxa"/>
            <w:tcBorders/>
            <w:shd w:fill="FFFFFF" w:val="clear"/>
            <w:vAlign w:val="center"/>
          </w:tcPr>
          <w:p>
            <w:pPr>
              <w:pStyle w:val="TableContents"/>
              <w:bidi w:val="0"/>
              <w:spacing w:before="0" w:after="283"/>
              <w:jc w:val="left"/>
              <w:rPr/>
            </w:pPr>
            <w:r>
              <w:rPr/>
              <w:t> </w:t>
            </w:r>
          </w:p>
        </w:tc>
        <w:tc>
          <w:tcPr>
            <w:tcW w:w="917"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0.00</w:t>
            </w:r>
          </w:p>
        </w:tc>
        <w:tc>
          <w:tcPr>
            <w:tcW w:w="21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283" w:type="dxa"/>
            <w:tcBorders/>
            <w:shd w:fill="FFFFFF" w:val="clear"/>
            <w:vAlign w:val="center"/>
          </w:tcPr>
          <w:p>
            <w:pPr>
              <w:pStyle w:val="TableContents"/>
              <w:bidi w:val="0"/>
              <w:spacing w:before="0" w:after="283"/>
              <w:jc w:val="left"/>
              <w:rPr/>
            </w:pPr>
            <w:r>
              <w:rPr/>
              <w:t> </w:t>
            </w:r>
          </w:p>
        </w:tc>
        <w:tc>
          <w:tcPr>
            <w:tcW w:w="1132"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0.00</w:t>
            </w:r>
          </w:p>
        </w:tc>
        <w:tc>
          <w:tcPr>
            <w:tcW w:w="23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expected term is the time period to the expiration date of the warrants. The risk-free rate is interpolated from the U.S. Constant Maturity Treasury curve for a term matching the corresponding remaining life. Volatility was calibrated based on the public warrants closing price as of the valuation date. As the private and working capital warrants have terms nearly identical to the publicly traded warrants, the volatility was calibrated until the model price equaled the public warrants closing price. These inherent unobservable assumptions are subject to significant measurement uncertainty, and alternative reasonable assumptions could have produced materially different results as of March 29, 2026 and December 28, 2025. Thus, the private placement and working capital warrant liabilities are classified within Level 3 of the fair value hierarchy.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sz w:val="20"/>
          <w:bdr w:val="single" w:sz="12" w:space="1" w:color="000000"/>
        </w:rPr>
      </w:pPr>
      <w:r>
        <w:rPr>
          <w:sz w:val="20"/>
          <w:bdr w:val="single" w:sz="12" w:space="1" w:color="000000"/>
        </w:rPr>
        <w:t>F-23</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Forward purchase agreement (“FPA”) liabilities</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FPAs are measured at fair value on a recurring basis using a Monte Carlo simulation analysis based upon the following inputs:</w:t>
      </w:r>
    </w:p>
    <w:p>
      <w:pPr>
        <w:pStyle w:val="TextBody"/>
        <w:bidi w:val="0"/>
        <w:spacing w:before="0" w:after="0"/>
        <w:ind w:left="0" w:right="0" w:hanging="0"/>
        <w:jc w:val="both"/>
        <w:rPr>
          <w:caps w:val="false"/>
          <w:smallCaps w:val="false"/>
        </w:rPr>
      </w:pPr>
      <w:r>
        <w:rPr>
          <w:caps w:val="false"/>
          <w:smallCaps w:val="false"/>
        </w:rPr>
        <w:t> </w:t>
      </w:r>
    </w:p>
    <w:tbl>
      <w:tblPr>
        <w:tblW w:w="4883" w:type="dxa"/>
        <w:jc w:val="left"/>
        <w:tblInd w:w="0" w:type="dxa"/>
        <w:tblLayout w:type="fixed"/>
        <w:tblCellMar>
          <w:top w:w="0" w:type="dxa"/>
          <w:left w:w="0" w:type="dxa"/>
          <w:bottom w:w="0" w:type="dxa"/>
          <w:right w:w="0" w:type="dxa"/>
        </w:tblCellMar>
      </w:tblPr>
      <w:tblGrid>
        <w:gridCol w:w="1835"/>
        <w:gridCol w:w="60"/>
        <w:gridCol w:w="152"/>
        <w:gridCol w:w="917"/>
        <w:gridCol w:w="215"/>
        <w:gridCol w:w="60"/>
        <w:gridCol w:w="341"/>
        <w:gridCol w:w="1073"/>
        <w:gridCol w:w="230"/>
      </w:tblGrid>
      <w:tr>
        <w:trPr/>
        <w:tc>
          <w:tcPr>
            <w:tcW w:w="183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2758" w:type="dxa"/>
            <w:gridSpan w:val="6"/>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As of</w:t>
            </w:r>
          </w:p>
        </w:tc>
        <w:tc>
          <w:tcPr>
            <w:tcW w:w="230" w:type="dxa"/>
            <w:tcBorders/>
            <w:vAlign w:val="center"/>
          </w:tcPr>
          <w:p>
            <w:pPr>
              <w:pStyle w:val="TableContents"/>
              <w:bidi w:val="0"/>
              <w:spacing w:before="0" w:after="283"/>
              <w:jc w:val="left"/>
              <w:rPr/>
            </w:pPr>
            <w:r>
              <w:rPr/>
              <w:t> </w:t>
            </w:r>
          </w:p>
        </w:tc>
      </w:tr>
      <w:tr>
        <w:trPr/>
        <w:tc>
          <w:tcPr>
            <w:tcW w:w="183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069" w:type="dxa"/>
            <w:gridSpan w:val="2"/>
            <w:tcBorders/>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March 29,</w:t>
            </w:r>
          </w:p>
        </w:tc>
        <w:tc>
          <w:tcPr>
            <w:tcW w:w="2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14" w:type="dxa"/>
            <w:gridSpan w:val="2"/>
            <w:tcBorders/>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December 28,</w:t>
            </w:r>
          </w:p>
        </w:tc>
        <w:tc>
          <w:tcPr>
            <w:tcW w:w="230" w:type="dxa"/>
            <w:tcBorders/>
            <w:vAlign w:val="center"/>
          </w:tcPr>
          <w:p>
            <w:pPr>
              <w:pStyle w:val="TableContents"/>
              <w:bidi w:val="0"/>
              <w:spacing w:before="0" w:after="283"/>
              <w:jc w:val="left"/>
              <w:rPr/>
            </w:pPr>
            <w:r>
              <w:rPr/>
              <w:t> </w:t>
            </w:r>
          </w:p>
        </w:tc>
      </w:tr>
      <w:tr>
        <w:trPr/>
        <w:tc>
          <w:tcPr>
            <w:tcW w:w="183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069"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2026</w:t>
            </w:r>
          </w:p>
        </w:tc>
        <w:tc>
          <w:tcPr>
            <w:tcW w:w="2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14"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2025</w:t>
            </w:r>
          </w:p>
        </w:tc>
        <w:tc>
          <w:tcPr>
            <w:tcW w:w="230" w:type="dxa"/>
            <w:tcBorders/>
            <w:vAlign w:val="center"/>
          </w:tcPr>
          <w:p>
            <w:pPr>
              <w:pStyle w:val="TableContents"/>
              <w:bidi w:val="0"/>
              <w:spacing w:before="0" w:after="283"/>
              <w:jc w:val="left"/>
              <w:rPr/>
            </w:pPr>
            <w:r>
              <w:rPr/>
              <w:t> </w:t>
            </w:r>
          </w:p>
        </w:tc>
      </w:tr>
      <w:tr>
        <w:trPr/>
        <w:tc>
          <w:tcPr>
            <w:tcW w:w="183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VWAP stock price</w:t>
            </w:r>
          </w:p>
        </w:tc>
        <w:tc>
          <w:tcPr>
            <w:tcW w:w="60" w:type="dxa"/>
            <w:tcBorders/>
            <w:shd w:fill="CCEEFF" w:val="clear"/>
            <w:vAlign w:val="center"/>
          </w:tcPr>
          <w:p>
            <w:pPr>
              <w:pStyle w:val="TableContents"/>
              <w:bidi w:val="0"/>
              <w:spacing w:before="0" w:after="283"/>
              <w:jc w:val="left"/>
              <w:rPr/>
            </w:pPr>
            <w:r>
              <w:rPr/>
              <w:t> </w:t>
            </w:r>
          </w:p>
        </w:tc>
        <w:tc>
          <w:tcPr>
            <w:tcW w:w="152"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17"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1.24</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41"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073"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1.66</w:t>
            </w:r>
          </w:p>
        </w:tc>
        <w:tc>
          <w:tcPr>
            <w:tcW w:w="230" w:type="dxa"/>
            <w:tcBorders/>
            <w:shd w:fill="CCEEFF" w:val="clear"/>
            <w:vAlign w:val="center"/>
          </w:tcPr>
          <w:p>
            <w:pPr>
              <w:pStyle w:val="TableContents"/>
              <w:bidi w:val="0"/>
              <w:spacing w:before="0" w:after="283"/>
              <w:jc w:val="left"/>
              <w:rPr/>
            </w:pPr>
            <w:r>
              <w:rPr/>
              <w:t> </w:t>
            </w:r>
          </w:p>
        </w:tc>
      </w:tr>
      <w:tr>
        <w:trPr/>
        <w:tc>
          <w:tcPr>
            <w:tcW w:w="183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Simulation period</w:t>
            </w:r>
          </w:p>
        </w:tc>
        <w:tc>
          <w:tcPr>
            <w:tcW w:w="60" w:type="dxa"/>
            <w:tcBorders/>
            <w:shd w:fill="FFFFFF" w:val="clear"/>
            <w:vAlign w:val="center"/>
          </w:tcPr>
          <w:p>
            <w:pPr>
              <w:pStyle w:val="TableContents"/>
              <w:bidi w:val="0"/>
              <w:spacing w:before="0" w:after="283"/>
              <w:jc w:val="left"/>
              <w:rPr/>
            </w:pPr>
            <w:r>
              <w:rPr/>
              <w:t> </w:t>
            </w:r>
          </w:p>
        </w:tc>
        <w:tc>
          <w:tcPr>
            <w:tcW w:w="152" w:type="dxa"/>
            <w:tcBorders/>
            <w:shd w:fill="FFFFFF" w:val="clear"/>
            <w:vAlign w:val="center"/>
          </w:tcPr>
          <w:p>
            <w:pPr>
              <w:pStyle w:val="TableContents"/>
              <w:bidi w:val="0"/>
              <w:spacing w:before="0" w:after="283"/>
              <w:jc w:val="left"/>
              <w:rPr/>
            </w:pPr>
            <w:r>
              <w:rPr/>
              <w:t> </w:t>
            </w:r>
          </w:p>
        </w:tc>
        <w:tc>
          <w:tcPr>
            <w:tcW w:w="917"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0.30 years</w:t>
            </w:r>
          </w:p>
        </w:tc>
        <w:tc>
          <w:tcPr>
            <w:tcW w:w="2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41" w:type="dxa"/>
            <w:tcBorders/>
            <w:shd w:fill="FFFFFF" w:val="clear"/>
            <w:vAlign w:val="center"/>
          </w:tcPr>
          <w:p>
            <w:pPr>
              <w:pStyle w:val="TableContents"/>
              <w:bidi w:val="0"/>
              <w:spacing w:before="0" w:after="283"/>
              <w:jc w:val="left"/>
              <w:rPr/>
            </w:pPr>
            <w:r>
              <w:rPr/>
              <w:t> </w:t>
            </w:r>
          </w:p>
        </w:tc>
        <w:tc>
          <w:tcPr>
            <w:tcW w:w="1073"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0.55 years</w:t>
            </w:r>
          </w:p>
        </w:tc>
        <w:tc>
          <w:tcPr>
            <w:tcW w:w="230" w:type="dxa"/>
            <w:tcBorders/>
            <w:shd w:fill="FFFFFF" w:val="clear"/>
            <w:vAlign w:val="center"/>
          </w:tcPr>
          <w:p>
            <w:pPr>
              <w:pStyle w:val="TableContents"/>
              <w:bidi w:val="0"/>
              <w:spacing w:before="0" w:after="283"/>
              <w:jc w:val="left"/>
              <w:rPr/>
            </w:pPr>
            <w:r>
              <w:rPr/>
              <w:t> </w:t>
            </w:r>
          </w:p>
        </w:tc>
      </w:tr>
      <w:tr>
        <w:trPr/>
        <w:tc>
          <w:tcPr>
            <w:tcW w:w="183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Risk-free rate</w:t>
            </w:r>
          </w:p>
        </w:tc>
        <w:tc>
          <w:tcPr>
            <w:tcW w:w="60" w:type="dxa"/>
            <w:tcBorders/>
            <w:shd w:fill="CCEEFF" w:val="clear"/>
            <w:vAlign w:val="center"/>
          </w:tcPr>
          <w:p>
            <w:pPr>
              <w:pStyle w:val="TableContents"/>
              <w:bidi w:val="0"/>
              <w:spacing w:before="0" w:after="283"/>
              <w:jc w:val="left"/>
              <w:rPr/>
            </w:pPr>
            <w:r>
              <w:rPr/>
              <w:t> </w:t>
            </w:r>
          </w:p>
        </w:tc>
        <w:tc>
          <w:tcPr>
            <w:tcW w:w="152" w:type="dxa"/>
            <w:tcBorders/>
            <w:shd w:fill="CCEEFF" w:val="clear"/>
            <w:vAlign w:val="center"/>
          </w:tcPr>
          <w:p>
            <w:pPr>
              <w:pStyle w:val="TableContents"/>
              <w:bidi w:val="0"/>
              <w:spacing w:before="0" w:after="283"/>
              <w:jc w:val="left"/>
              <w:rPr/>
            </w:pPr>
            <w:r>
              <w:rPr/>
              <w:t> </w:t>
            </w:r>
          </w:p>
        </w:tc>
        <w:tc>
          <w:tcPr>
            <w:tcW w:w="917"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3.73</w:t>
            </w:r>
          </w:p>
        </w:tc>
        <w:tc>
          <w:tcPr>
            <w:tcW w:w="21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341" w:type="dxa"/>
            <w:tcBorders/>
            <w:shd w:fill="CCEEFF" w:val="clear"/>
            <w:vAlign w:val="center"/>
          </w:tcPr>
          <w:p>
            <w:pPr>
              <w:pStyle w:val="TableContents"/>
              <w:bidi w:val="0"/>
              <w:spacing w:before="0" w:after="283"/>
              <w:jc w:val="left"/>
              <w:rPr/>
            </w:pPr>
            <w:r>
              <w:rPr/>
              <w:t> </w:t>
            </w:r>
          </w:p>
        </w:tc>
        <w:tc>
          <w:tcPr>
            <w:tcW w:w="1073"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3.57</w:t>
            </w:r>
          </w:p>
        </w:tc>
        <w:tc>
          <w:tcPr>
            <w:tcW w:w="23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183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Volatility</w:t>
            </w:r>
          </w:p>
        </w:tc>
        <w:tc>
          <w:tcPr>
            <w:tcW w:w="60" w:type="dxa"/>
            <w:tcBorders/>
            <w:shd w:fill="FFFFFF" w:val="clear"/>
            <w:vAlign w:val="center"/>
          </w:tcPr>
          <w:p>
            <w:pPr>
              <w:pStyle w:val="TableContents"/>
              <w:bidi w:val="0"/>
              <w:spacing w:before="0" w:after="283"/>
              <w:jc w:val="left"/>
              <w:rPr/>
            </w:pPr>
            <w:r>
              <w:rPr/>
              <w:t> </w:t>
            </w:r>
          </w:p>
        </w:tc>
        <w:tc>
          <w:tcPr>
            <w:tcW w:w="152" w:type="dxa"/>
            <w:tcBorders/>
            <w:shd w:fill="FFFFFF" w:val="clear"/>
            <w:vAlign w:val="center"/>
          </w:tcPr>
          <w:p>
            <w:pPr>
              <w:pStyle w:val="TableContents"/>
              <w:bidi w:val="0"/>
              <w:spacing w:before="0" w:after="283"/>
              <w:jc w:val="left"/>
              <w:rPr/>
            </w:pPr>
            <w:r>
              <w:rPr/>
              <w:t> </w:t>
            </w:r>
          </w:p>
        </w:tc>
        <w:tc>
          <w:tcPr>
            <w:tcW w:w="917"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58.0</w:t>
            </w:r>
          </w:p>
        </w:tc>
        <w:tc>
          <w:tcPr>
            <w:tcW w:w="21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341" w:type="dxa"/>
            <w:tcBorders/>
            <w:shd w:fill="FFFFFF" w:val="clear"/>
            <w:vAlign w:val="center"/>
          </w:tcPr>
          <w:p>
            <w:pPr>
              <w:pStyle w:val="TableContents"/>
              <w:bidi w:val="0"/>
              <w:spacing w:before="0" w:after="283"/>
              <w:jc w:val="left"/>
              <w:rPr/>
            </w:pPr>
            <w:r>
              <w:rPr/>
              <w:t> </w:t>
            </w:r>
          </w:p>
        </w:tc>
        <w:tc>
          <w:tcPr>
            <w:tcW w:w="1073"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77.3</w:t>
            </w:r>
          </w:p>
        </w:tc>
        <w:tc>
          <w:tcPr>
            <w:tcW w:w="23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volume-weighted average price (“VWAP”) reflects management’s judgment regarding expected future trading activity and price behavior as an active forward market does not exist for the Company’s common stock. Reasonably possible alternative VWAP outcomes at the reporting date could have resulted in a materially different fair value. The risk-free rate is derived from the applicable tenor of the U.S. Treasury yield curve. Changes in the risk-free rate would alter the present value of the simulated settlement amounts and could significantly impact the fair value estimate. The expected volatility is determined based on the historical equity volatility of comparable companies over a period that matches the simulation period. Because expected volatility drives the dispersion of simulated price paths, reasonably higher or lower volatility assumptions could materially increase or decrease the estimated fair value. These inputs are interrelated, and changes in one may affect the others. As a result of these interrelationships and inherent unobservable assumptions, the fair value of FPAs is subject to significant measurement uncertainty, and alternative reasonable assumptions could have produced materially different results as of March 29, 2026 and December 28, 2025. Thus, FPAs are classified within Level 3 of the fair value hierarchy.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SAFE agreement with related party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measured the fair value of its SAFE using a valuation technique that incorporates significant unobservable inputs and is therefore classified within Level 3 of the fair value hierarchy. The fair value of the SAFE is subject to estimation uncertainty because it depends on management’s judgments about future events that are not directly observable in active markets. Management assigned a 50% probability that the SAFE will convert into shares of the Company’s stock in connection with a qualifying financing or other specified event. If the SAFE does not convert, management expects cash repayment in fiscal 2026 or fiscal 2027, with a 50% probability assigned to each repayment year.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SAFE valuation also considers assumptions such as discount rates implied by the Company’s convertible notes as of the valuation date, the timing and likelihood of financing or liquidity events, and, for the conversion path, the expected equity valuation and any applicable conversion economics (e.g., discounts or valuation caps). Settlement of the SAFE is contingent on future financing or liquidity events and the Company’s funding plans. Accordingly, the measurement requires judgment about the likelihood and timing of conversion versus repayment and, where relevant, assumptions about the Company’s equity value at conversion. Because these factors are not directly observable, reasonably possible alternative assumptions at the reporting date could produce a materially different fair value. Increasing the probability of conversion would generally increase the fair value if the conversion terms imply a beneficial outcome to the holder relative to repayment; decreasing that probability would place more weight on the repayment scenarios and could increase or decrease the fair value depending on the applicable discount rate and timing of cash flows. Within the non-conversion path, shifting probability weight toward repayment in fiscal year 2026 would generally increase fair value (lower discounting), while shifting weight toward fiscal 2027 would generally decrease fair value (greater discounting), holding other inputs constant. A higher discount rate would decrease the present value of expected cash flows (and thus fair value), while a lower rate would increase fair value. Higher expected equity values or more favorable conversion economics would increase the fair value under the conversion path; lower expected equity values or less favorable terms would decrease it. These inputs are interrelated and unobservable. Because the valuation depends on significant unobservable inputs—including a 50% probability of conversion to equity and an even allocation between fiscal years 2026 and 2027 of repayment if conversion does not occur—there is significant measurement uncertainty, and alternative reasonable assumptions at the reporting date could have resulted in a materially different fair value of the SAFE liability as of March 29, 2026 and December 28, 2025. Thus, the SAFE liability is classified within Level 3 of the fair value hierarchy.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sz w:val="20"/>
          <w:bdr w:val="single" w:sz="12" w:space="1" w:color="000000"/>
        </w:rPr>
      </w:pPr>
      <w:r>
        <w:rPr>
          <w:sz w:val="20"/>
          <w:bdr w:val="single" w:sz="12" w:space="1" w:color="000000"/>
        </w:rPr>
        <w:t>F-24</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Deferred Ambia Consideration Shares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Deferred Ambia consideration is classified within Level 3 of the fair value hierarchy.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estimated the fair value of the deferred consideration shares using a Turnbull–Wakeman closed-form approximation for arithmetic average-rate options, with Black-Scholes values used as an upper bound. The valuation as of March 29, 2026, was based on a stock price of $1.25 and key assumptions including expected volatility of approximately 52% to 72%, risk-free rates of approximately 3.74% to 3.76%, zero dividend yield, and defined averaging periods over the contractual terms. The resulting fair values reflect per-unit option values of approximately $0.26 to $0.38 corresponding to total estimated value of $13.9 million. The fair value of the deferred consideration shares as of December 28, 2025 of $16.9 million was estimated using the Company’s closing share price for its common stock of $1.61 at the Ambia Closing.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actual number of Deferred Ambia Consideration Shares issuable by the Company on the six- and 12-month anniversaries of the Ambia Closing was determined based on the 20-day trailing volume-weighted average price of the Company’s common stock after market close on the business day immediately prior to the issuance date of the applicable shares (the “VWAP Value”); provided that the VWAP Value for the calculation of the actual number of Deferred Ambia Consideration Shares issuable by the Company will not be more than $2.8102 per share or less than $1.4988 per share. Additionally, the number of Deferred Ambia Consideration Shares issuable by the Company is subject to adjustment pursuant to customary working capital and balance sheet adjustment terms and subject to offset for certain indemnifiable damages in accordance with the Ambia MIPA.</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Financial liabilities not measured at fair value on a recurring basis: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Company’s senior unsecured convertible notes were fair valued using a binomial lattice model, which includes Level 3, unobservable inputs. The key inputs used are consistent with those used to fair value the derivative liabilities as discussed under </w:t>
      </w:r>
      <w:r>
        <w:rPr>
          <w:rFonts w:ascii="Times New Roman;Times;Serif" w:hAnsi="Times New Roman;Times;Serif"/>
          <w:b w:val="false"/>
          <w:i/>
          <w:caps w:val="false"/>
          <w:smallCaps w:val="false"/>
          <w:sz w:val="20"/>
        </w:rPr>
        <w:t>Derivative Liabilities</w:t>
      </w:r>
      <w:r>
        <w:rPr>
          <w:rFonts w:ascii="Times New Roman;Times;Serif" w:hAnsi="Times New Roman;Times;Serif"/>
          <w:b w:val="false"/>
          <w:i w:val="false"/>
          <w:caps w:val="false"/>
          <w:smallCaps w:val="false"/>
          <w:sz w:val="20"/>
        </w:rPr>
        <w:t xml:space="preserve"> above. The following tables set forth the Company’s financial liabilities that are not measured at fair value and are considered a Level 3 instrument in the fair value hierarchy </w:t>
      </w:r>
      <w:r>
        <w:rPr>
          <w:rFonts w:ascii="Times New Roman;Times;Serif" w:hAnsi="Times New Roman;Times;Serif"/>
          <w:b w:val="false"/>
          <w:i/>
          <w:caps w:val="false"/>
          <w:smallCaps w:val="false"/>
          <w:sz w:val="20"/>
        </w:rPr>
        <w:t>(in thousands)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tbl>
      <w:tblPr>
        <w:tblW w:w="9079" w:type="dxa"/>
        <w:jc w:val="left"/>
        <w:tblInd w:w="0" w:type="dxa"/>
        <w:tblLayout w:type="fixed"/>
        <w:tblCellMar>
          <w:top w:w="0" w:type="dxa"/>
          <w:left w:w="0" w:type="dxa"/>
          <w:bottom w:w="0" w:type="dxa"/>
          <w:right w:w="0" w:type="dxa"/>
        </w:tblCellMar>
      </w:tblPr>
      <w:tblGrid>
        <w:gridCol w:w="4250"/>
        <w:gridCol w:w="60"/>
        <w:gridCol w:w="140"/>
        <w:gridCol w:w="800"/>
        <w:gridCol w:w="60"/>
        <w:gridCol w:w="60"/>
        <w:gridCol w:w="211"/>
        <w:gridCol w:w="1144"/>
        <w:gridCol w:w="95"/>
        <w:gridCol w:w="60"/>
        <w:gridCol w:w="162"/>
        <w:gridCol w:w="788"/>
        <w:gridCol w:w="60"/>
        <w:gridCol w:w="60"/>
        <w:gridCol w:w="157"/>
        <w:gridCol w:w="897"/>
        <w:gridCol w:w="75"/>
      </w:tblGrid>
      <w:tr>
        <w:trPr/>
        <w:tc>
          <w:tcPr>
            <w:tcW w:w="425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694" w:type="dxa"/>
            <w:gridSpan w:val="14"/>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As of March 29, 2026</w:t>
            </w:r>
          </w:p>
        </w:tc>
        <w:tc>
          <w:tcPr>
            <w:tcW w:w="75" w:type="dxa"/>
            <w:tcBorders/>
            <w:vAlign w:val="center"/>
          </w:tcPr>
          <w:p>
            <w:pPr>
              <w:pStyle w:val="TableContents"/>
              <w:bidi w:val="0"/>
              <w:spacing w:before="0" w:after="283"/>
              <w:jc w:val="left"/>
              <w:rPr/>
            </w:pPr>
            <w:r>
              <w:rPr/>
              <w:t> </w:t>
            </w:r>
          </w:p>
        </w:tc>
      </w:tr>
      <w:tr>
        <w:trPr/>
        <w:tc>
          <w:tcPr>
            <w:tcW w:w="4250"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p>
        </w:tc>
        <w:tc>
          <w:tcPr>
            <w:tcW w:w="940"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Principal</w:t>
              <w:br/>
              <w:t xml:space="preserve">amount </w:t>
            </w:r>
            <w:r>
              <w:rPr>
                <w:rFonts w:ascii="Times New Roman;Times;Serif" w:hAnsi="Times New Roman;Times;Serif"/>
                <w:b/>
                <w:position w:val="7"/>
                <w:sz w:val="16"/>
                <w:sz w:val="20"/>
              </w:rPr>
              <w:t>(1)</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55"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Unamortized</w:t>
              <w:br/>
              <w:t>debt</w:t>
              <w:br/>
              <w:t>discount</w:t>
              <w:br/>
              <w:t>and debt</w:t>
              <w:br/>
              <w:t>issuance</w:t>
              <w:br/>
              <w:t>costs</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50"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Net</w:t>
              <w:br/>
              <w:t>carrying</w:t>
              <w:br/>
              <w:t>amount</w:t>
              <w:br/>
              <w:t>excluding</w:t>
              <w:br/>
              <w:t>capitalized</w:t>
              <w:br/>
              <w:t xml:space="preserve">interest </w:t>
            </w:r>
            <w:r>
              <w:rPr>
                <w:rFonts w:ascii="Times New Roman;Times;Serif" w:hAnsi="Times New Roman;Times;Serif"/>
                <w:b/>
                <w:position w:val="7"/>
                <w:sz w:val="16"/>
                <w:sz w:val="20"/>
              </w:rPr>
              <w:t>(1)</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54"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Fair value</w:t>
            </w:r>
          </w:p>
        </w:tc>
        <w:tc>
          <w:tcPr>
            <w:tcW w:w="75" w:type="dxa"/>
            <w:tcBorders/>
            <w:vAlign w:val="center"/>
          </w:tcPr>
          <w:p>
            <w:pPr>
              <w:pStyle w:val="TableContents"/>
              <w:bidi w:val="0"/>
              <w:spacing w:before="0" w:after="283"/>
              <w:jc w:val="left"/>
              <w:rPr/>
            </w:pPr>
            <w:r>
              <w:rPr/>
              <w:t> </w:t>
            </w:r>
          </w:p>
        </w:tc>
      </w:tr>
      <w:tr>
        <w:trPr/>
        <w:tc>
          <w:tcPr>
            <w:tcW w:w="4250" w:type="dxa"/>
            <w:tcBorders/>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12.0% senior unsecured convertible notes</w:t>
            </w:r>
          </w:p>
        </w:tc>
        <w:tc>
          <w:tcPr>
            <w:tcW w:w="60" w:type="dxa"/>
            <w:tcBorders/>
            <w:vAlign w:val="center"/>
          </w:tcPr>
          <w:p>
            <w:pPr>
              <w:pStyle w:val="TableContents"/>
              <w:bidi w:val="0"/>
              <w:spacing w:before="0" w:after="283"/>
              <w:jc w:val="left"/>
              <w:rPr/>
            </w:pPr>
            <w:r>
              <w:rPr/>
              <w:t> </w:t>
            </w:r>
          </w:p>
        </w:tc>
        <w:tc>
          <w:tcPr>
            <w:tcW w:w="940"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55" w:type="dxa"/>
            <w:gridSpan w:val="2"/>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50"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54" w:type="dxa"/>
            <w:gridSpan w:val="2"/>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4250" w:type="dxa"/>
            <w:tcBorders/>
            <w:shd w:fill="CCEEFF" w:val="cle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July 2024 Notes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80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27,973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1"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144"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(5,655</w:t>
            </w:r>
          </w:p>
        </w:tc>
        <w:tc>
          <w:tcPr>
            <w:tcW w:w="9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162"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788"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22,318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7"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897"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26,724</w:t>
            </w:r>
          </w:p>
        </w:tc>
        <w:tc>
          <w:tcPr>
            <w:tcW w:w="75" w:type="dxa"/>
            <w:tcBorders/>
            <w:shd w:fill="CCEEFF" w:val="clear"/>
            <w:vAlign w:val="center"/>
          </w:tcPr>
          <w:p>
            <w:pPr>
              <w:pStyle w:val="TableContents"/>
              <w:bidi w:val="0"/>
              <w:spacing w:before="0" w:after="283"/>
              <w:jc w:val="left"/>
              <w:rPr/>
            </w:pPr>
            <w:r>
              <w:rPr/>
              <w:t> </w:t>
            </w:r>
          </w:p>
        </w:tc>
      </w:tr>
      <w:tr>
        <w:trPr/>
        <w:tc>
          <w:tcPr>
            <w:tcW w:w="425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July 2024 Notes – related parties</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800"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18,000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1"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44"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(10,054</w:t>
            </w:r>
          </w:p>
        </w:tc>
        <w:tc>
          <w:tcPr>
            <w:tcW w:w="9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162"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788"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7,946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7"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897"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17,086</w:t>
            </w:r>
          </w:p>
        </w:tc>
        <w:tc>
          <w:tcPr>
            <w:tcW w:w="75" w:type="dxa"/>
            <w:tcBorders/>
            <w:shd w:fill="FFFFFF" w:val="clear"/>
            <w:vAlign w:val="center"/>
          </w:tcPr>
          <w:p>
            <w:pPr>
              <w:pStyle w:val="TableContents"/>
              <w:bidi w:val="0"/>
              <w:spacing w:before="0" w:after="283"/>
              <w:jc w:val="left"/>
              <w:rPr/>
            </w:pPr>
            <w:r>
              <w:rPr/>
              <w:t> </w:t>
            </w:r>
          </w:p>
        </w:tc>
      </w:tr>
      <w:tr>
        <w:trPr/>
        <w:tc>
          <w:tcPr>
            <w:tcW w:w="4250" w:type="dxa"/>
            <w:tcBorders/>
            <w:shd w:fill="CCEEFF" w:val="cle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Subtotal July 2024 Notes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00"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45,973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1"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44"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(15,709</w:t>
            </w:r>
          </w:p>
        </w:tc>
        <w:tc>
          <w:tcPr>
            <w:tcW w:w="9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162"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788"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30,264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7"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97"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43,810</w:t>
            </w:r>
          </w:p>
        </w:tc>
        <w:tc>
          <w:tcPr>
            <w:tcW w:w="75" w:type="dxa"/>
            <w:tcBorders/>
            <w:shd w:fill="CCEEFF" w:val="clear"/>
            <w:vAlign w:val="center"/>
          </w:tcPr>
          <w:p>
            <w:pPr>
              <w:pStyle w:val="TableContents"/>
              <w:bidi w:val="0"/>
              <w:spacing w:before="0" w:after="283"/>
              <w:jc w:val="left"/>
              <w:rPr/>
            </w:pPr>
            <w:r>
              <w:rPr/>
              <w:t> </w:t>
            </w:r>
          </w:p>
        </w:tc>
      </w:tr>
      <w:tr>
        <w:trPr/>
        <w:tc>
          <w:tcPr>
            <w:tcW w:w="4250" w:type="dxa"/>
            <w:tcBorders/>
            <w:shd w:fill="FFFFFF" w:val="cle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July 2025 Note – related party</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5,000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1144"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(3,481</w:t>
            </w:r>
          </w:p>
        </w:tc>
        <w:tc>
          <w:tcPr>
            <w:tcW w:w="9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162" w:type="dxa"/>
            <w:tcBorders/>
            <w:shd w:fill="FFFFFF" w:val="clear"/>
            <w:vAlign w:val="center"/>
          </w:tcPr>
          <w:p>
            <w:pPr>
              <w:pStyle w:val="TableContents"/>
              <w:bidi w:val="0"/>
              <w:spacing w:before="0" w:after="283"/>
              <w:jc w:val="left"/>
              <w:rPr/>
            </w:pPr>
            <w:r>
              <w:rPr/>
              <w:t> </w:t>
            </w:r>
          </w:p>
        </w:tc>
        <w:tc>
          <w:tcPr>
            <w:tcW w:w="788"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1,519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7" w:type="dxa"/>
            <w:tcBorders/>
            <w:shd w:fill="FFFFFF" w:val="clear"/>
            <w:vAlign w:val="center"/>
          </w:tcPr>
          <w:p>
            <w:pPr>
              <w:pStyle w:val="TableContents"/>
              <w:bidi w:val="0"/>
              <w:spacing w:before="0" w:after="283"/>
              <w:jc w:val="left"/>
              <w:rPr/>
            </w:pPr>
            <w:r>
              <w:rPr/>
              <w:t> </w:t>
            </w:r>
          </w:p>
        </w:tc>
        <w:tc>
          <w:tcPr>
            <w:tcW w:w="897"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4,494</w:t>
            </w:r>
          </w:p>
        </w:tc>
        <w:tc>
          <w:tcPr>
            <w:tcW w:w="75" w:type="dxa"/>
            <w:tcBorders/>
            <w:shd w:fill="FFFFFF" w:val="clear"/>
            <w:vAlign w:val="center"/>
          </w:tcPr>
          <w:p>
            <w:pPr>
              <w:pStyle w:val="TableContents"/>
              <w:bidi w:val="0"/>
              <w:spacing w:before="0" w:after="283"/>
              <w:jc w:val="left"/>
              <w:rPr/>
            </w:pPr>
            <w:r>
              <w:rPr/>
              <w:t> </w:t>
            </w:r>
          </w:p>
        </w:tc>
      </w:tr>
      <w:tr>
        <w:trPr/>
        <w:tc>
          <w:tcPr>
            <w:tcW w:w="425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November 2025 Note – related party</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1" w:type="dxa"/>
            <w:tcBorders/>
            <w:shd w:fill="CCEEFF" w:val="clear"/>
            <w:vAlign w:val="center"/>
          </w:tcPr>
          <w:p>
            <w:pPr>
              <w:pStyle w:val="TableContents"/>
              <w:bidi w:val="0"/>
              <w:spacing w:before="0" w:after="283"/>
              <w:jc w:val="left"/>
              <w:rPr/>
            </w:pPr>
            <w:r>
              <w:rPr/>
              <w:t> </w:t>
            </w:r>
          </w:p>
        </w:tc>
        <w:tc>
          <w:tcPr>
            <w:tcW w:w="1144"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(1,483</w:t>
            </w:r>
          </w:p>
        </w:tc>
        <w:tc>
          <w:tcPr>
            <w:tcW w:w="9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162" w:type="dxa"/>
            <w:tcBorders/>
            <w:shd w:fill="CCEEFF" w:val="clear"/>
            <w:vAlign w:val="center"/>
          </w:tcPr>
          <w:p>
            <w:pPr>
              <w:pStyle w:val="TableContents"/>
              <w:bidi w:val="0"/>
              <w:spacing w:before="0" w:after="283"/>
              <w:jc w:val="left"/>
              <w:rPr/>
            </w:pPr>
            <w:r>
              <w:rPr/>
              <w:t> </w:t>
            </w:r>
          </w:p>
        </w:tc>
        <w:tc>
          <w:tcPr>
            <w:tcW w:w="788"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517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7" w:type="dxa"/>
            <w:tcBorders/>
            <w:shd w:fill="CCEEFF" w:val="clear"/>
            <w:vAlign w:val="center"/>
          </w:tcPr>
          <w:p>
            <w:pPr>
              <w:pStyle w:val="TableContents"/>
              <w:bidi w:val="0"/>
              <w:spacing w:before="0" w:after="283"/>
              <w:jc w:val="left"/>
              <w:rPr/>
            </w:pPr>
            <w:r>
              <w:rPr/>
              <w:t> </w:t>
            </w:r>
          </w:p>
        </w:tc>
        <w:tc>
          <w:tcPr>
            <w:tcW w:w="897"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1,971</w:t>
            </w:r>
          </w:p>
        </w:tc>
        <w:tc>
          <w:tcPr>
            <w:tcW w:w="75" w:type="dxa"/>
            <w:tcBorders/>
            <w:shd w:fill="CCEEFF" w:val="clear"/>
            <w:vAlign w:val="center"/>
          </w:tcPr>
          <w:p>
            <w:pPr>
              <w:pStyle w:val="TableContents"/>
              <w:bidi w:val="0"/>
              <w:spacing w:before="0" w:after="283"/>
              <w:jc w:val="left"/>
              <w:rPr/>
            </w:pPr>
            <w:r>
              <w:rPr/>
              <w:t> </w:t>
            </w:r>
          </w:p>
        </w:tc>
      </w:tr>
      <w:tr>
        <w:trPr/>
        <w:tc>
          <w:tcPr>
            <w:tcW w:w="4250" w:type="dxa"/>
            <w:tcBorders/>
            <w:shd w:fill="FFFFFF" w:val="cle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January 2026 Note – related party</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3,300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1144"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(2,262</w:t>
            </w:r>
          </w:p>
        </w:tc>
        <w:tc>
          <w:tcPr>
            <w:tcW w:w="9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162" w:type="dxa"/>
            <w:tcBorders/>
            <w:shd w:fill="FFFFFF" w:val="clear"/>
            <w:vAlign w:val="center"/>
          </w:tcPr>
          <w:p>
            <w:pPr>
              <w:pStyle w:val="TableContents"/>
              <w:bidi w:val="0"/>
              <w:spacing w:before="0" w:after="283"/>
              <w:jc w:val="left"/>
              <w:rPr/>
            </w:pPr>
            <w:r>
              <w:rPr/>
              <w:t> </w:t>
            </w:r>
          </w:p>
        </w:tc>
        <w:tc>
          <w:tcPr>
            <w:tcW w:w="788"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1,038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7" w:type="dxa"/>
            <w:tcBorders/>
            <w:shd w:fill="FFFFFF" w:val="clear"/>
            <w:vAlign w:val="center"/>
          </w:tcPr>
          <w:p>
            <w:pPr>
              <w:pStyle w:val="TableContents"/>
              <w:bidi w:val="0"/>
              <w:spacing w:before="0" w:after="283"/>
              <w:jc w:val="left"/>
              <w:rPr/>
            </w:pPr>
            <w:r>
              <w:rPr/>
              <w:t> </w:t>
            </w:r>
          </w:p>
        </w:tc>
        <w:tc>
          <w:tcPr>
            <w:tcW w:w="897"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2,955</w:t>
            </w:r>
          </w:p>
        </w:tc>
        <w:tc>
          <w:tcPr>
            <w:tcW w:w="75" w:type="dxa"/>
            <w:tcBorders/>
            <w:shd w:fill="FFFFFF" w:val="clear"/>
            <w:vAlign w:val="center"/>
          </w:tcPr>
          <w:p>
            <w:pPr>
              <w:pStyle w:val="TableContents"/>
              <w:bidi w:val="0"/>
              <w:spacing w:before="0" w:after="283"/>
              <w:jc w:val="left"/>
              <w:rPr/>
            </w:pPr>
            <w:r>
              <w:rPr/>
              <w:t> </w:t>
            </w:r>
          </w:p>
        </w:tc>
      </w:tr>
      <w:tr>
        <w:trPr/>
        <w:tc>
          <w:tcPr>
            <w:tcW w:w="4250" w:type="dxa"/>
            <w:tcBorders/>
            <w:shd w:fill="CCEEFF" w:val="clear"/>
            <w:vAlign w:val="center"/>
          </w:tcPr>
          <w:p>
            <w:pPr>
              <w:pStyle w:val="TableContents"/>
              <w:bidi w:val="0"/>
              <w:spacing w:before="0" w:after="283"/>
              <w:jc w:val="both"/>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1" w:type="dxa"/>
            <w:tcBorders/>
            <w:shd w:fill="CCEEFF" w:val="clear"/>
            <w:vAlign w:val="center"/>
          </w:tcPr>
          <w:p>
            <w:pPr>
              <w:pStyle w:val="TableContents"/>
              <w:bidi w:val="0"/>
              <w:spacing w:before="0" w:after="283"/>
              <w:jc w:val="left"/>
              <w:rPr/>
            </w:pPr>
            <w:r>
              <w:rPr/>
              <w:t> </w:t>
            </w:r>
          </w:p>
        </w:tc>
        <w:tc>
          <w:tcPr>
            <w:tcW w:w="1144"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2" w:type="dxa"/>
            <w:tcBorders/>
            <w:shd w:fill="CCEEFF" w:val="clear"/>
            <w:vAlign w:val="center"/>
          </w:tcPr>
          <w:p>
            <w:pPr>
              <w:pStyle w:val="TableContents"/>
              <w:bidi w:val="0"/>
              <w:spacing w:before="0" w:after="283"/>
              <w:jc w:val="left"/>
              <w:rPr/>
            </w:pPr>
            <w:r>
              <w:rPr/>
              <w:t> </w:t>
            </w:r>
          </w:p>
        </w:tc>
        <w:tc>
          <w:tcPr>
            <w:tcW w:w="788"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7" w:type="dxa"/>
            <w:tcBorders/>
            <w:shd w:fill="CCEEFF" w:val="clear"/>
            <w:vAlign w:val="center"/>
          </w:tcPr>
          <w:p>
            <w:pPr>
              <w:pStyle w:val="TableContents"/>
              <w:bidi w:val="0"/>
              <w:spacing w:before="0" w:after="283"/>
              <w:jc w:val="left"/>
              <w:rPr/>
            </w:pPr>
            <w:r>
              <w:rPr/>
              <w:t> </w:t>
            </w:r>
          </w:p>
        </w:tc>
        <w:tc>
          <w:tcPr>
            <w:tcW w:w="897"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4250" w:type="dxa"/>
            <w:tcBorders/>
            <w:shd w:fill="FFFF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7.0% senior unsecured convertible notes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1144"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2" w:type="dxa"/>
            <w:tcBorders/>
            <w:shd w:fill="FFFFFF" w:val="clear"/>
            <w:vAlign w:val="center"/>
          </w:tcPr>
          <w:p>
            <w:pPr>
              <w:pStyle w:val="TableContents"/>
              <w:bidi w:val="0"/>
              <w:spacing w:before="0" w:after="283"/>
              <w:jc w:val="left"/>
              <w:rPr/>
            </w:pPr>
            <w:r>
              <w:rPr/>
              <w:t> </w:t>
            </w:r>
          </w:p>
        </w:tc>
        <w:tc>
          <w:tcPr>
            <w:tcW w:w="788"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7" w:type="dxa"/>
            <w:tcBorders/>
            <w:shd w:fill="FFFFFF" w:val="clear"/>
            <w:vAlign w:val="center"/>
          </w:tcPr>
          <w:p>
            <w:pPr>
              <w:pStyle w:val="TableContents"/>
              <w:bidi w:val="0"/>
              <w:spacing w:before="0" w:after="283"/>
              <w:jc w:val="left"/>
              <w:rPr/>
            </w:pPr>
            <w:r>
              <w:rPr/>
              <w:t> </w:t>
            </w:r>
          </w:p>
        </w:tc>
        <w:tc>
          <w:tcPr>
            <w:tcW w:w="897" w:type="dxa"/>
            <w:tcBorders/>
            <w:shd w:fill="FFFFFF" w:val="clear"/>
            <w:vAlign w:val="center"/>
          </w:tcPr>
          <w:p>
            <w:pPr>
              <w:pStyle w:val="TableContents"/>
              <w:bidi w:val="0"/>
              <w:spacing w:before="0" w:after="283"/>
              <w:jc w:val="right"/>
              <w:rPr/>
            </w:pPr>
            <w:r>
              <w:rPr/>
              <w:t> </w:t>
            </w:r>
          </w:p>
        </w:tc>
        <w:tc>
          <w:tcPr>
            <w:tcW w:w="75" w:type="dxa"/>
            <w:tcBorders/>
            <w:shd w:fill="FFFFFF" w:val="clear"/>
            <w:vAlign w:val="center"/>
          </w:tcPr>
          <w:p>
            <w:pPr>
              <w:pStyle w:val="TableContents"/>
              <w:bidi w:val="0"/>
              <w:spacing w:before="0" w:after="283"/>
              <w:jc w:val="left"/>
              <w:rPr/>
            </w:pPr>
            <w:r>
              <w:rPr/>
              <w:t> </w:t>
            </w:r>
          </w:p>
        </w:tc>
      </w:tr>
      <w:tr>
        <w:trPr/>
        <w:tc>
          <w:tcPr>
            <w:tcW w:w="4250" w:type="dxa"/>
            <w:tcBorders/>
            <w:shd w:fill="CCEEFF" w:val="cle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September 2024 Notes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53,793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1" w:type="dxa"/>
            <w:tcBorders/>
            <w:shd w:fill="CCEEFF" w:val="clear"/>
            <w:vAlign w:val="center"/>
          </w:tcPr>
          <w:p>
            <w:pPr>
              <w:pStyle w:val="TableContents"/>
              <w:bidi w:val="0"/>
              <w:spacing w:before="0" w:after="283"/>
              <w:jc w:val="left"/>
              <w:rPr/>
            </w:pPr>
            <w:r>
              <w:rPr/>
              <w:t> </w:t>
            </w:r>
          </w:p>
        </w:tc>
        <w:tc>
          <w:tcPr>
            <w:tcW w:w="1144"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(37,851</w:t>
            </w:r>
          </w:p>
        </w:tc>
        <w:tc>
          <w:tcPr>
            <w:tcW w:w="9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162" w:type="dxa"/>
            <w:tcBorders/>
            <w:shd w:fill="CCEEFF" w:val="clear"/>
            <w:vAlign w:val="center"/>
          </w:tcPr>
          <w:p>
            <w:pPr>
              <w:pStyle w:val="TableContents"/>
              <w:bidi w:val="0"/>
              <w:spacing w:before="0" w:after="283"/>
              <w:jc w:val="left"/>
              <w:rPr/>
            </w:pPr>
            <w:r>
              <w:rPr/>
              <w:t> </w:t>
            </w:r>
          </w:p>
        </w:tc>
        <w:tc>
          <w:tcPr>
            <w:tcW w:w="788"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15,942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7" w:type="dxa"/>
            <w:tcBorders/>
            <w:shd w:fill="CCEEFF" w:val="clear"/>
            <w:vAlign w:val="center"/>
          </w:tcPr>
          <w:p>
            <w:pPr>
              <w:pStyle w:val="TableContents"/>
              <w:bidi w:val="0"/>
              <w:spacing w:before="0" w:after="283"/>
              <w:jc w:val="left"/>
              <w:rPr/>
            </w:pPr>
            <w:r>
              <w:rPr/>
              <w:t> </w:t>
            </w:r>
          </w:p>
        </w:tc>
        <w:tc>
          <w:tcPr>
            <w:tcW w:w="897"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45,830</w:t>
            </w:r>
          </w:p>
        </w:tc>
        <w:tc>
          <w:tcPr>
            <w:tcW w:w="75" w:type="dxa"/>
            <w:tcBorders/>
            <w:shd w:fill="CCEEFF" w:val="clear"/>
            <w:vAlign w:val="center"/>
          </w:tcPr>
          <w:p>
            <w:pPr>
              <w:pStyle w:val="TableContents"/>
              <w:bidi w:val="0"/>
              <w:spacing w:before="0" w:after="283"/>
              <w:jc w:val="left"/>
              <w:rPr/>
            </w:pPr>
            <w:r>
              <w:rPr/>
              <w:t> </w:t>
            </w:r>
          </w:p>
        </w:tc>
      </w:tr>
      <w:tr>
        <w:trPr/>
        <w:tc>
          <w:tcPr>
            <w:tcW w:w="425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September 2024 Notes – related parties</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800"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8,750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1"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44"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(5,946</w:t>
            </w:r>
          </w:p>
        </w:tc>
        <w:tc>
          <w:tcPr>
            <w:tcW w:w="9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162"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788"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2,804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7"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897"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7,461</w:t>
            </w:r>
          </w:p>
        </w:tc>
        <w:tc>
          <w:tcPr>
            <w:tcW w:w="75" w:type="dxa"/>
            <w:tcBorders/>
            <w:shd w:fill="FFFFFF" w:val="clear"/>
            <w:vAlign w:val="center"/>
          </w:tcPr>
          <w:p>
            <w:pPr>
              <w:pStyle w:val="TableContents"/>
              <w:bidi w:val="0"/>
              <w:spacing w:before="0" w:after="283"/>
              <w:jc w:val="left"/>
              <w:rPr/>
            </w:pPr>
            <w:r>
              <w:rPr/>
              <w:t> </w:t>
            </w:r>
          </w:p>
        </w:tc>
      </w:tr>
      <w:tr>
        <w:trPr/>
        <w:tc>
          <w:tcPr>
            <w:tcW w:w="425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Subtotal September 2024 Notes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00"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62,543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1"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44"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(43,797</w:t>
            </w:r>
          </w:p>
        </w:tc>
        <w:tc>
          <w:tcPr>
            <w:tcW w:w="9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162"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788"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18,746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7"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97"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53,291</w:t>
            </w:r>
          </w:p>
        </w:tc>
        <w:tc>
          <w:tcPr>
            <w:tcW w:w="75" w:type="dxa"/>
            <w:tcBorders/>
            <w:shd w:fill="CCEEFF" w:val="clear"/>
            <w:vAlign w:val="center"/>
          </w:tcPr>
          <w:p>
            <w:pPr>
              <w:pStyle w:val="TableContents"/>
              <w:bidi w:val="0"/>
              <w:spacing w:before="0" w:after="283"/>
              <w:jc w:val="left"/>
              <w:rPr/>
            </w:pPr>
            <w:r>
              <w:rPr/>
              <w:t> </w:t>
            </w:r>
          </w:p>
        </w:tc>
      </w:tr>
      <w:tr>
        <w:trPr/>
        <w:tc>
          <w:tcPr>
            <w:tcW w:w="4250" w:type="dxa"/>
            <w:tcBorders/>
            <w:shd w:fill="FFFFFF" w:val="cle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September 2025 Notes</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800"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22,000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1"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44"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(18,425</w:t>
            </w:r>
          </w:p>
        </w:tc>
        <w:tc>
          <w:tcPr>
            <w:tcW w:w="9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162"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788"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3,575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7"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897"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18,793</w:t>
            </w:r>
          </w:p>
        </w:tc>
        <w:tc>
          <w:tcPr>
            <w:tcW w:w="75" w:type="dxa"/>
            <w:tcBorders/>
            <w:shd w:fill="FFFFFF" w:val="clear"/>
            <w:vAlign w:val="center"/>
          </w:tcPr>
          <w:p>
            <w:pPr>
              <w:pStyle w:val="TableContents"/>
              <w:bidi w:val="0"/>
              <w:spacing w:before="0" w:after="283"/>
              <w:jc w:val="left"/>
              <w:rPr/>
            </w:pPr>
            <w:r>
              <w:rPr/>
              <w:t> </w:t>
            </w:r>
          </w:p>
        </w:tc>
      </w:tr>
      <w:tr>
        <w:trPr/>
        <w:tc>
          <w:tcPr>
            <w:tcW w:w="4250" w:type="dxa"/>
            <w:tcBorders/>
            <w:shd w:fill="CCEEFF" w:val="cle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Total</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10"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800" w:type="dxa"/>
            <w:tcBorders>
              <w:bottom w:val="double" w:sz="10"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140,816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1" w:type="dxa"/>
            <w:tcBorders>
              <w:bottom w:val="double" w:sz="10"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144" w:type="dxa"/>
            <w:tcBorders>
              <w:bottom w:val="double" w:sz="10"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(85,157</w:t>
            </w:r>
          </w:p>
        </w:tc>
        <w:tc>
          <w:tcPr>
            <w:tcW w:w="9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162" w:type="dxa"/>
            <w:tcBorders>
              <w:bottom w:val="double" w:sz="10"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788" w:type="dxa"/>
            <w:tcBorders>
              <w:bottom w:val="double" w:sz="10"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55,659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7" w:type="dxa"/>
            <w:tcBorders>
              <w:bottom w:val="double" w:sz="10"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897" w:type="dxa"/>
            <w:tcBorders>
              <w:bottom w:val="double" w:sz="10"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125,314</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sz w:val="20"/>
          <w:bdr w:val="single" w:sz="12" w:space="1" w:color="000000"/>
        </w:rPr>
      </w:pPr>
      <w:r>
        <w:rPr>
          <w:sz w:val="20"/>
          <w:bdr w:val="single" w:sz="12" w:space="1" w:color="000000"/>
        </w:rPr>
        <w:t>F-25</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tbl>
      <w:tblPr>
        <w:tblW w:w="9079" w:type="dxa"/>
        <w:jc w:val="left"/>
        <w:tblInd w:w="0" w:type="dxa"/>
        <w:tblLayout w:type="fixed"/>
        <w:tblCellMar>
          <w:top w:w="0" w:type="dxa"/>
          <w:left w:w="0" w:type="dxa"/>
          <w:bottom w:w="0" w:type="dxa"/>
          <w:right w:w="0" w:type="dxa"/>
        </w:tblCellMar>
      </w:tblPr>
      <w:tblGrid>
        <w:gridCol w:w="4250"/>
        <w:gridCol w:w="60"/>
        <w:gridCol w:w="140"/>
        <w:gridCol w:w="800"/>
        <w:gridCol w:w="60"/>
        <w:gridCol w:w="60"/>
        <w:gridCol w:w="211"/>
        <w:gridCol w:w="1144"/>
        <w:gridCol w:w="95"/>
        <w:gridCol w:w="60"/>
        <w:gridCol w:w="162"/>
        <w:gridCol w:w="788"/>
        <w:gridCol w:w="60"/>
        <w:gridCol w:w="60"/>
        <w:gridCol w:w="157"/>
        <w:gridCol w:w="897"/>
        <w:gridCol w:w="75"/>
      </w:tblGrid>
      <w:tr>
        <w:trPr/>
        <w:tc>
          <w:tcPr>
            <w:tcW w:w="425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694" w:type="dxa"/>
            <w:gridSpan w:val="14"/>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As of December 28, 2025</w:t>
            </w:r>
          </w:p>
        </w:tc>
        <w:tc>
          <w:tcPr>
            <w:tcW w:w="75" w:type="dxa"/>
            <w:tcBorders/>
            <w:vAlign w:val="center"/>
          </w:tcPr>
          <w:p>
            <w:pPr>
              <w:pStyle w:val="TableContents"/>
              <w:bidi w:val="0"/>
              <w:spacing w:before="0" w:after="283"/>
              <w:jc w:val="left"/>
              <w:rPr/>
            </w:pPr>
            <w:r>
              <w:rPr/>
              <w:t> </w:t>
            </w:r>
          </w:p>
        </w:tc>
      </w:tr>
      <w:tr>
        <w:trPr/>
        <w:tc>
          <w:tcPr>
            <w:tcW w:w="4250"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p>
        </w:tc>
        <w:tc>
          <w:tcPr>
            <w:tcW w:w="940"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Principal</w:t>
              <w:br/>
              <w:t xml:space="preserve">amount </w:t>
            </w:r>
            <w:r>
              <w:rPr>
                <w:rFonts w:ascii="Times New Roman;Times;Serif" w:hAnsi="Times New Roman;Times;Serif"/>
                <w:b/>
                <w:position w:val="7"/>
                <w:sz w:val="16"/>
                <w:sz w:val="20"/>
              </w:rPr>
              <w:t>(1)</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55"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Unamortized</w:t>
              <w:br/>
              <w:t>debt</w:t>
              <w:br/>
              <w:t>discount</w:t>
              <w:br/>
              <w:t>and debt</w:t>
              <w:br/>
              <w:t>issuance</w:t>
              <w:br/>
              <w:t>costs</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50"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Net</w:t>
              <w:br/>
              <w:t>carrying</w:t>
              <w:br/>
              <w:t>amount</w:t>
              <w:br/>
              <w:t>excluding</w:t>
              <w:br/>
              <w:t>capitalized</w:t>
              <w:br/>
              <w:t xml:space="preserve">interest </w:t>
            </w:r>
            <w:r>
              <w:rPr>
                <w:rFonts w:ascii="Times New Roman;Times;Serif" w:hAnsi="Times New Roman;Times;Serif"/>
                <w:b/>
                <w:position w:val="7"/>
                <w:sz w:val="16"/>
                <w:sz w:val="20"/>
              </w:rPr>
              <w:t>(1)</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54"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Fair value</w:t>
            </w:r>
          </w:p>
        </w:tc>
        <w:tc>
          <w:tcPr>
            <w:tcW w:w="75" w:type="dxa"/>
            <w:tcBorders/>
            <w:vAlign w:val="center"/>
          </w:tcPr>
          <w:p>
            <w:pPr>
              <w:pStyle w:val="TableContents"/>
              <w:bidi w:val="0"/>
              <w:spacing w:before="0" w:after="283"/>
              <w:jc w:val="left"/>
              <w:rPr/>
            </w:pPr>
            <w:r>
              <w:rPr/>
              <w:t> </w:t>
            </w:r>
          </w:p>
        </w:tc>
      </w:tr>
      <w:tr>
        <w:trPr/>
        <w:tc>
          <w:tcPr>
            <w:tcW w:w="4250" w:type="dxa"/>
            <w:tcBorders/>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12.0% senior unsecured convertible notes</w:t>
            </w:r>
          </w:p>
        </w:tc>
        <w:tc>
          <w:tcPr>
            <w:tcW w:w="60" w:type="dxa"/>
            <w:tcBorders/>
            <w:vAlign w:val="center"/>
          </w:tcPr>
          <w:p>
            <w:pPr>
              <w:pStyle w:val="TableContents"/>
              <w:bidi w:val="0"/>
              <w:spacing w:before="0" w:after="283"/>
              <w:jc w:val="left"/>
              <w:rPr/>
            </w:pPr>
            <w:r>
              <w:rPr/>
              <w:t> </w:t>
            </w:r>
          </w:p>
        </w:tc>
        <w:tc>
          <w:tcPr>
            <w:tcW w:w="940"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55" w:type="dxa"/>
            <w:gridSpan w:val="2"/>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50"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54" w:type="dxa"/>
            <w:gridSpan w:val="2"/>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4250" w:type="dxa"/>
            <w:tcBorders/>
            <w:shd w:fill="CCEEFF" w:val="cle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July 2024 Notes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80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27,973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1"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144"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(5,832</w:t>
            </w:r>
          </w:p>
        </w:tc>
        <w:tc>
          <w:tcPr>
            <w:tcW w:w="9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162"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788"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22,141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7"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897"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33,165</w:t>
            </w:r>
          </w:p>
        </w:tc>
        <w:tc>
          <w:tcPr>
            <w:tcW w:w="75" w:type="dxa"/>
            <w:tcBorders/>
            <w:shd w:fill="CCEEFF" w:val="clear"/>
            <w:vAlign w:val="center"/>
          </w:tcPr>
          <w:p>
            <w:pPr>
              <w:pStyle w:val="TableContents"/>
              <w:bidi w:val="0"/>
              <w:spacing w:before="0" w:after="283"/>
              <w:jc w:val="left"/>
              <w:rPr/>
            </w:pPr>
            <w:r>
              <w:rPr/>
              <w:t> </w:t>
            </w:r>
          </w:p>
        </w:tc>
      </w:tr>
      <w:tr>
        <w:trPr/>
        <w:tc>
          <w:tcPr>
            <w:tcW w:w="425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July 2024 Notes – related parties</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800"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18,000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1"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44"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(10,369</w:t>
            </w:r>
          </w:p>
        </w:tc>
        <w:tc>
          <w:tcPr>
            <w:tcW w:w="9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162"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788"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7,631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7"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897"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21,204</w:t>
            </w:r>
          </w:p>
        </w:tc>
        <w:tc>
          <w:tcPr>
            <w:tcW w:w="75" w:type="dxa"/>
            <w:tcBorders/>
            <w:shd w:fill="FFFFFF" w:val="clear"/>
            <w:vAlign w:val="center"/>
          </w:tcPr>
          <w:p>
            <w:pPr>
              <w:pStyle w:val="TableContents"/>
              <w:bidi w:val="0"/>
              <w:spacing w:before="0" w:after="283"/>
              <w:jc w:val="left"/>
              <w:rPr/>
            </w:pPr>
            <w:r>
              <w:rPr/>
              <w:t> </w:t>
            </w:r>
          </w:p>
        </w:tc>
      </w:tr>
      <w:tr>
        <w:trPr/>
        <w:tc>
          <w:tcPr>
            <w:tcW w:w="4250" w:type="dxa"/>
            <w:tcBorders/>
            <w:shd w:fill="CCEEFF" w:val="cle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Subtotal July 2024 Notes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00"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45,973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1"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44"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(16,201</w:t>
            </w:r>
          </w:p>
        </w:tc>
        <w:tc>
          <w:tcPr>
            <w:tcW w:w="9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162"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788"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29,772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7"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97"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54,369</w:t>
            </w:r>
          </w:p>
        </w:tc>
        <w:tc>
          <w:tcPr>
            <w:tcW w:w="75" w:type="dxa"/>
            <w:tcBorders/>
            <w:shd w:fill="CCEEFF" w:val="clear"/>
            <w:vAlign w:val="center"/>
          </w:tcPr>
          <w:p>
            <w:pPr>
              <w:pStyle w:val="TableContents"/>
              <w:bidi w:val="0"/>
              <w:spacing w:before="0" w:after="283"/>
              <w:jc w:val="left"/>
              <w:rPr/>
            </w:pPr>
            <w:r>
              <w:rPr/>
              <w:t> </w:t>
            </w:r>
          </w:p>
        </w:tc>
      </w:tr>
      <w:tr>
        <w:trPr/>
        <w:tc>
          <w:tcPr>
            <w:tcW w:w="4250" w:type="dxa"/>
            <w:tcBorders/>
            <w:shd w:fill="FFFFFF" w:val="cle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July 2025 Note – related party</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5,000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1144"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(3,557</w:t>
            </w:r>
          </w:p>
        </w:tc>
        <w:tc>
          <w:tcPr>
            <w:tcW w:w="9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162" w:type="dxa"/>
            <w:tcBorders/>
            <w:shd w:fill="FFFFFF" w:val="clear"/>
            <w:vAlign w:val="center"/>
          </w:tcPr>
          <w:p>
            <w:pPr>
              <w:pStyle w:val="TableContents"/>
              <w:bidi w:val="0"/>
              <w:spacing w:before="0" w:after="283"/>
              <w:jc w:val="left"/>
              <w:rPr/>
            </w:pPr>
            <w:r>
              <w:rPr/>
              <w:t> </w:t>
            </w:r>
          </w:p>
        </w:tc>
        <w:tc>
          <w:tcPr>
            <w:tcW w:w="788"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1,443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7" w:type="dxa"/>
            <w:tcBorders/>
            <w:shd w:fill="FFFFFF" w:val="clear"/>
            <w:vAlign w:val="center"/>
          </w:tcPr>
          <w:p>
            <w:pPr>
              <w:pStyle w:val="TableContents"/>
              <w:bidi w:val="0"/>
              <w:spacing w:before="0" w:after="283"/>
              <w:jc w:val="left"/>
              <w:rPr/>
            </w:pPr>
            <w:r>
              <w:rPr/>
              <w:t> </w:t>
            </w:r>
          </w:p>
        </w:tc>
        <w:tc>
          <w:tcPr>
            <w:tcW w:w="897"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5,641</w:t>
            </w:r>
          </w:p>
        </w:tc>
        <w:tc>
          <w:tcPr>
            <w:tcW w:w="75" w:type="dxa"/>
            <w:tcBorders/>
            <w:shd w:fill="FFFFFF" w:val="clear"/>
            <w:vAlign w:val="center"/>
          </w:tcPr>
          <w:p>
            <w:pPr>
              <w:pStyle w:val="TableContents"/>
              <w:bidi w:val="0"/>
              <w:spacing w:before="0" w:after="283"/>
              <w:jc w:val="left"/>
              <w:rPr/>
            </w:pPr>
            <w:r>
              <w:rPr/>
              <w:t> </w:t>
            </w:r>
          </w:p>
        </w:tc>
      </w:tr>
      <w:tr>
        <w:trPr/>
        <w:tc>
          <w:tcPr>
            <w:tcW w:w="425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November 2025 Note – related party</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1" w:type="dxa"/>
            <w:tcBorders/>
            <w:shd w:fill="CCEEFF" w:val="clear"/>
            <w:vAlign w:val="center"/>
          </w:tcPr>
          <w:p>
            <w:pPr>
              <w:pStyle w:val="TableContents"/>
              <w:bidi w:val="0"/>
              <w:spacing w:before="0" w:after="283"/>
              <w:jc w:val="left"/>
              <w:rPr/>
            </w:pPr>
            <w:r>
              <w:rPr/>
              <w:t> </w:t>
            </w:r>
          </w:p>
        </w:tc>
        <w:tc>
          <w:tcPr>
            <w:tcW w:w="1144"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(1,509</w:t>
            </w:r>
          </w:p>
        </w:tc>
        <w:tc>
          <w:tcPr>
            <w:tcW w:w="9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162" w:type="dxa"/>
            <w:tcBorders/>
            <w:shd w:fill="CCEEFF" w:val="clear"/>
            <w:vAlign w:val="center"/>
          </w:tcPr>
          <w:p>
            <w:pPr>
              <w:pStyle w:val="TableContents"/>
              <w:bidi w:val="0"/>
              <w:spacing w:before="0" w:after="283"/>
              <w:jc w:val="left"/>
              <w:rPr/>
            </w:pPr>
            <w:r>
              <w:rPr/>
              <w:t> </w:t>
            </w:r>
          </w:p>
        </w:tc>
        <w:tc>
          <w:tcPr>
            <w:tcW w:w="788"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491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7" w:type="dxa"/>
            <w:tcBorders/>
            <w:shd w:fill="CCEEFF" w:val="clear"/>
            <w:vAlign w:val="center"/>
          </w:tcPr>
          <w:p>
            <w:pPr>
              <w:pStyle w:val="TableContents"/>
              <w:bidi w:val="0"/>
              <w:spacing w:before="0" w:after="283"/>
              <w:jc w:val="left"/>
              <w:rPr/>
            </w:pPr>
            <w:r>
              <w:rPr/>
              <w:t> </w:t>
            </w:r>
          </w:p>
        </w:tc>
        <w:tc>
          <w:tcPr>
            <w:tcW w:w="897"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2,360</w:t>
            </w:r>
          </w:p>
        </w:tc>
        <w:tc>
          <w:tcPr>
            <w:tcW w:w="75" w:type="dxa"/>
            <w:tcBorders/>
            <w:shd w:fill="CCEEFF" w:val="clear"/>
            <w:vAlign w:val="center"/>
          </w:tcPr>
          <w:p>
            <w:pPr>
              <w:pStyle w:val="TableContents"/>
              <w:bidi w:val="0"/>
              <w:spacing w:before="0" w:after="283"/>
              <w:jc w:val="left"/>
              <w:rPr/>
            </w:pPr>
            <w:r>
              <w:rPr/>
              <w:t> </w:t>
            </w:r>
          </w:p>
        </w:tc>
      </w:tr>
      <w:tr>
        <w:trPr/>
        <w:tc>
          <w:tcPr>
            <w:tcW w:w="4250" w:type="dxa"/>
            <w:tcBorders/>
            <w:shd w:fill="FFFFFF" w:val="clear"/>
            <w:vAlign w:val="center"/>
          </w:tcPr>
          <w:p>
            <w:pPr>
              <w:pStyle w:val="TableContents"/>
              <w:bidi w:val="0"/>
              <w:spacing w:before="0" w:after="283"/>
              <w:jc w:val="both"/>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1144"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2" w:type="dxa"/>
            <w:tcBorders/>
            <w:shd w:fill="FFFFFF" w:val="clear"/>
            <w:vAlign w:val="center"/>
          </w:tcPr>
          <w:p>
            <w:pPr>
              <w:pStyle w:val="TableContents"/>
              <w:bidi w:val="0"/>
              <w:spacing w:before="0" w:after="283"/>
              <w:jc w:val="left"/>
              <w:rPr/>
            </w:pPr>
            <w:r>
              <w:rPr/>
              <w:t> </w:t>
            </w:r>
          </w:p>
        </w:tc>
        <w:tc>
          <w:tcPr>
            <w:tcW w:w="788"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7" w:type="dxa"/>
            <w:tcBorders/>
            <w:shd w:fill="FFFFFF" w:val="clear"/>
            <w:vAlign w:val="center"/>
          </w:tcPr>
          <w:p>
            <w:pPr>
              <w:pStyle w:val="TableContents"/>
              <w:bidi w:val="0"/>
              <w:spacing w:before="0" w:after="283"/>
              <w:jc w:val="left"/>
              <w:rPr/>
            </w:pPr>
            <w:r>
              <w:rPr/>
              <w:t> </w:t>
            </w:r>
          </w:p>
        </w:tc>
        <w:tc>
          <w:tcPr>
            <w:tcW w:w="897" w:type="dxa"/>
            <w:tcBorders/>
            <w:shd w:fill="FFFFFF" w:val="clear"/>
            <w:vAlign w:val="center"/>
          </w:tcPr>
          <w:p>
            <w:pPr>
              <w:pStyle w:val="TableContents"/>
              <w:bidi w:val="0"/>
              <w:spacing w:before="0" w:after="283"/>
              <w:jc w:val="right"/>
              <w:rPr/>
            </w:pPr>
            <w:r>
              <w:rPr/>
              <w:t> </w:t>
            </w:r>
          </w:p>
        </w:tc>
        <w:tc>
          <w:tcPr>
            <w:tcW w:w="75" w:type="dxa"/>
            <w:tcBorders/>
            <w:shd w:fill="FFFFFF" w:val="clear"/>
            <w:vAlign w:val="center"/>
          </w:tcPr>
          <w:p>
            <w:pPr>
              <w:pStyle w:val="TableContents"/>
              <w:bidi w:val="0"/>
              <w:spacing w:before="0" w:after="283"/>
              <w:jc w:val="left"/>
              <w:rPr/>
            </w:pPr>
            <w:r>
              <w:rPr/>
              <w:t> </w:t>
            </w:r>
          </w:p>
        </w:tc>
      </w:tr>
      <w:tr>
        <w:trPr/>
        <w:tc>
          <w:tcPr>
            <w:tcW w:w="4250" w:type="dxa"/>
            <w:tcBorders/>
            <w:shd w:fill="CCEE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7.0% senior unsecured convertible notes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1" w:type="dxa"/>
            <w:tcBorders/>
            <w:shd w:fill="CCEEFF" w:val="clear"/>
            <w:vAlign w:val="center"/>
          </w:tcPr>
          <w:p>
            <w:pPr>
              <w:pStyle w:val="TableContents"/>
              <w:bidi w:val="0"/>
              <w:spacing w:before="0" w:after="283"/>
              <w:jc w:val="left"/>
              <w:rPr/>
            </w:pPr>
            <w:r>
              <w:rPr/>
              <w:t> </w:t>
            </w:r>
          </w:p>
        </w:tc>
        <w:tc>
          <w:tcPr>
            <w:tcW w:w="1144"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2" w:type="dxa"/>
            <w:tcBorders/>
            <w:shd w:fill="CCEEFF" w:val="clear"/>
            <w:vAlign w:val="center"/>
          </w:tcPr>
          <w:p>
            <w:pPr>
              <w:pStyle w:val="TableContents"/>
              <w:bidi w:val="0"/>
              <w:spacing w:before="0" w:after="283"/>
              <w:jc w:val="left"/>
              <w:rPr/>
            </w:pPr>
            <w:r>
              <w:rPr/>
              <w:t> </w:t>
            </w:r>
          </w:p>
        </w:tc>
        <w:tc>
          <w:tcPr>
            <w:tcW w:w="788"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7" w:type="dxa"/>
            <w:tcBorders/>
            <w:shd w:fill="CCEEFF" w:val="clear"/>
            <w:vAlign w:val="center"/>
          </w:tcPr>
          <w:p>
            <w:pPr>
              <w:pStyle w:val="TableContents"/>
              <w:bidi w:val="0"/>
              <w:spacing w:before="0" w:after="283"/>
              <w:jc w:val="left"/>
              <w:rPr/>
            </w:pPr>
            <w:r>
              <w:rPr/>
              <w:t> </w:t>
            </w:r>
          </w:p>
        </w:tc>
        <w:tc>
          <w:tcPr>
            <w:tcW w:w="897"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4250" w:type="dxa"/>
            <w:tcBorders/>
            <w:shd w:fill="FFFFFF" w:val="cle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September 2024 Notes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56,543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1144"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(42,211</w:t>
            </w:r>
          </w:p>
        </w:tc>
        <w:tc>
          <w:tcPr>
            <w:tcW w:w="9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162" w:type="dxa"/>
            <w:tcBorders/>
            <w:shd w:fill="FFFFFF" w:val="clear"/>
            <w:vAlign w:val="center"/>
          </w:tcPr>
          <w:p>
            <w:pPr>
              <w:pStyle w:val="TableContents"/>
              <w:bidi w:val="0"/>
              <w:spacing w:before="0" w:after="283"/>
              <w:jc w:val="left"/>
              <w:rPr/>
            </w:pPr>
            <w:r>
              <w:rPr/>
              <w:t> </w:t>
            </w:r>
          </w:p>
        </w:tc>
        <w:tc>
          <w:tcPr>
            <w:tcW w:w="788"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14,332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7" w:type="dxa"/>
            <w:tcBorders/>
            <w:shd w:fill="FFFFFF" w:val="clear"/>
            <w:vAlign w:val="center"/>
          </w:tcPr>
          <w:p>
            <w:pPr>
              <w:pStyle w:val="TableContents"/>
              <w:bidi w:val="0"/>
              <w:spacing w:before="0" w:after="283"/>
              <w:jc w:val="left"/>
              <w:rPr/>
            </w:pPr>
            <w:r>
              <w:rPr/>
              <w:t> </w:t>
            </w:r>
          </w:p>
        </w:tc>
        <w:tc>
          <w:tcPr>
            <w:tcW w:w="897"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59,425</w:t>
            </w:r>
          </w:p>
        </w:tc>
        <w:tc>
          <w:tcPr>
            <w:tcW w:w="75" w:type="dxa"/>
            <w:tcBorders/>
            <w:shd w:fill="FFFFFF" w:val="clear"/>
            <w:vAlign w:val="center"/>
          </w:tcPr>
          <w:p>
            <w:pPr>
              <w:pStyle w:val="TableContents"/>
              <w:bidi w:val="0"/>
              <w:spacing w:before="0" w:after="283"/>
              <w:jc w:val="left"/>
              <w:rPr/>
            </w:pPr>
            <w:r>
              <w:rPr/>
              <w:t> </w:t>
            </w:r>
          </w:p>
        </w:tc>
      </w:tr>
      <w:tr>
        <w:trPr/>
        <w:tc>
          <w:tcPr>
            <w:tcW w:w="425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September 2024 Notes – related parties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00"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8,750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1"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44"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(6,404</w:t>
            </w:r>
          </w:p>
        </w:tc>
        <w:tc>
          <w:tcPr>
            <w:tcW w:w="9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162"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788"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2,346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7"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97"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8,880</w:t>
            </w:r>
          </w:p>
        </w:tc>
        <w:tc>
          <w:tcPr>
            <w:tcW w:w="75" w:type="dxa"/>
            <w:tcBorders/>
            <w:shd w:fill="CCEEFF" w:val="clear"/>
            <w:vAlign w:val="center"/>
          </w:tcPr>
          <w:p>
            <w:pPr>
              <w:pStyle w:val="TableContents"/>
              <w:bidi w:val="0"/>
              <w:spacing w:before="0" w:after="283"/>
              <w:jc w:val="left"/>
              <w:rPr/>
            </w:pPr>
            <w:r>
              <w:rPr/>
              <w:t> </w:t>
            </w:r>
          </w:p>
        </w:tc>
      </w:tr>
      <w:tr>
        <w:trPr/>
        <w:tc>
          <w:tcPr>
            <w:tcW w:w="425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Subtotal September 2024 Notes</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800"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65,293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1"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44"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(48,615</w:t>
            </w:r>
          </w:p>
        </w:tc>
        <w:tc>
          <w:tcPr>
            <w:tcW w:w="9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162"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788"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16,678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7"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897"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68,305</w:t>
            </w:r>
          </w:p>
        </w:tc>
        <w:tc>
          <w:tcPr>
            <w:tcW w:w="75" w:type="dxa"/>
            <w:tcBorders/>
            <w:shd w:fill="FFFFFF" w:val="clear"/>
            <w:vAlign w:val="center"/>
          </w:tcPr>
          <w:p>
            <w:pPr>
              <w:pStyle w:val="TableContents"/>
              <w:bidi w:val="0"/>
              <w:spacing w:before="0" w:after="283"/>
              <w:jc w:val="left"/>
              <w:rPr/>
            </w:pPr>
            <w:r>
              <w:rPr/>
              <w:t> </w:t>
            </w:r>
          </w:p>
        </w:tc>
      </w:tr>
      <w:tr>
        <w:trPr/>
        <w:tc>
          <w:tcPr>
            <w:tcW w:w="4250" w:type="dxa"/>
            <w:tcBorders/>
            <w:shd w:fill="CCEEFF" w:val="cle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September 2025 Notes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00"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22,000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1"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44"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(18,646</w:t>
            </w:r>
          </w:p>
        </w:tc>
        <w:tc>
          <w:tcPr>
            <w:tcW w:w="9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162"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788"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3,354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7"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97"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24,227</w:t>
            </w:r>
          </w:p>
        </w:tc>
        <w:tc>
          <w:tcPr>
            <w:tcW w:w="75" w:type="dxa"/>
            <w:tcBorders/>
            <w:shd w:fill="CCEEFF" w:val="clear"/>
            <w:vAlign w:val="center"/>
          </w:tcPr>
          <w:p>
            <w:pPr>
              <w:pStyle w:val="TableContents"/>
              <w:bidi w:val="0"/>
              <w:spacing w:before="0" w:after="283"/>
              <w:jc w:val="left"/>
              <w:rPr/>
            </w:pPr>
            <w:r>
              <w:rPr/>
              <w:t> </w:t>
            </w:r>
          </w:p>
        </w:tc>
      </w:tr>
      <w:tr>
        <w:trPr/>
        <w:tc>
          <w:tcPr>
            <w:tcW w:w="4250" w:type="dxa"/>
            <w:tcBorders/>
            <w:shd w:fill="FFFFFF" w:val="cle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Total</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10"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800" w:type="dxa"/>
            <w:tcBorders>
              <w:bottom w:val="double" w:sz="10"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140,266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1" w:type="dxa"/>
            <w:tcBorders>
              <w:bottom w:val="double" w:sz="10"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144" w:type="dxa"/>
            <w:tcBorders>
              <w:bottom w:val="double" w:sz="10"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(88,528</w:t>
            </w:r>
          </w:p>
        </w:tc>
        <w:tc>
          <w:tcPr>
            <w:tcW w:w="9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162" w:type="dxa"/>
            <w:tcBorders>
              <w:bottom w:val="double" w:sz="10"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788" w:type="dxa"/>
            <w:tcBorders>
              <w:bottom w:val="double" w:sz="10"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51,738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7" w:type="dxa"/>
            <w:tcBorders>
              <w:bottom w:val="double" w:sz="10"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897" w:type="dxa"/>
            <w:tcBorders>
              <w:bottom w:val="double" w:sz="10"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154,902</w:t>
            </w:r>
          </w:p>
        </w:tc>
        <w:tc>
          <w:tcPr>
            <w:tcW w:w="75"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17"/>
        <w:gridCol w:w="9988"/>
      </w:tblGrid>
      <w:tr>
        <w:trPr/>
        <w:tc>
          <w:tcPr>
            <w:tcW w:w="217" w:type="dxa"/>
            <w:tcBorders/>
            <w:vAlign w:val="center"/>
          </w:tcPr>
          <w:p>
            <w:pPr>
              <w:pStyle w:val="TableContents"/>
              <w:bidi w:val="0"/>
              <w:spacing w:before="0" w:after="283"/>
              <w:jc w:val="left"/>
              <w:rPr>
                <w:rFonts w:ascii="Times New Roman;Times;Serif" w:hAnsi="Times New Roman;Times;Serif"/>
                <w:position w:val="7"/>
                <w:sz w:val="16"/>
                <w:sz w:val="20"/>
              </w:rPr>
            </w:pPr>
            <w:r>
              <w:rPr>
                <w:rFonts w:ascii="Times New Roman;Times;Serif" w:hAnsi="Times New Roman;Times;Serif"/>
                <w:position w:val="7"/>
                <w:sz w:val="16"/>
                <w:sz w:val="20"/>
              </w:rPr>
              <w:t>(1)</w:t>
            </w:r>
          </w:p>
        </w:tc>
        <w:tc>
          <w:tcPr>
            <w:tcW w:w="9988"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Excludes capitalized interest (coupon interest, default interest and failure to file interest) of $9.6 million and $10.8 million as of March 29, 2026, and December 28, 2025, respectively, included in the July 2024 Notes.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(6) Supplemental Balance Sheet Information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Prepaid Expenses and Other Current Assets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Prepaid expenses and other current assets consist of the following </w:t>
      </w:r>
      <w:r>
        <w:rPr>
          <w:rFonts w:ascii="Times New Roman;Times;Serif" w:hAnsi="Times New Roman;Times;Serif"/>
          <w:b w:val="false"/>
          <w:i/>
          <w:caps w:val="false"/>
          <w:smallCaps w:val="false"/>
          <w:sz w:val="20"/>
        </w:rPr>
        <w:t>(in thousands)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tbl>
      <w:tblPr>
        <w:tblW w:w="7333" w:type="dxa"/>
        <w:jc w:val="left"/>
        <w:tblInd w:w="0" w:type="dxa"/>
        <w:tblLayout w:type="fixed"/>
        <w:tblCellMar>
          <w:top w:w="0" w:type="dxa"/>
          <w:left w:w="0" w:type="dxa"/>
          <w:bottom w:w="0" w:type="dxa"/>
          <w:right w:w="0" w:type="dxa"/>
        </w:tblCellMar>
      </w:tblPr>
      <w:tblGrid>
        <w:gridCol w:w="4595"/>
        <w:gridCol w:w="60"/>
        <w:gridCol w:w="182"/>
        <w:gridCol w:w="887"/>
        <w:gridCol w:w="60"/>
        <w:gridCol w:w="60"/>
        <w:gridCol w:w="241"/>
        <w:gridCol w:w="1173"/>
        <w:gridCol w:w="75"/>
      </w:tblGrid>
      <w:tr>
        <w:trPr/>
        <w:tc>
          <w:tcPr>
            <w:tcW w:w="45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3" w:type="dxa"/>
            <w:gridSpan w:val="6"/>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As of</w:t>
            </w:r>
          </w:p>
        </w:tc>
        <w:tc>
          <w:tcPr>
            <w:tcW w:w="75" w:type="dxa"/>
            <w:tcBorders/>
            <w:vAlign w:val="center"/>
          </w:tcPr>
          <w:p>
            <w:pPr>
              <w:pStyle w:val="TableContents"/>
              <w:bidi w:val="0"/>
              <w:spacing w:before="0" w:after="283"/>
              <w:jc w:val="left"/>
              <w:rPr/>
            </w:pPr>
            <w:r>
              <w:rPr/>
              <w:t> </w:t>
            </w:r>
          </w:p>
        </w:tc>
      </w:tr>
      <w:tr>
        <w:trPr/>
        <w:tc>
          <w:tcPr>
            <w:tcW w:w="45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69" w:type="dxa"/>
            <w:gridSpan w:val="2"/>
            <w:tcBorders/>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March 29,</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14" w:type="dxa"/>
            <w:gridSpan w:val="2"/>
            <w:tcBorders/>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December 28,</w:t>
            </w:r>
          </w:p>
        </w:tc>
        <w:tc>
          <w:tcPr>
            <w:tcW w:w="75" w:type="dxa"/>
            <w:tcBorders/>
            <w:vAlign w:val="center"/>
          </w:tcPr>
          <w:p>
            <w:pPr>
              <w:pStyle w:val="TableContents"/>
              <w:bidi w:val="0"/>
              <w:spacing w:before="0" w:after="283"/>
              <w:jc w:val="left"/>
              <w:rPr/>
            </w:pPr>
            <w:r>
              <w:rPr/>
              <w:t> </w:t>
            </w:r>
          </w:p>
        </w:tc>
      </w:tr>
      <w:tr>
        <w:trPr/>
        <w:tc>
          <w:tcPr>
            <w:tcW w:w="45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69"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2026</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14"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2025</w:t>
            </w:r>
          </w:p>
        </w:tc>
        <w:tc>
          <w:tcPr>
            <w:tcW w:w="75" w:type="dxa"/>
            <w:tcBorders/>
            <w:vAlign w:val="center"/>
          </w:tcPr>
          <w:p>
            <w:pPr>
              <w:pStyle w:val="TableContents"/>
              <w:bidi w:val="0"/>
              <w:spacing w:before="0" w:after="283"/>
              <w:jc w:val="left"/>
              <w:rPr/>
            </w:pPr>
            <w:r>
              <w:rPr/>
              <w:t> </w:t>
            </w:r>
          </w:p>
        </w:tc>
      </w:tr>
      <w:tr>
        <w:trPr/>
        <w:tc>
          <w:tcPr>
            <w:tcW w:w="459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Costs to obtain contracts and costs to fulfill contracts </w:t>
            </w:r>
            <w:r>
              <w:rPr>
                <w:rFonts w:ascii="Times New Roman;Times;Serif" w:hAnsi="Times New Roman;Times;Serif"/>
                <w:position w:val="7"/>
                <w:sz w:val="16"/>
                <w:sz w:val="20"/>
              </w:rPr>
              <w:t>(1)</w:t>
            </w:r>
          </w:p>
        </w:tc>
        <w:tc>
          <w:tcPr>
            <w:tcW w:w="60" w:type="dxa"/>
            <w:tcBorders/>
            <w:shd w:fill="CCEEFF" w:val="clear"/>
            <w:vAlign w:val="center"/>
          </w:tcPr>
          <w:p>
            <w:pPr>
              <w:pStyle w:val="TableContents"/>
              <w:bidi w:val="0"/>
              <w:spacing w:before="0" w:after="283"/>
              <w:jc w:val="left"/>
              <w:rPr/>
            </w:pPr>
            <w:r>
              <w:rPr/>
              <w:t> </w:t>
            </w:r>
          </w:p>
        </w:tc>
        <w:tc>
          <w:tcPr>
            <w:tcW w:w="182"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887"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17,161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1"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173"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7,361</w:t>
            </w:r>
          </w:p>
        </w:tc>
        <w:tc>
          <w:tcPr>
            <w:tcW w:w="75" w:type="dxa"/>
            <w:tcBorders/>
            <w:shd w:fill="CCEEFF" w:val="clear"/>
            <w:vAlign w:val="center"/>
          </w:tcPr>
          <w:p>
            <w:pPr>
              <w:pStyle w:val="TableContents"/>
              <w:bidi w:val="0"/>
              <w:spacing w:before="0" w:after="283"/>
              <w:jc w:val="left"/>
              <w:rPr/>
            </w:pPr>
            <w:r>
              <w:rPr/>
              <w:t> </w:t>
            </w:r>
          </w:p>
        </w:tc>
      </w:tr>
      <w:tr>
        <w:trPr/>
        <w:tc>
          <w:tcPr>
            <w:tcW w:w="459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Other</w:t>
            </w:r>
          </w:p>
        </w:tc>
        <w:tc>
          <w:tcPr>
            <w:tcW w:w="60" w:type="dxa"/>
            <w:tcBorders/>
            <w:shd w:fill="FFFFFF" w:val="clear"/>
            <w:vAlign w:val="center"/>
          </w:tcPr>
          <w:p>
            <w:pPr>
              <w:pStyle w:val="TableContents"/>
              <w:bidi w:val="0"/>
              <w:spacing w:before="0" w:after="283"/>
              <w:jc w:val="left"/>
              <w:rPr/>
            </w:pPr>
            <w:r>
              <w:rPr/>
              <w:t> </w:t>
            </w:r>
          </w:p>
        </w:tc>
        <w:tc>
          <w:tcPr>
            <w:tcW w:w="182"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887"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10,691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41"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73"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9,552</w:t>
            </w:r>
          </w:p>
        </w:tc>
        <w:tc>
          <w:tcPr>
            <w:tcW w:w="75" w:type="dxa"/>
            <w:tcBorders/>
            <w:shd w:fill="FFFFFF" w:val="clear"/>
            <w:vAlign w:val="center"/>
          </w:tcPr>
          <w:p>
            <w:pPr>
              <w:pStyle w:val="TableContents"/>
              <w:bidi w:val="0"/>
              <w:spacing w:before="0" w:after="283"/>
              <w:jc w:val="left"/>
              <w:rPr/>
            </w:pPr>
            <w:r>
              <w:rPr/>
              <w:t> </w:t>
            </w:r>
          </w:p>
        </w:tc>
      </w:tr>
      <w:tr>
        <w:trPr/>
        <w:tc>
          <w:tcPr>
            <w:tcW w:w="459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Total prepaid expenses and other current assets</w:t>
            </w:r>
          </w:p>
        </w:tc>
        <w:tc>
          <w:tcPr>
            <w:tcW w:w="60" w:type="dxa"/>
            <w:tcBorders/>
            <w:shd w:fill="CCEEFF" w:val="clear"/>
            <w:vAlign w:val="center"/>
          </w:tcPr>
          <w:p>
            <w:pPr>
              <w:pStyle w:val="TableContents"/>
              <w:bidi w:val="0"/>
              <w:spacing w:before="0" w:after="283"/>
              <w:jc w:val="left"/>
              <w:rPr/>
            </w:pPr>
            <w:r>
              <w:rPr/>
              <w:t> </w:t>
            </w:r>
          </w:p>
        </w:tc>
        <w:tc>
          <w:tcPr>
            <w:tcW w:w="182" w:type="dxa"/>
            <w:tcBorders>
              <w:bottom w:val="double" w:sz="10"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887" w:type="dxa"/>
            <w:tcBorders>
              <w:bottom w:val="double" w:sz="10"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27,852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1" w:type="dxa"/>
            <w:tcBorders>
              <w:bottom w:val="double" w:sz="10"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173" w:type="dxa"/>
            <w:tcBorders>
              <w:bottom w:val="double" w:sz="10"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16,913</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23"/>
        <w:gridCol w:w="9982"/>
      </w:tblGrid>
      <w:tr>
        <w:trPr/>
        <w:tc>
          <w:tcPr>
            <w:tcW w:w="223" w:type="dxa"/>
            <w:tcBorders/>
            <w:vAlign w:val="center"/>
          </w:tcPr>
          <w:p>
            <w:pPr>
              <w:pStyle w:val="TableContents"/>
              <w:bidi w:val="0"/>
              <w:spacing w:before="0" w:after="283"/>
              <w:jc w:val="left"/>
              <w:rPr>
                <w:rFonts w:ascii="Times New Roman;Times;Serif" w:hAnsi="Times New Roman;Times;Serif"/>
                <w:position w:val="7"/>
                <w:sz w:val="16"/>
                <w:sz w:val="20"/>
              </w:rPr>
            </w:pPr>
            <w:r>
              <w:rPr>
                <w:rFonts w:ascii="Times New Roman;Times;Serif" w:hAnsi="Times New Roman;Times;Serif"/>
                <w:position w:val="7"/>
                <w:sz w:val="16"/>
                <w:sz w:val="20"/>
              </w:rPr>
              <w:t>(1)</w:t>
            </w:r>
          </w:p>
        </w:tc>
        <w:tc>
          <w:tcPr>
            <w:tcW w:w="9982"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Costs to obtain contracts and costs to fulfill contracts with customers are recognized within sales commissions and cost of revenues, respectively, when the related revenue is recognized.</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sz w:val="20"/>
          <w:bdr w:val="single" w:sz="12" w:space="1" w:color="000000"/>
        </w:rPr>
      </w:pPr>
      <w:r>
        <w:rPr>
          <w:sz w:val="20"/>
          <w:bdr w:val="single" w:sz="12" w:space="1" w:color="000000"/>
        </w:rPr>
        <w:t>F-26</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Accrued Expenses and Other Current Liabilities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Accrued expenses and other current liabilities consist of the following </w:t>
      </w:r>
      <w:r>
        <w:rPr>
          <w:rFonts w:ascii="Times New Roman;Times;Serif" w:hAnsi="Times New Roman;Times;Serif"/>
          <w:b w:val="false"/>
          <w:i/>
          <w:caps w:val="false"/>
          <w:smallCaps w:val="false"/>
          <w:sz w:val="20"/>
        </w:rPr>
        <w:t>(in thousands)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tbl>
      <w:tblPr>
        <w:tblW w:w="7543" w:type="dxa"/>
        <w:jc w:val="left"/>
        <w:tblInd w:w="0" w:type="dxa"/>
        <w:tblLayout w:type="fixed"/>
        <w:tblCellMar>
          <w:top w:w="0" w:type="dxa"/>
          <w:left w:w="0" w:type="dxa"/>
          <w:bottom w:w="0" w:type="dxa"/>
          <w:right w:w="0" w:type="dxa"/>
        </w:tblCellMar>
      </w:tblPr>
      <w:tblGrid>
        <w:gridCol w:w="4805"/>
        <w:gridCol w:w="60"/>
        <w:gridCol w:w="182"/>
        <w:gridCol w:w="887"/>
        <w:gridCol w:w="60"/>
        <w:gridCol w:w="60"/>
        <w:gridCol w:w="241"/>
        <w:gridCol w:w="1173"/>
        <w:gridCol w:w="75"/>
      </w:tblGrid>
      <w:tr>
        <w:trPr/>
        <w:tc>
          <w:tcPr>
            <w:tcW w:w="480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2603" w:type="dxa"/>
            <w:gridSpan w:val="6"/>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As of</w:t>
            </w:r>
          </w:p>
        </w:tc>
        <w:tc>
          <w:tcPr>
            <w:tcW w:w="75" w:type="dxa"/>
            <w:tcBorders/>
            <w:vAlign w:val="center"/>
          </w:tcPr>
          <w:p>
            <w:pPr>
              <w:pStyle w:val="TableContents"/>
              <w:bidi w:val="0"/>
              <w:spacing w:before="0" w:after="283"/>
              <w:jc w:val="left"/>
              <w:rPr/>
            </w:pPr>
            <w:r>
              <w:rPr/>
              <w:t> </w:t>
            </w:r>
          </w:p>
        </w:tc>
      </w:tr>
      <w:tr>
        <w:trPr/>
        <w:tc>
          <w:tcPr>
            <w:tcW w:w="480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069" w:type="dxa"/>
            <w:gridSpan w:val="2"/>
            <w:tcBorders/>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March 29,</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14" w:type="dxa"/>
            <w:gridSpan w:val="2"/>
            <w:tcBorders/>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December 28,</w:t>
            </w:r>
          </w:p>
        </w:tc>
        <w:tc>
          <w:tcPr>
            <w:tcW w:w="75" w:type="dxa"/>
            <w:tcBorders/>
            <w:vAlign w:val="center"/>
          </w:tcPr>
          <w:p>
            <w:pPr>
              <w:pStyle w:val="TableContents"/>
              <w:bidi w:val="0"/>
              <w:spacing w:before="0" w:after="283"/>
              <w:jc w:val="left"/>
              <w:rPr/>
            </w:pPr>
            <w:r>
              <w:rPr/>
              <w:t> </w:t>
            </w:r>
          </w:p>
        </w:tc>
      </w:tr>
      <w:tr>
        <w:trPr/>
        <w:tc>
          <w:tcPr>
            <w:tcW w:w="480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069"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2026</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14"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2025</w:t>
            </w:r>
          </w:p>
        </w:tc>
        <w:tc>
          <w:tcPr>
            <w:tcW w:w="75" w:type="dxa"/>
            <w:tcBorders/>
            <w:vAlign w:val="center"/>
          </w:tcPr>
          <w:p>
            <w:pPr>
              <w:pStyle w:val="TableContents"/>
              <w:bidi w:val="0"/>
              <w:spacing w:before="0" w:after="283"/>
              <w:jc w:val="left"/>
              <w:rPr/>
            </w:pPr>
            <w:r>
              <w:rPr/>
              <w:t> </w:t>
            </w:r>
          </w:p>
        </w:tc>
      </w:tr>
      <w:tr>
        <w:trPr/>
        <w:tc>
          <w:tcPr>
            <w:tcW w:w="480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Accrued compensation and benefits</w:t>
            </w:r>
          </w:p>
        </w:tc>
        <w:tc>
          <w:tcPr>
            <w:tcW w:w="60" w:type="dxa"/>
            <w:tcBorders/>
            <w:shd w:fill="CCEEFF" w:val="clear"/>
            <w:vAlign w:val="center"/>
          </w:tcPr>
          <w:p>
            <w:pPr>
              <w:pStyle w:val="TableContents"/>
              <w:bidi w:val="0"/>
              <w:spacing w:before="0" w:after="283"/>
              <w:jc w:val="left"/>
              <w:rPr/>
            </w:pPr>
            <w:r>
              <w:rPr/>
              <w:t> </w:t>
            </w:r>
          </w:p>
        </w:tc>
        <w:tc>
          <w:tcPr>
            <w:tcW w:w="182"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887"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14,746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1"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173"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7,202</w:t>
            </w:r>
          </w:p>
        </w:tc>
        <w:tc>
          <w:tcPr>
            <w:tcW w:w="75" w:type="dxa"/>
            <w:tcBorders/>
            <w:shd w:fill="CCEEFF" w:val="clear"/>
            <w:vAlign w:val="center"/>
          </w:tcPr>
          <w:p>
            <w:pPr>
              <w:pStyle w:val="TableContents"/>
              <w:bidi w:val="0"/>
              <w:spacing w:before="0" w:after="283"/>
              <w:jc w:val="left"/>
              <w:rPr/>
            </w:pPr>
            <w:r>
              <w:rPr/>
              <w:t> </w:t>
            </w:r>
          </w:p>
        </w:tc>
      </w:tr>
      <w:tr>
        <w:trPr/>
        <w:tc>
          <w:tcPr>
            <w:tcW w:w="480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Income taxes payable</w:t>
            </w:r>
          </w:p>
        </w:tc>
        <w:tc>
          <w:tcPr>
            <w:tcW w:w="60" w:type="dxa"/>
            <w:tcBorders/>
            <w:shd w:fill="FFFFFF" w:val="clear"/>
            <w:vAlign w:val="center"/>
          </w:tcPr>
          <w:p>
            <w:pPr>
              <w:pStyle w:val="TableContents"/>
              <w:bidi w:val="0"/>
              <w:spacing w:before="0" w:after="283"/>
              <w:jc w:val="left"/>
              <w:rPr/>
            </w:pPr>
            <w:r>
              <w:rPr/>
              <w:t> </w:t>
            </w:r>
          </w:p>
        </w:tc>
        <w:tc>
          <w:tcPr>
            <w:tcW w:w="182" w:type="dxa"/>
            <w:tcBorders/>
            <w:shd w:fill="FFFFFF" w:val="clear"/>
            <w:vAlign w:val="center"/>
          </w:tcPr>
          <w:p>
            <w:pPr>
              <w:pStyle w:val="TableContents"/>
              <w:bidi w:val="0"/>
              <w:spacing w:before="0" w:after="283"/>
              <w:jc w:val="left"/>
              <w:rPr/>
            </w:pPr>
            <w:r>
              <w:rPr/>
              <w:t> </w:t>
            </w:r>
          </w:p>
        </w:tc>
        <w:tc>
          <w:tcPr>
            <w:tcW w:w="887"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278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41" w:type="dxa"/>
            <w:tcBorders/>
            <w:shd w:fill="FFFFFF" w:val="clear"/>
            <w:vAlign w:val="center"/>
          </w:tcPr>
          <w:p>
            <w:pPr>
              <w:pStyle w:val="TableContents"/>
              <w:bidi w:val="0"/>
              <w:spacing w:before="0" w:after="283"/>
              <w:jc w:val="left"/>
              <w:rPr/>
            </w:pPr>
            <w:r>
              <w:rPr/>
              <w:t> </w:t>
            </w:r>
          </w:p>
        </w:tc>
        <w:tc>
          <w:tcPr>
            <w:tcW w:w="1173"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278</w:t>
            </w:r>
          </w:p>
        </w:tc>
        <w:tc>
          <w:tcPr>
            <w:tcW w:w="75" w:type="dxa"/>
            <w:tcBorders/>
            <w:shd w:fill="FFFFFF" w:val="clear"/>
            <w:vAlign w:val="center"/>
          </w:tcPr>
          <w:p>
            <w:pPr>
              <w:pStyle w:val="TableContents"/>
              <w:bidi w:val="0"/>
              <w:spacing w:before="0" w:after="283"/>
              <w:jc w:val="left"/>
              <w:rPr/>
            </w:pPr>
            <w:r>
              <w:rPr/>
              <w:t> </w:t>
            </w:r>
          </w:p>
        </w:tc>
      </w:tr>
      <w:tr>
        <w:trPr/>
        <w:tc>
          <w:tcPr>
            <w:tcW w:w="480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Professional fees</w:t>
            </w:r>
          </w:p>
        </w:tc>
        <w:tc>
          <w:tcPr>
            <w:tcW w:w="60" w:type="dxa"/>
            <w:tcBorders/>
            <w:shd w:fill="CCEEFF" w:val="clear"/>
            <w:vAlign w:val="center"/>
          </w:tcPr>
          <w:p>
            <w:pPr>
              <w:pStyle w:val="TableContents"/>
              <w:bidi w:val="0"/>
              <w:spacing w:before="0" w:after="283"/>
              <w:jc w:val="left"/>
              <w:rPr/>
            </w:pPr>
            <w:r>
              <w:rPr/>
              <w:t> </w:t>
            </w:r>
          </w:p>
        </w:tc>
        <w:tc>
          <w:tcPr>
            <w:tcW w:w="182" w:type="dxa"/>
            <w:tcBorders/>
            <w:shd w:fill="CCEEFF" w:val="clear"/>
            <w:vAlign w:val="center"/>
          </w:tcPr>
          <w:p>
            <w:pPr>
              <w:pStyle w:val="TableContents"/>
              <w:bidi w:val="0"/>
              <w:spacing w:before="0" w:after="283"/>
              <w:jc w:val="left"/>
              <w:rPr/>
            </w:pPr>
            <w:r>
              <w:rPr/>
              <w:t> </w:t>
            </w:r>
          </w:p>
        </w:tc>
        <w:tc>
          <w:tcPr>
            <w:tcW w:w="887"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70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1" w:type="dxa"/>
            <w:tcBorders/>
            <w:shd w:fill="CCEEFF" w:val="clear"/>
            <w:vAlign w:val="center"/>
          </w:tcPr>
          <w:p>
            <w:pPr>
              <w:pStyle w:val="TableContents"/>
              <w:bidi w:val="0"/>
              <w:spacing w:before="0" w:after="283"/>
              <w:jc w:val="left"/>
              <w:rPr/>
            </w:pPr>
            <w:r>
              <w:rPr/>
              <w:t> </w:t>
            </w:r>
          </w:p>
        </w:tc>
        <w:tc>
          <w:tcPr>
            <w:tcW w:w="1173"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70</w:t>
            </w:r>
          </w:p>
        </w:tc>
        <w:tc>
          <w:tcPr>
            <w:tcW w:w="75" w:type="dxa"/>
            <w:tcBorders/>
            <w:shd w:fill="CCEEFF" w:val="clear"/>
            <w:vAlign w:val="center"/>
          </w:tcPr>
          <w:p>
            <w:pPr>
              <w:pStyle w:val="TableContents"/>
              <w:bidi w:val="0"/>
              <w:spacing w:before="0" w:after="283"/>
              <w:jc w:val="left"/>
              <w:rPr/>
            </w:pPr>
            <w:r>
              <w:rPr/>
              <w:t> </w:t>
            </w:r>
          </w:p>
        </w:tc>
      </w:tr>
      <w:tr>
        <w:trPr/>
        <w:tc>
          <w:tcPr>
            <w:tcW w:w="480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Accrued legal settlements</w:t>
            </w:r>
          </w:p>
        </w:tc>
        <w:tc>
          <w:tcPr>
            <w:tcW w:w="60" w:type="dxa"/>
            <w:tcBorders/>
            <w:shd w:fill="FFFFFF" w:val="clear"/>
            <w:vAlign w:val="center"/>
          </w:tcPr>
          <w:p>
            <w:pPr>
              <w:pStyle w:val="TableContents"/>
              <w:bidi w:val="0"/>
              <w:spacing w:before="0" w:after="283"/>
              <w:jc w:val="left"/>
              <w:rPr/>
            </w:pPr>
            <w:r>
              <w:rPr/>
              <w:t> </w:t>
            </w:r>
          </w:p>
        </w:tc>
        <w:tc>
          <w:tcPr>
            <w:tcW w:w="182" w:type="dxa"/>
            <w:tcBorders/>
            <w:shd w:fill="FFFFFF" w:val="clear"/>
            <w:vAlign w:val="center"/>
          </w:tcPr>
          <w:p>
            <w:pPr>
              <w:pStyle w:val="TableContents"/>
              <w:bidi w:val="0"/>
              <w:spacing w:before="0" w:after="283"/>
              <w:jc w:val="left"/>
              <w:rPr/>
            </w:pPr>
            <w:r>
              <w:rPr/>
              <w:t> </w:t>
            </w:r>
          </w:p>
        </w:tc>
        <w:tc>
          <w:tcPr>
            <w:tcW w:w="887"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9,500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41" w:type="dxa"/>
            <w:tcBorders/>
            <w:shd w:fill="FFFFFF" w:val="clear"/>
            <w:vAlign w:val="center"/>
          </w:tcPr>
          <w:p>
            <w:pPr>
              <w:pStyle w:val="TableContents"/>
              <w:bidi w:val="0"/>
              <w:spacing w:before="0" w:after="283"/>
              <w:jc w:val="left"/>
              <w:rPr/>
            </w:pPr>
            <w:r>
              <w:rPr/>
              <w:t> </w:t>
            </w:r>
          </w:p>
        </w:tc>
        <w:tc>
          <w:tcPr>
            <w:tcW w:w="1173"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9,500</w:t>
            </w:r>
          </w:p>
        </w:tc>
        <w:tc>
          <w:tcPr>
            <w:tcW w:w="75" w:type="dxa"/>
            <w:tcBorders/>
            <w:shd w:fill="FFFFFF" w:val="clear"/>
            <w:vAlign w:val="center"/>
          </w:tcPr>
          <w:p>
            <w:pPr>
              <w:pStyle w:val="TableContents"/>
              <w:bidi w:val="0"/>
              <w:spacing w:before="0" w:after="283"/>
              <w:jc w:val="left"/>
              <w:rPr/>
            </w:pPr>
            <w:r>
              <w:rPr/>
              <w:t> </w:t>
            </w:r>
          </w:p>
        </w:tc>
      </w:tr>
      <w:tr>
        <w:trPr/>
        <w:tc>
          <w:tcPr>
            <w:tcW w:w="480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Accrued rebates and credits</w:t>
            </w:r>
          </w:p>
        </w:tc>
        <w:tc>
          <w:tcPr>
            <w:tcW w:w="60" w:type="dxa"/>
            <w:tcBorders/>
            <w:shd w:fill="CCEEFF" w:val="clear"/>
            <w:vAlign w:val="center"/>
          </w:tcPr>
          <w:p>
            <w:pPr>
              <w:pStyle w:val="TableContents"/>
              <w:bidi w:val="0"/>
              <w:spacing w:before="0" w:after="283"/>
              <w:jc w:val="left"/>
              <w:rPr/>
            </w:pPr>
            <w:r>
              <w:rPr/>
              <w:t> </w:t>
            </w:r>
          </w:p>
        </w:tc>
        <w:tc>
          <w:tcPr>
            <w:tcW w:w="182" w:type="dxa"/>
            <w:tcBorders/>
            <w:shd w:fill="CCEEFF" w:val="clear"/>
            <w:vAlign w:val="center"/>
          </w:tcPr>
          <w:p>
            <w:pPr>
              <w:pStyle w:val="TableContents"/>
              <w:bidi w:val="0"/>
              <w:spacing w:before="0" w:after="283"/>
              <w:jc w:val="left"/>
              <w:rPr/>
            </w:pPr>
            <w:r>
              <w:rPr/>
              <w:t> </w:t>
            </w:r>
          </w:p>
        </w:tc>
        <w:tc>
          <w:tcPr>
            <w:tcW w:w="887"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6,269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1" w:type="dxa"/>
            <w:tcBorders/>
            <w:shd w:fill="CCEEFF" w:val="clear"/>
            <w:vAlign w:val="center"/>
          </w:tcPr>
          <w:p>
            <w:pPr>
              <w:pStyle w:val="TableContents"/>
              <w:bidi w:val="0"/>
              <w:spacing w:before="0" w:after="283"/>
              <w:jc w:val="left"/>
              <w:rPr/>
            </w:pPr>
            <w:r>
              <w:rPr/>
              <w:t> </w:t>
            </w:r>
          </w:p>
        </w:tc>
        <w:tc>
          <w:tcPr>
            <w:tcW w:w="1173"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7,564</w:t>
            </w:r>
          </w:p>
        </w:tc>
        <w:tc>
          <w:tcPr>
            <w:tcW w:w="75" w:type="dxa"/>
            <w:tcBorders/>
            <w:shd w:fill="CCEEFF" w:val="clear"/>
            <w:vAlign w:val="center"/>
          </w:tcPr>
          <w:p>
            <w:pPr>
              <w:pStyle w:val="TableContents"/>
              <w:bidi w:val="0"/>
              <w:spacing w:before="0" w:after="283"/>
              <w:jc w:val="left"/>
              <w:rPr/>
            </w:pPr>
            <w:r>
              <w:rPr/>
              <w:t> </w:t>
            </w:r>
          </w:p>
        </w:tc>
      </w:tr>
      <w:tr>
        <w:trPr/>
        <w:tc>
          <w:tcPr>
            <w:tcW w:w="480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Deferred financing fees</w:t>
            </w:r>
          </w:p>
        </w:tc>
        <w:tc>
          <w:tcPr>
            <w:tcW w:w="60" w:type="dxa"/>
            <w:tcBorders/>
            <w:shd w:fill="FFFFFF" w:val="clear"/>
            <w:vAlign w:val="center"/>
          </w:tcPr>
          <w:p>
            <w:pPr>
              <w:pStyle w:val="TableContents"/>
              <w:bidi w:val="0"/>
              <w:spacing w:before="0" w:after="283"/>
              <w:jc w:val="left"/>
              <w:rPr/>
            </w:pPr>
            <w:r>
              <w:rPr/>
              <w:t> </w:t>
            </w:r>
          </w:p>
        </w:tc>
        <w:tc>
          <w:tcPr>
            <w:tcW w:w="182" w:type="dxa"/>
            <w:tcBorders/>
            <w:shd w:fill="FFFFFF" w:val="clear"/>
            <w:vAlign w:val="center"/>
          </w:tcPr>
          <w:p>
            <w:pPr>
              <w:pStyle w:val="TableContents"/>
              <w:bidi w:val="0"/>
              <w:spacing w:before="0" w:after="283"/>
              <w:jc w:val="left"/>
              <w:rPr/>
            </w:pPr>
            <w:r>
              <w:rPr/>
              <w:t> </w:t>
            </w:r>
          </w:p>
        </w:tc>
        <w:tc>
          <w:tcPr>
            <w:tcW w:w="887"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4,868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41" w:type="dxa"/>
            <w:tcBorders/>
            <w:shd w:fill="FFFFFF" w:val="clear"/>
            <w:vAlign w:val="center"/>
          </w:tcPr>
          <w:p>
            <w:pPr>
              <w:pStyle w:val="TableContents"/>
              <w:bidi w:val="0"/>
              <w:spacing w:before="0" w:after="283"/>
              <w:jc w:val="left"/>
              <w:rPr/>
            </w:pPr>
            <w:r>
              <w:rPr/>
              <w:t> </w:t>
            </w:r>
          </w:p>
        </w:tc>
        <w:tc>
          <w:tcPr>
            <w:tcW w:w="1173"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4,868</w:t>
            </w:r>
          </w:p>
        </w:tc>
        <w:tc>
          <w:tcPr>
            <w:tcW w:w="75" w:type="dxa"/>
            <w:tcBorders/>
            <w:shd w:fill="FFFFFF" w:val="clear"/>
            <w:vAlign w:val="center"/>
          </w:tcPr>
          <w:p>
            <w:pPr>
              <w:pStyle w:val="TableContents"/>
              <w:bidi w:val="0"/>
              <w:spacing w:before="0" w:after="283"/>
              <w:jc w:val="left"/>
              <w:rPr/>
            </w:pPr>
            <w:r>
              <w:rPr/>
              <w:t> </w:t>
            </w:r>
          </w:p>
        </w:tc>
      </w:tr>
      <w:tr>
        <w:trPr/>
        <w:tc>
          <w:tcPr>
            <w:tcW w:w="480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Investor financing deposits with related parties</w:t>
            </w:r>
          </w:p>
        </w:tc>
        <w:tc>
          <w:tcPr>
            <w:tcW w:w="60" w:type="dxa"/>
            <w:tcBorders/>
            <w:shd w:fill="CCEEFF" w:val="clear"/>
            <w:vAlign w:val="center"/>
          </w:tcPr>
          <w:p>
            <w:pPr>
              <w:pStyle w:val="TableContents"/>
              <w:bidi w:val="0"/>
              <w:spacing w:before="0" w:after="283"/>
              <w:jc w:val="left"/>
              <w:rPr/>
            </w:pPr>
            <w:r>
              <w:rPr/>
              <w:t> </w:t>
            </w:r>
          </w:p>
        </w:tc>
        <w:tc>
          <w:tcPr>
            <w:tcW w:w="182" w:type="dxa"/>
            <w:tcBorders/>
            <w:shd w:fill="CCEEFF" w:val="clear"/>
            <w:vAlign w:val="center"/>
          </w:tcPr>
          <w:p>
            <w:pPr>
              <w:pStyle w:val="TableContents"/>
              <w:bidi w:val="0"/>
              <w:spacing w:before="0" w:after="283"/>
              <w:jc w:val="left"/>
              <w:rPr/>
            </w:pPr>
            <w:r>
              <w:rPr/>
              <w:t> </w:t>
            </w:r>
          </w:p>
        </w:tc>
        <w:tc>
          <w:tcPr>
            <w:tcW w:w="887"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5,392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1" w:type="dxa"/>
            <w:tcBorders/>
            <w:shd w:fill="CCEEFF" w:val="clear"/>
            <w:vAlign w:val="center"/>
          </w:tcPr>
          <w:p>
            <w:pPr>
              <w:pStyle w:val="TableContents"/>
              <w:bidi w:val="0"/>
              <w:spacing w:before="0" w:after="283"/>
              <w:jc w:val="left"/>
              <w:rPr/>
            </w:pPr>
            <w:r>
              <w:rPr/>
              <w:t> </w:t>
            </w:r>
          </w:p>
        </w:tc>
        <w:tc>
          <w:tcPr>
            <w:tcW w:w="1173"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2,000</w:t>
            </w:r>
          </w:p>
        </w:tc>
        <w:tc>
          <w:tcPr>
            <w:tcW w:w="75" w:type="dxa"/>
            <w:tcBorders/>
            <w:shd w:fill="CCEEFF" w:val="clear"/>
            <w:vAlign w:val="center"/>
          </w:tcPr>
          <w:p>
            <w:pPr>
              <w:pStyle w:val="TableContents"/>
              <w:bidi w:val="0"/>
              <w:spacing w:before="0" w:after="283"/>
              <w:jc w:val="left"/>
              <w:rPr/>
            </w:pPr>
            <w:r>
              <w:rPr/>
              <w:t> </w:t>
            </w:r>
          </w:p>
        </w:tc>
      </w:tr>
      <w:tr>
        <w:trPr/>
        <w:tc>
          <w:tcPr>
            <w:tcW w:w="480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Accrued interest </w:t>
            </w:r>
            <w:r>
              <w:rPr>
                <w:rFonts w:ascii="Times New Roman;Times;Serif" w:hAnsi="Times New Roman;Times;Serif"/>
                <w:position w:val="7"/>
                <w:sz w:val="16"/>
                <w:sz w:val="20"/>
              </w:rPr>
              <w:t>(1)</w:t>
            </w:r>
          </w:p>
        </w:tc>
        <w:tc>
          <w:tcPr>
            <w:tcW w:w="60" w:type="dxa"/>
            <w:tcBorders/>
            <w:shd w:fill="FFFFFF" w:val="clear"/>
            <w:vAlign w:val="center"/>
          </w:tcPr>
          <w:p>
            <w:pPr>
              <w:pStyle w:val="TableContents"/>
              <w:bidi w:val="0"/>
              <w:spacing w:before="0" w:after="283"/>
              <w:jc w:val="left"/>
              <w:rPr/>
            </w:pPr>
            <w:r>
              <w:rPr/>
              <w:t> </w:t>
            </w:r>
          </w:p>
        </w:tc>
        <w:tc>
          <w:tcPr>
            <w:tcW w:w="182" w:type="dxa"/>
            <w:tcBorders/>
            <w:shd w:fill="FFFFFF" w:val="clear"/>
            <w:vAlign w:val="center"/>
          </w:tcPr>
          <w:p>
            <w:pPr>
              <w:pStyle w:val="TableContents"/>
              <w:bidi w:val="0"/>
              <w:spacing w:before="0" w:after="283"/>
              <w:jc w:val="left"/>
              <w:rPr/>
            </w:pPr>
            <w:r>
              <w:rPr/>
              <w:t> </w:t>
            </w:r>
          </w:p>
        </w:tc>
        <w:tc>
          <w:tcPr>
            <w:tcW w:w="887"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4,093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41" w:type="dxa"/>
            <w:tcBorders/>
            <w:shd w:fill="FFFFFF" w:val="clear"/>
            <w:vAlign w:val="center"/>
          </w:tcPr>
          <w:p>
            <w:pPr>
              <w:pStyle w:val="TableContents"/>
              <w:bidi w:val="0"/>
              <w:spacing w:before="0" w:after="283"/>
              <w:jc w:val="left"/>
              <w:rPr/>
            </w:pPr>
            <w:r>
              <w:rPr/>
              <w:t> </w:t>
            </w:r>
          </w:p>
        </w:tc>
        <w:tc>
          <w:tcPr>
            <w:tcW w:w="1173"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6,301</w:t>
            </w:r>
          </w:p>
        </w:tc>
        <w:tc>
          <w:tcPr>
            <w:tcW w:w="75" w:type="dxa"/>
            <w:tcBorders/>
            <w:shd w:fill="FFFFFF" w:val="clear"/>
            <w:vAlign w:val="center"/>
          </w:tcPr>
          <w:p>
            <w:pPr>
              <w:pStyle w:val="TableContents"/>
              <w:bidi w:val="0"/>
              <w:spacing w:before="0" w:after="283"/>
              <w:jc w:val="left"/>
              <w:rPr/>
            </w:pPr>
            <w:r>
              <w:rPr/>
              <w:t> </w:t>
            </w:r>
          </w:p>
        </w:tc>
      </w:tr>
      <w:tr>
        <w:trPr/>
        <w:tc>
          <w:tcPr>
            <w:tcW w:w="480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Other </w:t>
            </w:r>
          </w:p>
        </w:tc>
        <w:tc>
          <w:tcPr>
            <w:tcW w:w="60" w:type="dxa"/>
            <w:tcBorders/>
            <w:shd w:fill="CCEEFF" w:val="clear"/>
            <w:vAlign w:val="center"/>
          </w:tcPr>
          <w:p>
            <w:pPr>
              <w:pStyle w:val="TableContents"/>
              <w:bidi w:val="0"/>
              <w:spacing w:before="0" w:after="283"/>
              <w:jc w:val="left"/>
              <w:rPr/>
            </w:pPr>
            <w:r>
              <w:rPr/>
              <w:t> </w:t>
            </w:r>
          </w:p>
        </w:tc>
        <w:tc>
          <w:tcPr>
            <w:tcW w:w="182"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87"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24,790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1"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73"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19,194</w:t>
            </w:r>
          </w:p>
        </w:tc>
        <w:tc>
          <w:tcPr>
            <w:tcW w:w="75" w:type="dxa"/>
            <w:tcBorders/>
            <w:shd w:fill="CCEEFF" w:val="clear"/>
            <w:vAlign w:val="center"/>
          </w:tcPr>
          <w:p>
            <w:pPr>
              <w:pStyle w:val="TableContents"/>
              <w:bidi w:val="0"/>
              <w:spacing w:before="0" w:after="283"/>
              <w:jc w:val="left"/>
              <w:rPr/>
            </w:pPr>
            <w:r>
              <w:rPr/>
              <w:t> </w:t>
            </w:r>
          </w:p>
        </w:tc>
      </w:tr>
      <w:tr>
        <w:trPr/>
        <w:tc>
          <w:tcPr>
            <w:tcW w:w="480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Total accrued expenses and other current liabilities</w:t>
            </w:r>
          </w:p>
        </w:tc>
        <w:tc>
          <w:tcPr>
            <w:tcW w:w="60" w:type="dxa"/>
            <w:tcBorders/>
            <w:shd w:fill="FFFFFF" w:val="clear"/>
            <w:vAlign w:val="center"/>
          </w:tcPr>
          <w:p>
            <w:pPr>
              <w:pStyle w:val="TableContents"/>
              <w:bidi w:val="0"/>
              <w:spacing w:before="0" w:after="283"/>
              <w:jc w:val="left"/>
              <w:rPr/>
            </w:pPr>
            <w:r>
              <w:rPr/>
              <w:t> </w:t>
            </w:r>
          </w:p>
        </w:tc>
        <w:tc>
          <w:tcPr>
            <w:tcW w:w="182" w:type="dxa"/>
            <w:tcBorders>
              <w:bottom w:val="double" w:sz="10"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887" w:type="dxa"/>
            <w:tcBorders>
              <w:bottom w:val="double" w:sz="10"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70,006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41" w:type="dxa"/>
            <w:tcBorders>
              <w:bottom w:val="double" w:sz="10"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173" w:type="dxa"/>
            <w:tcBorders>
              <w:bottom w:val="double" w:sz="10"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56,977</w:t>
            </w:r>
          </w:p>
        </w:tc>
        <w:tc>
          <w:tcPr>
            <w:tcW w:w="75"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37"/>
        <w:gridCol w:w="9968"/>
      </w:tblGrid>
      <w:tr>
        <w:trPr/>
        <w:tc>
          <w:tcPr>
            <w:tcW w:w="237" w:type="dxa"/>
            <w:tcBorders/>
            <w:vAlign w:val="center"/>
          </w:tcPr>
          <w:p>
            <w:pPr>
              <w:pStyle w:val="TableContents"/>
              <w:bidi w:val="0"/>
              <w:spacing w:before="0" w:after="283"/>
              <w:jc w:val="left"/>
              <w:rPr>
                <w:rFonts w:ascii="Times New Roman;Times;Serif" w:hAnsi="Times New Roman;Times;Serif"/>
                <w:position w:val="7"/>
                <w:sz w:val="16"/>
                <w:sz w:val="20"/>
              </w:rPr>
            </w:pPr>
            <w:r>
              <w:rPr>
                <w:rFonts w:ascii="Times New Roman;Times;Serif" w:hAnsi="Times New Roman;Times;Serif"/>
                <w:position w:val="7"/>
                <w:sz w:val="16"/>
                <w:sz w:val="20"/>
              </w:rPr>
              <w:t>(1)</w:t>
            </w:r>
          </w:p>
        </w:tc>
        <w:tc>
          <w:tcPr>
            <w:tcW w:w="9968"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Includes accrued interest due to related parties of $2.2 million and $2.6 million as of March 29, 2026 and December 28, 2025, respectively.</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(7) Goodwill and Other Intangible Assets, Net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Goodwill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February 2, 2026, the Company completed the acquisition of Cobalt and assigned provisional goodwill of $9.3 million to the New Homes reportable segment.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Goodwill as of March 29, 2026 and December 28, 2025 was as follows (</w:t>
      </w:r>
      <w:r>
        <w:rPr>
          <w:rFonts w:ascii="Times New Roman;Times;Serif" w:hAnsi="Times New Roman;Times;Serif"/>
          <w:b w:val="false"/>
          <w:i/>
          <w:caps w:val="false"/>
          <w:smallCaps w:val="false"/>
          <w:sz w:val="20"/>
        </w:rPr>
        <w:t>in thousands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tbl>
      <w:tblPr>
        <w:tblW w:w="8793" w:type="dxa"/>
        <w:jc w:val="left"/>
        <w:tblInd w:w="0" w:type="dxa"/>
        <w:tblLayout w:type="fixed"/>
        <w:tblCellMar>
          <w:top w:w="0" w:type="dxa"/>
          <w:left w:w="0" w:type="dxa"/>
          <w:bottom w:w="0" w:type="dxa"/>
          <w:right w:w="0" w:type="dxa"/>
        </w:tblCellMar>
      </w:tblPr>
      <w:tblGrid>
        <w:gridCol w:w="4220"/>
        <w:gridCol w:w="60"/>
        <w:gridCol w:w="205"/>
        <w:gridCol w:w="999"/>
        <w:gridCol w:w="60"/>
        <w:gridCol w:w="60"/>
        <w:gridCol w:w="210"/>
        <w:gridCol w:w="1024"/>
        <w:gridCol w:w="60"/>
        <w:gridCol w:w="60"/>
        <w:gridCol w:w="140"/>
        <w:gridCol w:w="680"/>
        <w:gridCol w:w="60"/>
        <w:gridCol w:w="60"/>
        <w:gridCol w:w="140"/>
        <w:gridCol w:w="680"/>
        <w:gridCol w:w="75"/>
      </w:tblGrid>
      <w:tr>
        <w:trPr/>
        <w:tc>
          <w:tcPr>
            <w:tcW w:w="42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04"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 xml:space="preserve">Residential </w:t>
              <w:br/>
              <w:t xml:space="preserve">Solar </w:t>
              <w:br/>
              <w:t>Installation</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34"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New Homes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2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Dealer</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2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Total</w:t>
            </w:r>
          </w:p>
        </w:tc>
        <w:tc>
          <w:tcPr>
            <w:tcW w:w="75" w:type="dxa"/>
            <w:tcBorders/>
            <w:vAlign w:val="center"/>
          </w:tcPr>
          <w:p>
            <w:pPr>
              <w:pStyle w:val="TableContents"/>
              <w:bidi w:val="0"/>
              <w:spacing w:before="0" w:after="283"/>
              <w:jc w:val="left"/>
              <w:rPr/>
            </w:pPr>
            <w:r>
              <w:rPr/>
              <w:t> </w:t>
            </w:r>
          </w:p>
        </w:tc>
      </w:tr>
      <w:tr>
        <w:trPr/>
        <w:tc>
          <w:tcPr>
            <w:tcW w:w="4220" w:type="dxa"/>
            <w:tcBorders/>
            <w:vAlign w:val="center"/>
          </w:tcPr>
          <w:p>
            <w:pPr>
              <w:pStyle w:val="TableContents"/>
              <w:bidi w:val="0"/>
              <w:spacing w:before="0" w:after="283"/>
              <w:jc w:val="left"/>
              <w:rPr/>
            </w:pPr>
            <w:r>
              <w:rPr/>
              <w:t>Balance as of December 28, 2025</w:t>
            </w:r>
          </w:p>
        </w:tc>
        <w:tc>
          <w:tcPr>
            <w:tcW w:w="60" w:type="dxa"/>
            <w:tcBorders/>
            <w:vAlign w:val="center"/>
          </w:tcPr>
          <w:p>
            <w:pPr>
              <w:pStyle w:val="TableContents"/>
              <w:bidi w:val="0"/>
              <w:spacing w:before="0" w:after="283"/>
              <w:jc w:val="left"/>
              <w:rPr/>
            </w:pPr>
            <w:r>
              <w:rPr/>
              <w:t> </w:t>
            </w:r>
          </w:p>
        </w:tc>
        <w:tc>
          <w:tcPr>
            <w:tcW w:w="1204" w:type="dxa"/>
            <w:gridSpan w:val="2"/>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34" w:type="dxa"/>
            <w:gridSpan w:val="2"/>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20" w:type="dxa"/>
            <w:gridSpan w:val="2"/>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20" w:type="dxa"/>
            <w:gridSpan w:val="2"/>
            <w:tcBorders/>
            <w:vAlign w:val="center"/>
          </w:tcPr>
          <w:p>
            <w:pPr>
              <w:pStyle w:val="TableContents"/>
              <w:bidi w:val="0"/>
              <w:spacing w:before="0" w:after="283"/>
              <w:jc w:val="right"/>
              <w:rPr/>
            </w:pPr>
            <w:r>
              <w:rPr/>
              <w:t> </w:t>
            </w:r>
          </w:p>
        </w:tc>
        <w:tc>
          <w:tcPr>
            <w:tcW w:w="75" w:type="dxa"/>
            <w:tcBorders/>
            <w:vAlign w:val="center"/>
          </w:tcPr>
          <w:p>
            <w:pPr>
              <w:pStyle w:val="TableContents"/>
              <w:bidi w:val="0"/>
              <w:spacing w:before="0" w:after="283"/>
              <w:jc w:val="left"/>
              <w:rPr/>
            </w:pPr>
            <w:r>
              <w:rPr/>
              <w:t> </w:t>
            </w:r>
          </w:p>
        </w:tc>
      </w:tr>
      <w:tr>
        <w:trPr/>
        <w:tc>
          <w:tcPr>
            <w:tcW w:w="4220" w:type="dxa"/>
            <w:tcBorders/>
            <w:shd w:fill="CCEEFF" w:val="clear"/>
            <w:vAlign w:val="center"/>
          </w:tcPr>
          <w:p>
            <w:pPr>
              <w:pStyle w:val="TableContents"/>
              <w:bidi w:val="0"/>
              <w:spacing w:before="0" w:after="283"/>
              <w:jc w:val="both"/>
              <w:rPr/>
            </w:pPr>
            <w:r>
              <w:rPr/>
              <w:t>Goodwill</w:t>
            </w:r>
          </w:p>
        </w:tc>
        <w:tc>
          <w:tcPr>
            <w:tcW w:w="60" w:type="dxa"/>
            <w:tcBorders/>
            <w:shd w:fill="CCEEFF" w:val="clear"/>
            <w:vAlign w:val="center"/>
          </w:tcPr>
          <w:p>
            <w:pPr>
              <w:pStyle w:val="TableContents"/>
              <w:bidi w:val="0"/>
              <w:spacing w:before="0" w:after="283"/>
              <w:jc w:val="left"/>
              <w:rPr/>
            </w:pPr>
            <w:r>
              <w:rPr/>
              <w:t> </w:t>
            </w:r>
          </w:p>
        </w:tc>
        <w:tc>
          <w:tcPr>
            <w:tcW w:w="205" w:type="dxa"/>
            <w:tcBorders/>
            <w:shd w:fill="CCEEFF" w:val="clear"/>
            <w:vAlign w:val="center"/>
          </w:tcPr>
          <w:p>
            <w:pPr>
              <w:pStyle w:val="TableContents"/>
              <w:bidi w:val="0"/>
              <w:spacing w:before="0" w:after="283"/>
              <w:jc w:val="left"/>
              <w:rPr/>
            </w:pPr>
            <w:r>
              <w:rPr/>
              <w:t>$</w:t>
            </w:r>
          </w:p>
        </w:tc>
        <w:tc>
          <w:tcPr>
            <w:tcW w:w="999" w:type="dxa"/>
            <w:tcBorders/>
            <w:shd w:fill="CCEEFF" w:val="clear"/>
            <w:vAlign w:val="center"/>
          </w:tcPr>
          <w:p>
            <w:pPr>
              <w:pStyle w:val="TableContents"/>
              <w:bidi w:val="0"/>
              <w:spacing w:before="0" w:after="283"/>
              <w:jc w:val="right"/>
              <w:rPr/>
            </w:pPr>
            <w:r>
              <w:rPr/>
              <w:t>30,808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0" w:type="dxa"/>
            <w:tcBorders/>
            <w:shd w:fill="CCEEFF" w:val="clear"/>
            <w:vAlign w:val="center"/>
          </w:tcPr>
          <w:p>
            <w:pPr>
              <w:pStyle w:val="TableContents"/>
              <w:bidi w:val="0"/>
              <w:spacing w:before="0" w:after="283"/>
              <w:jc w:val="left"/>
              <w:rPr/>
            </w:pPr>
            <w:r>
              <w:rPr/>
              <w:t> </w:t>
            </w:r>
          </w:p>
        </w:tc>
        <w:tc>
          <w:tcPr>
            <w:tcW w:w="1024"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680" w:type="dxa"/>
            <w:tcBorders/>
            <w:shd w:fill="CCEEFF" w:val="clear"/>
            <w:vAlign w:val="center"/>
          </w:tcPr>
          <w:p>
            <w:pPr>
              <w:pStyle w:val="TableContents"/>
              <w:bidi w:val="0"/>
              <w:spacing w:before="0" w:after="283"/>
              <w:jc w:val="right"/>
              <w:rPr/>
            </w:pPr>
            <w:r>
              <w:rPr/>
              <w:t>31,822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680" w:type="dxa"/>
            <w:tcBorders/>
            <w:shd w:fill="CCEEFF" w:val="clear"/>
            <w:vAlign w:val="center"/>
          </w:tcPr>
          <w:p>
            <w:pPr>
              <w:pStyle w:val="TableContents"/>
              <w:bidi w:val="0"/>
              <w:spacing w:before="0" w:after="283"/>
              <w:jc w:val="right"/>
              <w:rPr/>
            </w:pPr>
            <w:r>
              <w:rPr/>
              <w:t>62,630</w:t>
            </w:r>
          </w:p>
        </w:tc>
        <w:tc>
          <w:tcPr>
            <w:tcW w:w="75" w:type="dxa"/>
            <w:tcBorders/>
            <w:shd w:fill="CCEEFF" w:val="clear"/>
            <w:vAlign w:val="center"/>
          </w:tcPr>
          <w:p>
            <w:pPr>
              <w:pStyle w:val="TableContents"/>
              <w:bidi w:val="0"/>
              <w:spacing w:before="0" w:after="283"/>
              <w:jc w:val="left"/>
              <w:rPr/>
            </w:pPr>
            <w:r>
              <w:rPr/>
              <w:t> </w:t>
            </w:r>
          </w:p>
        </w:tc>
      </w:tr>
      <w:tr>
        <w:trPr/>
        <w:tc>
          <w:tcPr>
            <w:tcW w:w="4220" w:type="dxa"/>
            <w:tcBorders/>
            <w:shd w:fill="FFFFFF" w:val="clear"/>
            <w:vAlign w:val="center"/>
          </w:tcPr>
          <w:p>
            <w:pPr>
              <w:pStyle w:val="TableContents"/>
              <w:bidi w:val="0"/>
              <w:spacing w:before="0" w:after="283"/>
              <w:jc w:val="both"/>
              <w:rPr/>
            </w:pPr>
            <w:r>
              <w:rPr/>
              <w:t>Accumulated impairment losses</w:t>
            </w:r>
          </w:p>
        </w:tc>
        <w:tc>
          <w:tcPr>
            <w:tcW w:w="60" w:type="dxa"/>
            <w:tcBorders/>
            <w:shd w:fill="FFFFFF" w:val="clear"/>
            <w:vAlign w:val="center"/>
          </w:tcPr>
          <w:p>
            <w:pPr>
              <w:pStyle w:val="TableContents"/>
              <w:bidi w:val="0"/>
              <w:spacing w:before="0" w:after="283"/>
              <w:jc w:val="left"/>
              <w:rPr/>
            </w:pPr>
            <w:r>
              <w:rPr/>
              <w:t> </w:t>
            </w:r>
          </w:p>
        </w:tc>
        <w:tc>
          <w:tcPr>
            <w:tcW w:w="205"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999"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024"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680"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680"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75" w:type="dxa"/>
            <w:tcBorders/>
            <w:shd w:fill="FFFFFF" w:val="clear"/>
            <w:vAlign w:val="center"/>
          </w:tcPr>
          <w:p>
            <w:pPr>
              <w:pStyle w:val="TableContents"/>
              <w:bidi w:val="0"/>
              <w:spacing w:before="0" w:after="283"/>
              <w:jc w:val="left"/>
              <w:rPr/>
            </w:pPr>
            <w:r>
              <w:rPr/>
              <w:t> </w:t>
            </w:r>
          </w:p>
        </w:tc>
      </w:tr>
      <w:tr>
        <w:trPr/>
        <w:tc>
          <w:tcPr>
            <w:tcW w:w="4220" w:type="dxa"/>
            <w:tcBorders/>
            <w:shd w:fill="CCEEFF" w:val="clear"/>
            <w:vAlign w:val="center"/>
          </w:tcPr>
          <w:p>
            <w:pPr>
              <w:pStyle w:val="TableContents"/>
              <w:bidi w:val="0"/>
              <w:spacing w:before="0" w:after="283"/>
              <w:jc w:val="both"/>
              <w:rPr/>
            </w:pPr>
            <w:r>
              <w:rPr/>
              <w:t>Total</w:t>
            </w:r>
          </w:p>
        </w:tc>
        <w:tc>
          <w:tcPr>
            <w:tcW w:w="60" w:type="dxa"/>
            <w:tcBorders/>
            <w:shd w:fill="CCEEFF" w:val="clear"/>
            <w:vAlign w:val="center"/>
          </w:tcPr>
          <w:p>
            <w:pPr>
              <w:pStyle w:val="TableContents"/>
              <w:bidi w:val="0"/>
              <w:spacing w:before="0" w:after="283"/>
              <w:jc w:val="left"/>
              <w:rPr/>
            </w:pPr>
            <w:r>
              <w:rPr/>
              <w:t> </w:t>
            </w:r>
          </w:p>
        </w:tc>
        <w:tc>
          <w:tcPr>
            <w:tcW w:w="205"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99" w:type="dxa"/>
            <w:tcBorders>
              <w:bottom w:val="single" w:sz="12" w:space="0" w:color="000000"/>
            </w:tcBorders>
            <w:shd w:fill="CCEEFF" w:val="clear"/>
            <w:tcMar>
              <w:bottom w:w="28" w:type="dxa"/>
            </w:tcMar>
            <w:vAlign w:val="center"/>
          </w:tcPr>
          <w:p>
            <w:pPr>
              <w:pStyle w:val="TableContents"/>
              <w:bidi w:val="0"/>
              <w:spacing w:before="0" w:after="283"/>
              <w:jc w:val="right"/>
              <w:rPr/>
            </w:pPr>
            <w:r>
              <w:rPr/>
              <w:t>30,808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24"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680" w:type="dxa"/>
            <w:tcBorders>
              <w:bottom w:val="single" w:sz="12" w:space="0" w:color="000000"/>
            </w:tcBorders>
            <w:shd w:fill="CCEEFF" w:val="clear"/>
            <w:tcMar>
              <w:bottom w:w="28" w:type="dxa"/>
            </w:tcMar>
            <w:vAlign w:val="center"/>
          </w:tcPr>
          <w:p>
            <w:pPr>
              <w:pStyle w:val="TableContents"/>
              <w:bidi w:val="0"/>
              <w:spacing w:before="0" w:after="283"/>
              <w:jc w:val="right"/>
              <w:rPr/>
            </w:pPr>
            <w:r>
              <w:rPr/>
              <w:t>31,822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680" w:type="dxa"/>
            <w:tcBorders>
              <w:bottom w:val="single" w:sz="12" w:space="0" w:color="000000"/>
            </w:tcBorders>
            <w:shd w:fill="CCEEFF" w:val="clear"/>
            <w:tcMar>
              <w:bottom w:w="28" w:type="dxa"/>
            </w:tcMar>
            <w:vAlign w:val="center"/>
          </w:tcPr>
          <w:p>
            <w:pPr>
              <w:pStyle w:val="TableContents"/>
              <w:bidi w:val="0"/>
              <w:spacing w:before="0" w:after="283"/>
              <w:jc w:val="right"/>
              <w:rPr/>
            </w:pPr>
            <w:r>
              <w:rPr/>
              <w:t>62,630</w:t>
            </w:r>
          </w:p>
        </w:tc>
        <w:tc>
          <w:tcPr>
            <w:tcW w:w="75" w:type="dxa"/>
            <w:tcBorders/>
            <w:shd w:fill="CCEEFF" w:val="clear"/>
            <w:vAlign w:val="center"/>
          </w:tcPr>
          <w:p>
            <w:pPr>
              <w:pStyle w:val="TableContents"/>
              <w:bidi w:val="0"/>
              <w:spacing w:before="0" w:after="283"/>
              <w:jc w:val="left"/>
              <w:rPr/>
            </w:pPr>
            <w:r>
              <w:rPr/>
              <w:t> </w:t>
            </w:r>
          </w:p>
        </w:tc>
      </w:tr>
      <w:tr>
        <w:trPr/>
        <w:tc>
          <w:tcPr>
            <w:tcW w:w="4220" w:type="dxa"/>
            <w:tcBorders/>
            <w:shd w:fill="FFFFFF" w:val="clear"/>
            <w:vAlign w:val="center"/>
          </w:tcPr>
          <w:p>
            <w:pPr>
              <w:pStyle w:val="TableContents"/>
              <w:bidi w:val="0"/>
              <w:spacing w:before="0" w:after="283"/>
              <w:jc w:val="both"/>
              <w:rPr/>
            </w:pPr>
            <w:r>
              <w:rPr/>
              <w:t>Measurement period adjustments</w:t>
            </w:r>
          </w:p>
        </w:tc>
        <w:tc>
          <w:tcPr>
            <w:tcW w:w="60" w:type="dxa"/>
            <w:tcBorders/>
            <w:shd w:fill="FFFFFF" w:val="clear"/>
            <w:vAlign w:val="center"/>
          </w:tcPr>
          <w:p>
            <w:pPr>
              <w:pStyle w:val="TableContents"/>
              <w:bidi w:val="0"/>
              <w:spacing w:before="0" w:after="283"/>
              <w:jc w:val="left"/>
              <w:rPr/>
            </w:pPr>
            <w:r>
              <w:rPr/>
              <w:t> </w:t>
            </w:r>
          </w:p>
        </w:tc>
        <w:tc>
          <w:tcPr>
            <w:tcW w:w="205" w:type="dxa"/>
            <w:tcBorders/>
            <w:shd w:fill="FFFFFF" w:val="clear"/>
            <w:vAlign w:val="center"/>
          </w:tcPr>
          <w:p>
            <w:pPr>
              <w:pStyle w:val="TableContents"/>
              <w:bidi w:val="0"/>
              <w:spacing w:before="0" w:after="283"/>
              <w:jc w:val="left"/>
              <w:rPr/>
            </w:pPr>
            <w:r>
              <w:rPr/>
              <w:t> </w:t>
            </w:r>
          </w:p>
        </w:tc>
        <w:tc>
          <w:tcPr>
            <w:tcW w:w="999"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0" w:type="dxa"/>
            <w:tcBorders/>
            <w:shd w:fill="FFFFFF" w:val="clear"/>
            <w:vAlign w:val="center"/>
          </w:tcPr>
          <w:p>
            <w:pPr>
              <w:pStyle w:val="TableContents"/>
              <w:bidi w:val="0"/>
              <w:spacing w:before="0" w:after="283"/>
              <w:jc w:val="left"/>
              <w:rPr/>
            </w:pPr>
            <w:r>
              <w:rPr/>
              <w:t> </w:t>
            </w:r>
          </w:p>
        </w:tc>
        <w:tc>
          <w:tcPr>
            <w:tcW w:w="1024"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pPr>
            <w:r>
              <w:rPr/>
              <w:t>—</w:t>
            </w:r>
          </w:p>
        </w:tc>
        <w:tc>
          <w:tcPr>
            <w:tcW w:w="75" w:type="dxa"/>
            <w:tcBorders/>
            <w:shd w:fill="FFFFFF" w:val="clear"/>
            <w:vAlign w:val="center"/>
          </w:tcPr>
          <w:p>
            <w:pPr>
              <w:pStyle w:val="TableContents"/>
              <w:bidi w:val="0"/>
              <w:spacing w:before="0" w:after="283"/>
              <w:jc w:val="left"/>
              <w:rPr/>
            </w:pPr>
            <w:r>
              <w:rPr/>
              <w:t> </w:t>
            </w:r>
          </w:p>
        </w:tc>
      </w:tr>
      <w:tr>
        <w:trPr/>
        <w:tc>
          <w:tcPr>
            <w:tcW w:w="4220" w:type="dxa"/>
            <w:tcBorders/>
            <w:shd w:fill="CCEEFF" w:val="clear"/>
            <w:vAlign w:val="center"/>
          </w:tcPr>
          <w:p>
            <w:pPr>
              <w:pStyle w:val="TableContents"/>
              <w:bidi w:val="0"/>
              <w:spacing w:before="0" w:after="283"/>
              <w:jc w:val="left"/>
              <w:rPr/>
            </w:pPr>
            <w:r>
              <w:rPr/>
              <w:t>Goodwill acquired in business combinations</w:t>
            </w:r>
          </w:p>
        </w:tc>
        <w:tc>
          <w:tcPr>
            <w:tcW w:w="60" w:type="dxa"/>
            <w:tcBorders/>
            <w:shd w:fill="CCEEFF" w:val="clear"/>
            <w:vAlign w:val="center"/>
          </w:tcPr>
          <w:p>
            <w:pPr>
              <w:pStyle w:val="TableContents"/>
              <w:bidi w:val="0"/>
              <w:spacing w:before="0" w:after="283"/>
              <w:jc w:val="left"/>
              <w:rPr/>
            </w:pPr>
            <w:r>
              <w:rPr/>
              <w:t> </w:t>
            </w:r>
          </w:p>
        </w:tc>
        <w:tc>
          <w:tcPr>
            <w:tcW w:w="205" w:type="dxa"/>
            <w:tcBorders/>
            <w:shd w:fill="CCEEFF" w:val="clear"/>
            <w:vAlign w:val="center"/>
          </w:tcPr>
          <w:p>
            <w:pPr>
              <w:pStyle w:val="TableContents"/>
              <w:bidi w:val="0"/>
              <w:spacing w:before="0" w:after="283"/>
              <w:jc w:val="left"/>
              <w:rPr/>
            </w:pPr>
            <w:r>
              <w:rPr/>
              <w:t> </w:t>
            </w:r>
          </w:p>
        </w:tc>
        <w:tc>
          <w:tcPr>
            <w:tcW w:w="999"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0" w:type="dxa"/>
            <w:tcBorders/>
            <w:shd w:fill="CCEEFF" w:val="clear"/>
            <w:vAlign w:val="center"/>
          </w:tcPr>
          <w:p>
            <w:pPr>
              <w:pStyle w:val="TableContents"/>
              <w:bidi w:val="0"/>
              <w:spacing w:before="0" w:after="283"/>
              <w:jc w:val="left"/>
              <w:rPr/>
            </w:pPr>
            <w:r>
              <w:rPr/>
              <w:t> </w:t>
            </w:r>
          </w:p>
        </w:tc>
        <w:tc>
          <w:tcPr>
            <w:tcW w:w="1024" w:type="dxa"/>
            <w:tcBorders/>
            <w:shd w:fill="CCEEFF" w:val="clear"/>
            <w:vAlign w:val="center"/>
          </w:tcPr>
          <w:p>
            <w:pPr>
              <w:pStyle w:val="TableContents"/>
              <w:bidi w:val="0"/>
              <w:spacing w:before="0" w:after="283"/>
              <w:jc w:val="right"/>
              <w:rPr/>
            </w:pPr>
            <w:r>
              <w:rPr/>
              <w:t>12,977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12,977</w:t>
            </w:r>
          </w:p>
        </w:tc>
        <w:tc>
          <w:tcPr>
            <w:tcW w:w="75" w:type="dxa"/>
            <w:tcBorders/>
            <w:shd w:fill="CCEEFF" w:val="clear"/>
            <w:vAlign w:val="center"/>
          </w:tcPr>
          <w:p>
            <w:pPr>
              <w:pStyle w:val="TableContents"/>
              <w:bidi w:val="0"/>
              <w:spacing w:before="0" w:after="283"/>
              <w:jc w:val="left"/>
              <w:rPr/>
            </w:pPr>
            <w:r>
              <w:rPr/>
              <w:t> </w:t>
            </w:r>
          </w:p>
        </w:tc>
      </w:tr>
      <w:tr>
        <w:trPr/>
        <w:tc>
          <w:tcPr>
            <w:tcW w:w="4220" w:type="dxa"/>
            <w:tcBorders/>
            <w:shd w:fill="FFFFFF" w:val="clear"/>
            <w:vAlign w:val="center"/>
          </w:tcPr>
          <w:p>
            <w:pPr>
              <w:pStyle w:val="TableContents"/>
              <w:bidi w:val="0"/>
              <w:spacing w:before="0" w:after="283"/>
              <w:jc w:val="left"/>
              <w:rPr/>
            </w:pPr>
            <w:r>
              <w:rPr/>
              <w:t>Balance as of March 29, 2026</w:t>
            </w:r>
          </w:p>
        </w:tc>
        <w:tc>
          <w:tcPr>
            <w:tcW w:w="60" w:type="dxa"/>
            <w:tcBorders/>
            <w:shd w:fill="FFFFFF" w:val="clear"/>
            <w:vAlign w:val="center"/>
          </w:tcPr>
          <w:p>
            <w:pPr>
              <w:pStyle w:val="TableContents"/>
              <w:bidi w:val="0"/>
              <w:spacing w:before="0" w:after="283"/>
              <w:jc w:val="left"/>
              <w:rPr/>
            </w:pPr>
            <w:r>
              <w:rPr/>
              <w:t> </w:t>
            </w:r>
          </w:p>
        </w:tc>
        <w:tc>
          <w:tcPr>
            <w:tcW w:w="205" w:type="dxa"/>
            <w:tcBorders/>
            <w:shd w:fill="FFFFFF" w:val="clear"/>
            <w:vAlign w:val="center"/>
          </w:tcPr>
          <w:p>
            <w:pPr>
              <w:pStyle w:val="TableContents"/>
              <w:bidi w:val="0"/>
              <w:spacing w:before="0" w:after="283"/>
              <w:jc w:val="left"/>
              <w:rPr/>
            </w:pPr>
            <w:r>
              <w:rPr/>
              <w:t> </w:t>
            </w:r>
          </w:p>
        </w:tc>
        <w:tc>
          <w:tcPr>
            <w:tcW w:w="999"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0" w:type="dxa"/>
            <w:tcBorders/>
            <w:shd w:fill="FFFFFF" w:val="clear"/>
            <w:vAlign w:val="center"/>
          </w:tcPr>
          <w:p>
            <w:pPr>
              <w:pStyle w:val="TableContents"/>
              <w:bidi w:val="0"/>
              <w:spacing w:before="0" w:after="283"/>
              <w:jc w:val="left"/>
              <w:rPr/>
            </w:pPr>
            <w:r>
              <w:rPr/>
              <w:t> </w:t>
            </w:r>
          </w:p>
        </w:tc>
        <w:tc>
          <w:tcPr>
            <w:tcW w:w="1024"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pPr>
            <w:r>
              <w:rPr/>
              <w:t> </w:t>
            </w:r>
          </w:p>
        </w:tc>
        <w:tc>
          <w:tcPr>
            <w:tcW w:w="75" w:type="dxa"/>
            <w:tcBorders/>
            <w:shd w:fill="FFFFFF" w:val="clear"/>
            <w:vAlign w:val="center"/>
          </w:tcPr>
          <w:p>
            <w:pPr>
              <w:pStyle w:val="TableContents"/>
              <w:bidi w:val="0"/>
              <w:spacing w:before="0" w:after="283"/>
              <w:jc w:val="left"/>
              <w:rPr/>
            </w:pPr>
            <w:r>
              <w:rPr/>
              <w:t> </w:t>
            </w:r>
          </w:p>
        </w:tc>
      </w:tr>
      <w:tr>
        <w:trPr/>
        <w:tc>
          <w:tcPr>
            <w:tcW w:w="4220" w:type="dxa"/>
            <w:tcBorders/>
            <w:shd w:fill="CCEEFF" w:val="clear"/>
            <w:vAlign w:val="center"/>
          </w:tcPr>
          <w:p>
            <w:pPr>
              <w:pStyle w:val="TableContents"/>
              <w:bidi w:val="0"/>
              <w:spacing w:before="0" w:after="283"/>
              <w:jc w:val="left"/>
              <w:rPr/>
            </w:pPr>
            <w:r>
              <w:rPr/>
              <w:t>Goodwill</w:t>
            </w:r>
          </w:p>
        </w:tc>
        <w:tc>
          <w:tcPr>
            <w:tcW w:w="60" w:type="dxa"/>
            <w:tcBorders/>
            <w:shd w:fill="CCEEFF" w:val="clear"/>
            <w:vAlign w:val="center"/>
          </w:tcPr>
          <w:p>
            <w:pPr>
              <w:pStyle w:val="TableContents"/>
              <w:bidi w:val="0"/>
              <w:spacing w:before="0" w:after="283"/>
              <w:jc w:val="left"/>
              <w:rPr/>
            </w:pPr>
            <w:r>
              <w:rPr/>
              <w:t> </w:t>
            </w:r>
          </w:p>
        </w:tc>
        <w:tc>
          <w:tcPr>
            <w:tcW w:w="205" w:type="dxa"/>
            <w:tcBorders/>
            <w:shd w:fill="CCEEFF" w:val="clear"/>
            <w:vAlign w:val="center"/>
          </w:tcPr>
          <w:p>
            <w:pPr>
              <w:pStyle w:val="TableContents"/>
              <w:bidi w:val="0"/>
              <w:spacing w:before="0" w:after="283"/>
              <w:jc w:val="left"/>
              <w:rPr/>
            </w:pPr>
            <w:r>
              <w:rPr/>
              <w:t> </w:t>
            </w:r>
          </w:p>
        </w:tc>
        <w:tc>
          <w:tcPr>
            <w:tcW w:w="999" w:type="dxa"/>
            <w:tcBorders/>
            <w:shd w:fill="CCEEFF" w:val="clear"/>
            <w:vAlign w:val="center"/>
          </w:tcPr>
          <w:p>
            <w:pPr>
              <w:pStyle w:val="TableContents"/>
              <w:bidi w:val="0"/>
              <w:spacing w:before="0" w:after="283"/>
              <w:jc w:val="right"/>
              <w:rPr/>
            </w:pPr>
            <w:r>
              <w:rPr/>
              <w:t>30,808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0" w:type="dxa"/>
            <w:tcBorders/>
            <w:shd w:fill="CCEEFF" w:val="clear"/>
            <w:vAlign w:val="center"/>
          </w:tcPr>
          <w:p>
            <w:pPr>
              <w:pStyle w:val="TableContents"/>
              <w:bidi w:val="0"/>
              <w:spacing w:before="0" w:after="283"/>
              <w:jc w:val="left"/>
              <w:rPr/>
            </w:pPr>
            <w:r>
              <w:rPr/>
              <w:t> </w:t>
            </w:r>
          </w:p>
        </w:tc>
        <w:tc>
          <w:tcPr>
            <w:tcW w:w="1024" w:type="dxa"/>
            <w:tcBorders/>
            <w:shd w:fill="CCEEFF" w:val="clear"/>
            <w:vAlign w:val="center"/>
          </w:tcPr>
          <w:p>
            <w:pPr>
              <w:pStyle w:val="TableContents"/>
              <w:bidi w:val="0"/>
              <w:spacing w:before="0" w:after="283"/>
              <w:jc w:val="right"/>
              <w:rPr/>
            </w:pPr>
            <w:r>
              <w:rPr/>
              <w:t>12,977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31,822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75,607</w:t>
            </w:r>
          </w:p>
        </w:tc>
        <w:tc>
          <w:tcPr>
            <w:tcW w:w="75" w:type="dxa"/>
            <w:tcBorders/>
            <w:shd w:fill="CCEEFF" w:val="clear"/>
            <w:vAlign w:val="center"/>
          </w:tcPr>
          <w:p>
            <w:pPr>
              <w:pStyle w:val="TableContents"/>
              <w:bidi w:val="0"/>
              <w:spacing w:before="0" w:after="283"/>
              <w:jc w:val="left"/>
              <w:rPr/>
            </w:pPr>
            <w:r>
              <w:rPr/>
              <w:t> </w:t>
            </w:r>
          </w:p>
        </w:tc>
      </w:tr>
      <w:tr>
        <w:trPr/>
        <w:tc>
          <w:tcPr>
            <w:tcW w:w="4220" w:type="dxa"/>
            <w:tcBorders/>
            <w:shd w:fill="FFFFFF" w:val="clear"/>
            <w:vAlign w:val="center"/>
          </w:tcPr>
          <w:p>
            <w:pPr>
              <w:pStyle w:val="TableContents"/>
              <w:bidi w:val="0"/>
              <w:spacing w:before="0" w:after="283"/>
              <w:jc w:val="left"/>
              <w:rPr/>
            </w:pPr>
            <w:r>
              <w:rPr/>
              <w:t>Accumulated impairment losses</w:t>
            </w:r>
          </w:p>
        </w:tc>
        <w:tc>
          <w:tcPr>
            <w:tcW w:w="60" w:type="dxa"/>
            <w:tcBorders/>
            <w:shd w:fill="FFFFFF" w:val="clear"/>
            <w:vAlign w:val="center"/>
          </w:tcPr>
          <w:p>
            <w:pPr>
              <w:pStyle w:val="TableContents"/>
              <w:bidi w:val="0"/>
              <w:spacing w:before="0" w:after="283"/>
              <w:jc w:val="left"/>
              <w:rPr/>
            </w:pPr>
            <w:r>
              <w:rPr/>
              <w:t> </w:t>
            </w:r>
          </w:p>
        </w:tc>
        <w:tc>
          <w:tcPr>
            <w:tcW w:w="205"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999"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024"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680"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680"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75" w:type="dxa"/>
            <w:tcBorders/>
            <w:shd w:fill="FFFFFF" w:val="clear"/>
            <w:vAlign w:val="center"/>
          </w:tcPr>
          <w:p>
            <w:pPr>
              <w:pStyle w:val="TableContents"/>
              <w:bidi w:val="0"/>
              <w:spacing w:before="0" w:after="283"/>
              <w:jc w:val="left"/>
              <w:rPr/>
            </w:pPr>
            <w:r>
              <w:rPr/>
              <w:t> </w:t>
            </w:r>
          </w:p>
        </w:tc>
      </w:tr>
      <w:tr>
        <w:trPr/>
        <w:tc>
          <w:tcPr>
            <w:tcW w:w="4220" w:type="dxa"/>
            <w:tcBorders/>
            <w:shd w:fill="CCEEFF" w:val="clear"/>
            <w:vAlign w:val="center"/>
          </w:tcPr>
          <w:p>
            <w:pPr>
              <w:pStyle w:val="TableContents"/>
              <w:bidi w:val="0"/>
              <w:spacing w:before="0" w:after="283"/>
              <w:jc w:val="both"/>
              <w:rPr/>
            </w:pPr>
            <w:r>
              <w:rPr/>
              <w:t>Total</w:t>
            </w:r>
          </w:p>
        </w:tc>
        <w:tc>
          <w:tcPr>
            <w:tcW w:w="60" w:type="dxa"/>
            <w:tcBorders/>
            <w:shd w:fill="CCEEFF" w:val="clear"/>
            <w:vAlign w:val="center"/>
          </w:tcPr>
          <w:p>
            <w:pPr>
              <w:pStyle w:val="TableContents"/>
              <w:bidi w:val="0"/>
              <w:spacing w:before="0" w:after="283"/>
              <w:jc w:val="left"/>
              <w:rPr/>
            </w:pPr>
            <w:r>
              <w:rPr/>
              <w:t> </w:t>
            </w:r>
          </w:p>
        </w:tc>
        <w:tc>
          <w:tcPr>
            <w:tcW w:w="205"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999" w:type="dxa"/>
            <w:tcBorders>
              <w:bottom w:val="double" w:sz="10" w:space="0" w:color="000000"/>
            </w:tcBorders>
            <w:shd w:fill="CCEEFF" w:val="clear"/>
            <w:tcMar>
              <w:bottom w:w="28" w:type="dxa"/>
            </w:tcMar>
            <w:vAlign w:val="center"/>
          </w:tcPr>
          <w:p>
            <w:pPr>
              <w:pStyle w:val="TableContents"/>
              <w:bidi w:val="0"/>
              <w:spacing w:before="0" w:after="283"/>
              <w:jc w:val="right"/>
              <w:rPr/>
            </w:pPr>
            <w:r>
              <w:rPr/>
              <w:t>30,808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0"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024" w:type="dxa"/>
            <w:tcBorders>
              <w:bottom w:val="double" w:sz="10" w:space="0" w:color="000000"/>
            </w:tcBorders>
            <w:shd w:fill="CCEEFF" w:val="clear"/>
            <w:tcMar>
              <w:bottom w:w="28" w:type="dxa"/>
            </w:tcMar>
            <w:vAlign w:val="center"/>
          </w:tcPr>
          <w:p>
            <w:pPr>
              <w:pStyle w:val="TableContents"/>
              <w:bidi w:val="0"/>
              <w:spacing w:before="0" w:after="283"/>
              <w:jc w:val="right"/>
              <w:rPr/>
            </w:pPr>
            <w:r>
              <w:rPr/>
              <w:t>12,977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680" w:type="dxa"/>
            <w:tcBorders>
              <w:bottom w:val="double" w:sz="10" w:space="0" w:color="000000"/>
            </w:tcBorders>
            <w:shd w:fill="CCEEFF" w:val="clear"/>
            <w:tcMar>
              <w:bottom w:w="28" w:type="dxa"/>
            </w:tcMar>
            <w:vAlign w:val="center"/>
          </w:tcPr>
          <w:p>
            <w:pPr>
              <w:pStyle w:val="TableContents"/>
              <w:bidi w:val="0"/>
              <w:spacing w:before="0" w:after="283"/>
              <w:jc w:val="right"/>
              <w:rPr/>
            </w:pPr>
            <w:r>
              <w:rPr/>
              <w:t>31,822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680" w:type="dxa"/>
            <w:tcBorders>
              <w:bottom w:val="double" w:sz="10" w:space="0" w:color="000000"/>
            </w:tcBorders>
            <w:shd w:fill="CCEEFF" w:val="clear"/>
            <w:tcMar>
              <w:bottom w:w="28" w:type="dxa"/>
            </w:tcMar>
            <w:vAlign w:val="center"/>
          </w:tcPr>
          <w:p>
            <w:pPr>
              <w:pStyle w:val="TableContents"/>
              <w:bidi w:val="0"/>
              <w:spacing w:before="0" w:after="283"/>
              <w:jc w:val="right"/>
              <w:rPr/>
            </w:pPr>
            <w:r>
              <w:rPr/>
              <w:t>75,607</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sz w:val="20"/>
          <w:bdr w:val="single" w:sz="12" w:space="1" w:color="000000"/>
        </w:rPr>
      </w:pPr>
      <w:r>
        <w:rPr>
          <w:sz w:val="20"/>
          <w:bdr w:val="single" w:sz="12" w:space="1" w:color="000000"/>
        </w:rPr>
        <w:t>F-27</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Intangible Assets, Net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following tables present intangible assets with finite useful lives as of March 29, 2026 and December 28, 2025 </w:t>
      </w:r>
      <w:r>
        <w:rPr>
          <w:rFonts w:ascii="Times New Roman;Times;Serif" w:hAnsi="Times New Roman;Times;Serif"/>
          <w:b w:val="false"/>
          <w:i/>
          <w:caps w:val="false"/>
          <w:smallCaps w:val="false"/>
          <w:sz w:val="20"/>
        </w:rPr>
        <w:t>(in thousands)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tbl>
      <w:tblPr>
        <w:tblW w:w="6383" w:type="dxa"/>
        <w:jc w:val="left"/>
        <w:tblInd w:w="0" w:type="dxa"/>
        <w:tblLayout w:type="fixed"/>
        <w:tblCellMar>
          <w:top w:w="0" w:type="dxa"/>
          <w:left w:w="0" w:type="dxa"/>
          <w:bottom w:w="28" w:type="dxa"/>
          <w:right w:w="0" w:type="dxa"/>
        </w:tblCellMar>
      </w:tblPr>
      <w:tblGrid>
        <w:gridCol w:w="2720"/>
        <w:gridCol w:w="60"/>
        <w:gridCol w:w="154"/>
        <w:gridCol w:w="750"/>
        <w:gridCol w:w="60"/>
        <w:gridCol w:w="60"/>
        <w:gridCol w:w="247"/>
        <w:gridCol w:w="1123"/>
        <w:gridCol w:w="95"/>
        <w:gridCol w:w="60"/>
        <w:gridCol w:w="167"/>
        <w:gridCol w:w="812"/>
        <w:gridCol w:w="75"/>
      </w:tblGrid>
      <w:tr>
        <w:trPr/>
        <w:tc>
          <w:tcPr>
            <w:tcW w:w="2720" w:type="dxa"/>
            <w:tcBorders>
              <w:bottom w:val="single" w:sz="12" w:space="0" w:color="000000"/>
            </w:tcBorders>
            <w:vAlign w:val="center"/>
          </w:tcPr>
          <w:p>
            <w:pPr>
              <w:pStyle w:val="TableContents"/>
              <w:bidi w:val="0"/>
              <w:spacing w:before="0" w:after="283"/>
              <w:jc w:val="both"/>
              <w:rPr>
                <w:rFonts w:ascii="Times New Roman;Times;Serif" w:hAnsi="Times New Roman;Times;Serif"/>
                <w:b/>
              </w:rPr>
            </w:pPr>
            <w:r>
              <w:rPr>
                <w:rFonts w:ascii="Times New Roman;Times;Serif" w:hAnsi="Times New Roman;Times;Serif"/>
                <w:b/>
              </w:rPr>
              <w:t>As of March 29, 2026</w:t>
            </w:r>
          </w:p>
        </w:tc>
        <w:tc>
          <w:tcPr>
            <w:tcW w:w="60" w:type="dxa"/>
            <w:tcBorders/>
            <w:tcMar>
              <w:bottom w:w="0" w:type="dxa"/>
            </w:tcMar>
            <w:vAlign w:val="center"/>
          </w:tcPr>
          <w:p>
            <w:pPr>
              <w:pStyle w:val="TableContents"/>
              <w:bidi w:val="0"/>
              <w:spacing w:before="0" w:after="283"/>
              <w:jc w:val="left"/>
              <w:rPr/>
            </w:pPr>
            <w:r>
              <w:rPr/>
              <w:t> </w:t>
            </w:r>
          </w:p>
        </w:tc>
        <w:tc>
          <w:tcPr>
            <w:tcW w:w="904" w:type="dxa"/>
            <w:gridSpan w:val="2"/>
            <w:tcBorders>
              <w:bottom w:val="single" w:sz="12"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Gross</w:t>
              <w:br/>
              <w:t>Carrying</w:t>
              <w:br/>
              <w:t>Amount</w:t>
            </w:r>
            <w:r>
              <w:rPr>
                <w:rFonts w:ascii="Times New Roman;Times;Serif" w:hAnsi="Times New Roman;Times;Serif"/>
                <w:b/>
                <w:position w:val="7"/>
                <w:sz w:val="16"/>
                <w:sz w:val="20"/>
              </w:rPr>
              <w:t>(1)</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370" w:type="dxa"/>
            <w:gridSpan w:val="2"/>
            <w:tcBorders>
              <w:bottom w:val="single" w:sz="12" w:space="0" w:color="000000"/>
            </w:tcBorders>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Accumulated</w:t>
              <w:br/>
              <w:t>Amortization</w:t>
            </w:r>
          </w:p>
        </w:tc>
        <w:tc>
          <w:tcPr>
            <w:tcW w:w="9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979" w:type="dxa"/>
            <w:gridSpan w:val="2"/>
            <w:tcBorders>
              <w:bottom w:val="single" w:sz="12" w:space="0" w:color="000000"/>
            </w:tcBorders>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Net Book</w:t>
              <w:br/>
              <w:t>Value</w:t>
            </w:r>
          </w:p>
        </w:tc>
        <w:tc>
          <w:tcPr>
            <w:tcW w:w="75" w:type="dxa"/>
            <w:tcBorders/>
            <w:tcMar>
              <w:bottom w:w="0" w:type="dxa"/>
            </w:tcMar>
            <w:vAlign w:val="center"/>
          </w:tcPr>
          <w:p>
            <w:pPr>
              <w:pStyle w:val="TableContents"/>
              <w:bidi w:val="0"/>
              <w:spacing w:before="0" w:after="283"/>
              <w:jc w:val="left"/>
              <w:rPr/>
            </w:pPr>
            <w:r>
              <w:rPr/>
              <w:t> </w:t>
            </w:r>
          </w:p>
        </w:tc>
      </w:tr>
      <w:tr>
        <w:trPr/>
        <w:tc>
          <w:tcPr>
            <w:tcW w:w="2720" w:type="dxa"/>
            <w:tcBorders/>
            <w:shd w:fill="CCEEFF" w:val="clear"/>
            <w:tcMar>
              <w:bottom w:w="0" w:type="dxa"/>
            </w:tcM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Customer related intangibles</w:t>
            </w:r>
          </w:p>
        </w:tc>
        <w:tc>
          <w:tcPr>
            <w:tcW w:w="60" w:type="dxa"/>
            <w:tcBorders/>
            <w:shd w:fill="CCEEFF" w:val="clear"/>
            <w:tcMar>
              <w:bottom w:w="0" w:type="dxa"/>
            </w:tcMar>
            <w:vAlign w:val="center"/>
          </w:tcPr>
          <w:p>
            <w:pPr>
              <w:pStyle w:val="TableContents"/>
              <w:bidi w:val="0"/>
              <w:spacing w:before="0" w:after="283"/>
              <w:jc w:val="left"/>
              <w:rPr/>
            </w:pPr>
            <w:r>
              <w:rPr/>
              <w:t> </w:t>
            </w:r>
          </w:p>
        </w:tc>
        <w:tc>
          <w:tcPr>
            <w:tcW w:w="154"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750"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35,100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47"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123"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(4,948</w:t>
            </w:r>
          </w:p>
        </w:tc>
        <w:tc>
          <w:tcPr>
            <w:tcW w:w="95"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167"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812"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30,152</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2720" w:type="dxa"/>
            <w:tcBorders/>
            <w:shd w:fill="FFFFFF" w:val="clear"/>
            <w:tcMar>
              <w:bottom w:w="0" w:type="dxa"/>
            </w:tcM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Trademarks</w:t>
            </w:r>
          </w:p>
        </w:tc>
        <w:tc>
          <w:tcPr>
            <w:tcW w:w="60" w:type="dxa"/>
            <w:tcBorders/>
            <w:shd w:fill="FFFFFF" w:val="clear"/>
            <w:tcMar>
              <w:bottom w:w="0" w:type="dxa"/>
            </w:tcMar>
            <w:vAlign w:val="center"/>
          </w:tcPr>
          <w:p>
            <w:pPr>
              <w:pStyle w:val="TableContents"/>
              <w:bidi w:val="0"/>
              <w:spacing w:before="0" w:after="283"/>
              <w:jc w:val="left"/>
              <w:rPr/>
            </w:pPr>
            <w:r>
              <w:rPr/>
              <w:t> </w:t>
            </w:r>
          </w:p>
        </w:tc>
        <w:tc>
          <w:tcPr>
            <w:tcW w:w="154" w:type="dxa"/>
            <w:tcBorders/>
            <w:shd w:fill="FFFFFF" w:val="clear"/>
            <w:tcMar>
              <w:bottom w:w="0" w:type="dxa"/>
            </w:tcMar>
            <w:vAlign w:val="center"/>
          </w:tcPr>
          <w:p>
            <w:pPr>
              <w:pStyle w:val="TableContents"/>
              <w:bidi w:val="0"/>
              <w:spacing w:before="0" w:after="283"/>
              <w:jc w:val="left"/>
              <w:rPr/>
            </w:pPr>
            <w:r>
              <w:rPr/>
              <w:t> </w:t>
            </w:r>
          </w:p>
        </w:tc>
        <w:tc>
          <w:tcPr>
            <w:tcW w:w="750" w:type="dxa"/>
            <w:tcBorders/>
            <w:shd w:fill="FFFF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20,394</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47" w:type="dxa"/>
            <w:tcBorders/>
            <w:shd w:fill="FFFFFF" w:val="clear"/>
            <w:tcMar>
              <w:bottom w:w="0" w:type="dxa"/>
            </w:tcMar>
            <w:vAlign w:val="center"/>
          </w:tcPr>
          <w:p>
            <w:pPr>
              <w:pStyle w:val="TableContents"/>
              <w:bidi w:val="0"/>
              <w:spacing w:before="0" w:after="283"/>
              <w:jc w:val="left"/>
              <w:rPr/>
            </w:pPr>
            <w:r>
              <w:rPr/>
              <w:t> </w:t>
            </w:r>
          </w:p>
        </w:tc>
        <w:tc>
          <w:tcPr>
            <w:tcW w:w="1123" w:type="dxa"/>
            <w:tcBorders/>
            <w:shd w:fill="FFFF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(2,351</w:t>
            </w:r>
          </w:p>
        </w:tc>
        <w:tc>
          <w:tcPr>
            <w:tcW w:w="95" w:type="dxa"/>
            <w:tcBorders/>
            <w:shd w:fill="FFFF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167" w:type="dxa"/>
            <w:tcBorders/>
            <w:shd w:fill="FFFFFF" w:val="clear"/>
            <w:tcMar>
              <w:bottom w:w="0" w:type="dxa"/>
            </w:tcMar>
            <w:vAlign w:val="center"/>
          </w:tcPr>
          <w:p>
            <w:pPr>
              <w:pStyle w:val="TableContents"/>
              <w:bidi w:val="0"/>
              <w:spacing w:before="0" w:after="283"/>
              <w:jc w:val="left"/>
              <w:rPr/>
            </w:pPr>
            <w:r>
              <w:rPr/>
              <w:t> </w:t>
            </w:r>
          </w:p>
        </w:tc>
        <w:tc>
          <w:tcPr>
            <w:tcW w:w="812" w:type="dxa"/>
            <w:tcBorders/>
            <w:shd w:fill="FFFF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18,043</w:t>
            </w:r>
          </w:p>
        </w:tc>
        <w:tc>
          <w:tcPr>
            <w:tcW w:w="75" w:type="dxa"/>
            <w:tcBorders/>
            <w:shd w:fill="FFFFFF" w:val="clear"/>
            <w:tcMar>
              <w:bottom w:w="0" w:type="dxa"/>
            </w:tcMar>
            <w:vAlign w:val="center"/>
          </w:tcPr>
          <w:p>
            <w:pPr>
              <w:pStyle w:val="TableContents"/>
              <w:bidi w:val="0"/>
              <w:spacing w:before="0" w:after="283"/>
              <w:jc w:val="left"/>
              <w:rPr/>
            </w:pPr>
            <w:r>
              <w:rPr/>
              <w:t> </w:t>
            </w:r>
          </w:p>
        </w:tc>
      </w:tr>
      <w:tr>
        <w:trPr/>
        <w:tc>
          <w:tcPr>
            <w:tcW w:w="2720" w:type="dxa"/>
            <w:tcBorders/>
            <w:shd w:fill="CCEEFF" w:val="clear"/>
            <w:tcMar>
              <w:bottom w:w="0" w:type="dxa"/>
            </w:tcM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Developed technology</w:t>
            </w:r>
          </w:p>
        </w:tc>
        <w:tc>
          <w:tcPr>
            <w:tcW w:w="60" w:type="dxa"/>
            <w:tcBorders/>
            <w:shd w:fill="CCEEFF" w:val="clear"/>
            <w:tcMar>
              <w:bottom w:w="0" w:type="dxa"/>
            </w:tcMar>
            <w:vAlign w:val="center"/>
          </w:tcPr>
          <w:p>
            <w:pPr>
              <w:pStyle w:val="TableContents"/>
              <w:bidi w:val="0"/>
              <w:spacing w:before="0" w:after="283"/>
              <w:jc w:val="left"/>
              <w:rPr/>
            </w:pPr>
            <w:r>
              <w:rPr/>
              <w:t> </w:t>
            </w:r>
          </w:p>
        </w:tc>
        <w:tc>
          <w:tcPr>
            <w:tcW w:w="154" w:type="dxa"/>
            <w:tcBorders/>
            <w:shd w:fill="CCEEFF" w:val="clear"/>
            <w:tcMar>
              <w:bottom w:w="0" w:type="dxa"/>
            </w:tcMar>
            <w:vAlign w:val="center"/>
          </w:tcPr>
          <w:p>
            <w:pPr>
              <w:pStyle w:val="TableContents"/>
              <w:bidi w:val="0"/>
              <w:spacing w:before="0" w:after="283"/>
              <w:jc w:val="left"/>
              <w:rPr/>
            </w:pPr>
            <w:r>
              <w:rPr/>
              <w:t> </w:t>
            </w:r>
          </w:p>
        </w:tc>
        <w:tc>
          <w:tcPr>
            <w:tcW w:w="750"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5,300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47" w:type="dxa"/>
            <w:tcBorders/>
            <w:shd w:fill="CCEEFF" w:val="clear"/>
            <w:tcMar>
              <w:bottom w:w="0" w:type="dxa"/>
            </w:tcMar>
            <w:vAlign w:val="center"/>
          </w:tcPr>
          <w:p>
            <w:pPr>
              <w:pStyle w:val="TableContents"/>
              <w:bidi w:val="0"/>
              <w:spacing w:before="0" w:after="283"/>
              <w:jc w:val="left"/>
              <w:rPr/>
            </w:pPr>
            <w:r>
              <w:rPr/>
              <w:t> </w:t>
            </w:r>
          </w:p>
        </w:tc>
        <w:tc>
          <w:tcPr>
            <w:tcW w:w="1123"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(2,450</w:t>
            </w:r>
          </w:p>
        </w:tc>
        <w:tc>
          <w:tcPr>
            <w:tcW w:w="95"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167" w:type="dxa"/>
            <w:tcBorders/>
            <w:shd w:fill="CCEEFF" w:val="clear"/>
            <w:tcMar>
              <w:bottom w:w="0" w:type="dxa"/>
            </w:tcMar>
            <w:vAlign w:val="center"/>
          </w:tcPr>
          <w:p>
            <w:pPr>
              <w:pStyle w:val="TableContents"/>
              <w:bidi w:val="0"/>
              <w:spacing w:before="0" w:after="283"/>
              <w:jc w:val="left"/>
              <w:rPr/>
            </w:pPr>
            <w:r>
              <w:rPr/>
              <w:t> </w:t>
            </w:r>
          </w:p>
        </w:tc>
        <w:tc>
          <w:tcPr>
            <w:tcW w:w="812"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2,850</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2720" w:type="dxa"/>
            <w:tcBorders/>
            <w:shd w:fill="FFFFFF" w:val="clear"/>
            <w:tcMar>
              <w:bottom w:w="0" w:type="dxa"/>
            </w:tcM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Lease intangible asset</w:t>
            </w:r>
          </w:p>
        </w:tc>
        <w:tc>
          <w:tcPr>
            <w:tcW w:w="60" w:type="dxa"/>
            <w:tcBorders/>
            <w:shd w:fill="FFFFFF" w:val="clear"/>
            <w:tcMar>
              <w:bottom w:w="0" w:type="dxa"/>
            </w:tcMar>
            <w:vAlign w:val="center"/>
          </w:tcPr>
          <w:p>
            <w:pPr>
              <w:pStyle w:val="TableContents"/>
              <w:bidi w:val="0"/>
              <w:spacing w:before="0" w:after="283"/>
              <w:jc w:val="left"/>
              <w:rPr/>
            </w:pPr>
            <w:r>
              <w:rPr/>
              <w:t> </w:t>
            </w:r>
          </w:p>
        </w:tc>
        <w:tc>
          <w:tcPr>
            <w:tcW w:w="154" w:type="dxa"/>
            <w:tcBorders>
              <w:bottom w:val="single" w:sz="12" w:space="0" w:color="000000"/>
            </w:tcBorders>
            <w:shd w:fill="FFFFFF" w:val="clear"/>
            <w:vAlign w:val="center"/>
          </w:tcPr>
          <w:p>
            <w:pPr>
              <w:pStyle w:val="TableContents"/>
              <w:bidi w:val="0"/>
              <w:spacing w:before="0" w:after="283"/>
              <w:jc w:val="left"/>
              <w:rPr/>
            </w:pPr>
            <w:r>
              <w:rPr/>
              <w:t> </w:t>
            </w:r>
          </w:p>
        </w:tc>
        <w:tc>
          <w:tcPr>
            <w:tcW w:w="750" w:type="dxa"/>
            <w:tcBorders>
              <w:bottom w:val="single" w:sz="12" w:space="0" w:color="000000"/>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771</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47" w:type="dxa"/>
            <w:tcBorders>
              <w:bottom w:val="single" w:sz="12" w:space="0" w:color="000000"/>
            </w:tcBorders>
            <w:shd w:fill="FFFFFF" w:val="clear"/>
            <w:vAlign w:val="center"/>
          </w:tcPr>
          <w:p>
            <w:pPr>
              <w:pStyle w:val="TableContents"/>
              <w:bidi w:val="0"/>
              <w:spacing w:before="0" w:after="283"/>
              <w:jc w:val="left"/>
              <w:rPr/>
            </w:pPr>
            <w:r>
              <w:rPr/>
              <w:t> </w:t>
            </w:r>
          </w:p>
        </w:tc>
        <w:tc>
          <w:tcPr>
            <w:tcW w:w="1123" w:type="dxa"/>
            <w:tcBorders>
              <w:bottom w:val="single" w:sz="12" w:space="0" w:color="000000"/>
            </w:tcBorders>
            <w:shd w:fill="FFFFFF" w:val="clear"/>
            <w:vAlign w:val="center"/>
          </w:tcPr>
          <w:p>
            <w:pPr>
              <w:pStyle w:val="TableContents"/>
              <w:bidi w:val="0"/>
              <w:spacing w:before="0" w:after="283"/>
              <w:jc w:val="right"/>
              <w:rPr/>
            </w:pPr>
            <w:r>
              <w:rPr/>
              <w:t>—</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67" w:type="dxa"/>
            <w:tcBorders>
              <w:bottom w:val="single" w:sz="12" w:space="0" w:color="000000"/>
            </w:tcBorders>
            <w:shd w:fill="FFFFFF" w:val="clear"/>
            <w:vAlign w:val="center"/>
          </w:tcPr>
          <w:p>
            <w:pPr>
              <w:pStyle w:val="TableContents"/>
              <w:bidi w:val="0"/>
              <w:spacing w:before="0" w:after="283"/>
              <w:jc w:val="left"/>
              <w:rPr/>
            </w:pPr>
            <w:r>
              <w:rPr/>
              <w:t> </w:t>
            </w:r>
          </w:p>
        </w:tc>
        <w:tc>
          <w:tcPr>
            <w:tcW w:w="812" w:type="dxa"/>
            <w:tcBorders>
              <w:bottom w:val="single" w:sz="12" w:space="0" w:color="000000"/>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771</w:t>
            </w:r>
          </w:p>
        </w:tc>
        <w:tc>
          <w:tcPr>
            <w:tcW w:w="75" w:type="dxa"/>
            <w:tcBorders/>
            <w:shd w:fill="FFFFFF" w:val="clear"/>
            <w:tcMar>
              <w:bottom w:w="0" w:type="dxa"/>
            </w:tcMar>
            <w:vAlign w:val="center"/>
          </w:tcPr>
          <w:p>
            <w:pPr>
              <w:pStyle w:val="TableContents"/>
              <w:bidi w:val="0"/>
              <w:spacing w:before="0" w:after="283"/>
              <w:jc w:val="left"/>
              <w:rPr/>
            </w:pPr>
            <w:r>
              <w:rPr/>
              <w:t> </w:t>
            </w:r>
          </w:p>
        </w:tc>
      </w:tr>
      <w:tr>
        <w:trPr/>
        <w:tc>
          <w:tcPr>
            <w:tcW w:w="2720" w:type="dxa"/>
            <w:tcBorders/>
            <w:shd w:fill="CCEEFF" w:val="clear"/>
            <w:tcMar>
              <w:bottom w:w="0" w:type="dxa"/>
            </w:tcM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Total</w:t>
            </w:r>
          </w:p>
        </w:tc>
        <w:tc>
          <w:tcPr>
            <w:tcW w:w="60" w:type="dxa"/>
            <w:tcBorders/>
            <w:shd w:fill="CCEEFF" w:val="clear"/>
            <w:tcMar>
              <w:bottom w:w="0" w:type="dxa"/>
            </w:tcMar>
            <w:vAlign w:val="center"/>
          </w:tcPr>
          <w:p>
            <w:pPr>
              <w:pStyle w:val="TableContents"/>
              <w:bidi w:val="0"/>
              <w:spacing w:before="0" w:after="283"/>
              <w:jc w:val="left"/>
              <w:rPr/>
            </w:pPr>
            <w:r>
              <w:rPr/>
              <w:t> </w:t>
            </w:r>
          </w:p>
        </w:tc>
        <w:tc>
          <w:tcPr>
            <w:tcW w:w="154" w:type="dxa"/>
            <w:tcBorders>
              <w:bottom w:val="double" w:sz="10" w:space="0" w:color="000000"/>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750" w:type="dxa"/>
            <w:tcBorders>
              <w:bottom w:val="double" w:sz="10" w:space="0" w:color="000000"/>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61,565</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47" w:type="dxa"/>
            <w:tcBorders>
              <w:bottom w:val="double" w:sz="10" w:space="0" w:color="000000"/>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123" w:type="dxa"/>
            <w:tcBorders>
              <w:bottom w:val="double" w:sz="10" w:space="0" w:color="000000"/>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(9,749</w:t>
            </w:r>
          </w:p>
        </w:tc>
        <w:tc>
          <w:tcPr>
            <w:tcW w:w="95"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167" w:type="dxa"/>
            <w:tcBorders>
              <w:bottom w:val="double" w:sz="10" w:space="0" w:color="000000"/>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812" w:type="dxa"/>
            <w:tcBorders>
              <w:bottom w:val="double" w:sz="10" w:space="0" w:color="000000"/>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51,816</w:t>
            </w:r>
          </w:p>
        </w:tc>
        <w:tc>
          <w:tcPr>
            <w:tcW w:w="75" w:type="dxa"/>
            <w:tcBorders/>
            <w:shd w:fill="CCEEFF" w:val="clear"/>
            <w:tcMar>
              <w:bottom w:w="0" w:type="dxa"/>
            </w:tcM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tbl>
      <w:tblPr>
        <w:tblW w:w="6383" w:type="dxa"/>
        <w:jc w:val="left"/>
        <w:tblInd w:w="0" w:type="dxa"/>
        <w:tblLayout w:type="fixed"/>
        <w:tblCellMar>
          <w:top w:w="0" w:type="dxa"/>
          <w:left w:w="0" w:type="dxa"/>
          <w:bottom w:w="28" w:type="dxa"/>
          <w:right w:w="0" w:type="dxa"/>
        </w:tblCellMar>
      </w:tblPr>
      <w:tblGrid>
        <w:gridCol w:w="2720"/>
        <w:gridCol w:w="60"/>
        <w:gridCol w:w="154"/>
        <w:gridCol w:w="750"/>
        <w:gridCol w:w="60"/>
        <w:gridCol w:w="60"/>
        <w:gridCol w:w="247"/>
        <w:gridCol w:w="1123"/>
        <w:gridCol w:w="95"/>
        <w:gridCol w:w="60"/>
        <w:gridCol w:w="167"/>
        <w:gridCol w:w="812"/>
        <w:gridCol w:w="75"/>
      </w:tblGrid>
      <w:tr>
        <w:trPr/>
        <w:tc>
          <w:tcPr>
            <w:tcW w:w="2720" w:type="dxa"/>
            <w:tcBorders>
              <w:bottom w:val="single" w:sz="12" w:space="0" w:color="000000"/>
            </w:tcBorders>
            <w:vAlign w:val="center"/>
          </w:tcPr>
          <w:p>
            <w:pPr>
              <w:pStyle w:val="TableContents"/>
              <w:bidi w:val="0"/>
              <w:spacing w:before="0" w:after="283"/>
              <w:jc w:val="both"/>
              <w:rPr>
                <w:rFonts w:ascii="Times New Roman;Times;Serif" w:hAnsi="Times New Roman;Times;Serif"/>
                <w:b/>
              </w:rPr>
            </w:pPr>
            <w:r>
              <w:rPr>
                <w:rFonts w:ascii="Times New Roman;Times;Serif" w:hAnsi="Times New Roman;Times;Serif"/>
                <w:b/>
              </w:rPr>
              <w:t>As of December 28, 2025</w:t>
            </w:r>
          </w:p>
        </w:tc>
        <w:tc>
          <w:tcPr>
            <w:tcW w:w="60" w:type="dxa"/>
            <w:tcBorders/>
            <w:tcMar>
              <w:bottom w:w="0" w:type="dxa"/>
            </w:tcMar>
            <w:vAlign w:val="center"/>
          </w:tcPr>
          <w:p>
            <w:pPr>
              <w:pStyle w:val="TableContents"/>
              <w:bidi w:val="0"/>
              <w:spacing w:before="0" w:after="283"/>
              <w:jc w:val="left"/>
              <w:rPr/>
            </w:pPr>
            <w:r>
              <w:rPr/>
              <w:t> </w:t>
            </w:r>
          </w:p>
        </w:tc>
        <w:tc>
          <w:tcPr>
            <w:tcW w:w="904" w:type="dxa"/>
            <w:gridSpan w:val="2"/>
            <w:tcBorders>
              <w:bottom w:val="single" w:sz="12"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Gross</w:t>
              <w:br/>
              <w:t>Carrying</w:t>
              <w:br/>
              <w:t>Amount</w:t>
            </w:r>
            <w:r>
              <w:rPr>
                <w:rFonts w:ascii="Times New Roman;Times;Serif" w:hAnsi="Times New Roman;Times;Serif"/>
                <w:b/>
                <w:position w:val="7"/>
                <w:sz w:val="16"/>
                <w:sz w:val="20"/>
              </w:rPr>
              <w:t>(1)</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370" w:type="dxa"/>
            <w:gridSpan w:val="2"/>
            <w:tcBorders>
              <w:bottom w:val="single" w:sz="12" w:space="0" w:color="000000"/>
            </w:tcBorders>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Accumulated</w:t>
              <w:br/>
              <w:t>Amortization</w:t>
            </w:r>
          </w:p>
        </w:tc>
        <w:tc>
          <w:tcPr>
            <w:tcW w:w="9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979" w:type="dxa"/>
            <w:gridSpan w:val="2"/>
            <w:tcBorders>
              <w:bottom w:val="single" w:sz="12" w:space="0" w:color="000000"/>
            </w:tcBorders>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Net Book</w:t>
              <w:br/>
              <w:t>Value</w:t>
            </w:r>
          </w:p>
        </w:tc>
        <w:tc>
          <w:tcPr>
            <w:tcW w:w="75" w:type="dxa"/>
            <w:tcBorders/>
            <w:tcMar>
              <w:bottom w:w="0" w:type="dxa"/>
            </w:tcMar>
            <w:vAlign w:val="center"/>
          </w:tcPr>
          <w:p>
            <w:pPr>
              <w:pStyle w:val="TableContents"/>
              <w:bidi w:val="0"/>
              <w:spacing w:before="0" w:after="283"/>
              <w:jc w:val="left"/>
              <w:rPr/>
            </w:pPr>
            <w:r>
              <w:rPr/>
              <w:t> </w:t>
            </w:r>
          </w:p>
        </w:tc>
      </w:tr>
      <w:tr>
        <w:trPr/>
        <w:tc>
          <w:tcPr>
            <w:tcW w:w="2720" w:type="dxa"/>
            <w:tcBorders/>
            <w:shd w:fill="CCEEFF" w:val="clear"/>
            <w:tcMar>
              <w:bottom w:w="0" w:type="dxa"/>
            </w:tcM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Customer related intangibles</w:t>
            </w:r>
          </w:p>
        </w:tc>
        <w:tc>
          <w:tcPr>
            <w:tcW w:w="60" w:type="dxa"/>
            <w:tcBorders/>
            <w:shd w:fill="CCEEFF" w:val="clear"/>
            <w:tcMar>
              <w:bottom w:w="0" w:type="dxa"/>
            </w:tcMar>
            <w:vAlign w:val="center"/>
          </w:tcPr>
          <w:p>
            <w:pPr>
              <w:pStyle w:val="TableContents"/>
              <w:bidi w:val="0"/>
              <w:spacing w:before="0" w:after="283"/>
              <w:jc w:val="left"/>
              <w:rPr/>
            </w:pPr>
            <w:r>
              <w:rPr/>
              <w:t> </w:t>
            </w:r>
          </w:p>
        </w:tc>
        <w:tc>
          <w:tcPr>
            <w:tcW w:w="154"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750"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34,000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47"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123"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(3,198</w:t>
            </w:r>
          </w:p>
        </w:tc>
        <w:tc>
          <w:tcPr>
            <w:tcW w:w="95"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167"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812"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30,802</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2720" w:type="dxa"/>
            <w:tcBorders/>
            <w:shd w:fill="FFFFFF" w:val="clear"/>
            <w:tcMar>
              <w:bottom w:w="0" w:type="dxa"/>
            </w:tcM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Trademarks</w:t>
            </w:r>
          </w:p>
        </w:tc>
        <w:tc>
          <w:tcPr>
            <w:tcW w:w="60" w:type="dxa"/>
            <w:tcBorders/>
            <w:shd w:fill="FFFFFF" w:val="clear"/>
            <w:tcMar>
              <w:bottom w:w="0" w:type="dxa"/>
            </w:tcMar>
            <w:vAlign w:val="center"/>
          </w:tcPr>
          <w:p>
            <w:pPr>
              <w:pStyle w:val="TableContents"/>
              <w:bidi w:val="0"/>
              <w:spacing w:before="0" w:after="283"/>
              <w:jc w:val="left"/>
              <w:rPr/>
            </w:pPr>
            <w:r>
              <w:rPr/>
              <w:t> </w:t>
            </w:r>
          </w:p>
        </w:tc>
        <w:tc>
          <w:tcPr>
            <w:tcW w:w="154" w:type="dxa"/>
            <w:tcBorders/>
            <w:shd w:fill="FFFFFF" w:val="clear"/>
            <w:tcMar>
              <w:bottom w:w="0" w:type="dxa"/>
            </w:tcMar>
            <w:vAlign w:val="center"/>
          </w:tcPr>
          <w:p>
            <w:pPr>
              <w:pStyle w:val="TableContents"/>
              <w:bidi w:val="0"/>
              <w:spacing w:before="0" w:after="283"/>
              <w:jc w:val="left"/>
              <w:rPr/>
            </w:pPr>
            <w:r>
              <w:rPr/>
              <w:t> </w:t>
            </w:r>
          </w:p>
        </w:tc>
        <w:tc>
          <w:tcPr>
            <w:tcW w:w="750" w:type="dxa"/>
            <w:tcBorders/>
            <w:shd w:fill="FFFF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18,394</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47" w:type="dxa"/>
            <w:tcBorders/>
            <w:shd w:fill="FFFFFF" w:val="clear"/>
            <w:tcMar>
              <w:bottom w:w="0" w:type="dxa"/>
            </w:tcMar>
            <w:vAlign w:val="center"/>
          </w:tcPr>
          <w:p>
            <w:pPr>
              <w:pStyle w:val="TableContents"/>
              <w:bidi w:val="0"/>
              <w:spacing w:before="0" w:after="283"/>
              <w:jc w:val="left"/>
              <w:rPr/>
            </w:pPr>
            <w:r>
              <w:rPr/>
              <w:t> </w:t>
            </w:r>
          </w:p>
        </w:tc>
        <w:tc>
          <w:tcPr>
            <w:tcW w:w="1123" w:type="dxa"/>
            <w:tcBorders/>
            <w:shd w:fill="FFFF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(1,707</w:t>
            </w:r>
          </w:p>
        </w:tc>
        <w:tc>
          <w:tcPr>
            <w:tcW w:w="95" w:type="dxa"/>
            <w:tcBorders/>
            <w:shd w:fill="FFFF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167" w:type="dxa"/>
            <w:tcBorders/>
            <w:shd w:fill="FFFFFF" w:val="clear"/>
            <w:tcMar>
              <w:bottom w:w="0" w:type="dxa"/>
            </w:tcMar>
            <w:vAlign w:val="center"/>
          </w:tcPr>
          <w:p>
            <w:pPr>
              <w:pStyle w:val="TableContents"/>
              <w:bidi w:val="0"/>
              <w:spacing w:before="0" w:after="283"/>
              <w:jc w:val="left"/>
              <w:rPr/>
            </w:pPr>
            <w:r>
              <w:rPr/>
              <w:t> </w:t>
            </w:r>
          </w:p>
        </w:tc>
        <w:tc>
          <w:tcPr>
            <w:tcW w:w="812" w:type="dxa"/>
            <w:tcBorders/>
            <w:shd w:fill="FFFF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16,687</w:t>
            </w:r>
          </w:p>
        </w:tc>
        <w:tc>
          <w:tcPr>
            <w:tcW w:w="75" w:type="dxa"/>
            <w:tcBorders/>
            <w:shd w:fill="FFFFFF" w:val="clear"/>
            <w:tcMar>
              <w:bottom w:w="0" w:type="dxa"/>
            </w:tcMar>
            <w:vAlign w:val="center"/>
          </w:tcPr>
          <w:p>
            <w:pPr>
              <w:pStyle w:val="TableContents"/>
              <w:bidi w:val="0"/>
              <w:spacing w:before="0" w:after="283"/>
              <w:jc w:val="left"/>
              <w:rPr/>
            </w:pPr>
            <w:r>
              <w:rPr/>
              <w:t> </w:t>
            </w:r>
          </w:p>
        </w:tc>
      </w:tr>
      <w:tr>
        <w:trPr/>
        <w:tc>
          <w:tcPr>
            <w:tcW w:w="2720" w:type="dxa"/>
            <w:tcBorders/>
            <w:shd w:fill="CCEEFF" w:val="clear"/>
            <w:tcMar>
              <w:bottom w:w="0" w:type="dxa"/>
            </w:tcM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Developed technology</w:t>
            </w:r>
          </w:p>
        </w:tc>
        <w:tc>
          <w:tcPr>
            <w:tcW w:w="60" w:type="dxa"/>
            <w:tcBorders/>
            <w:shd w:fill="CCEEFF" w:val="clear"/>
            <w:tcMar>
              <w:bottom w:w="0" w:type="dxa"/>
            </w:tcMar>
            <w:vAlign w:val="center"/>
          </w:tcPr>
          <w:p>
            <w:pPr>
              <w:pStyle w:val="TableContents"/>
              <w:bidi w:val="0"/>
              <w:spacing w:before="0" w:after="283"/>
              <w:jc w:val="left"/>
              <w:rPr/>
            </w:pPr>
            <w:r>
              <w:rPr/>
              <w:t> </w:t>
            </w:r>
          </w:p>
        </w:tc>
        <w:tc>
          <w:tcPr>
            <w:tcW w:w="154" w:type="dxa"/>
            <w:tcBorders>
              <w:bottom w:val="single" w:sz="12" w:space="0" w:color="000000"/>
            </w:tcBorders>
            <w:shd w:fill="CCEEFF" w:val="clear"/>
            <w:vAlign w:val="center"/>
          </w:tcPr>
          <w:p>
            <w:pPr>
              <w:pStyle w:val="TableContents"/>
              <w:bidi w:val="0"/>
              <w:spacing w:before="0" w:after="283"/>
              <w:jc w:val="left"/>
              <w:rPr/>
            </w:pPr>
            <w:r>
              <w:rPr/>
              <w:t> </w:t>
            </w:r>
          </w:p>
        </w:tc>
        <w:tc>
          <w:tcPr>
            <w:tcW w:w="750" w:type="dxa"/>
            <w:tcBorders>
              <w:bottom w:val="single" w:sz="12" w:space="0" w:color="000000"/>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5,300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47" w:type="dxa"/>
            <w:tcBorders>
              <w:bottom w:val="single" w:sz="12" w:space="0" w:color="000000"/>
            </w:tcBorders>
            <w:shd w:fill="CCEEFF" w:val="clear"/>
            <w:vAlign w:val="center"/>
          </w:tcPr>
          <w:p>
            <w:pPr>
              <w:pStyle w:val="TableContents"/>
              <w:bidi w:val="0"/>
              <w:spacing w:before="0" w:after="283"/>
              <w:jc w:val="left"/>
              <w:rPr/>
            </w:pPr>
            <w:r>
              <w:rPr/>
              <w:t> </w:t>
            </w:r>
          </w:p>
        </w:tc>
        <w:tc>
          <w:tcPr>
            <w:tcW w:w="1123" w:type="dxa"/>
            <w:tcBorders>
              <w:bottom w:val="single" w:sz="12" w:space="0" w:color="000000"/>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(1,975</w:t>
            </w:r>
          </w:p>
        </w:tc>
        <w:tc>
          <w:tcPr>
            <w:tcW w:w="95"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167" w:type="dxa"/>
            <w:tcBorders>
              <w:bottom w:val="single" w:sz="12" w:space="0" w:color="000000"/>
            </w:tcBorders>
            <w:shd w:fill="CCEEFF" w:val="clear"/>
            <w:vAlign w:val="center"/>
          </w:tcPr>
          <w:p>
            <w:pPr>
              <w:pStyle w:val="TableContents"/>
              <w:bidi w:val="0"/>
              <w:spacing w:before="0" w:after="283"/>
              <w:jc w:val="left"/>
              <w:rPr/>
            </w:pPr>
            <w:r>
              <w:rPr/>
              <w:t> </w:t>
            </w:r>
          </w:p>
        </w:tc>
        <w:tc>
          <w:tcPr>
            <w:tcW w:w="812" w:type="dxa"/>
            <w:tcBorders>
              <w:bottom w:val="single" w:sz="12" w:space="0" w:color="000000"/>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3,325</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2720" w:type="dxa"/>
            <w:tcBorders/>
            <w:shd w:fill="FFFFFF" w:val="clear"/>
            <w:tcMar>
              <w:bottom w:w="0" w:type="dxa"/>
            </w:tcM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Total</w:t>
            </w:r>
          </w:p>
        </w:tc>
        <w:tc>
          <w:tcPr>
            <w:tcW w:w="60" w:type="dxa"/>
            <w:tcBorders/>
            <w:shd w:fill="FFFFFF" w:val="clear"/>
            <w:tcMar>
              <w:bottom w:w="0" w:type="dxa"/>
            </w:tcMar>
            <w:vAlign w:val="center"/>
          </w:tcPr>
          <w:p>
            <w:pPr>
              <w:pStyle w:val="TableContents"/>
              <w:bidi w:val="0"/>
              <w:spacing w:before="0" w:after="283"/>
              <w:jc w:val="left"/>
              <w:rPr/>
            </w:pPr>
            <w:r>
              <w:rPr/>
              <w:t> </w:t>
            </w:r>
          </w:p>
        </w:tc>
        <w:tc>
          <w:tcPr>
            <w:tcW w:w="154" w:type="dxa"/>
            <w:tcBorders>
              <w:bottom w:val="double" w:sz="10" w:space="0" w:color="000000"/>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750" w:type="dxa"/>
            <w:tcBorders>
              <w:bottom w:val="double" w:sz="10" w:space="0" w:color="000000"/>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57,694</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47" w:type="dxa"/>
            <w:tcBorders>
              <w:bottom w:val="double" w:sz="10" w:space="0" w:color="000000"/>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123" w:type="dxa"/>
            <w:tcBorders>
              <w:bottom w:val="double" w:sz="10" w:space="0" w:color="000000"/>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(6,880</w:t>
            </w:r>
          </w:p>
        </w:tc>
        <w:tc>
          <w:tcPr>
            <w:tcW w:w="95" w:type="dxa"/>
            <w:tcBorders/>
            <w:shd w:fill="FFFF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167" w:type="dxa"/>
            <w:tcBorders>
              <w:bottom w:val="double" w:sz="10" w:space="0" w:color="000000"/>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812" w:type="dxa"/>
            <w:tcBorders>
              <w:bottom w:val="double" w:sz="10" w:space="0" w:color="000000"/>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50,814</w:t>
            </w:r>
          </w:p>
        </w:tc>
        <w:tc>
          <w:tcPr>
            <w:tcW w:w="75" w:type="dxa"/>
            <w:tcBorders/>
            <w:shd w:fill="FFFFFF" w:val="clear"/>
            <w:tcMar>
              <w:bottom w:w="0" w:type="dxa"/>
            </w:tcM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Aggregate amortization expense for intangible assets was $2.9 million and $0.7 million in the thirteen week periods ended March 29, 2026 and March 30, 2025, respectively. Amortization expense for developed technology is classified in cost of revenues and all other amortization expense is classified in general and administrative expenses on the Company’s unaudited condensed consolidated statements of operations and comprehensive income.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(8) SAFE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 xml:space="preserve">Third SAFE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May 13, 2024, the Company entered into a third SAFE (the “Third SAFE”) with the Rodgers Massey Freedom and Free Markets Charitable Trust (the “Purchaser”), in connection with the Purchaser investing $1.0 million in the Company. The Third SAFE is convertible into shares of the Company’s common stock upon the initial closing of a bona fide transaction or series of transactions with the principal purpose of raising capital, pursuant to which the Company issues and sells shares of its common stock in an Equity Financing, at a per share conversion price which is equal to 50% of the price per share of the Company’s common stock sold in the Equity Financing. If the Company consummates a change of control prior to the termination of the Third SAFE, the Purchaser will be automatically entitled to receive a portion of the proceeds of such liquidity event equal to $1.0 million, subject to certain adjustments as set forth in the Third SAFE. The Third SAFE is convertible into a maximum of 2,750,000 shares of the Company’s common stock, assuming a per share conversion price of $0.275, which is the product of (i) $0.55, the closing price of the Company’s common stock on May 13, 2024, multiplied by (ii) 50%. Given that the SAFE could be settled in cash or a variable number of shares, the Company has accounted for the instrument as a liability at its fair value.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SAFE liability represents the estimated fair value of the Company’s obligation to issue equity in the future. The fair value of the Third SAFE approximated $0.6 million and $0.5 million as of March 29, 2026 and December 28, 2025, respectively. Refer to </w:t>
      </w:r>
      <w:r>
        <w:rPr>
          <w:rFonts w:ascii="Times New Roman;Times;Serif" w:hAnsi="Times New Roman;Times;Serif"/>
          <w:b/>
          <w:i w:val="false"/>
          <w:caps w:val="false"/>
          <w:smallCaps w:val="false"/>
          <w:sz w:val="20"/>
        </w:rPr>
        <w:t xml:space="preserve">Note 5 – Fair Value Measurements </w:t>
      </w:r>
      <w:r>
        <w:rPr>
          <w:rFonts w:ascii="Times New Roman;Times;Serif" w:hAnsi="Times New Roman;Times;Serif"/>
          <w:b w:val="false"/>
          <w:i w:val="false"/>
          <w:caps w:val="false"/>
          <w:smallCaps w:val="false"/>
          <w:sz w:val="20"/>
        </w:rPr>
        <w:t>for details.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On April 23, 2026, the SAFE was converted and exchanged into $1.0 million principal amount of the Company’s 10.0% convertible secured notes due 2029. Refer to </w:t>
      </w:r>
      <w:r>
        <w:rPr>
          <w:rFonts w:ascii="Times New Roman;Times;Serif" w:hAnsi="Times New Roman;Times;Serif"/>
          <w:b/>
          <w:i w:val="false"/>
          <w:caps w:val="false"/>
          <w:smallCaps w:val="false"/>
          <w:sz w:val="20"/>
        </w:rPr>
        <w:t xml:space="preserve">Note 18 – Subsequent Events </w:t>
      </w:r>
      <w:r>
        <w:rPr>
          <w:rFonts w:ascii="Times New Roman;Times;Serif" w:hAnsi="Times New Roman;Times;Serif"/>
          <w:b w:val="false"/>
          <w:i w:val="false"/>
          <w:caps w:val="false"/>
          <w:smallCaps w:val="false"/>
          <w:sz w:val="20"/>
        </w:rPr>
        <w:t>for details.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sz w:val="20"/>
          <w:bdr w:val="single" w:sz="12" w:space="1" w:color="000000"/>
        </w:rPr>
      </w:pPr>
      <w:r>
        <w:rPr>
          <w:sz w:val="20"/>
          <w:bdr w:val="single" w:sz="12" w:space="1" w:color="000000"/>
        </w:rPr>
        <w:t>F-28</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(9) Borrowings and Derivative Liabilities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Company’s borrowings and derivative liabilities consisted of the following </w:t>
      </w:r>
      <w:r>
        <w:rPr>
          <w:rFonts w:ascii="Times New Roman;Times;Serif" w:hAnsi="Times New Roman;Times;Serif"/>
          <w:b w:val="false"/>
          <w:i/>
          <w:caps w:val="false"/>
          <w:smallCaps w:val="false"/>
          <w:sz w:val="20"/>
        </w:rPr>
        <w:t>(in thousands)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435"/>
        <w:gridCol w:w="60"/>
        <w:gridCol w:w="155"/>
        <w:gridCol w:w="887"/>
        <w:gridCol w:w="95"/>
        <w:gridCol w:w="60"/>
        <w:gridCol w:w="207"/>
        <w:gridCol w:w="1194"/>
        <w:gridCol w:w="112"/>
      </w:tblGrid>
      <w:tr>
        <w:trPr/>
        <w:tc>
          <w:tcPr>
            <w:tcW w:w="743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2598" w:type="dxa"/>
            <w:gridSpan w:val="6"/>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As of</w:t>
            </w:r>
          </w:p>
        </w:tc>
        <w:tc>
          <w:tcPr>
            <w:tcW w:w="112" w:type="dxa"/>
            <w:tcBorders/>
            <w:vAlign w:val="center"/>
          </w:tcPr>
          <w:p>
            <w:pPr>
              <w:pStyle w:val="TableContents"/>
              <w:bidi w:val="0"/>
              <w:spacing w:before="0" w:after="283"/>
              <w:jc w:val="left"/>
              <w:rPr/>
            </w:pPr>
            <w:r>
              <w:rPr/>
              <w:t> </w:t>
            </w:r>
          </w:p>
        </w:tc>
      </w:tr>
      <w:tr>
        <w:trPr/>
        <w:tc>
          <w:tcPr>
            <w:tcW w:w="743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042" w:type="dxa"/>
            <w:gridSpan w:val="2"/>
            <w:tcBorders/>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March 29,</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1" w:type="dxa"/>
            <w:gridSpan w:val="2"/>
            <w:tcBorders/>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December 28,</w:t>
            </w:r>
          </w:p>
        </w:tc>
        <w:tc>
          <w:tcPr>
            <w:tcW w:w="112" w:type="dxa"/>
            <w:tcBorders/>
            <w:vAlign w:val="center"/>
          </w:tcPr>
          <w:p>
            <w:pPr>
              <w:pStyle w:val="TableContents"/>
              <w:bidi w:val="0"/>
              <w:spacing w:before="0" w:after="283"/>
              <w:jc w:val="left"/>
              <w:rPr/>
            </w:pPr>
            <w:r>
              <w:rPr/>
              <w:t> </w:t>
            </w:r>
          </w:p>
        </w:tc>
      </w:tr>
      <w:tr>
        <w:trPr/>
        <w:tc>
          <w:tcPr>
            <w:tcW w:w="743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042"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2026</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1"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2025</w:t>
            </w:r>
          </w:p>
        </w:tc>
        <w:tc>
          <w:tcPr>
            <w:tcW w:w="112" w:type="dxa"/>
            <w:tcBorders/>
            <w:vAlign w:val="center"/>
          </w:tcPr>
          <w:p>
            <w:pPr>
              <w:pStyle w:val="TableContents"/>
              <w:bidi w:val="0"/>
              <w:spacing w:before="0" w:after="283"/>
              <w:jc w:val="left"/>
              <w:rPr/>
            </w:pPr>
            <w:r>
              <w:rPr/>
              <w:t> </w:t>
            </w:r>
          </w:p>
        </w:tc>
      </w:tr>
      <w:tr>
        <w:trPr/>
        <w:tc>
          <w:tcPr>
            <w:tcW w:w="7435" w:type="dxa"/>
            <w:tcBorders/>
            <w:vAlign w:val="center"/>
          </w:tcPr>
          <w:p>
            <w:pPr>
              <w:pStyle w:val="TableContents"/>
              <w:bidi w:val="0"/>
              <w:spacing w:before="0" w:after="283"/>
              <w:jc w:val="both"/>
              <w:rPr>
                <w:rFonts w:ascii="Times New Roman;Times;Serif" w:hAnsi="Times New Roman;Times;Serif"/>
                <w:b/>
              </w:rPr>
            </w:pPr>
            <w:r>
              <w:rPr>
                <w:rFonts w:ascii="Times New Roman;Times;Serif" w:hAnsi="Times New Roman;Times;Serif"/>
                <w:b/>
              </w:rPr>
              <w:t>Short-term debt (including current portion of long-term debt):</w:t>
            </w:r>
          </w:p>
        </w:tc>
        <w:tc>
          <w:tcPr>
            <w:tcW w:w="60" w:type="dxa"/>
            <w:tcBorders/>
            <w:vAlign w:val="center"/>
          </w:tcPr>
          <w:p>
            <w:pPr>
              <w:pStyle w:val="TableContents"/>
              <w:bidi w:val="0"/>
              <w:spacing w:before="0" w:after="283"/>
              <w:jc w:val="left"/>
              <w:rPr/>
            </w:pPr>
            <w:r>
              <w:rPr/>
              <w:t> </w:t>
            </w:r>
          </w:p>
        </w:tc>
        <w:tc>
          <w:tcPr>
            <w:tcW w:w="1042" w:type="dxa"/>
            <w:gridSpan w:val="2"/>
            <w:tcBorders/>
            <w:vAlign w:val="center"/>
          </w:tcPr>
          <w:p>
            <w:pPr>
              <w:pStyle w:val="TableContents"/>
              <w:bidi w:val="0"/>
              <w:spacing w:before="0" w:after="283"/>
              <w:jc w:val="righ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1" w:type="dxa"/>
            <w:gridSpan w:val="2"/>
            <w:tcBorders/>
            <w:vAlign w:val="center"/>
          </w:tcPr>
          <w:p>
            <w:pPr>
              <w:pStyle w:val="TableContents"/>
              <w:bidi w:val="0"/>
              <w:spacing w:before="0" w:after="283"/>
              <w:jc w:val="right"/>
              <w:rPr/>
            </w:pPr>
            <w:r>
              <w:rPr/>
              <w:t> </w:t>
            </w:r>
          </w:p>
        </w:tc>
        <w:tc>
          <w:tcPr>
            <w:tcW w:w="112" w:type="dxa"/>
            <w:tcBorders/>
            <w:vAlign w:val="center"/>
          </w:tcPr>
          <w:p>
            <w:pPr>
              <w:pStyle w:val="TableContents"/>
              <w:bidi w:val="0"/>
              <w:spacing w:before="0" w:after="283"/>
              <w:jc w:val="left"/>
              <w:rPr/>
            </w:pPr>
            <w:r>
              <w:rPr/>
              <w:t> </w:t>
            </w:r>
          </w:p>
        </w:tc>
      </w:tr>
      <w:tr>
        <w:trPr/>
        <w:tc>
          <w:tcPr>
            <w:tcW w:w="7435" w:type="dxa"/>
            <w:tcBorders/>
            <w:shd w:fill="CCEEFF" w:val="cle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March 2026 Bridge Note</w:t>
            </w:r>
          </w:p>
        </w:tc>
        <w:tc>
          <w:tcPr>
            <w:tcW w:w="60"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887"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9,500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7"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194" w:type="dxa"/>
            <w:tcBorders/>
            <w:shd w:fill="CCEEFF" w:val="clear"/>
            <w:vAlign w:val="center"/>
          </w:tcPr>
          <w:p>
            <w:pPr>
              <w:pStyle w:val="TableContents"/>
              <w:bidi w:val="0"/>
              <w:spacing w:before="0" w:after="283"/>
              <w:jc w:val="right"/>
              <w:rPr/>
            </w:pPr>
            <w:r>
              <w:rPr/>
              <w:t>—</w:t>
            </w:r>
          </w:p>
        </w:tc>
        <w:tc>
          <w:tcPr>
            <w:tcW w:w="112" w:type="dxa"/>
            <w:tcBorders/>
            <w:shd w:fill="CCEEFF" w:val="clear"/>
            <w:vAlign w:val="center"/>
          </w:tcPr>
          <w:p>
            <w:pPr>
              <w:pStyle w:val="TableContents"/>
              <w:bidi w:val="0"/>
              <w:spacing w:before="0" w:after="283"/>
              <w:jc w:val="left"/>
              <w:rPr/>
            </w:pPr>
            <w:r>
              <w:rPr/>
              <w:t> </w:t>
            </w:r>
          </w:p>
        </w:tc>
      </w:tr>
      <w:tr>
        <w:trPr/>
        <w:tc>
          <w:tcPr>
            <w:tcW w:w="7435" w:type="dxa"/>
            <w:tcBorders/>
            <w:shd w:fill="FFFFFF" w:val="cle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$1.9 Million Note</w:t>
            </w:r>
          </w:p>
        </w:tc>
        <w:tc>
          <w:tcPr>
            <w:tcW w:w="60" w:type="dxa"/>
            <w:tcBorders/>
            <w:shd w:fill="FFFFFF" w:val="clear"/>
            <w:vAlign w:val="center"/>
          </w:tcPr>
          <w:p>
            <w:pPr>
              <w:pStyle w:val="TableContents"/>
              <w:bidi w:val="0"/>
              <w:spacing w:before="0" w:after="283"/>
              <w:jc w:val="left"/>
              <w:rPr/>
            </w:pPr>
            <w:r>
              <w:rPr/>
              <w:t> </w:t>
            </w:r>
          </w:p>
        </w:tc>
        <w:tc>
          <w:tcPr>
            <w:tcW w:w="155" w:type="dxa"/>
            <w:tcBorders/>
            <w:shd w:fill="FFFFFF" w:val="clear"/>
            <w:vAlign w:val="center"/>
          </w:tcPr>
          <w:p>
            <w:pPr>
              <w:pStyle w:val="TableContents"/>
              <w:bidi w:val="0"/>
              <w:spacing w:before="0" w:after="283"/>
              <w:jc w:val="left"/>
              <w:rPr/>
            </w:pPr>
            <w:r>
              <w:rPr/>
              <w:t> </w:t>
            </w:r>
          </w:p>
        </w:tc>
        <w:tc>
          <w:tcPr>
            <w:tcW w:w="887"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1,530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7" w:type="dxa"/>
            <w:tcBorders/>
            <w:shd w:fill="FFFFFF" w:val="clear"/>
            <w:vAlign w:val="center"/>
          </w:tcPr>
          <w:p>
            <w:pPr>
              <w:pStyle w:val="TableContents"/>
              <w:bidi w:val="0"/>
              <w:spacing w:before="0" w:after="283"/>
              <w:jc w:val="left"/>
              <w:rPr/>
            </w:pPr>
            <w:r>
              <w:rPr/>
              <w:t> </w:t>
            </w:r>
          </w:p>
        </w:tc>
        <w:tc>
          <w:tcPr>
            <w:tcW w:w="1194" w:type="dxa"/>
            <w:tcBorders/>
            <w:shd w:fill="FFFFFF" w:val="clear"/>
            <w:vAlign w:val="center"/>
          </w:tcPr>
          <w:p>
            <w:pPr>
              <w:pStyle w:val="TableContents"/>
              <w:bidi w:val="0"/>
              <w:spacing w:before="0" w:after="283"/>
              <w:jc w:val="right"/>
              <w:rPr/>
            </w:pPr>
            <w:r>
              <w:rPr/>
              <w:t>—</w:t>
            </w:r>
          </w:p>
        </w:tc>
        <w:tc>
          <w:tcPr>
            <w:tcW w:w="112" w:type="dxa"/>
            <w:tcBorders/>
            <w:shd w:fill="FFFFFF" w:val="clear"/>
            <w:vAlign w:val="center"/>
          </w:tcPr>
          <w:p>
            <w:pPr>
              <w:pStyle w:val="TableContents"/>
              <w:bidi w:val="0"/>
              <w:spacing w:before="0" w:after="283"/>
              <w:jc w:val="left"/>
              <w:rPr/>
            </w:pPr>
            <w:r>
              <w:rPr/>
              <w:t> </w:t>
            </w:r>
          </w:p>
        </w:tc>
      </w:tr>
      <w:tr>
        <w:trPr/>
        <w:tc>
          <w:tcPr>
            <w:tcW w:w="7435" w:type="dxa"/>
            <w:tcBorders/>
            <w:shd w:fill="CCEEFF" w:val="clear"/>
            <w:vAlign w:val="center"/>
          </w:tcPr>
          <w:p>
            <w:pPr>
              <w:pStyle w:val="TableContents"/>
              <w:bidi w:val="0"/>
              <w:spacing w:before="0" w:after="0"/>
              <w:ind w:left="0" w:right="0" w:hanging="0"/>
              <w:jc w:val="both"/>
              <w:rPr>
                <w:rFonts w:ascii="Times New Roman;Times;Serif" w:hAnsi="Times New Roman;Times;Serif"/>
              </w:rPr>
            </w:pPr>
            <w:r>
              <w:rPr>
                <w:rFonts w:ascii="Times New Roman;Times;Serif" w:hAnsi="Times New Roman;Times;Serif"/>
              </w:rPr>
              <w:t>Cobalt Loan</w:t>
            </w:r>
          </w:p>
        </w:tc>
        <w:tc>
          <w:tcPr>
            <w:tcW w:w="60" w:type="dxa"/>
            <w:tcBorders/>
            <w:shd w:fill="CCEEFF" w:val="clear"/>
            <w:vAlign w:val="center"/>
          </w:tcPr>
          <w:p>
            <w:pPr>
              <w:pStyle w:val="TableContents"/>
              <w:bidi w:val="0"/>
              <w:spacing w:before="0" w:after="283"/>
              <w:jc w:val="left"/>
              <w:rPr/>
            </w:pPr>
            <w:r>
              <w:rPr/>
              <w:t> </w:t>
            </w:r>
          </w:p>
        </w:tc>
        <w:tc>
          <w:tcPr>
            <w:tcW w:w="155"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87" w:type="dxa"/>
            <w:tcBorders>
              <w:bottom w:val="single" w:sz="1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rPr>
            </w:pPr>
            <w:r>
              <w:rPr>
                <w:rFonts w:ascii="Times New Roman;Times;Serif" w:hAnsi="Times New Roman;Times;Serif"/>
              </w:rPr>
              <w:t>2,706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7"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94" w:type="dxa"/>
            <w:tcBorders>
              <w:bottom w:val="single" w:sz="1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112" w:type="dxa"/>
            <w:tcBorders/>
            <w:shd w:fill="CCEEFF" w:val="clear"/>
            <w:vAlign w:val="center"/>
          </w:tcPr>
          <w:p>
            <w:pPr>
              <w:pStyle w:val="TableContents"/>
              <w:bidi w:val="0"/>
              <w:spacing w:before="0" w:after="283"/>
              <w:jc w:val="left"/>
              <w:rPr/>
            </w:pPr>
            <w:r>
              <w:rPr/>
              <w:t> </w:t>
            </w:r>
          </w:p>
        </w:tc>
      </w:tr>
      <w:tr>
        <w:trPr/>
        <w:tc>
          <w:tcPr>
            <w:tcW w:w="7435" w:type="dxa"/>
            <w:tcBorders/>
            <w:shd w:fill="FFFFFF" w:val="clear"/>
            <w:vAlign w:val="center"/>
          </w:tcPr>
          <w:p>
            <w:pPr>
              <w:pStyle w:val="TableContents"/>
              <w:bidi w:val="0"/>
              <w:spacing w:before="0" w:after="0"/>
              <w:ind w:left="0" w:right="0" w:hanging="0"/>
              <w:jc w:val="both"/>
              <w:rPr>
                <w:rFonts w:ascii="Times New Roman;Times;Serif" w:hAnsi="Times New Roman;Times;Serif"/>
              </w:rPr>
            </w:pPr>
            <w:r>
              <w:rPr>
                <w:rFonts w:ascii="Times New Roman;Times;Serif" w:hAnsi="Times New Roman;Times;Serif"/>
              </w:rPr>
              <w:t>Total Short-term debt with third parties</w:t>
            </w:r>
          </w:p>
        </w:tc>
        <w:tc>
          <w:tcPr>
            <w:tcW w:w="60" w:type="dxa"/>
            <w:tcBorders/>
            <w:shd w:fill="FFFFFF" w:val="clear"/>
            <w:vAlign w:val="center"/>
          </w:tcPr>
          <w:p>
            <w:pPr>
              <w:pStyle w:val="TableContents"/>
              <w:bidi w:val="0"/>
              <w:spacing w:before="0" w:after="283"/>
              <w:jc w:val="left"/>
              <w:rPr/>
            </w:pPr>
            <w:r>
              <w:rPr/>
              <w:t> </w:t>
            </w:r>
          </w:p>
        </w:tc>
        <w:tc>
          <w:tcPr>
            <w:tcW w:w="155"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887" w:type="dxa"/>
            <w:tcBorders>
              <w:bottom w:val="single" w:sz="12" w:space="0" w:color="000000"/>
            </w:tcBorders>
            <w:shd w:fill="FFFFFF" w:val="clear"/>
            <w:tcMar>
              <w:bottom w:w="28" w:type="dxa"/>
            </w:tcMar>
            <w:vAlign w:val="center"/>
          </w:tcPr>
          <w:p>
            <w:pPr>
              <w:pStyle w:val="TableContents"/>
              <w:bidi w:val="0"/>
              <w:spacing w:before="0" w:after="0"/>
              <w:ind w:left="0" w:right="0" w:hanging="0"/>
              <w:jc w:val="right"/>
              <w:rPr>
                <w:rFonts w:ascii="Times New Roman;Times;Serif" w:hAnsi="Times New Roman;Times;Serif"/>
              </w:rPr>
            </w:pPr>
            <w:r>
              <w:rPr>
                <w:rFonts w:ascii="Times New Roman;Times;Serif" w:hAnsi="Times New Roman;Times;Serif"/>
              </w:rPr>
              <w:t>13,736</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7"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94" w:type="dxa"/>
            <w:tcBorders>
              <w:bottom w:val="single" w:sz="12" w:space="0" w:color="000000"/>
            </w:tcBorders>
            <w:shd w:fill="FFFFFF" w:val="clear"/>
            <w:tcMar>
              <w:bottom w:w="28" w:type="dxa"/>
            </w:tcMar>
            <w:vAlign w:val="center"/>
          </w:tcPr>
          <w:p>
            <w:pPr>
              <w:pStyle w:val="TableContents"/>
              <w:bidi w:val="0"/>
              <w:spacing w:before="0" w:after="0"/>
              <w:ind w:left="0" w:right="0" w:hanging="0"/>
              <w:jc w:val="right"/>
              <w:rPr/>
            </w:pPr>
            <w:r>
              <w:rPr/>
              <w:t>—</w:t>
            </w:r>
          </w:p>
        </w:tc>
        <w:tc>
          <w:tcPr>
            <w:tcW w:w="112" w:type="dxa"/>
            <w:tcBorders/>
            <w:shd w:fill="FFFFFF" w:val="clear"/>
            <w:vAlign w:val="center"/>
          </w:tcPr>
          <w:p>
            <w:pPr>
              <w:pStyle w:val="TableContents"/>
              <w:bidi w:val="0"/>
              <w:spacing w:before="0" w:after="283"/>
              <w:jc w:val="left"/>
              <w:rPr/>
            </w:pPr>
            <w:r>
              <w:rPr/>
              <w:t> </w:t>
            </w:r>
          </w:p>
        </w:tc>
      </w:tr>
      <w:tr>
        <w:trPr/>
        <w:tc>
          <w:tcPr>
            <w:tcW w:w="7435" w:type="dxa"/>
            <w:tcBorders/>
            <w:shd w:fill="CCEEFF" w:val="cle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Current portion of long-term debt</w:t>
            </w:r>
          </w:p>
        </w:tc>
        <w:tc>
          <w:tcPr>
            <w:tcW w:w="60" w:type="dxa"/>
            <w:tcBorders/>
            <w:shd w:fill="CCEEFF" w:val="clear"/>
            <w:vAlign w:val="center"/>
          </w:tcPr>
          <w:p>
            <w:pPr>
              <w:pStyle w:val="TableContents"/>
              <w:bidi w:val="0"/>
              <w:spacing w:before="0" w:after="283"/>
              <w:jc w:val="left"/>
              <w:rPr/>
            </w:pPr>
            <w:r>
              <w:rPr/>
              <w:t> </w:t>
            </w:r>
          </w:p>
        </w:tc>
        <w:tc>
          <w:tcPr>
            <w:tcW w:w="155"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87"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2,786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7"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94"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2,786</w:t>
            </w:r>
          </w:p>
        </w:tc>
        <w:tc>
          <w:tcPr>
            <w:tcW w:w="112" w:type="dxa"/>
            <w:tcBorders/>
            <w:shd w:fill="CCEEFF" w:val="clear"/>
            <w:vAlign w:val="center"/>
          </w:tcPr>
          <w:p>
            <w:pPr>
              <w:pStyle w:val="TableContents"/>
              <w:bidi w:val="0"/>
              <w:spacing w:before="0" w:after="283"/>
              <w:jc w:val="left"/>
              <w:rPr/>
            </w:pPr>
            <w:r>
              <w:rPr/>
              <w:t> </w:t>
            </w:r>
          </w:p>
        </w:tc>
      </w:tr>
      <w:tr>
        <w:trPr/>
        <w:tc>
          <w:tcPr>
            <w:tcW w:w="7435" w:type="dxa"/>
            <w:tcBorders/>
            <w:shd w:fill="FFFFFF" w:val="cle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Total short-term debt and current portion of long-term debt</w:t>
            </w:r>
          </w:p>
        </w:tc>
        <w:tc>
          <w:tcPr>
            <w:tcW w:w="60" w:type="dxa"/>
            <w:tcBorders/>
            <w:shd w:fill="FFFFFF" w:val="clear"/>
            <w:vAlign w:val="center"/>
          </w:tcPr>
          <w:p>
            <w:pPr>
              <w:pStyle w:val="TableContents"/>
              <w:bidi w:val="0"/>
              <w:spacing w:before="0" w:after="283"/>
              <w:jc w:val="left"/>
              <w:rPr/>
            </w:pPr>
            <w:r>
              <w:rPr/>
              <w:t> </w:t>
            </w:r>
          </w:p>
        </w:tc>
        <w:tc>
          <w:tcPr>
            <w:tcW w:w="155" w:type="dxa"/>
            <w:tcBorders>
              <w:bottom w:val="double" w:sz="10"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887" w:type="dxa"/>
            <w:tcBorders>
              <w:bottom w:val="double" w:sz="10"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16,522</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7" w:type="dxa"/>
            <w:tcBorders>
              <w:bottom w:val="double" w:sz="10"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194" w:type="dxa"/>
            <w:tcBorders>
              <w:bottom w:val="double" w:sz="10"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2,786</w:t>
            </w:r>
          </w:p>
        </w:tc>
        <w:tc>
          <w:tcPr>
            <w:tcW w:w="112" w:type="dxa"/>
            <w:tcBorders/>
            <w:shd w:fill="FFFFFF" w:val="clear"/>
            <w:vAlign w:val="center"/>
          </w:tcPr>
          <w:p>
            <w:pPr>
              <w:pStyle w:val="TableContents"/>
              <w:bidi w:val="0"/>
              <w:spacing w:before="0" w:after="283"/>
              <w:jc w:val="left"/>
              <w:rPr/>
            </w:pPr>
            <w:r>
              <w:rPr/>
              <w:t> </w:t>
            </w:r>
          </w:p>
        </w:tc>
      </w:tr>
      <w:tr>
        <w:trPr/>
        <w:tc>
          <w:tcPr>
            <w:tcW w:w="7435" w:type="dxa"/>
            <w:tcBorders/>
            <w:shd w:fill="CCEEFF" w:val="clear"/>
            <w:vAlign w:val="center"/>
          </w:tcPr>
          <w:p>
            <w:pPr>
              <w:pStyle w:val="TableContents"/>
              <w:bidi w:val="0"/>
              <w:spacing w:before="0" w:after="283"/>
              <w:jc w:val="both"/>
              <w:rPr/>
            </w:pPr>
            <w:r>
              <w:rPr/>
              <w:t> </w:t>
            </w:r>
          </w:p>
        </w:tc>
        <w:tc>
          <w:tcPr>
            <w:tcW w:w="60"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pPr>
            <w:r>
              <w:rPr/>
              <w:t> </w:t>
            </w:r>
          </w:p>
        </w:tc>
        <w:tc>
          <w:tcPr>
            <w:tcW w:w="887"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7" w:type="dxa"/>
            <w:tcBorders/>
            <w:shd w:fill="CCEEFF" w:val="clear"/>
            <w:vAlign w:val="center"/>
          </w:tcPr>
          <w:p>
            <w:pPr>
              <w:pStyle w:val="TableContents"/>
              <w:bidi w:val="0"/>
              <w:spacing w:before="0" w:after="283"/>
              <w:jc w:val="left"/>
              <w:rPr/>
            </w:pPr>
            <w:r>
              <w:rPr/>
              <w:t> </w:t>
            </w:r>
          </w:p>
        </w:tc>
        <w:tc>
          <w:tcPr>
            <w:tcW w:w="1194" w:type="dxa"/>
            <w:tcBorders/>
            <w:shd w:fill="CCEEFF" w:val="clear"/>
            <w:vAlign w:val="center"/>
          </w:tcPr>
          <w:p>
            <w:pPr>
              <w:pStyle w:val="TableContents"/>
              <w:bidi w:val="0"/>
              <w:spacing w:before="0" w:after="283"/>
              <w:jc w:val="right"/>
              <w:rPr/>
            </w:pPr>
            <w:r>
              <w:rPr/>
              <w:t> </w:t>
            </w:r>
          </w:p>
        </w:tc>
        <w:tc>
          <w:tcPr>
            <w:tcW w:w="112" w:type="dxa"/>
            <w:tcBorders/>
            <w:shd w:fill="CCEEFF" w:val="clear"/>
            <w:vAlign w:val="center"/>
          </w:tcPr>
          <w:p>
            <w:pPr>
              <w:pStyle w:val="TableContents"/>
              <w:bidi w:val="0"/>
              <w:spacing w:before="0" w:after="283"/>
              <w:jc w:val="left"/>
              <w:rPr/>
            </w:pPr>
            <w:r>
              <w:rPr/>
              <w:t> </w:t>
            </w:r>
          </w:p>
        </w:tc>
      </w:tr>
      <w:tr>
        <w:trPr/>
        <w:tc>
          <w:tcPr>
            <w:tcW w:w="7435" w:type="dxa"/>
            <w:tcBorders/>
            <w:shd w:fill="FFFFFF" w:val="clear"/>
            <w:vAlign w:val="center"/>
          </w:tcPr>
          <w:p>
            <w:pPr>
              <w:pStyle w:val="TableContents"/>
              <w:bidi w:val="0"/>
              <w:spacing w:before="0" w:after="283"/>
              <w:jc w:val="both"/>
              <w:rPr>
                <w:rFonts w:ascii="Times New Roman;Times;Serif" w:hAnsi="Times New Roman;Times;Serif"/>
                <w:b/>
              </w:rPr>
            </w:pPr>
            <w:r>
              <w:rPr>
                <w:rFonts w:ascii="Times New Roman;Times;Serif" w:hAnsi="Times New Roman;Times;Serif"/>
                <w:b/>
              </w:rPr>
              <w:t>Short-term debt with related parties:</w:t>
            </w:r>
          </w:p>
        </w:tc>
        <w:tc>
          <w:tcPr>
            <w:tcW w:w="60" w:type="dxa"/>
            <w:tcBorders/>
            <w:shd w:fill="FFFFFF" w:val="clear"/>
            <w:vAlign w:val="center"/>
          </w:tcPr>
          <w:p>
            <w:pPr>
              <w:pStyle w:val="TableContents"/>
              <w:bidi w:val="0"/>
              <w:spacing w:before="0" w:after="283"/>
              <w:jc w:val="left"/>
              <w:rPr/>
            </w:pPr>
            <w:r>
              <w:rPr/>
              <w:t> </w:t>
            </w:r>
          </w:p>
        </w:tc>
        <w:tc>
          <w:tcPr>
            <w:tcW w:w="155" w:type="dxa"/>
            <w:tcBorders/>
            <w:shd w:fill="FFFFFF" w:val="clear"/>
            <w:vAlign w:val="center"/>
          </w:tcPr>
          <w:p>
            <w:pPr>
              <w:pStyle w:val="TableContents"/>
              <w:bidi w:val="0"/>
              <w:spacing w:before="0" w:after="283"/>
              <w:jc w:val="left"/>
              <w:rPr/>
            </w:pPr>
            <w:r>
              <w:rPr/>
              <w:t> </w:t>
            </w:r>
          </w:p>
        </w:tc>
        <w:tc>
          <w:tcPr>
            <w:tcW w:w="887"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7" w:type="dxa"/>
            <w:tcBorders/>
            <w:shd w:fill="FFFFFF" w:val="clear"/>
            <w:vAlign w:val="center"/>
          </w:tcPr>
          <w:p>
            <w:pPr>
              <w:pStyle w:val="TableContents"/>
              <w:bidi w:val="0"/>
              <w:spacing w:before="0" w:after="283"/>
              <w:jc w:val="left"/>
              <w:rPr/>
            </w:pPr>
            <w:r>
              <w:rPr/>
              <w:t> </w:t>
            </w:r>
          </w:p>
        </w:tc>
        <w:tc>
          <w:tcPr>
            <w:tcW w:w="1194" w:type="dxa"/>
            <w:tcBorders/>
            <w:shd w:fill="FFFFFF" w:val="clear"/>
            <w:vAlign w:val="center"/>
          </w:tcPr>
          <w:p>
            <w:pPr>
              <w:pStyle w:val="TableContents"/>
              <w:bidi w:val="0"/>
              <w:spacing w:before="0" w:after="283"/>
              <w:jc w:val="right"/>
              <w:rPr/>
            </w:pPr>
            <w:r>
              <w:rPr/>
              <w:t> </w:t>
            </w:r>
          </w:p>
        </w:tc>
        <w:tc>
          <w:tcPr>
            <w:tcW w:w="112" w:type="dxa"/>
            <w:tcBorders/>
            <w:shd w:fill="FFFFFF" w:val="clear"/>
            <w:vAlign w:val="center"/>
          </w:tcPr>
          <w:p>
            <w:pPr>
              <w:pStyle w:val="TableContents"/>
              <w:bidi w:val="0"/>
              <w:spacing w:before="0" w:after="283"/>
              <w:jc w:val="left"/>
              <w:rPr/>
            </w:pPr>
            <w:r>
              <w:rPr/>
              <w:t> </w:t>
            </w:r>
          </w:p>
        </w:tc>
      </w:tr>
      <w:tr>
        <w:trPr/>
        <w:tc>
          <w:tcPr>
            <w:tcW w:w="7435" w:type="dxa"/>
            <w:tcBorders/>
            <w:shd w:fill="CCEEFF" w:val="cle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Seller Note – related party</w:t>
            </w:r>
          </w:p>
        </w:tc>
        <w:tc>
          <w:tcPr>
            <w:tcW w:w="60"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887"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20,000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7"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194"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20,000</w:t>
            </w:r>
          </w:p>
        </w:tc>
        <w:tc>
          <w:tcPr>
            <w:tcW w:w="112" w:type="dxa"/>
            <w:tcBorders/>
            <w:shd w:fill="CCEEFF" w:val="clear"/>
            <w:vAlign w:val="center"/>
          </w:tcPr>
          <w:p>
            <w:pPr>
              <w:pStyle w:val="TableContents"/>
              <w:bidi w:val="0"/>
              <w:spacing w:before="0" w:after="283"/>
              <w:jc w:val="left"/>
              <w:rPr/>
            </w:pPr>
            <w:r>
              <w:rPr/>
              <w:t> </w:t>
            </w:r>
          </w:p>
        </w:tc>
      </w:tr>
      <w:tr>
        <w:trPr/>
        <w:tc>
          <w:tcPr>
            <w:tcW w:w="7435" w:type="dxa"/>
            <w:tcBorders/>
            <w:shd w:fill="FFFFFF" w:val="cle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Loan with related party</w:t>
            </w:r>
          </w:p>
        </w:tc>
        <w:tc>
          <w:tcPr>
            <w:tcW w:w="60" w:type="dxa"/>
            <w:tcBorders/>
            <w:shd w:fill="FFFFFF" w:val="clear"/>
            <w:vAlign w:val="center"/>
          </w:tcPr>
          <w:p>
            <w:pPr>
              <w:pStyle w:val="TableContents"/>
              <w:bidi w:val="0"/>
              <w:spacing w:before="0" w:after="283"/>
              <w:jc w:val="left"/>
              <w:rPr/>
            </w:pPr>
            <w:r>
              <w:rPr/>
              <w:t> </w:t>
            </w:r>
          </w:p>
        </w:tc>
        <w:tc>
          <w:tcPr>
            <w:tcW w:w="155"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887"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1,500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7"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94"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1,500</w:t>
            </w:r>
          </w:p>
        </w:tc>
        <w:tc>
          <w:tcPr>
            <w:tcW w:w="112" w:type="dxa"/>
            <w:tcBorders/>
            <w:shd w:fill="FFFFFF" w:val="clear"/>
            <w:vAlign w:val="center"/>
          </w:tcPr>
          <w:p>
            <w:pPr>
              <w:pStyle w:val="TableContents"/>
              <w:bidi w:val="0"/>
              <w:spacing w:before="0" w:after="283"/>
              <w:jc w:val="left"/>
              <w:rPr/>
            </w:pPr>
            <w:r>
              <w:rPr/>
              <w:t> </w:t>
            </w:r>
          </w:p>
        </w:tc>
      </w:tr>
      <w:tr>
        <w:trPr/>
        <w:tc>
          <w:tcPr>
            <w:tcW w:w="7435" w:type="dxa"/>
            <w:tcBorders/>
            <w:shd w:fill="CCEEFF" w:val="cle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Total short-term debt with related parties</w:t>
            </w:r>
          </w:p>
        </w:tc>
        <w:tc>
          <w:tcPr>
            <w:tcW w:w="60" w:type="dxa"/>
            <w:tcBorders/>
            <w:shd w:fill="CCEEFF" w:val="clear"/>
            <w:vAlign w:val="center"/>
          </w:tcPr>
          <w:p>
            <w:pPr>
              <w:pStyle w:val="TableContents"/>
              <w:bidi w:val="0"/>
              <w:spacing w:before="0" w:after="283"/>
              <w:jc w:val="left"/>
              <w:rPr/>
            </w:pPr>
            <w:r>
              <w:rPr/>
              <w:t> </w:t>
            </w:r>
          </w:p>
        </w:tc>
        <w:tc>
          <w:tcPr>
            <w:tcW w:w="155" w:type="dxa"/>
            <w:tcBorders>
              <w:bottom w:val="double" w:sz="10"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887" w:type="dxa"/>
            <w:tcBorders>
              <w:bottom w:val="double" w:sz="10"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21,500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7" w:type="dxa"/>
            <w:tcBorders>
              <w:bottom w:val="double" w:sz="10"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194" w:type="dxa"/>
            <w:tcBorders>
              <w:bottom w:val="double" w:sz="10"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21,500</w:t>
            </w:r>
          </w:p>
        </w:tc>
        <w:tc>
          <w:tcPr>
            <w:tcW w:w="112" w:type="dxa"/>
            <w:tcBorders/>
            <w:shd w:fill="CCEEFF" w:val="clear"/>
            <w:vAlign w:val="center"/>
          </w:tcPr>
          <w:p>
            <w:pPr>
              <w:pStyle w:val="TableContents"/>
              <w:bidi w:val="0"/>
              <w:spacing w:before="0" w:after="283"/>
              <w:jc w:val="left"/>
              <w:rPr/>
            </w:pPr>
            <w:r>
              <w:rPr/>
              <w:t> </w:t>
            </w:r>
          </w:p>
        </w:tc>
      </w:tr>
      <w:tr>
        <w:trPr/>
        <w:tc>
          <w:tcPr>
            <w:tcW w:w="7435" w:type="dxa"/>
            <w:tcBorders/>
            <w:shd w:fill="FFFFFF" w:val="clear"/>
            <w:vAlign w:val="center"/>
          </w:tcPr>
          <w:p>
            <w:pPr>
              <w:pStyle w:val="TableContents"/>
              <w:bidi w:val="0"/>
              <w:spacing w:before="0" w:after="283"/>
              <w:jc w:val="both"/>
              <w:rPr/>
            </w:pPr>
            <w:r>
              <w:rPr/>
              <w:t> </w:t>
            </w:r>
          </w:p>
        </w:tc>
        <w:tc>
          <w:tcPr>
            <w:tcW w:w="60" w:type="dxa"/>
            <w:tcBorders/>
            <w:shd w:fill="FFFFFF" w:val="clear"/>
            <w:vAlign w:val="center"/>
          </w:tcPr>
          <w:p>
            <w:pPr>
              <w:pStyle w:val="TableContents"/>
              <w:bidi w:val="0"/>
              <w:spacing w:before="0" w:after="283"/>
              <w:jc w:val="left"/>
              <w:rPr/>
            </w:pPr>
            <w:r>
              <w:rPr/>
              <w:t> </w:t>
            </w:r>
          </w:p>
        </w:tc>
        <w:tc>
          <w:tcPr>
            <w:tcW w:w="155" w:type="dxa"/>
            <w:tcBorders/>
            <w:shd w:fill="FFFFFF" w:val="clear"/>
            <w:vAlign w:val="center"/>
          </w:tcPr>
          <w:p>
            <w:pPr>
              <w:pStyle w:val="TableContents"/>
              <w:bidi w:val="0"/>
              <w:spacing w:before="0" w:after="283"/>
              <w:jc w:val="left"/>
              <w:rPr/>
            </w:pPr>
            <w:r>
              <w:rPr/>
              <w:t> </w:t>
            </w:r>
          </w:p>
        </w:tc>
        <w:tc>
          <w:tcPr>
            <w:tcW w:w="887"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7" w:type="dxa"/>
            <w:tcBorders/>
            <w:shd w:fill="FFFFFF" w:val="clear"/>
            <w:vAlign w:val="center"/>
          </w:tcPr>
          <w:p>
            <w:pPr>
              <w:pStyle w:val="TableContents"/>
              <w:bidi w:val="0"/>
              <w:spacing w:before="0" w:after="283"/>
              <w:jc w:val="left"/>
              <w:rPr/>
            </w:pPr>
            <w:r>
              <w:rPr/>
              <w:t> </w:t>
            </w:r>
          </w:p>
        </w:tc>
        <w:tc>
          <w:tcPr>
            <w:tcW w:w="1194" w:type="dxa"/>
            <w:tcBorders/>
            <w:shd w:fill="FFFFFF" w:val="clear"/>
            <w:vAlign w:val="center"/>
          </w:tcPr>
          <w:p>
            <w:pPr>
              <w:pStyle w:val="TableContents"/>
              <w:bidi w:val="0"/>
              <w:spacing w:before="0" w:after="283"/>
              <w:jc w:val="right"/>
              <w:rPr/>
            </w:pPr>
            <w:r>
              <w:rPr/>
              <w:t> </w:t>
            </w:r>
          </w:p>
        </w:tc>
        <w:tc>
          <w:tcPr>
            <w:tcW w:w="112" w:type="dxa"/>
            <w:tcBorders/>
            <w:shd w:fill="FFFFFF" w:val="clear"/>
            <w:vAlign w:val="center"/>
          </w:tcPr>
          <w:p>
            <w:pPr>
              <w:pStyle w:val="TableContents"/>
              <w:bidi w:val="0"/>
              <w:spacing w:before="0" w:after="283"/>
              <w:jc w:val="left"/>
              <w:rPr/>
            </w:pPr>
            <w:r>
              <w:rPr/>
              <w:t> </w:t>
            </w:r>
          </w:p>
        </w:tc>
      </w:tr>
      <w:tr>
        <w:trPr/>
        <w:tc>
          <w:tcPr>
            <w:tcW w:w="7435" w:type="dxa"/>
            <w:tcBorders/>
            <w:shd w:fill="CCEEFF" w:val="clear"/>
            <w:vAlign w:val="center"/>
          </w:tcPr>
          <w:p>
            <w:pPr>
              <w:pStyle w:val="TableContents"/>
              <w:bidi w:val="0"/>
              <w:spacing w:before="0" w:after="283"/>
              <w:jc w:val="both"/>
              <w:rPr>
                <w:rFonts w:ascii="Times New Roman;Times;Serif" w:hAnsi="Times New Roman;Times;Serif"/>
                <w:b/>
              </w:rPr>
            </w:pPr>
            <w:r>
              <w:rPr>
                <w:rFonts w:ascii="Times New Roman;Times;Serif" w:hAnsi="Times New Roman;Times;Serif"/>
                <w:b/>
              </w:rPr>
              <w:t>Long-term debt:</w:t>
            </w:r>
          </w:p>
        </w:tc>
        <w:tc>
          <w:tcPr>
            <w:tcW w:w="60"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pPr>
            <w:r>
              <w:rPr/>
              <w:t> </w:t>
            </w:r>
          </w:p>
        </w:tc>
        <w:tc>
          <w:tcPr>
            <w:tcW w:w="887"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7" w:type="dxa"/>
            <w:tcBorders/>
            <w:shd w:fill="CCEEFF" w:val="clear"/>
            <w:vAlign w:val="center"/>
          </w:tcPr>
          <w:p>
            <w:pPr>
              <w:pStyle w:val="TableContents"/>
              <w:bidi w:val="0"/>
              <w:spacing w:before="0" w:after="283"/>
              <w:jc w:val="left"/>
              <w:rPr/>
            </w:pPr>
            <w:r>
              <w:rPr/>
              <w:t> </w:t>
            </w:r>
          </w:p>
        </w:tc>
        <w:tc>
          <w:tcPr>
            <w:tcW w:w="1194" w:type="dxa"/>
            <w:tcBorders/>
            <w:shd w:fill="CCEEFF" w:val="clear"/>
            <w:vAlign w:val="center"/>
          </w:tcPr>
          <w:p>
            <w:pPr>
              <w:pStyle w:val="TableContents"/>
              <w:bidi w:val="0"/>
              <w:spacing w:before="0" w:after="283"/>
              <w:jc w:val="right"/>
              <w:rPr/>
            </w:pPr>
            <w:r>
              <w:rPr/>
              <w:t> </w:t>
            </w:r>
          </w:p>
        </w:tc>
        <w:tc>
          <w:tcPr>
            <w:tcW w:w="112" w:type="dxa"/>
            <w:tcBorders/>
            <w:shd w:fill="CCEEFF" w:val="clear"/>
            <w:vAlign w:val="center"/>
          </w:tcPr>
          <w:p>
            <w:pPr>
              <w:pStyle w:val="TableContents"/>
              <w:bidi w:val="0"/>
              <w:spacing w:before="0" w:after="283"/>
              <w:jc w:val="left"/>
              <w:rPr/>
            </w:pPr>
            <w:r>
              <w:rPr/>
              <w:t> </w:t>
            </w:r>
          </w:p>
        </w:tc>
      </w:tr>
      <w:tr>
        <w:trPr/>
        <w:tc>
          <w:tcPr>
            <w:tcW w:w="7435" w:type="dxa"/>
            <w:tcBorders/>
            <w:shd w:fill="FFFFFF" w:val="clear"/>
            <w:vAlign w:val="center"/>
          </w:tcPr>
          <w:p>
            <w:pPr>
              <w:pStyle w:val="TableContents"/>
              <w:bidi w:val="0"/>
              <w:spacing w:before="0" w:after="283"/>
              <w:jc w:val="both"/>
              <w:rPr>
                <w:rFonts w:ascii="Times New Roman;Times;Serif" w:hAnsi="Times New Roman;Times;Serif"/>
                <w:b/>
                <w:i/>
              </w:rPr>
            </w:pPr>
            <w:r>
              <w:rPr>
                <w:rFonts w:ascii="Times New Roman;Times;Serif" w:hAnsi="Times New Roman;Times;Serif"/>
                <w:b/>
                <w:i/>
              </w:rPr>
              <w:t>12.0% senior unsecured convertible notes and related derivative liabilities</w:t>
            </w:r>
          </w:p>
        </w:tc>
        <w:tc>
          <w:tcPr>
            <w:tcW w:w="60" w:type="dxa"/>
            <w:tcBorders/>
            <w:shd w:fill="FFFFFF" w:val="clear"/>
            <w:vAlign w:val="center"/>
          </w:tcPr>
          <w:p>
            <w:pPr>
              <w:pStyle w:val="TableContents"/>
              <w:bidi w:val="0"/>
              <w:spacing w:before="0" w:after="283"/>
              <w:jc w:val="left"/>
              <w:rPr/>
            </w:pPr>
            <w:r>
              <w:rPr/>
              <w:t> </w:t>
            </w:r>
          </w:p>
        </w:tc>
        <w:tc>
          <w:tcPr>
            <w:tcW w:w="155" w:type="dxa"/>
            <w:tcBorders/>
            <w:shd w:fill="FFFFFF" w:val="clear"/>
            <w:vAlign w:val="center"/>
          </w:tcPr>
          <w:p>
            <w:pPr>
              <w:pStyle w:val="TableContents"/>
              <w:bidi w:val="0"/>
              <w:spacing w:before="0" w:after="283"/>
              <w:jc w:val="left"/>
              <w:rPr/>
            </w:pPr>
            <w:r>
              <w:rPr/>
              <w:t> </w:t>
            </w:r>
          </w:p>
        </w:tc>
        <w:tc>
          <w:tcPr>
            <w:tcW w:w="887"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7" w:type="dxa"/>
            <w:tcBorders/>
            <w:shd w:fill="FFFFFF" w:val="clear"/>
            <w:vAlign w:val="center"/>
          </w:tcPr>
          <w:p>
            <w:pPr>
              <w:pStyle w:val="TableContents"/>
              <w:bidi w:val="0"/>
              <w:spacing w:before="0" w:after="283"/>
              <w:jc w:val="left"/>
              <w:rPr/>
            </w:pPr>
            <w:r>
              <w:rPr/>
              <w:t> </w:t>
            </w:r>
          </w:p>
        </w:tc>
        <w:tc>
          <w:tcPr>
            <w:tcW w:w="1194" w:type="dxa"/>
            <w:tcBorders/>
            <w:shd w:fill="FFFFFF" w:val="clear"/>
            <w:vAlign w:val="center"/>
          </w:tcPr>
          <w:p>
            <w:pPr>
              <w:pStyle w:val="TableContents"/>
              <w:bidi w:val="0"/>
              <w:spacing w:before="0" w:after="283"/>
              <w:jc w:val="right"/>
              <w:rPr/>
            </w:pPr>
            <w:r>
              <w:rPr/>
              <w:t> </w:t>
            </w:r>
          </w:p>
        </w:tc>
        <w:tc>
          <w:tcPr>
            <w:tcW w:w="112" w:type="dxa"/>
            <w:tcBorders/>
            <w:shd w:fill="FFFFFF" w:val="clear"/>
            <w:vAlign w:val="center"/>
          </w:tcPr>
          <w:p>
            <w:pPr>
              <w:pStyle w:val="TableContents"/>
              <w:bidi w:val="0"/>
              <w:spacing w:before="0" w:after="283"/>
              <w:jc w:val="left"/>
              <w:rPr/>
            </w:pPr>
            <w:r>
              <w:rPr/>
              <w:t> </w:t>
            </w:r>
          </w:p>
        </w:tc>
      </w:tr>
      <w:tr>
        <w:trPr/>
        <w:tc>
          <w:tcPr>
            <w:tcW w:w="7435" w:type="dxa"/>
            <w:tcBorders/>
            <w:shd w:fill="CCEEFF" w:val="cle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July 2024 Notes</w:t>
            </w:r>
          </w:p>
        </w:tc>
        <w:tc>
          <w:tcPr>
            <w:tcW w:w="60"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887"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31,911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7"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194"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32,969</w:t>
            </w:r>
          </w:p>
        </w:tc>
        <w:tc>
          <w:tcPr>
            <w:tcW w:w="112" w:type="dxa"/>
            <w:tcBorders/>
            <w:shd w:fill="CCEEFF" w:val="clear"/>
            <w:vAlign w:val="center"/>
          </w:tcPr>
          <w:p>
            <w:pPr>
              <w:pStyle w:val="TableContents"/>
              <w:bidi w:val="0"/>
              <w:spacing w:before="0" w:after="283"/>
              <w:jc w:val="left"/>
              <w:rPr/>
            </w:pPr>
            <w:r>
              <w:rPr/>
              <w:t> </w:t>
            </w:r>
          </w:p>
        </w:tc>
      </w:tr>
      <w:tr>
        <w:trPr/>
        <w:tc>
          <w:tcPr>
            <w:tcW w:w="7435" w:type="dxa"/>
            <w:tcBorders/>
            <w:shd w:fill="FFFFFF" w:val="cle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July 2024 Notes – related parties</w:t>
            </w:r>
          </w:p>
        </w:tc>
        <w:tc>
          <w:tcPr>
            <w:tcW w:w="60" w:type="dxa"/>
            <w:tcBorders/>
            <w:shd w:fill="FFFFFF" w:val="clear"/>
            <w:vAlign w:val="center"/>
          </w:tcPr>
          <w:p>
            <w:pPr>
              <w:pStyle w:val="TableContents"/>
              <w:bidi w:val="0"/>
              <w:spacing w:before="0" w:after="283"/>
              <w:jc w:val="left"/>
              <w:rPr/>
            </w:pPr>
            <w:r>
              <w:rPr/>
              <w:t> </w:t>
            </w:r>
          </w:p>
        </w:tc>
        <w:tc>
          <w:tcPr>
            <w:tcW w:w="155"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887"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7,946</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7"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94"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7,631</w:t>
            </w:r>
          </w:p>
        </w:tc>
        <w:tc>
          <w:tcPr>
            <w:tcW w:w="112" w:type="dxa"/>
            <w:tcBorders/>
            <w:shd w:fill="FFFFFF" w:val="clear"/>
            <w:vAlign w:val="center"/>
          </w:tcPr>
          <w:p>
            <w:pPr>
              <w:pStyle w:val="TableContents"/>
              <w:bidi w:val="0"/>
              <w:spacing w:before="0" w:after="283"/>
              <w:jc w:val="left"/>
              <w:rPr/>
            </w:pPr>
            <w:r>
              <w:rPr/>
              <w:t> </w:t>
            </w:r>
          </w:p>
        </w:tc>
      </w:tr>
      <w:tr>
        <w:trPr/>
        <w:tc>
          <w:tcPr>
            <w:tcW w:w="7435" w:type="dxa"/>
            <w:tcBorders/>
            <w:shd w:fill="CCEEFF" w:val="cle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Subtotal July 2024 Notes</w:t>
            </w:r>
          </w:p>
        </w:tc>
        <w:tc>
          <w:tcPr>
            <w:tcW w:w="60" w:type="dxa"/>
            <w:tcBorders/>
            <w:shd w:fill="CCEEFF" w:val="clear"/>
            <w:vAlign w:val="center"/>
          </w:tcPr>
          <w:p>
            <w:pPr>
              <w:pStyle w:val="TableContents"/>
              <w:bidi w:val="0"/>
              <w:spacing w:before="0" w:after="283"/>
              <w:jc w:val="left"/>
              <w:rPr/>
            </w:pPr>
            <w:r>
              <w:rPr/>
              <w:t> </w:t>
            </w:r>
          </w:p>
        </w:tc>
        <w:tc>
          <w:tcPr>
            <w:tcW w:w="155"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87"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39,857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7"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94"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40,600</w:t>
            </w:r>
          </w:p>
        </w:tc>
        <w:tc>
          <w:tcPr>
            <w:tcW w:w="112" w:type="dxa"/>
            <w:tcBorders/>
            <w:shd w:fill="CCEEFF" w:val="clear"/>
            <w:vAlign w:val="center"/>
          </w:tcPr>
          <w:p>
            <w:pPr>
              <w:pStyle w:val="TableContents"/>
              <w:bidi w:val="0"/>
              <w:spacing w:before="0" w:after="283"/>
              <w:jc w:val="left"/>
              <w:rPr/>
            </w:pPr>
            <w:r>
              <w:rPr/>
              <w:t> </w:t>
            </w:r>
          </w:p>
        </w:tc>
      </w:tr>
      <w:tr>
        <w:trPr/>
        <w:tc>
          <w:tcPr>
            <w:tcW w:w="7435" w:type="dxa"/>
            <w:tcBorders/>
            <w:shd w:fill="FFFFFF" w:val="cle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July 2025 Note – related party</w:t>
            </w:r>
          </w:p>
        </w:tc>
        <w:tc>
          <w:tcPr>
            <w:tcW w:w="60" w:type="dxa"/>
            <w:tcBorders/>
            <w:shd w:fill="FFFFFF" w:val="clear"/>
            <w:vAlign w:val="center"/>
          </w:tcPr>
          <w:p>
            <w:pPr>
              <w:pStyle w:val="TableContents"/>
              <w:bidi w:val="0"/>
              <w:spacing w:before="0" w:after="283"/>
              <w:jc w:val="left"/>
              <w:rPr/>
            </w:pPr>
            <w:r>
              <w:rPr/>
              <w:t> </w:t>
            </w:r>
          </w:p>
        </w:tc>
        <w:tc>
          <w:tcPr>
            <w:tcW w:w="155" w:type="dxa"/>
            <w:tcBorders/>
            <w:shd w:fill="FFFFFF" w:val="clear"/>
            <w:vAlign w:val="center"/>
          </w:tcPr>
          <w:p>
            <w:pPr>
              <w:pStyle w:val="TableContents"/>
              <w:bidi w:val="0"/>
              <w:spacing w:before="0" w:after="283"/>
              <w:jc w:val="left"/>
              <w:rPr/>
            </w:pPr>
            <w:r>
              <w:rPr/>
              <w:t> </w:t>
            </w:r>
          </w:p>
        </w:tc>
        <w:tc>
          <w:tcPr>
            <w:tcW w:w="887"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1,519</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7" w:type="dxa"/>
            <w:tcBorders/>
            <w:shd w:fill="FFFFFF" w:val="clear"/>
            <w:vAlign w:val="center"/>
          </w:tcPr>
          <w:p>
            <w:pPr>
              <w:pStyle w:val="TableContents"/>
              <w:bidi w:val="0"/>
              <w:spacing w:before="0" w:after="283"/>
              <w:jc w:val="left"/>
              <w:rPr/>
            </w:pPr>
            <w:r>
              <w:rPr/>
              <w:t> </w:t>
            </w:r>
          </w:p>
        </w:tc>
        <w:tc>
          <w:tcPr>
            <w:tcW w:w="1194"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1,443</w:t>
            </w:r>
          </w:p>
        </w:tc>
        <w:tc>
          <w:tcPr>
            <w:tcW w:w="112" w:type="dxa"/>
            <w:tcBorders/>
            <w:shd w:fill="FFFFFF" w:val="clear"/>
            <w:vAlign w:val="center"/>
          </w:tcPr>
          <w:p>
            <w:pPr>
              <w:pStyle w:val="TableContents"/>
              <w:bidi w:val="0"/>
              <w:spacing w:before="0" w:after="283"/>
              <w:jc w:val="left"/>
              <w:rPr/>
            </w:pPr>
            <w:r>
              <w:rPr/>
              <w:t> </w:t>
            </w:r>
          </w:p>
        </w:tc>
      </w:tr>
      <w:tr>
        <w:trPr/>
        <w:tc>
          <w:tcPr>
            <w:tcW w:w="7435" w:type="dxa"/>
            <w:tcBorders/>
            <w:shd w:fill="CCEEFF" w:val="cle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November 2025 Note – related party</w:t>
            </w:r>
          </w:p>
        </w:tc>
        <w:tc>
          <w:tcPr>
            <w:tcW w:w="60"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pPr>
            <w:r>
              <w:rPr/>
              <w:t> </w:t>
            </w:r>
          </w:p>
        </w:tc>
        <w:tc>
          <w:tcPr>
            <w:tcW w:w="887"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517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7" w:type="dxa"/>
            <w:tcBorders/>
            <w:shd w:fill="CCEEFF" w:val="clear"/>
            <w:vAlign w:val="center"/>
          </w:tcPr>
          <w:p>
            <w:pPr>
              <w:pStyle w:val="TableContents"/>
              <w:bidi w:val="0"/>
              <w:spacing w:before="0" w:after="283"/>
              <w:jc w:val="left"/>
              <w:rPr/>
            </w:pPr>
            <w:r>
              <w:rPr/>
              <w:t> </w:t>
            </w:r>
          </w:p>
        </w:tc>
        <w:tc>
          <w:tcPr>
            <w:tcW w:w="1194"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491</w:t>
            </w:r>
          </w:p>
        </w:tc>
        <w:tc>
          <w:tcPr>
            <w:tcW w:w="112" w:type="dxa"/>
            <w:tcBorders/>
            <w:shd w:fill="CCEEFF" w:val="clear"/>
            <w:vAlign w:val="center"/>
          </w:tcPr>
          <w:p>
            <w:pPr>
              <w:pStyle w:val="TableContents"/>
              <w:bidi w:val="0"/>
              <w:spacing w:before="0" w:after="283"/>
              <w:jc w:val="left"/>
              <w:rPr/>
            </w:pPr>
            <w:r>
              <w:rPr/>
              <w:t> </w:t>
            </w:r>
          </w:p>
        </w:tc>
      </w:tr>
      <w:tr>
        <w:trPr/>
        <w:tc>
          <w:tcPr>
            <w:tcW w:w="7435" w:type="dxa"/>
            <w:tcBorders/>
            <w:shd w:fill="FFFFFF" w:val="cle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January 2026 Note – related party</w:t>
            </w:r>
          </w:p>
        </w:tc>
        <w:tc>
          <w:tcPr>
            <w:tcW w:w="60" w:type="dxa"/>
            <w:tcBorders/>
            <w:shd w:fill="FFFFFF" w:val="clear"/>
            <w:vAlign w:val="center"/>
          </w:tcPr>
          <w:p>
            <w:pPr>
              <w:pStyle w:val="TableContents"/>
              <w:bidi w:val="0"/>
              <w:spacing w:before="0" w:after="283"/>
              <w:jc w:val="left"/>
              <w:rPr/>
            </w:pPr>
            <w:r>
              <w:rPr/>
              <w:t> </w:t>
            </w:r>
          </w:p>
        </w:tc>
        <w:tc>
          <w:tcPr>
            <w:tcW w:w="155" w:type="dxa"/>
            <w:tcBorders/>
            <w:shd w:fill="FFFFFF" w:val="clear"/>
            <w:vAlign w:val="center"/>
          </w:tcPr>
          <w:p>
            <w:pPr>
              <w:pStyle w:val="TableContents"/>
              <w:bidi w:val="0"/>
              <w:spacing w:before="0" w:after="283"/>
              <w:jc w:val="left"/>
              <w:rPr/>
            </w:pPr>
            <w:r>
              <w:rPr/>
              <w:t> </w:t>
            </w:r>
          </w:p>
        </w:tc>
        <w:tc>
          <w:tcPr>
            <w:tcW w:w="887"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1,038</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7" w:type="dxa"/>
            <w:tcBorders/>
            <w:shd w:fill="FFFFFF" w:val="clear"/>
            <w:vAlign w:val="center"/>
          </w:tcPr>
          <w:p>
            <w:pPr>
              <w:pStyle w:val="TableContents"/>
              <w:bidi w:val="0"/>
              <w:spacing w:before="0" w:after="283"/>
              <w:jc w:val="left"/>
              <w:rPr/>
            </w:pPr>
            <w:r>
              <w:rPr/>
              <w:t> </w:t>
            </w:r>
          </w:p>
        </w:tc>
        <w:tc>
          <w:tcPr>
            <w:tcW w:w="1194" w:type="dxa"/>
            <w:tcBorders/>
            <w:shd w:fill="FFFFFF" w:val="clear"/>
            <w:vAlign w:val="center"/>
          </w:tcPr>
          <w:p>
            <w:pPr>
              <w:pStyle w:val="TableContents"/>
              <w:bidi w:val="0"/>
              <w:spacing w:before="0" w:after="283"/>
              <w:jc w:val="right"/>
              <w:rPr/>
            </w:pPr>
            <w:r>
              <w:rPr/>
              <w:t>—</w:t>
            </w:r>
          </w:p>
        </w:tc>
        <w:tc>
          <w:tcPr>
            <w:tcW w:w="112" w:type="dxa"/>
            <w:tcBorders/>
            <w:shd w:fill="FFFFFF" w:val="clear"/>
            <w:vAlign w:val="center"/>
          </w:tcPr>
          <w:p>
            <w:pPr>
              <w:pStyle w:val="TableContents"/>
              <w:bidi w:val="0"/>
              <w:spacing w:before="0" w:after="283"/>
              <w:jc w:val="left"/>
              <w:rPr/>
            </w:pPr>
            <w:r>
              <w:rPr/>
              <w:t> </w:t>
            </w:r>
          </w:p>
        </w:tc>
      </w:tr>
      <w:tr>
        <w:trPr/>
        <w:tc>
          <w:tcPr>
            <w:tcW w:w="7435" w:type="dxa"/>
            <w:tcBorders/>
            <w:shd w:fill="CCEEFF" w:val="clear"/>
            <w:vAlign w:val="center"/>
          </w:tcPr>
          <w:p>
            <w:pPr>
              <w:pStyle w:val="TableContents"/>
              <w:bidi w:val="0"/>
              <w:spacing w:before="0" w:after="283"/>
              <w:jc w:val="both"/>
              <w:rPr/>
            </w:pPr>
            <w:r>
              <w:rPr/>
              <w:t> </w:t>
            </w:r>
          </w:p>
        </w:tc>
        <w:tc>
          <w:tcPr>
            <w:tcW w:w="60"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pPr>
            <w:r>
              <w:rPr/>
              <w:t> </w:t>
            </w:r>
          </w:p>
        </w:tc>
        <w:tc>
          <w:tcPr>
            <w:tcW w:w="887"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7" w:type="dxa"/>
            <w:tcBorders/>
            <w:shd w:fill="CCEEFF" w:val="clear"/>
            <w:vAlign w:val="center"/>
          </w:tcPr>
          <w:p>
            <w:pPr>
              <w:pStyle w:val="TableContents"/>
              <w:bidi w:val="0"/>
              <w:spacing w:before="0" w:after="283"/>
              <w:jc w:val="left"/>
              <w:rPr/>
            </w:pPr>
            <w:r>
              <w:rPr/>
              <w:t> </w:t>
            </w:r>
          </w:p>
        </w:tc>
        <w:tc>
          <w:tcPr>
            <w:tcW w:w="1194" w:type="dxa"/>
            <w:tcBorders/>
            <w:shd w:fill="CCEEFF" w:val="clear"/>
            <w:vAlign w:val="center"/>
          </w:tcPr>
          <w:p>
            <w:pPr>
              <w:pStyle w:val="TableContents"/>
              <w:bidi w:val="0"/>
              <w:spacing w:before="0" w:after="283"/>
              <w:jc w:val="right"/>
              <w:rPr/>
            </w:pPr>
            <w:r>
              <w:rPr/>
              <w:t> </w:t>
            </w:r>
          </w:p>
        </w:tc>
        <w:tc>
          <w:tcPr>
            <w:tcW w:w="112" w:type="dxa"/>
            <w:tcBorders/>
            <w:shd w:fill="CCEEFF" w:val="clear"/>
            <w:vAlign w:val="center"/>
          </w:tcPr>
          <w:p>
            <w:pPr>
              <w:pStyle w:val="TableContents"/>
              <w:bidi w:val="0"/>
              <w:spacing w:before="0" w:after="283"/>
              <w:jc w:val="left"/>
              <w:rPr/>
            </w:pPr>
            <w:r>
              <w:rPr/>
              <w:t> </w:t>
            </w:r>
          </w:p>
        </w:tc>
      </w:tr>
      <w:tr>
        <w:trPr/>
        <w:tc>
          <w:tcPr>
            <w:tcW w:w="7435" w:type="dxa"/>
            <w:tcBorders/>
            <w:shd w:fill="FFFFFF" w:val="cle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July 2024 Notes derivative liability</w:t>
            </w:r>
          </w:p>
        </w:tc>
        <w:tc>
          <w:tcPr>
            <w:tcW w:w="60" w:type="dxa"/>
            <w:tcBorders/>
            <w:shd w:fill="FFFFFF" w:val="clear"/>
            <w:vAlign w:val="center"/>
          </w:tcPr>
          <w:p>
            <w:pPr>
              <w:pStyle w:val="TableContents"/>
              <w:bidi w:val="0"/>
              <w:spacing w:before="0" w:after="283"/>
              <w:jc w:val="left"/>
              <w:rPr/>
            </w:pPr>
            <w:r>
              <w:rPr/>
              <w:t> </w:t>
            </w:r>
          </w:p>
        </w:tc>
        <w:tc>
          <w:tcPr>
            <w:tcW w:w="155" w:type="dxa"/>
            <w:tcBorders/>
            <w:shd w:fill="FFFFFF" w:val="clear"/>
            <w:vAlign w:val="center"/>
          </w:tcPr>
          <w:p>
            <w:pPr>
              <w:pStyle w:val="TableContents"/>
              <w:bidi w:val="0"/>
              <w:spacing w:before="0" w:after="283"/>
              <w:jc w:val="left"/>
              <w:rPr/>
            </w:pPr>
            <w:r>
              <w:rPr/>
              <w:t> </w:t>
            </w:r>
          </w:p>
        </w:tc>
        <w:tc>
          <w:tcPr>
            <w:tcW w:w="887"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14,042</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7" w:type="dxa"/>
            <w:tcBorders/>
            <w:shd w:fill="FFFFFF" w:val="clear"/>
            <w:vAlign w:val="center"/>
          </w:tcPr>
          <w:p>
            <w:pPr>
              <w:pStyle w:val="TableContents"/>
              <w:bidi w:val="0"/>
              <w:spacing w:before="0" w:after="283"/>
              <w:jc w:val="left"/>
              <w:rPr/>
            </w:pPr>
            <w:r>
              <w:rPr/>
              <w:t> </w:t>
            </w:r>
          </w:p>
        </w:tc>
        <w:tc>
          <w:tcPr>
            <w:tcW w:w="1194"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19,604</w:t>
            </w:r>
          </w:p>
        </w:tc>
        <w:tc>
          <w:tcPr>
            <w:tcW w:w="112" w:type="dxa"/>
            <w:tcBorders/>
            <w:shd w:fill="FFFFFF" w:val="clear"/>
            <w:vAlign w:val="center"/>
          </w:tcPr>
          <w:p>
            <w:pPr>
              <w:pStyle w:val="TableContents"/>
              <w:bidi w:val="0"/>
              <w:spacing w:before="0" w:after="283"/>
              <w:jc w:val="left"/>
              <w:rPr/>
            </w:pPr>
            <w:r>
              <w:rPr/>
              <w:t> </w:t>
            </w:r>
          </w:p>
        </w:tc>
      </w:tr>
      <w:tr>
        <w:trPr/>
        <w:tc>
          <w:tcPr>
            <w:tcW w:w="7435" w:type="dxa"/>
            <w:tcBorders/>
            <w:shd w:fill="CCEEFF" w:val="cle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July 2024 Notes derivative liability – related party</w:t>
            </w:r>
          </w:p>
        </w:tc>
        <w:tc>
          <w:tcPr>
            <w:tcW w:w="60" w:type="dxa"/>
            <w:tcBorders/>
            <w:shd w:fill="CCEEFF" w:val="clear"/>
            <w:vAlign w:val="center"/>
          </w:tcPr>
          <w:p>
            <w:pPr>
              <w:pStyle w:val="TableContents"/>
              <w:bidi w:val="0"/>
              <w:spacing w:before="0" w:after="283"/>
              <w:jc w:val="left"/>
              <w:rPr/>
            </w:pPr>
            <w:r>
              <w:rPr/>
              <w:t> </w:t>
            </w:r>
          </w:p>
        </w:tc>
        <w:tc>
          <w:tcPr>
            <w:tcW w:w="155"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87"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9,036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7"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94"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12,615</w:t>
            </w:r>
          </w:p>
        </w:tc>
        <w:tc>
          <w:tcPr>
            <w:tcW w:w="112" w:type="dxa"/>
            <w:tcBorders/>
            <w:shd w:fill="CCEEFF" w:val="clear"/>
            <w:vAlign w:val="center"/>
          </w:tcPr>
          <w:p>
            <w:pPr>
              <w:pStyle w:val="TableContents"/>
              <w:bidi w:val="0"/>
              <w:spacing w:before="0" w:after="283"/>
              <w:jc w:val="left"/>
              <w:rPr/>
            </w:pPr>
            <w:r>
              <w:rPr/>
              <w:t> </w:t>
            </w:r>
          </w:p>
        </w:tc>
      </w:tr>
      <w:tr>
        <w:trPr/>
        <w:tc>
          <w:tcPr>
            <w:tcW w:w="7435" w:type="dxa"/>
            <w:tcBorders/>
            <w:shd w:fill="FFFFFF" w:val="cle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Subtotal July 2024 Notes derivative liability</w:t>
            </w:r>
          </w:p>
        </w:tc>
        <w:tc>
          <w:tcPr>
            <w:tcW w:w="60" w:type="dxa"/>
            <w:tcBorders/>
            <w:shd w:fill="FFFFFF" w:val="clear"/>
            <w:vAlign w:val="center"/>
          </w:tcPr>
          <w:p>
            <w:pPr>
              <w:pStyle w:val="TableContents"/>
              <w:bidi w:val="0"/>
              <w:spacing w:before="0" w:after="283"/>
              <w:jc w:val="left"/>
              <w:rPr/>
            </w:pPr>
            <w:r>
              <w:rPr/>
              <w:t> </w:t>
            </w:r>
          </w:p>
        </w:tc>
        <w:tc>
          <w:tcPr>
            <w:tcW w:w="155"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887"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23,078</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7"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94"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32,219</w:t>
            </w:r>
          </w:p>
        </w:tc>
        <w:tc>
          <w:tcPr>
            <w:tcW w:w="112" w:type="dxa"/>
            <w:tcBorders/>
            <w:shd w:fill="FFFFFF" w:val="clear"/>
            <w:vAlign w:val="center"/>
          </w:tcPr>
          <w:p>
            <w:pPr>
              <w:pStyle w:val="TableContents"/>
              <w:bidi w:val="0"/>
              <w:spacing w:before="0" w:after="283"/>
              <w:jc w:val="left"/>
              <w:rPr/>
            </w:pPr>
            <w:r>
              <w:rPr/>
              <w:t> </w:t>
            </w:r>
          </w:p>
        </w:tc>
      </w:tr>
      <w:tr>
        <w:trPr/>
        <w:tc>
          <w:tcPr>
            <w:tcW w:w="7435" w:type="dxa"/>
            <w:tcBorders/>
            <w:shd w:fill="CCEEFF" w:val="cle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July 2025 Note derivative liability – related party</w:t>
            </w:r>
          </w:p>
        </w:tc>
        <w:tc>
          <w:tcPr>
            <w:tcW w:w="60"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pPr>
            <w:r>
              <w:rPr/>
              <w:t> </w:t>
            </w:r>
          </w:p>
        </w:tc>
        <w:tc>
          <w:tcPr>
            <w:tcW w:w="887"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2,239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7" w:type="dxa"/>
            <w:tcBorders/>
            <w:shd w:fill="CCEEFF" w:val="clear"/>
            <w:vAlign w:val="center"/>
          </w:tcPr>
          <w:p>
            <w:pPr>
              <w:pStyle w:val="TableContents"/>
              <w:bidi w:val="0"/>
              <w:spacing w:before="0" w:after="283"/>
              <w:jc w:val="left"/>
              <w:rPr/>
            </w:pPr>
            <w:r>
              <w:rPr/>
              <w:t> </w:t>
            </w:r>
          </w:p>
        </w:tc>
        <w:tc>
          <w:tcPr>
            <w:tcW w:w="1194"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3,246</w:t>
            </w:r>
          </w:p>
        </w:tc>
        <w:tc>
          <w:tcPr>
            <w:tcW w:w="112" w:type="dxa"/>
            <w:tcBorders/>
            <w:shd w:fill="CCEEFF" w:val="clear"/>
            <w:vAlign w:val="center"/>
          </w:tcPr>
          <w:p>
            <w:pPr>
              <w:pStyle w:val="TableContents"/>
              <w:bidi w:val="0"/>
              <w:spacing w:before="0" w:after="283"/>
              <w:jc w:val="left"/>
              <w:rPr/>
            </w:pPr>
            <w:r>
              <w:rPr/>
              <w:t> </w:t>
            </w:r>
          </w:p>
        </w:tc>
      </w:tr>
      <w:tr>
        <w:trPr/>
        <w:tc>
          <w:tcPr>
            <w:tcW w:w="7435" w:type="dxa"/>
            <w:tcBorders/>
            <w:shd w:fill="FFFFFF" w:val="cle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November 2025 Note derivative liability – related party</w:t>
            </w:r>
          </w:p>
        </w:tc>
        <w:tc>
          <w:tcPr>
            <w:tcW w:w="60" w:type="dxa"/>
            <w:tcBorders/>
            <w:shd w:fill="FFFFFF" w:val="clear"/>
            <w:vAlign w:val="center"/>
          </w:tcPr>
          <w:p>
            <w:pPr>
              <w:pStyle w:val="TableContents"/>
              <w:bidi w:val="0"/>
              <w:spacing w:before="0" w:after="283"/>
              <w:jc w:val="left"/>
              <w:rPr/>
            </w:pPr>
            <w:r>
              <w:rPr/>
              <w:t> </w:t>
            </w:r>
          </w:p>
        </w:tc>
        <w:tc>
          <w:tcPr>
            <w:tcW w:w="155" w:type="dxa"/>
            <w:tcBorders/>
            <w:shd w:fill="FFFFFF" w:val="clear"/>
            <w:vAlign w:val="center"/>
          </w:tcPr>
          <w:p>
            <w:pPr>
              <w:pStyle w:val="TableContents"/>
              <w:bidi w:val="0"/>
              <w:spacing w:before="0" w:after="283"/>
              <w:jc w:val="left"/>
              <w:rPr/>
            </w:pPr>
            <w:r>
              <w:rPr/>
              <w:t> </w:t>
            </w:r>
          </w:p>
        </w:tc>
        <w:tc>
          <w:tcPr>
            <w:tcW w:w="887"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1,069</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7" w:type="dxa"/>
            <w:tcBorders/>
            <w:shd w:fill="FFFFFF" w:val="clear"/>
            <w:vAlign w:val="center"/>
          </w:tcPr>
          <w:p>
            <w:pPr>
              <w:pStyle w:val="TableContents"/>
              <w:bidi w:val="0"/>
              <w:spacing w:before="0" w:after="283"/>
              <w:jc w:val="left"/>
              <w:rPr/>
            </w:pPr>
            <w:r>
              <w:rPr/>
              <w:t> </w:t>
            </w:r>
          </w:p>
        </w:tc>
        <w:tc>
          <w:tcPr>
            <w:tcW w:w="1194" w:type="dxa"/>
            <w:tcBorders/>
            <w:shd w:fill="FFFFFF" w:val="clear"/>
            <w:vAlign w:val="center"/>
          </w:tcPr>
          <w:p>
            <w:pPr>
              <w:pStyle w:val="TableContents"/>
              <w:bidi w:val="0"/>
              <w:spacing w:before="0" w:after="283"/>
              <w:jc w:val="right"/>
              <w:rPr/>
            </w:pPr>
            <w:r>
              <w:rPr/>
              <w:t>—</w:t>
            </w:r>
          </w:p>
        </w:tc>
        <w:tc>
          <w:tcPr>
            <w:tcW w:w="112" w:type="dxa"/>
            <w:tcBorders/>
            <w:shd w:fill="FFFFFF" w:val="clear"/>
            <w:vAlign w:val="center"/>
          </w:tcPr>
          <w:p>
            <w:pPr>
              <w:pStyle w:val="TableContents"/>
              <w:bidi w:val="0"/>
              <w:spacing w:before="0" w:after="283"/>
              <w:jc w:val="left"/>
              <w:rPr/>
            </w:pPr>
            <w:r>
              <w:rPr/>
              <w:t> </w:t>
            </w:r>
          </w:p>
        </w:tc>
      </w:tr>
      <w:tr>
        <w:trPr/>
        <w:tc>
          <w:tcPr>
            <w:tcW w:w="7435" w:type="dxa"/>
            <w:tcBorders/>
            <w:shd w:fill="CCEEFF" w:val="cle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January 2026 Note derivative liability – related party</w:t>
            </w:r>
          </w:p>
        </w:tc>
        <w:tc>
          <w:tcPr>
            <w:tcW w:w="60" w:type="dxa"/>
            <w:tcBorders/>
            <w:shd w:fill="CCEEFF" w:val="clear"/>
            <w:vAlign w:val="center"/>
          </w:tcPr>
          <w:p>
            <w:pPr>
              <w:pStyle w:val="TableContents"/>
              <w:bidi w:val="0"/>
              <w:spacing w:before="0" w:after="283"/>
              <w:jc w:val="left"/>
              <w:rPr/>
            </w:pPr>
            <w:r>
              <w:rPr/>
              <w:t> </w:t>
            </w:r>
          </w:p>
        </w:tc>
        <w:tc>
          <w:tcPr>
            <w:tcW w:w="155"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87"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1,467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7"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94"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1,488</w:t>
            </w:r>
          </w:p>
        </w:tc>
        <w:tc>
          <w:tcPr>
            <w:tcW w:w="112" w:type="dxa"/>
            <w:tcBorders/>
            <w:shd w:fill="CCEEFF" w:val="clear"/>
            <w:vAlign w:val="center"/>
          </w:tcPr>
          <w:p>
            <w:pPr>
              <w:pStyle w:val="TableContents"/>
              <w:bidi w:val="0"/>
              <w:spacing w:before="0" w:after="283"/>
              <w:jc w:val="left"/>
              <w:rPr/>
            </w:pPr>
            <w:r>
              <w:rPr/>
              <w:t> </w:t>
            </w:r>
          </w:p>
        </w:tc>
      </w:tr>
      <w:tr>
        <w:trPr/>
        <w:tc>
          <w:tcPr>
            <w:tcW w:w="7435" w:type="dxa"/>
            <w:tcBorders/>
            <w:shd w:fill="FFFFFF" w:val="cle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Total 12.0% senior unsecured convertible notes and derivative liabilities</w:t>
            </w:r>
          </w:p>
        </w:tc>
        <w:tc>
          <w:tcPr>
            <w:tcW w:w="60" w:type="dxa"/>
            <w:tcBorders/>
            <w:shd w:fill="FFFFFF" w:val="clear"/>
            <w:vAlign w:val="center"/>
          </w:tcPr>
          <w:p>
            <w:pPr>
              <w:pStyle w:val="TableContents"/>
              <w:bidi w:val="0"/>
              <w:spacing w:before="0" w:after="283"/>
              <w:jc w:val="left"/>
              <w:rPr/>
            </w:pPr>
            <w:r>
              <w:rPr/>
              <w:t> </w:t>
            </w:r>
          </w:p>
        </w:tc>
        <w:tc>
          <w:tcPr>
            <w:tcW w:w="155"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887"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70,784</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7"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94"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79,487</w:t>
            </w:r>
          </w:p>
        </w:tc>
        <w:tc>
          <w:tcPr>
            <w:tcW w:w="112" w:type="dxa"/>
            <w:tcBorders/>
            <w:shd w:fill="FFFFFF" w:val="clear"/>
            <w:vAlign w:val="center"/>
          </w:tcPr>
          <w:p>
            <w:pPr>
              <w:pStyle w:val="TableContents"/>
              <w:bidi w:val="0"/>
              <w:spacing w:before="0" w:after="283"/>
              <w:jc w:val="left"/>
              <w:rPr/>
            </w:pPr>
            <w:r>
              <w:rPr/>
              <w:t> </w:t>
            </w:r>
          </w:p>
        </w:tc>
      </w:tr>
      <w:tr>
        <w:trPr/>
        <w:tc>
          <w:tcPr>
            <w:tcW w:w="7435" w:type="dxa"/>
            <w:tcBorders/>
            <w:shd w:fill="CCEEFF" w:val="clear"/>
            <w:vAlign w:val="center"/>
          </w:tcPr>
          <w:p>
            <w:pPr>
              <w:pStyle w:val="TableContents"/>
              <w:bidi w:val="0"/>
              <w:spacing w:before="0" w:after="283"/>
              <w:jc w:val="both"/>
              <w:rPr/>
            </w:pPr>
            <w:r>
              <w:rPr/>
              <w:t> </w:t>
            </w:r>
          </w:p>
        </w:tc>
        <w:tc>
          <w:tcPr>
            <w:tcW w:w="60"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pPr>
            <w:r>
              <w:rPr/>
              <w:t> </w:t>
            </w:r>
          </w:p>
        </w:tc>
        <w:tc>
          <w:tcPr>
            <w:tcW w:w="887"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7" w:type="dxa"/>
            <w:tcBorders/>
            <w:shd w:fill="CCEEFF" w:val="clear"/>
            <w:vAlign w:val="center"/>
          </w:tcPr>
          <w:p>
            <w:pPr>
              <w:pStyle w:val="TableContents"/>
              <w:bidi w:val="0"/>
              <w:spacing w:before="0" w:after="283"/>
              <w:jc w:val="left"/>
              <w:rPr/>
            </w:pPr>
            <w:r>
              <w:rPr/>
              <w:t> </w:t>
            </w:r>
          </w:p>
        </w:tc>
        <w:tc>
          <w:tcPr>
            <w:tcW w:w="1194" w:type="dxa"/>
            <w:tcBorders/>
            <w:shd w:fill="CCEEFF" w:val="clear"/>
            <w:vAlign w:val="center"/>
          </w:tcPr>
          <w:p>
            <w:pPr>
              <w:pStyle w:val="TableContents"/>
              <w:bidi w:val="0"/>
              <w:spacing w:before="0" w:after="283"/>
              <w:jc w:val="right"/>
              <w:rPr/>
            </w:pPr>
            <w:r>
              <w:rPr/>
              <w:t> </w:t>
            </w:r>
          </w:p>
        </w:tc>
        <w:tc>
          <w:tcPr>
            <w:tcW w:w="112" w:type="dxa"/>
            <w:tcBorders/>
            <w:shd w:fill="CCEEFF" w:val="clear"/>
            <w:vAlign w:val="center"/>
          </w:tcPr>
          <w:p>
            <w:pPr>
              <w:pStyle w:val="TableContents"/>
              <w:bidi w:val="0"/>
              <w:spacing w:before="0" w:after="283"/>
              <w:jc w:val="left"/>
              <w:rPr/>
            </w:pPr>
            <w:r>
              <w:rPr/>
              <w:t> </w:t>
            </w:r>
          </w:p>
        </w:tc>
      </w:tr>
      <w:tr>
        <w:trPr/>
        <w:tc>
          <w:tcPr>
            <w:tcW w:w="7435" w:type="dxa"/>
            <w:tcBorders/>
            <w:shd w:fill="FFFFFF" w:val="clear"/>
            <w:vAlign w:val="center"/>
          </w:tcPr>
          <w:p>
            <w:pPr>
              <w:pStyle w:val="TableContents"/>
              <w:bidi w:val="0"/>
              <w:spacing w:before="0" w:after="283"/>
              <w:jc w:val="both"/>
              <w:rPr>
                <w:rFonts w:ascii="Times New Roman;Times;Serif" w:hAnsi="Times New Roman;Times;Serif"/>
                <w:b/>
                <w:i/>
              </w:rPr>
            </w:pPr>
            <w:r>
              <w:rPr>
                <w:rFonts w:ascii="Times New Roman;Times;Serif" w:hAnsi="Times New Roman;Times;Serif"/>
                <w:b/>
                <w:i/>
              </w:rPr>
              <w:t>7.0% senior unsecured convertible notes and derivative liabilities</w:t>
            </w:r>
          </w:p>
        </w:tc>
        <w:tc>
          <w:tcPr>
            <w:tcW w:w="60" w:type="dxa"/>
            <w:tcBorders/>
            <w:shd w:fill="FFFFFF" w:val="clear"/>
            <w:vAlign w:val="center"/>
          </w:tcPr>
          <w:p>
            <w:pPr>
              <w:pStyle w:val="TableContents"/>
              <w:bidi w:val="0"/>
              <w:spacing w:before="0" w:after="283"/>
              <w:jc w:val="left"/>
              <w:rPr/>
            </w:pPr>
            <w:r>
              <w:rPr/>
              <w:t> </w:t>
            </w:r>
          </w:p>
        </w:tc>
        <w:tc>
          <w:tcPr>
            <w:tcW w:w="155" w:type="dxa"/>
            <w:tcBorders/>
            <w:shd w:fill="FFFFFF" w:val="clear"/>
            <w:vAlign w:val="center"/>
          </w:tcPr>
          <w:p>
            <w:pPr>
              <w:pStyle w:val="TableContents"/>
              <w:bidi w:val="0"/>
              <w:spacing w:before="0" w:after="283"/>
              <w:jc w:val="left"/>
              <w:rPr/>
            </w:pPr>
            <w:r>
              <w:rPr/>
              <w:t> </w:t>
            </w:r>
          </w:p>
        </w:tc>
        <w:tc>
          <w:tcPr>
            <w:tcW w:w="887"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7" w:type="dxa"/>
            <w:tcBorders/>
            <w:shd w:fill="FFFFFF" w:val="clear"/>
            <w:vAlign w:val="center"/>
          </w:tcPr>
          <w:p>
            <w:pPr>
              <w:pStyle w:val="TableContents"/>
              <w:bidi w:val="0"/>
              <w:spacing w:before="0" w:after="283"/>
              <w:jc w:val="left"/>
              <w:rPr/>
            </w:pPr>
            <w:r>
              <w:rPr/>
              <w:t> </w:t>
            </w:r>
          </w:p>
        </w:tc>
        <w:tc>
          <w:tcPr>
            <w:tcW w:w="1194" w:type="dxa"/>
            <w:tcBorders/>
            <w:shd w:fill="FFFFFF" w:val="clear"/>
            <w:vAlign w:val="center"/>
          </w:tcPr>
          <w:p>
            <w:pPr>
              <w:pStyle w:val="TableContents"/>
              <w:bidi w:val="0"/>
              <w:spacing w:before="0" w:after="283"/>
              <w:jc w:val="right"/>
              <w:rPr/>
            </w:pPr>
            <w:r>
              <w:rPr/>
              <w:t> </w:t>
            </w:r>
          </w:p>
        </w:tc>
        <w:tc>
          <w:tcPr>
            <w:tcW w:w="112" w:type="dxa"/>
            <w:tcBorders/>
            <w:shd w:fill="FFFFFF" w:val="clear"/>
            <w:vAlign w:val="center"/>
          </w:tcPr>
          <w:p>
            <w:pPr>
              <w:pStyle w:val="TableContents"/>
              <w:bidi w:val="0"/>
              <w:spacing w:before="0" w:after="283"/>
              <w:jc w:val="left"/>
              <w:rPr/>
            </w:pPr>
            <w:r>
              <w:rPr/>
              <w:t> </w:t>
            </w:r>
          </w:p>
        </w:tc>
      </w:tr>
      <w:tr>
        <w:trPr/>
        <w:tc>
          <w:tcPr>
            <w:tcW w:w="7435" w:type="dxa"/>
            <w:tcBorders/>
            <w:shd w:fill="CCEEFF" w:val="cle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September 2024 Notes</w:t>
            </w:r>
          </w:p>
        </w:tc>
        <w:tc>
          <w:tcPr>
            <w:tcW w:w="60"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pPr>
            <w:r>
              <w:rPr/>
              <w:t> </w:t>
            </w:r>
          </w:p>
        </w:tc>
        <w:tc>
          <w:tcPr>
            <w:tcW w:w="887"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15,942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7" w:type="dxa"/>
            <w:tcBorders/>
            <w:shd w:fill="CCEEFF" w:val="clear"/>
            <w:vAlign w:val="center"/>
          </w:tcPr>
          <w:p>
            <w:pPr>
              <w:pStyle w:val="TableContents"/>
              <w:bidi w:val="0"/>
              <w:spacing w:before="0" w:after="283"/>
              <w:jc w:val="left"/>
              <w:rPr/>
            </w:pPr>
            <w:r>
              <w:rPr/>
              <w:t> </w:t>
            </w:r>
          </w:p>
        </w:tc>
        <w:tc>
          <w:tcPr>
            <w:tcW w:w="1194"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14,332</w:t>
            </w:r>
          </w:p>
        </w:tc>
        <w:tc>
          <w:tcPr>
            <w:tcW w:w="112" w:type="dxa"/>
            <w:tcBorders/>
            <w:shd w:fill="CCEEFF" w:val="clear"/>
            <w:vAlign w:val="center"/>
          </w:tcPr>
          <w:p>
            <w:pPr>
              <w:pStyle w:val="TableContents"/>
              <w:bidi w:val="0"/>
              <w:spacing w:before="0" w:after="283"/>
              <w:jc w:val="left"/>
              <w:rPr/>
            </w:pPr>
            <w:r>
              <w:rPr/>
              <w:t> </w:t>
            </w:r>
          </w:p>
        </w:tc>
      </w:tr>
      <w:tr>
        <w:trPr/>
        <w:tc>
          <w:tcPr>
            <w:tcW w:w="7435" w:type="dxa"/>
            <w:tcBorders/>
            <w:shd w:fill="FFFFFF" w:val="cle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September 2024 Notes – related parties</w:t>
            </w:r>
          </w:p>
        </w:tc>
        <w:tc>
          <w:tcPr>
            <w:tcW w:w="60" w:type="dxa"/>
            <w:tcBorders/>
            <w:shd w:fill="FFFFFF" w:val="clear"/>
            <w:vAlign w:val="center"/>
          </w:tcPr>
          <w:p>
            <w:pPr>
              <w:pStyle w:val="TableContents"/>
              <w:bidi w:val="0"/>
              <w:spacing w:before="0" w:after="283"/>
              <w:jc w:val="left"/>
              <w:rPr/>
            </w:pPr>
            <w:r>
              <w:rPr/>
              <w:t> </w:t>
            </w:r>
          </w:p>
        </w:tc>
        <w:tc>
          <w:tcPr>
            <w:tcW w:w="155"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887"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2,804</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7"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94"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2,346</w:t>
            </w:r>
          </w:p>
        </w:tc>
        <w:tc>
          <w:tcPr>
            <w:tcW w:w="112" w:type="dxa"/>
            <w:tcBorders/>
            <w:shd w:fill="FFFFFF" w:val="clear"/>
            <w:vAlign w:val="center"/>
          </w:tcPr>
          <w:p>
            <w:pPr>
              <w:pStyle w:val="TableContents"/>
              <w:bidi w:val="0"/>
              <w:spacing w:before="0" w:after="283"/>
              <w:jc w:val="left"/>
              <w:rPr/>
            </w:pPr>
            <w:r>
              <w:rPr/>
              <w:t> </w:t>
            </w:r>
          </w:p>
        </w:tc>
      </w:tr>
      <w:tr>
        <w:trPr/>
        <w:tc>
          <w:tcPr>
            <w:tcW w:w="7435" w:type="dxa"/>
            <w:tcBorders/>
            <w:shd w:fill="CCEEFF" w:val="cle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Subtotal September 2024 Notes</w:t>
            </w:r>
          </w:p>
        </w:tc>
        <w:tc>
          <w:tcPr>
            <w:tcW w:w="60" w:type="dxa"/>
            <w:tcBorders/>
            <w:shd w:fill="CCEEFF" w:val="clear"/>
            <w:vAlign w:val="center"/>
          </w:tcPr>
          <w:p>
            <w:pPr>
              <w:pStyle w:val="TableContents"/>
              <w:bidi w:val="0"/>
              <w:spacing w:before="0" w:after="283"/>
              <w:jc w:val="left"/>
              <w:rPr/>
            </w:pPr>
            <w:r>
              <w:rPr/>
              <w:t> </w:t>
            </w:r>
          </w:p>
        </w:tc>
        <w:tc>
          <w:tcPr>
            <w:tcW w:w="155"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87"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18,746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7"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94"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16,678</w:t>
            </w:r>
          </w:p>
        </w:tc>
        <w:tc>
          <w:tcPr>
            <w:tcW w:w="112" w:type="dxa"/>
            <w:tcBorders/>
            <w:shd w:fill="CCEEFF" w:val="clear"/>
            <w:vAlign w:val="center"/>
          </w:tcPr>
          <w:p>
            <w:pPr>
              <w:pStyle w:val="TableContents"/>
              <w:bidi w:val="0"/>
              <w:spacing w:before="0" w:after="283"/>
              <w:jc w:val="left"/>
              <w:rPr/>
            </w:pPr>
            <w:r>
              <w:rPr/>
              <w:t> </w:t>
            </w:r>
          </w:p>
        </w:tc>
      </w:tr>
      <w:tr>
        <w:trPr/>
        <w:tc>
          <w:tcPr>
            <w:tcW w:w="7435" w:type="dxa"/>
            <w:tcBorders/>
            <w:shd w:fill="FFFFFF" w:val="cle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September 2025 Notes</w:t>
            </w:r>
          </w:p>
        </w:tc>
        <w:tc>
          <w:tcPr>
            <w:tcW w:w="60" w:type="dxa"/>
            <w:tcBorders/>
            <w:shd w:fill="FFFFFF" w:val="clear"/>
            <w:vAlign w:val="center"/>
          </w:tcPr>
          <w:p>
            <w:pPr>
              <w:pStyle w:val="TableContents"/>
              <w:bidi w:val="0"/>
              <w:spacing w:before="0" w:after="283"/>
              <w:jc w:val="left"/>
              <w:rPr/>
            </w:pPr>
            <w:r>
              <w:rPr/>
              <w:t> </w:t>
            </w:r>
          </w:p>
        </w:tc>
        <w:tc>
          <w:tcPr>
            <w:tcW w:w="155" w:type="dxa"/>
            <w:tcBorders/>
            <w:shd w:fill="FFFFFF" w:val="clear"/>
            <w:vAlign w:val="center"/>
          </w:tcPr>
          <w:p>
            <w:pPr>
              <w:pStyle w:val="TableContents"/>
              <w:bidi w:val="0"/>
              <w:spacing w:before="0" w:after="283"/>
              <w:jc w:val="left"/>
              <w:rPr/>
            </w:pPr>
            <w:r>
              <w:rPr/>
              <w:t> </w:t>
            </w:r>
          </w:p>
        </w:tc>
        <w:tc>
          <w:tcPr>
            <w:tcW w:w="887"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3,575</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7" w:type="dxa"/>
            <w:tcBorders/>
            <w:shd w:fill="FFFFFF" w:val="clear"/>
            <w:vAlign w:val="center"/>
          </w:tcPr>
          <w:p>
            <w:pPr>
              <w:pStyle w:val="TableContents"/>
              <w:bidi w:val="0"/>
              <w:spacing w:before="0" w:after="283"/>
              <w:jc w:val="left"/>
              <w:rPr/>
            </w:pPr>
            <w:r>
              <w:rPr/>
              <w:t> </w:t>
            </w:r>
          </w:p>
        </w:tc>
        <w:tc>
          <w:tcPr>
            <w:tcW w:w="1194"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3,354</w:t>
            </w:r>
          </w:p>
        </w:tc>
        <w:tc>
          <w:tcPr>
            <w:tcW w:w="112" w:type="dxa"/>
            <w:tcBorders/>
            <w:shd w:fill="FFFFFF" w:val="clear"/>
            <w:vAlign w:val="center"/>
          </w:tcPr>
          <w:p>
            <w:pPr>
              <w:pStyle w:val="TableContents"/>
              <w:bidi w:val="0"/>
              <w:spacing w:before="0" w:after="283"/>
              <w:jc w:val="left"/>
              <w:rPr/>
            </w:pPr>
            <w:r>
              <w:rPr/>
              <w:t> </w:t>
            </w:r>
          </w:p>
        </w:tc>
      </w:tr>
      <w:tr>
        <w:trPr/>
        <w:tc>
          <w:tcPr>
            <w:tcW w:w="7435" w:type="dxa"/>
            <w:tcBorders/>
            <w:shd w:fill="CCEEFF" w:val="clear"/>
            <w:vAlign w:val="center"/>
          </w:tcPr>
          <w:p>
            <w:pPr>
              <w:pStyle w:val="TableContents"/>
              <w:bidi w:val="0"/>
              <w:spacing w:before="0" w:after="283"/>
              <w:jc w:val="both"/>
              <w:rPr/>
            </w:pPr>
            <w:r>
              <w:rPr/>
              <w:t> </w:t>
            </w:r>
          </w:p>
        </w:tc>
        <w:tc>
          <w:tcPr>
            <w:tcW w:w="60"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pPr>
            <w:r>
              <w:rPr/>
              <w:t> </w:t>
            </w:r>
          </w:p>
        </w:tc>
        <w:tc>
          <w:tcPr>
            <w:tcW w:w="887"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7" w:type="dxa"/>
            <w:tcBorders/>
            <w:shd w:fill="CCEEFF" w:val="clear"/>
            <w:vAlign w:val="center"/>
          </w:tcPr>
          <w:p>
            <w:pPr>
              <w:pStyle w:val="TableContents"/>
              <w:bidi w:val="0"/>
              <w:spacing w:before="0" w:after="283"/>
              <w:jc w:val="left"/>
              <w:rPr/>
            </w:pPr>
            <w:r>
              <w:rPr/>
              <w:t> </w:t>
            </w:r>
          </w:p>
        </w:tc>
        <w:tc>
          <w:tcPr>
            <w:tcW w:w="1194" w:type="dxa"/>
            <w:tcBorders/>
            <w:shd w:fill="CCEEFF" w:val="clear"/>
            <w:vAlign w:val="center"/>
          </w:tcPr>
          <w:p>
            <w:pPr>
              <w:pStyle w:val="TableContents"/>
              <w:bidi w:val="0"/>
              <w:spacing w:before="0" w:after="283"/>
              <w:jc w:val="right"/>
              <w:rPr/>
            </w:pPr>
            <w:r>
              <w:rPr/>
              <w:t> </w:t>
            </w:r>
          </w:p>
        </w:tc>
        <w:tc>
          <w:tcPr>
            <w:tcW w:w="112" w:type="dxa"/>
            <w:tcBorders/>
            <w:shd w:fill="CCEEFF" w:val="clear"/>
            <w:vAlign w:val="center"/>
          </w:tcPr>
          <w:p>
            <w:pPr>
              <w:pStyle w:val="TableContents"/>
              <w:bidi w:val="0"/>
              <w:spacing w:before="0" w:after="283"/>
              <w:jc w:val="left"/>
              <w:rPr/>
            </w:pPr>
            <w:r>
              <w:rPr/>
              <w:t> </w:t>
            </w:r>
          </w:p>
        </w:tc>
      </w:tr>
      <w:tr>
        <w:trPr/>
        <w:tc>
          <w:tcPr>
            <w:tcW w:w="7435" w:type="dxa"/>
            <w:tcBorders/>
            <w:shd w:fill="FFFFFF" w:val="cle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September 2024 Notes derivative liability</w:t>
            </w:r>
          </w:p>
        </w:tc>
        <w:tc>
          <w:tcPr>
            <w:tcW w:w="60" w:type="dxa"/>
            <w:tcBorders/>
            <w:shd w:fill="FFFFFF" w:val="clear"/>
            <w:vAlign w:val="center"/>
          </w:tcPr>
          <w:p>
            <w:pPr>
              <w:pStyle w:val="TableContents"/>
              <w:bidi w:val="0"/>
              <w:spacing w:before="0" w:after="283"/>
              <w:jc w:val="left"/>
              <w:rPr/>
            </w:pPr>
            <w:r>
              <w:rPr/>
              <w:t> </w:t>
            </w:r>
          </w:p>
        </w:tc>
        <w:tc>
          <w:tcPr>
            <w:tcW w:w="155" w:type="dxa"/>
            <w:tcBorders/>
            <w:shd w:fill="FFFFFF" w:val="clear"/>
            <w:vAlign w:val="center"/>
          </w:tcPr>
          <w:p>
            <w:pPr>
              <w:pStyle w:val="TableContents"/>
              <w:bidi w:val="0"/>
              <w:spacing w:before="0" w:after="283"/>
              <w:jc w:val="left"/>
              <w:rPr/>
            </w:pPr>
            <w:r>
              <w:rPr/>
              <w:t> </w:t>
            </w:r>
          </w:p>
        </w:tc>
        <w:tc>
          <w:tcPr>
            <w:tcW w:w="887"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26,351</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7" w:type="dxa"/>
            <w:tcBorders/>
            <w:shd w:fill="FFFFFF" w:val="clear"/>
            <w:vAlign w:val="center"/>
          </w:tcPr>
          <w:p>
            <w:pPr>
              <w:pStyle w:val="TableContents"/>
              <w:bidi w:val="0"/>
              <w:spacing w:before="0" w:after="283"/>
              <w:jc w:val="left"/>
              <w:rPr/>
            </w:pPr>
            <w:r>
              <w:rPr/>
              <w:t> </w:t>
            </w:r>
          </w:p>
        </w:tc>
        <w:tc>
          <w:tcPr>
            <w:tcW w:w="1194"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37,930</w:t>
            </w:r>
          </w:p>
        </w:tc>
        <w:tc>
          <w:tcPr>
            <w:tcW w:w="112" w:type="dxa"/>
            <w:tcBorders/>
            <w:shd w:fill="FFFFFF" w:val="clear"/>
            <w:vAlign w:val="center"/>
          </w:tcPr>
          <w:p>
            <w:pPr>
              <w:pStyle w:val="TableContents"/>
              <w:bidi w:val="0"/>
              <w:spacing w:before="0" w:after="283"/>
              <w:jc w:val="left"/>
              <w:rPr/>
            </w:pPr>
            <w:r>
              <w:rPr/>
              <w:t> </w:t>
            </w:r>
          </w:p>
        </w:tc>
      </w:tr>
      <w:tr>
        <w:trPr/>
        <w:tc>
          <w:tcPr>
            <w:tcW w:w="7435" w:type="dxa"/>
            <w:tcBorders/>
            <w:shd w:fill="CCEEFF" w:val="cle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September 2024 Notes derivative liability – related parties</w:t>
            </w:r>
          </w:p>
        </w:tc>
        <w:tc>
          <w:tcPr>
            <w:tcW w:w="60" w:type="dxa"/>
            <w:tcBorders/>
            <w:shd w:fill="CCEEFF" w:val="clear"/>
            <w:vAlign w:val="center"/>
          </w:tcPr>
          <w:p>
            <w:pPr>
              <w:pStyle w:val="TableContents"/>
              <w:bidi w:val="0"/>
              <w:spacing w:before="0" w:after="283"/>
              <w:jc w:val="left"/>
              <w:rPr/>
            </w:pPr>
            <w:r>
              <w:rPr/>
              <w:t> </w:t>
            </w:r>
          </w:p>
        </w:tc>
        <w:tc>
          <w:tcPr>
            <w:tcW w:w="155"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87"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4,286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7"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94"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5,870</w:t>
            </w:r>
          </w:p>
        </w:tc>
        <w:tc>
          <w:tcPr>
            <w:tcW w:w="112" w:type="dxa"/>
            <w:tcBorders/>
            <w:shd w:fill="CCEEFF" w:val="clear"/>
            <w:vAlign w:val="center"/>
          </w:tcPr>
          <w:p>
            <w:pPr>
              <w:pStyle w:val="TableContents"/>
              <w:bidi w:val="0"/>
              <w:spacing w:before="0" w:after="283"/>
              <w:jc w:val="left"/>
              <w:rPr/>
            </w:pPr>
            <w:r>
              <w:rPr/>
              <w:t> </w:t>
            </w:r>
          </w:p>
        </w:tc>
      </w:tr>
      <w:tr>
        <w:trPr/>
        <w:tc>
          <w:tcPr>
            <w:tcW w:w="7435" w:type="dxa"/>
            <w:tcBorders/>
            <w:shd w:fill="FFFFFF" w:val="cle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Subtotal September 2024 Notes derivative liability</w:t>
            </w:r>
          </w:p>
        </w:tc>
        <w:tc>
          <w:tcPr>
            <w:tcW w:w="60" w:type="dxa"/>
            <w:tcBorders/>
            <w:shd w:fill="FFFFFF" w:val="clear"/>
            <w:vAlign w:val="center"/>
          </w:tcPr>
          <w:p>
            <w:pPr>
              <w:pStyle w:val="TableContents"/>
              <w:bidi w:val="0"/>
              <w:spacing w:before="0" w:after="283"/>
              <w:jc w:val="left"/>
              <w:rPr/>
            </w:pPr>
            <w:r>
              <w:rPr/>
              <w:t> </w:t>
            </w:r>
          </w:p>
        </w:tc>
        <w:tc>
          <w:tcPr>
            <w:tcW w:w="155"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887"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30,637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7"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94"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43,800</w:t>
            </w:r>
          </w:p>
        </w:tc>
        <w:tc>
          <w:tcPr>
            <w:tcW w:w="112" w:type="dxa"/>
            <w:tcBorders/>
            <w:shd w:fill="FFFFFF" w:val="clear"/>
            <w:vAlign w:val="center"/>
          </w:tcPr>
          <w:p>
            <w:pPr>
              <w:pStyle w:val="TableContents"/>
              <w:bidi w:val="0"/>
              <w:spacing w:before="0" w:after="283"/>
              <w:jc w:val="left"/>
              <w:rPr/>
            </w:pPr>
            <w:r>
              <w:rPr/>
              <w:t> </w:t>
            </w:r>
          </w:p>
        </w:tc>
      </w:tr>
      <w:tr>
        <w:trPr/>
        <w:tc>
          <w:tcPr>
            <w:tcW w:w="7435" w:type="dxa"/>
            <w:tcBorders/>
            <w:shd w:fill="CCEEFF" w:val="cle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September 2025 Notes derivative liability</w:t>
            </w:r>
          </w:p>
        </w:tc>
        <w:tc>
          <w:tcPr>
            <w:tcW w:w="60" w:type="dxa"/>
            <w:tcBorders/>
            <w:shd w:fill="CCEEFF" w:val="clear"/>
            <w:vAlign w:val="center"/>
          </w:tcPr>
          <w:p>
            <w:pPr>
              <w:pStyle w:val="TableContents"/>
              <w:bidi w:val="0"/>
              <w:spacing w:before="0" w:after="283"/>
              <w:jc w:val="left"/>
              <w:rPr/>
            </w:pPr>
            <w:r>
              <w:rPr/>
              <w:t> </w:t>
            </w:r>
          </w:p>
        </w:tc>
        <w:tc>
          <w:tcPr>
            <w:tcW w:w="155"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87"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10,825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7"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94"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14,756</w:t>
            </w:r>
          </w:p>
        </w:tc>
        <w:tc>
          <w:tcPr>
            <w:tcW w:w="112" w:type="dxa"/>
            <w:tcBorders/>
            <w:shd w:fill="CCEEFF" w:val="clear"/>
            <w:vAlign w:val="center"/>
          </w:tcPr>
          <w:p>
            <w:pPr>
              <w:pStyle w:val="TableContents"/>
              <w:bidi w:val="0"/>
              <w:spacing w:before="0" w:after="283"/>
              <w:jc w:val="left"/>
              <w:rPr/>
            </w:pPr>
            <w:r>
              <w:rPr/>
              <w:t> </w:t>
            </w:r>
          </w:p>
        </w:tc>
      </w:tr>
      <w:tr>
        <w:trPr/>
        <w:tc>
          <w:tcPr>
            <w:tcW w:w="7435" w:type="dxa"/>
            <w:tcBorders/>
            <w:shd w:fill="FFFFFF" w:val="cle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Total 7.0% senior unsecured convertible notes and derivative liabilities</w:t>
            </w:r>
          </w:p>
        </w:tc>
        <w:tc>
          <w:tcPr>
            <w:tcW w:w="60" w:type="dxa"/>
            <w:tcBorders/>
            <w:shd w:fill="FFFFFF" w:val="clear"/>
            <w:vAlign w:val="center"/>
          </w:tcPr>
          <w:p>
            <w:pPr>
              <w:pStyle w:val="TableContents"/>
              <w:bidi w:val="0"/>
              <w:spacing w:before="0" w:after="283"/>
              <w:jc w:val="left"/>
              <w:rPr/>
            </w:pPr>
            <w:r>
              <w:rPr/>
              <w:t> </w:t>
            </w:r>
          </w:p>
        </w:tc>
        <w:tc>
          <w:tcPr>
            <w:tcW w:w="155"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887"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63,783</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7"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94"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78,588</w:t>
            </w:r>
          </w:p>
        </w:tc>
        <w:tc>
          <w:tcPr>
            <w:tcW w:w="112" w:type="dxa"/>
            <w:tcBorders/>
            <w:shd w:fill="FFFFFF" w:val="clear"/>
            <w:vAlign w:val="center"/>
          </w:tcPr>
          <w:p>
            <w:pPr>
              <w:pStyle w:val="TableContents"/>
              <w:bidi w:val="0"/>
              <w:spacing w:before="0" w:after="283"/>
              <w:jc w:val="left"/>
              <w:rPr/>
            </w:pPr>
            <w:r>
              <w:rPr/>
              <w:t> </w:t>
            </w:r>
          </w:p>
        </w:tc>
      </w:tr>
      <w:tr>
        <w:trPr/>
        <w:tc>
          <w:tcPr>
            <w:tcW w:w="7435" w:type="dxa"/>
            <w:tcBorders/>
            <w:shd w:fill="CCEEFF" w:val="clear"/>
            <w:vAlign w:val="center"/>
          </w:tcPr>
          <w:p>
            <w:pPr>
              <w:pStyle w:val="TableContents"/>
              <w:bidi w:val="0"/>
              <w:spacing w:before="0" w:after="283"/>
              <w:jc w:val="both"/>
              <w:rPr/>
            </w:pPr>
            <w:r>
              <w:rPr/>
              <w:t> </w:t>
            </w:r>
          </w:p>
        </w:tc>
        <w:tc>
          <w:tcPr>
            <w:tcW w:w="60"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pPr>
            <w:r>
              <w:rPr/>
              <w:t> </w:t>
            </w:r>
          </w:p>
        </w:tc>
        <w:tc>
          <w:tcPr>
            <w:tcW w:w="887"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7" w:type="dxa"/>
            <w:tcBorders/>
            <w:shd w:fill="CCEEFF" w:val="clear"/>
            <w:vAlign w:val="center"/>
          </w:tcPr>
          <w:p>
            <w:pPr>
              <w:pStyle w:val="TableContents"/>
              <w:bidi w:val="0"/>
              <w:spacing w:before="0" w:after="283"/>
              <w:jc w:val="left"/>
              <w:rPr/>
            </w:pPr>
            <w:r>
              <w:rPr/>
              <w:t> </w:t>
            </w:r>
          </w:p>
        </w:tc>
        <w:tc>
          <w:tcPr>
            <w:tcW w:w="1194" w:type="dxa"/>
            <w:tcBorders/>
            <w:shd w:fill="CCEEFF" w:val="clear"/>
            <w:vAlign w:val="center"/>
          </w:tcPr>
          <w:p>
            <w:pPr>
              <w:pStyle w:val="TableContents"/>
              <w:bidi w:val="0"/>
              <w:spacing w:before="0" w:after="283"/>
              <w:jc w:val="right"/>
              <w:rPr/>
            </w:pPr>
            <w:r>
              <w:rPr/>
              <w:t> </w:t>
            </w:r>
          </w:p>
        </w:tc>
        <w:tc>
          <w:tcPr>
            <w:tcW w:w="112" w:type="dxa"/>
            <w:tcBorders/>
            <w:shd w:fill="CCEEFF" w:val="clear"/>
            <w:vAlign w:val="center"/>
          </w:tcPr>
          <w:p>
            <w:pPr>
              <w:pStyle w:val="TableContents"/>
              <w:bidi w:val="0"/>
              <w:spacing w:before="0" w:after="283"/>
              <w:jc w:val="left"/>
              <w:rPr/>
            </w:pPr>
            <w:r>
              <w:rPr/>
              <w:t> </w:t>
            </w:r>
          </w:p>
        </w:tc>
      </w:tr>
      <w:tr>
        <w:trPr/>
        <w:tc>
          <w:tcPr>
            <w:tcW w:w="7435" w:type="dxa"/>
            <w:tcBorders/>
            <w:shd w:fill="FFFFFF" w:val="cle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Total notes payable and derivative liabilities</w:t>
            </w:r>
          </w:p>
        </w:tc>
        <w:tc>
          <w:tcPr>
            <w:tcW w:w="60" w:type="dxa"/>
            <w:tcBorders/>
            <w:shd w:fill="FFFFFF" w:val="clear"/>
            <w:vAlign w:val="center"/>
          </w:tcPr>
          <w:p>
            <w:pPr>
              <w:pStyle w:val="TableContents"/>
              <w:bidi w:val="0"/>
              <w:spacing w:before="0" w:after="283"/>
              <w:jc w:val="left"/>
              <w:rPr/>
            </w:pPr>
            <w:r>
              <w:rPr/>
              <w:t> </w:t>
            </w:r>
          </w:p>
        </w:tc>
        <w:tc>
          <w:tcPr>
            <w:tcW w:w="155"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887"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134,567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7"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94"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158,075</w:t>
            </w:r>
          </w:p>
        </w:tc>
        <w:tc>
          <w:tcPr>
            <w:tcW w:w="112" w:type="dxa"/>
            <w:tcBorders/>
            <w:shd w:fill="FFFFFF" w:val="clear"/>
            <w:vAlign w:val="center"/>
          </w:tcPr>
          <w:p>
            <w:pPr>
              <w:pStyle w:val="TableContents"/>
              <w:bidi w:val="0"/>
              <w:spacing w:before="0" w:after="283"/>
              <w:jc w:val="left"/>
              <w:rPr/>
            </w:pPr>
            <w:r>
              <w:rPr/>
              <w:t> </w:t>
            </w:r>
          </w:p>
        </w:tc>
      </w:tr>
      <w:tr>
        <w:trPr/>
        <w:tc>
          <w:tcPr>
            <w:tcW w:w="7435" w:type="dxa"/>
            <w:tcBorders/>
            <w:shd w:fill="CCEEFF" w:val="cle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Less current portion</w:t>
            </w:r>
          </w:p>
        </w:tc>
        <w:tc>
          <w:tcPr>
            <w:tcW w:w="60" w:type="dxa"/>
            <w:tcBorders/>
            <w:shd w:fill="CCEEFF" w:val="clear"/>
            <w:vAlign w:val="center"/>
          </w:tcPr>
          <w:p>
            <w:pPr>
              <w:pStyle w:val="TableContents"/>
              <w:bidi w:val="0"/>
              <w:spacing w:before="0" w:after="283"/>
              <w:jc w:val="left"/>
              <w:rPr/>
            </w:pPr>
            <w:r>
              <w:rPr/>
              <w:t> </w:t>
            </w:r>
          </w:p>
        </w:tc>
        <w:tc>
          <w:tcPr>
            <w:tcW w:w="155"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87"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(2,786</w:t>
            </w:r>
          </w:p>
        </w:tc>
        <w:tc>
          <w:tcPr>
            <w:tcW w:w="9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207"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94"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(2,786</w:t>
            </w:r>
          </w:p>
        </w:tc>
        <w:tc>
          <w:tcPr>
            <w:tcW w:w="112"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7435" w:type="dxa"/>
            <w:tcBorders/>
            <w:shd w:fill="FFFFFF" w:val="cle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Total senior unsecured convertible notes payable and derivative liabilities, net of current portion</w:t>
            </w:r>
          </w:p>
        </w:tc>
        <w:tc>
          <w:tcPr>
            <w:tcW w:w="60" w:type="dxa"/>
            <w:tcBorders/>
            <w:shd w:fill="FFFFFF" w:val="clear"/>
            <w:vAlign w:val="center"/>
          </w:tcPr>
          <w:p>
            <w:pPr>
              <w:pStyle w:val="TableContents"/>
              <w:bidi w:val="0"/>
              <w:spacing w:before="0" w:after="283"/>
              <w:jc w:val="left"/>
              <w:rPr/>
            </w:pPr>
            <w:r>
              <w:rPr/>
              <w:t> </w:t>
            </w:r>
          </w:p>
        </w:tc>
        <w:tc>
          <w:tcPr>
            <w:tcW w:w="155" w:type="dxa"/>
            <w:tcBorders>
              <w:bottom w:val="double" w:sz="10"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887" w:type="dxa"/>
            <w:tcBorders>
              <w:bottom w:val="double" w:sz="10"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131,781</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7" w:type="dxa"/>
            <w:tcBorders>
              <w:bottom w:val="double" w:sz="10"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194" w:type="dxa"/>
            <w:tcBorders>
              <w:bottom w:val="double" w:sz="10"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155,289</w:t>
            </w:r>
          </w:p>
        </w:tc>
        <w:tc>
          <w:tcPr>
            <w:tcW w:w="112" w:type="dxa"/>
            <w:tcBorders/>
            <w:shd w:fill="FFFFFF" w:val="clear"/>
            <w:vAlign w:val="center"/>
          </w:tcPr>
          <w:p>
            <w:pPr>
              <w:pStyle w:val="TableContents"/>
              <w:bidi w:val="0"/>
              <w:spacing w:before="0" w:after="283"/>
              <w:jc w:val="left"/>
              <w:rPr/>
            </w:pPr>
            <w:r>
              <w:rPr/>
              <w:t> </w:t>
            </w:r>
          </w:p>
        </w:tc>
      </w:tr>
      <w:tr>
        <w:trPr/>
        <w:tc>
          <w:tcPr>
            <w:tcW w:w="7435" w:type="dxa"/>
            <w:tcBorders/>
            <w:shd w:fill="CCEEFF" w:val="clear"/>
            <w:vAlign w:val="center"/>
          </w:tcPr>
          <w:p>
            <w:pPr>
              <w:pStyle w:val="TableContents"/>
              <w:bidi w:val="0"/>
              <w:spacing w:before="0" w:after="283"/>
              <w:jc w:val="both"/>
              <w:rPr/>
            </w:pPr>
            <w:r>
              <w:rPr/>
              <w:t> </w:t>
            </w:r>
          </w:p>
        </w:tc>
        <w:tc>
          <w:tcPr>
            <w:tcW w:w="60"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pPr>
            <w:r>
              <w:rPr/>
              <w:t> </w:t>
            </w:r>
          </w:p>
        </w:tc>
        <w:tc>
          <w:tcPr>
            <w:tcW w:w="887"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7" w:type="dxa"/>
            <w:tcBorders/>
            <w:shd w:fill="CCEEFF" w:val="clear"/>
            <w:vAlign w:val="center"/>
          </w:tcPr>
          <w:p>
            <w:pPr>
              <w:pStyle w:val="TableContents"/>
              <w:bidi w:val="0"/>
              <w:spacing w:before="0" w:after="283"/>
              <w:jc w:val="left"/>
              <w:rPr/>
            </w:pPr>
            <w:r>
              <w:rPr/>
              <w:t> </w:t>
            </w:r>
          </w:p>
        </w:tc>
        <w:tc>
          <w:tcPr>
            <w:tcW w:w="1194" w:type="dxa"/>
            <w:tcBorders/>
            <w:shd w:fill="CCEEFF" w:val="clear"/>
            <w:vAlign w:val="center"/>
          </w:tcPr>
          <w:p>
            <w:pPr>
              <w:pStyle w:val="TableContents"/>
              <w:bidi w:val="0"/>
              <w:spacing w:before="0" w:after="283"/>
              <w:jc w:val="right"/>
              <w:rPr/>
            </w:pPr>
            <w:r>
              <w:rPr/>
              <w:t> </w:t>
            </w:r>
          </w:p>
        </w:tc>
        <w:tc>
          <w:tcPr>
            <w:tcW w:w="112" w:type="dxa"/>
            <w:tcBorders/>
            <w:shd w:fill="CCEEFF" w:val="clear"/>
            <w:vAlign w:val="center"/>
          </w:tcPr>
          <w:p>
            <w:pPr>
              <w:pStyle w:val="TableContents"/>
              <w:bidi w:val="0"/>
              <w:spacing w:before="0" w:after="283"/>
              <w:jc w:val="left"/>
              <w:rPr/>
            </w:pPr>
            <w:r>
              <w:rPr/>
              <w:t> </w:t>
            </w:r>
          </w:p>
        </w:tc>
      </w:tr>
      <w:tr>
        <w:trPr/>
        <w:tc>
          <w:tcPr>
            <w:tcW w:w="7435" w:type="dxa"/>
            <w:tcBorders/>
            <w:shd w:fill="FFFFFF" w:val="cle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Balance sheet classification of long-term debt</w:t>
            </w:r>
          </w:p>
        </w:tc>
        <w:tc>
          <w:tcPr>
            <w:tcW w:w="60" w:type="dxa"/>
            <w:tcBorders/>
            <w:shd w:fill="FFFFFF" w:val="clear"/>
            <w:vAlign w:val="center"/>
          </w:tcPr>
          <w:p>
            <w:pPr>
              <w:pStyle w:val="TableContents"/>
              <w:bidi w:val="0"/>
              <w:spacing w:before="0" w:after="283"/>
              <w:jc w:val="left"/>
              <w:rPr/>
            </w:pPr>
            <w:r>
              <w:rPr/>
              <w:t> </w:t>
            </w:r>
          </w:p>
        </w:tc>
        <w:tc>
          <w:tcPr>
            <w:tcW w:w="155" w:type="dxa"/>
            <w:tcBorders/>
            <w:shd w:fill="FFFFFF" w:val="clear"/>
            <w:vAlign w:val="center"/>
          </w:tcPr>
          <w:p>
            <w:pPr>
              <w:pStyle w:val="TableContents"/>
              <w:bidi w:val="0"/>
              <w:spacing w:before="0" w:after="283"/>
              <w:jc w:val="left"/>
              <w:rPr/>
            </w:pPr>
            <w:r>
              <w:rPr/>
              <w:t> </w:t>
            </w:r>
          </w:p>
        </w:tc>
        <w:tc>
          <w:tcPr>
            <w:tcW w:w="887"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7" w:type="dxa"/>
            <w:tcBorders/>
            <w:shd w:fill="FFFFFF" w:val="clear"/>
            <w:vAlign w:val="center"/>
          </w:tcPr>
          <w:p>
            <w:pPr>
              <w:pStyle w:val="TableContents"/>
              <w:bidi w:val="0"/>
              <w:spacing w:before="0" w:after="283"/>
              <w:jc w:val="left"/>
              <w:rPr/>
            </w:pPr>
            <w:r>
              <w:rPr/>
              <w:t> </w:t>
            </w:r>
          </w:p>
        </w:tc>
        <w:tc>
          <w:tcPr>
            <w:tcW w:w="1194" w:type="dxa"/>
            <w:tcBorders/>
            <w:shd w:fill="FFFFFF" w:val="clear"/>
            <w:vAlign w:val="center"/>
          </w:tcPr>
          <w:p>
            <w:pPr>
              <w:pStyle w:val="TableContents"/>
              <w:bidi w:val="0"/>
              <w:spacing w:before="0" w:after="283"/>
              <w:jc w:val="right"/>
              <w:rPr/>
            </w:pPr>
            <w:r>
              <w:rPr/>
              <w:t> </w:t>
            </w:r>
          </w:p>
        </w:tc>
        <w:tc>
          <w:tcPr>
            <w:tcW w:w="112" w:type="dxa"/>
            <w:tcBorders/>
            <w:shd w:fill="FFFFFF" w:val="clear"/>
            <w:vAlign w:val="center"/>
          </w:tcPr>
          <w:p>
            <w:pPr>
              <w:pStyle w:val="TableContents"/>
              <w:bidi w:val="0"/>
              <w:spacing w:before="0" w:after="283"/>
              <w:jc w:val="left"/>
              <w:rPr/>
            </w:pPr>
            <w:r>
              <w:rPr/>
              <w:t> </w:t>
            </w:r>
          </w:p>
        </w:tc>
      </w:tr>
      <w:tr>
        <w:trPr/>
        <w:tc>
          <w:tcPr>
            <w:tcW w:w="7435" w:type="dxa"/>
            <w:tcBorders/>
            <w:shd w:fill="CCEEFF" w:val="cle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Notes payable and derivative liabilities, net of current portion</w:t>
            </w:r>
          </w:p>
        </w:tc>
        <w:tc>
          <w:tcPr>
            <w:tcW w:w="60"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887"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99,860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7"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194"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120,159</w:t>
            </w:r>
          </w:p>
        </w:tc>
        <w:tc>
          <w:tcPr>
            <w:tcW w:w="112" w:type="dxa"/>
            <w:tcBorders/>
            <w:shd w:fill="CCEEFF" w:val="clear"/>
            <w:vAlign w:val="center"/>
          </w:tcPr>
          <w:p>
            <w:pPr>
              <w:pStyle w:val="TableContents"/>
              <w:bidi w:val="0"/>
              <w:spacing w:before="0" w:after="283"/>
              <w:jc w:val="left"/>
              <w:rPr/>
            </w:pPr>
            <w:r>
              <w:rPr/>
              <w:t> </w:t>
            </w:r>
          </w:p>
        </w:tc>
      </w:tr>
      <w:tr>
        <w:trPr/>
        <w:tc>
          <w:tcPr>
            <w:tcW w:w="7435" w:type="dxa"/>
            <w:tcBorders/>
            <w:shd w:fill="FFFFFF" w:val="cle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Notes payable and derivative liabilities with related parties</w:t>
            </w:r>
          </w:p>
        </w:tc>
        <w:tc>
          <w:tcPr>
            <w:tcW w:w="60" w:type="dxa"/>
            <w:tcBorders/>
            <w:shd w:fill="FFFFFF" w:val="clear"/>
            <w:vAlign w:val="center"/>
          </w:tcPr>
          <w:p>
            <w:pPr>
              <w:pStyle w:val="TableContents"/>
              <w:bidi w:val="0"/>
              <w:spacing w:before="0" w:after="283"/>
              <w:jc w:val="left"/>
              <w:rPr/>
            </w:pPr>
            <w:r>
              <w:rPr/>
              <w:t> </w:t>
            </w:r>
          </w:p>
        </w:tc>
        <w:tc>
          <w:tcPr>
            <w:tcW w:w="155"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887"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31,921</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7"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94"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35,130</w:t>
            </w:r>
          </w:p>
        </w:tc>
        <w:tc>
          <w:tcPr>
            <w:tcW w:w="112" w:type="dxa"/>
            <w:tcBorders/>
            <w:shd w:fill="FFFFFF" w:val="clear"/>
            <w:vAlign w:val="center"/>
          </w:tcPr>
          <w:p>
            <w:pPr>
              <w:pStyle w:val="TableContents"/>
              <w:bidi w:val="0"/>
              <w:spacing w:before="0" w:after="283"/>
              <w:jc w:val="left"/>
              <w:rPr/>
            </w:pPr>
            <w:r>
              <w:rPr/>
              <w:t> </w:t>
            </w:r>
          </w:p>
        </w:tc>
      </w:tr>
      <w:tr>
        <w:trPr/>
        <w:tc>
          <w:tcPr>
            <w:tcW w:w="7435" w:type="dxa"/>
            <w:tcBorders/>
            <w:shd w:fill="CCEEFF" w:val="cle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Total long-term debt including net of current portion</w:t>
            </w:r>
          </w:p>
        </w:tc>
        <w:tc>
          <w:tcPr>
            <w:tcW w:w="60"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pPr>
            <w:r>
              <w:rPr/>
              <w:t> </w:t>
            </w:r>
          </w:p>
        </w:tc>
        <w:tc>
          <w:tcPr>
            <w:tcW w:w="887"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131,781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7" w:type="dxa"/>
            <w:tcBorders/>
            <w:shd w:fill="CCEEFF" w:val="clear"/>
            <w:vAlign w:val="center"/>
          </w:tcPr>
          <w:p>
            <w:pPr>
              <w:pStyle w:val="TableContents"/>
              <w:bidi w:val="0"/>
              <w:spacing w:before="0" w:after="283"/>
              <w:jc w:val="left"/>
              <w:rPr/>
            </w:pPr>
            <w:r>
              <w:rPr/>
              <w:t> </w:t>
            </w:r>
          </w:p>
        </w:tc>
        <w:tc>
          <w:tcPr>
            <w:tcW w:w="1194"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155,289</w:t>
            </w:r>
          </w:p>
        </w:tc>
        <w:tc>
          <w:tcPr>
            <w:tcW w:w="112" w:type="dxa"/>
            <w:tcBorders/>
            <w:shd w:fill="CCEEFF" w:val="clear"/>
            <w:vAlign w:val="center"/>
          </w:tcPr>
          <w:p>
            <w:pPr>
              <w:pStyle w:val="TableContents"/>
              <w:bidi w:val="0"/>
              <w:spacing w:before="0" w:after="283"/>
              <w:jc w:val="left"/>
              <w:rPr/>
            </w:pPr>
            <w:r>
              <w:rPr/>
              <w:t> </w:t>
            </w:r>
          </w:p>
        </w:tc>
      </w:tr>
      <w:tr>
        <w:trPr/>
        <w:tc>
          <w:tcPr>
            <w:tcW w:w="7435" w:type="dxa"/>
            <w:tcBorders/>
            <w:shd w:fill="FFFFFF" w:val="cle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Current portion of long-term debt</w:t>
            </w:r>
          </w:p>
        </w:tc>
        <w:tc>
          <w:tcPr>
            <w:tcW w:w="60" w:type="dxa"/>
            <w:tcBorders/>
            <w:shd w:fill="FFFFFF" w:val="clear"/>
            <w:vAlign w:val="center"/>
          </w:tcPr>
          <w:p>
            <w:pPr>
              <w:pStyle w:val="TableContents"/>
              <w:bidi w:val="0"/>
              <w:spacing w:before="0" w:after="283"/>
              <w:jc w:val="left"/>
              <w:rPr/>
            </w:pPr>
            <w:r>
              <w:rPr/>
              <w:t> </w:t>
            </w:r>
          </w:p>
        </w:tc>
        <w:tc>
          <w:tcPr>
            <w:tcW w:w="155"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887"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2,786</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7"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94"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2,786</w:t>
            </w:r>
          </w:p>
        </w:tc>
        <w:tc>
          <w:tcPr>
            <w:tcW w:w="112" w:type="dxa"/>
            <w:tcBorders/>
            <w:shd w:fill="FFFFFF" w:val="clear"/>
            <w:vAlign w:val="center"/>
          </w:tcPr>
          <w:p>
            <w:pPr>
              <w:pStyle w:val="TableContents"/>
              <w:bidi w:val="0"/>
              <w:spacing w:before="0" w:after="283"/>
              <w:jc w:val="left"/>
              <w:rPr/>
            </w:pPr>
            <w:r>
              <w:rPr/>
              <w:t> </w:t>
            </w:r>
          </w:p>
        </w:tc>
      </w:tr>
      <w:tr>
        <w:trPr/>
        <w:tc>
          <w:tcPr>
            <w:tcW w:w="7435" w:type="dxa"/>
            <w:tcBorders/>
            <w:shd w:fill="CCEEFF" w:val="cle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Total long-term debt</w:t>
            </w:r>
          </w:p>
        </w:tc>
        <w:tc>
          <w:tcPr>
            <w:tcW w:w="60" w:type="dxa"/>
            <w:tcBorders/>
            <w:shd w:fill="CCEEFF" w:val="clear"/>
            <w:vAlign w:val="center"/>
          </w:tcPr>
          <w:p>
            <w:pPr>
              <w:pStyle w:val="TableContents"/>
              <w:bidi w:val="0"/>
              <w:spacing w:before="0" w:after="283"/>
              <w:jc w:val="left"/>
              <w:rPr/>
            </w:pPr>
            <w:r>
              <w:rPr/>
              <w:t> </w:t>
            </w:r>
          </w:p>
        </w:tc>
        <w:tc>
          <w:tcPr>
            <w:tcW w:w="155" w:type="dxa"/>
            <w:tcBorders>
              <w:bottom w:val="double" w:sz="10"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887" w:type="dxa"/>
            <w:tcBorders>
              <w:bottom w:val="double" w:sz="10"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134,567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7" w:type="dxa"/>
            <w:tcBorders>
              <w:bottom w:val="double" w:sz="10"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194" w:type="dxa"/>
            <w:tcBorders>
              <w:bottom w:val="double" w:sz="10"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158,075</w:t>
            </w:r>
          </w:p>
        </w:tc>
        <w:tc>
          <w:tcPr>
            <w:tcW w:w="112"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sz w:val="20"/>
          <w:bdr w:val="single" w:sz="12" w:space="1" w:color="000000"/>
        </w:rPr>
      </w:pPr>
      <w:r>
        <w:rPr>
          <w:sz w:val="20"/>
          <w:bdr w:val="single" w:sz="12" w:space="1" w:color="000000"/>
        </w:rPr>
        <w:t>F-29</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 xml:space="preserve">Short-term debt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Standby Equity Purchase Agreement and $1.9 Million Note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January 27, 2026 (the “Effective Date”), SunPower entered into a Standby Equity Purchase Agreement (the “SEPA”) with YA II PN, LTD., a Cayman Islands exempt limited company (“YA”). Pursuant to the SEPA, YA agreed to advance up to $20.0 million (the “Pre-Paid Advances”) to the Company in the form of convertible promissory notes (each “Promissory Note”), subject to the terms and conditions of the SEPA. Each Promissory Note bears interest at 0% per annum, which increases to 18% per annum upon the occurrence and continuance of an Event of Default (as defined in the Promissory Notes) for so long as such event remains uncured. Each tranche is funded at a 10% discount to its principal amount. The Promissory Notes are initially convertible into 540.5405 shares of the Company’s common stock per $1,000 principal amount, subject to adjustment.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SEPA also provides the Company the right, subject to certain conditions, to require YA to purchase up to $25.0 million of the Company’s common stock (“Commitment Amount”) through January 27, 2029.</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the SEPA, the Company paid YA total fees of $0.4 million consisting of $0.05 million of cash and 175,000 shares of the Company’s common stock, with a fair value of $0.3 million, as a due diligence, structuring and commitment fee.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SEPA will automatically terminate on the earliest to occur of (i) January 27, 2029 or (ii) the date on which YA has purchased from the Company under the SEPA the Commitment Amount in full. The Company may terminate the SEPA at any time upon five trading days’ prior written notice to YA, provided that there are no outstanding advance notices under which the Company is yet to issue shares of its common stock, there are no amounts outstanding under the Promissory Notes, and provided that the Company has paid all amounts owed to YA pursuant to the SEPA. The Company and YA may also agree to terminate the SEPA by mutual written consent.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January 27, 2026, the first Pre-Paid Advance was disbursed. The gross amount of the borrowing under the Pre-Paid Advance was $1.9 million which was advanced under a Promissory Note (“$1.9 Million Note”), and the Company received net proceeds of $1.71 million after the contractual discount. The $1.9 Million Note matures on January 27, 2027, which may be extended at YA’s option. The Company’s rights for further Pre-Paid Advances under the SEPA terminated pursuant to the terms of the SEPA.</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Company elected the fair value option under ASC 825, </w:t>
      </w:r>
      <w:r>
        <w:rPr>
          <w:rFonts w:ascii="Times New Roman;Times;Serif" w:hAnsi="Times New Roman;Times;Serif"/>
          <w:b w:val="false"/>
          <w:i/>
          <w:caps w:val="false"/>
          <w:smallCaps w:val="false"/>
          <w:sz w:val="20"/>
        </w:rPr>
        <w:t>Financial Instruments,</w:t>
      </w:r>
      <w:r>
        <w:rPr>
          <w:rFonts w:ascii="Times New Roman;Times;Serif" w:hAnsi="Times New Roman;Times;Serif"/>
          <w:b w:val="false"/>
          <w:i w:val="false"/>
          <w:caps w:val="false"/>
          <w:smallCaps w:val="false"/>
          <w:sz w:val="20"/>
        </w:rPr>
        <w:t xml:space="preserve"> for the $1.9 Million Note. Accordingly, the $1.9 Million Note is recorded at fair value upon issuance and are subsequently remeasured at fair value at each reporting date, with changes in fair value recognized in “non-operating Other non-operating income, net” in the Company’s unaudited condensed consolidated statements of operations and comprehensive income. As a result of this election, the original issue discount, transaction costs, and embedded conversion features are not separately accounted for and are instead reflected in the fair value of $1.9 Million Note. The $1.9 Million Note is classified as a Level 3 liability within the fair value hierarchy established by ASC 820, </w:t>
      </w:r>
      <w:r>
        <w:rPr>
          <w:rFonts w:ascii="Times New Roman;Times;Serif" w:hAnsi="Times New Roman;Times;Serif"/>
          <w:b w:val="false"/>
          <w:i/>
          <w:caps w:val="false"/>
          <w:smallCaps w:val="false"/>
          <w:sz w:val="20"/>
        </w:rPr>
        <w:t>Fair Value Measurement</w:t>
      </w:r>
      <w:r>
        <w:rPr>
          <w:rFonts w:ascii="Times New Roman;Times;Serif" w:hAnsi="Times New Roman;Times;Serif"/>
          <w:b w:val="false"/>
          <w:i w:val="false"/>
          <w:caps w:val="false"/>
          <w:smallCaps w:val="false"/>
          <w:sz w:val="20"/>
        </w:rPr>
        <w:t xml:space="preserve">, due to the use of significant unobservable inputs in the valuation. Refer to </w:t>
      </w:r>
      <w:r>
        <w:rPr>
          <w:rFonts w:ascii="Times New Roman;Times;Serif" w:hAnsi="Times New Roman;Times;Serif"/>
          <w:b/>
          <w:i w:val="false"/>
          <w:caps w:val="false"/>
          <w:smallCaps w:val="false"/>
          <w:sz w:val="20"/>
        </w:rPr>
        <w:t>Note 5 – Fair Value Measurements</w:t>
      </w:r>
      <w:r>
        <w:rPr>
          <w:rFonts w:ascii="Times New Roman;Times;Serif" w:hAnsi="Times New Roman;Times;Serif"/>
          <w:b w:val="false"/>
          <w:i w:val="false"/>
          <w:caps w:val="false"/>
          <w:smallCaps w:val="false"/>
          <w:sz w:val="20"/>
        </w:rPr>
        <w:t xml:space="preserve"> for a description of the inputs and assumptions used in the valuation of the $1.9 Million Note.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initial amount of the $1.9 Million Note was recorded at its estimated fair value of $1.7 million on the issuance date. As of March 29, 2026, the $1.9 Million Note had a fair value of $1.5 million. The change in the fair value of the $1.9 Million Note was included in “Other non-operating income, net” within the unaudited condensed consolidated statement of operations and comprehensive income in the thirteen week period ended March 29, 2026.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sz w:val="20"/>
          <w:bdr w:val="single" w:sz="12" w:space="1" w:color="000000"/>
        </w:rPr>
      </w:pPr>
      <w:r>
        <w:rPr>
          <w:sz w:val="20"/>
          <w:bdr w:val="single" w:sz="12" w:space="1" w:color="000000"/>
        </w:rPr>
        <w:t>F-30</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March 2026 Bridge Note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March 6, 2026, the Company entered into a purchase agreement (“Purchase Agreement”) with YA pursuant to which the Company issued a convertible debenture in the principal amount of $10.0 million (the “March 2026 Bridge Note” and collectively with the $1.9 Million Note, the “Yorkville Notes”). The Company received net proceeds of $9.0 million at issuance, after deducting fees payable under the Purchase Agreement. The March 2026 Bridge Note matures on March 6, 2027, unless extended at YA’s option. The March 2026 Bridge Note bears interest at 0% per annum; however, upon the occurrence and continuance of an event of default, the interest rate increases to 18% per annum.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Company elected the fair value option under ASC 825 for the March 2026 Bridge Note. As a result, the March 2026 Bridge Note is carried at fair value, with changes in fair value recognized in earnings within “non-operating Other non-operating income, net” in the Company’s unaudited condensed consolidated statements of operations and comprehensive income. As a result of this election, the original issue discount, transaction costs, and embedded conversion features are not separately accounted for and are instead reflected in the fair value of the March 2026 Bridge Note. The March 2026 Bridge Note is classified as a Level 3 liability within the fair value hierarchy established by ASC 820 due to the use of significant unobservable inputs in the valuation. See </w:t>
      </w:r>
      <w:r>
        <w:rPr>
          <w:rFonts w:ascii="Times New Roman;Times;Serif" w:hAnsi="Times New Roman;Times;Serif"/>
          <w:b/>
          <w:i w:val="false"/>
          <w:caps w:val="false"/>
          <w:smallCaps w:val="false"/>
          <w:sz w:val="20"/>
        </w:rPr>
        <w:t>Note 5 – Fair Value Measurements</w:t>
      </w:r>
      <w:r>
        <w:rPr>
          <w:rFonts w:ascii="Times New Roman;Times;Serif" w:hAnsi="Times New Roman;Times;Serif"/>
          <w:b w:val="false"/>
          <w:i w:val="false"/>
          <w:caps w:val="false"/>
          <w:smallCaps w:val="false"/>
          <w:sz w:val="20"/>
        </w:rPr>
        <w:t xml:space="preserve"> for additional information regarding the valuation of the March 2026 Bridge Note, including key assumptions and valuation methodologies.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initial amount of the March 2026 Bridge Note was recorded at its estimated fair value of $9.0 million on the issuance date. As of March 29, 2026, the March 2026 Bridge Note had a fair value of $9.5 million. The change in the fair value of the March 2026 Bridge Note was included in “Other non-operating income, net” within the Company’s unaudited condensed consolidated statement of operations and comprehensive income in the thirteen week period ended March 29, 2026.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March 2026 Bridge Note required installment payments on May 6, 2026, June 6, 2026, July 6, 2026, August 6, 2026, and September 6, 2026 (each, an “Installment Date”). On each Installment Date, the Company was required to pay an amount equal to (i) $2.0 million of principal, (ii) a payment premium of $0.06 million, and (iii) any accrued and unpaid interest (collectively, the “Installment Amount”). The Company may satisfy each Installment Amount, at its option, (a) in cash, (b) by submitting an advance notice pursuant to the SEPA, or (c) through a combination of cash and such advance notice. On April 21, 2026, the Company and YA agreed to amend the Installment Dates in connection with a $5.0 million prepayment of the March 2026 Bridge Note. As amended, on each of May 5, 2026, June 5, 2026, July 5, 2026 and August 5, 2026, the Company is required to pay an amount equal to (i) $1.25 million of principal, (ii) a payment premium of $0.0375 million, and (iii) any accrued and unpaid interest. Refer to </w:t>
      </w:r>
      <w:r>
        <w:rPr>
          <w:rFonts w:ascii="Times New Roman;Times;Serif" w:hAnsi="Times New Roman;Times;Serif"/>
          <w:b/>
          <w:i w:val="false"/>
          <w:caps w:val="false"/>
          <w:smallCaps w:val="false"/>
          <w:sz w:val="20"/>
        </w:rPr>
        <w:t xml:space="preserve">Note 18 – Subsequent Events </w:t>
      </w:r>
      <w:r>
        <w:rPr>
          <w:rFonts w:ascii="Times New Roman;Times;Serif" w:hAnsi="Times New Roman;Times;Serif"/>
          <w:b w:val="false"/>
          <w:i w:val="false"/>
          <w:caps w:val="false"/>
          <w:smallCaps w:val="false"/>
          <w:sz w:val="20"/>
        </w:rPr>
        <w:t>for details.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 any time after issuance, YA may convert all or a portion of the outstanding principal balance into shares of the Company’s common stock at an adjusted fixed conversion price of $1.64 per share (the “Fixed Price”). In addition, any Installment Amount that remains unpaid following an Installment Date may be converted at a price equal to 95% of the volume weighted average price (“VWAP”) of the Company’s common stock during the five trading days immediately preceding the conversion date, subject to a minimum conversion price equal to the then-applicable floor price.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may, at its option, redeem all or a portion of the outstanding balance of the March 2026 Bridge Note (an “Optional Redemption”) upon written notice to YA, provided that the VWAP of the Company’s common stock at the time of such notice is less than the Fixed Price. The redemption price equals (i) the principal amount redeemed, (ii) a premium of 3% of such principal amount, and (iii) any accrued and unpaid interest; provided that the premium does not apply to Optional Redemptions completed on or prior to April 30, 2026.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Seller Note – related party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On September 24, 2025, the Company issued a note payable to CPP (“Seller Note”) in connection with the Company’s acquisition of 100% of the membership interests in Sunder and concluded that the Seller Note is a related party obligation (see </w:t>
      </w:r>
      <w:r>
        <w:rPr>
          <w:rFonts w:ascii="Times New Roman;Times;Serif" w:hAnsi="Times New Roman;Times;Serif"/>
          <w:b/>
          <w:i w:val="false"/>
          <w:caps w:val="false"/>
          <w:smallCaps w:val="false"/>
          <w:sz w:val="20"/>
        </w:rPr>
        <w:t>Note 3 – Business Combinations</w:t>
      </w:r>
      <w:r>
        <w:rPr>
          <w:rFonts w:ascii="Times New Roman;Times;Serif" w:hAnsi="Times New Roman;Times;Serif"/>
          <w:b w:val="false"/>
          <w:i w:val="false"/>
          <w:caps w:val="false"/>
          <w:smallCaps w:val="false"/>
          <w:sz w:val="20"/>
        </w:rPr>
        <w:t>). The Seller Note has an original principal amount of $20.0 million. The Seller Note bears interest at 7.0% per annum, compounded at the end of each calendar quarter. Interest is due and payable concurrent with the payment of the principal balance. The maturity date of the Seller Note was initially the earlier of (i) May 15, 2026 and (ii) the date on which all amounts under the Seller Note otherwise become due and payable following an event of default. The Seller Note must also be repaid in the event of a change of control of the Company or the sale of all or substantially all of the consolidated assets of the Company and its subsidiaries. The Seller Note includes customary events of default, including: (a) the Company’s failure to pay the Seller Note when due, (b) the Company’s voluntary or involuntary bankruptcy, (c) the Company’s liquidation or dissolution, (d) a change of control of the Company, (e) the Company’s material breach of the covenants applicable to the Company under the Seller Note, subject to applicable cure periods, and (f) if any of the Company’s representations or warranties made in the Seller Note were untrue in any material respect when made. Management concluded that the carrying value of the Seller Note approximates its fair value due to the short-term nature of the obligation.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sz w:val="20"/>
          <w:bdr w:val="single" w:sz="12" w:space="1" w:color="000000"/>
        </w:rPr>
      </w:pPr>
      <w:r>
        <w:rPr>
          <w:sz w:val="20"/>
          <w:bdr w:val="single" w:sz="12" w:space="1" w:color="000000"/>
        </w:rPr>
        <w:t>F-31</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March 5, 2026, the Company entered into an amendment of the Seller Note (“Amendment”) providing that if the terms of the SEPA would restrict repayment of the Seller Note on May 15, 2026, then the maturity date of the Seller Note will be extended to the earlier of (a) the date that is two business days following the date on which the Seller Note may be repaid pursuant to the restrictions set forth in the SEPA Debenture and (b) September 30, 2026 (or, if the registration statement required to be filed pursuant to the Registration Rights Agreement has not been declared effective prior to April 30, 2026, then the outside maturity date will extend to December 31, 2026). Additionally, the Company and CPP agreed that the interest rate applicable to the Seller Note will increase to 10.0% per annum if the principal amount of the Seller Note remains outstanding after May 15, 2026. As an inducement to CPP’s agreement to the foregoing, the Amendment also provides that, within two business days following approval by the Company’s stockholders of the issuance of shares under the Sunder MIPA in accordance with applicable Nasdaq rules, the Company will issue the remaining shares of common stock otherwise issuable to CPP pursuant to the Sunder MIPA. On April 8, 2026, the Company issued the remaining 6.7 million shares of the Company’s common stock due under the Seller Note.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On April 23, 2026, the Company and CPP entered into the A&amp;R Seller Note with a revised principal amount of $7.0 million. Refer to </w:t>
      </w:r>
      <w:r>
        <w:rPr>
          <w:rFonts w:ascii="Times New Roman;Times;Serif" w:hAnsi="Times New Roman;Times;Serif"/>
          <w:b/>
          <w:i w:val="false"/>
          <w:caps w:val="false"/>
          <w:smallCaps w:val="false"/>
          <w:sz w:val="20"/>
        </w:rPr>
        <w:t xml:space="preserve">Note 18 – Subsequent Events </w:t>
      </w:r>
      <w:r>
        <w:rPr>
          <w:rFonts w:ascii="Times New Roman;Times;Serif" w:hAnsi="Times New Roman;Times;Serif"/>
          <w:b w:val="false"/>
          <w:i w:val="false"/>
          <w:caps w:val="false"/>
          <w:smallCaps w:val="false"/>
          <w:sz w:val="20"/>
        </w:rPr>
        <w:t>for details.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Interest expense recognized on this obligation was less than $0.4 million in the thirteen week period ended March 29, 2026.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Loan with related party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has a loan with a principal balance of $1.5 million owed to the Rodgers Revocable Trust, a related party. This loan has an annual interest rate equal to the greater of 7.75% or Prime plus 4.5%. There are no financial covenants.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Interest expense recognized on this obligation was less than $0.1 million in each of the thirteen week periods ended March 29, 2026 and March 30, 2025.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Cobalt Loan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the acquisition of Cobalt, the Company assumed a loan (“Cobalt Loan”). Cobalt originally entered into the loan on July 1, 2024, with Santa Cruz County Bank. The principal amount of the Cobalt Loan was $3.0 million and has a final maturity on June 5, 2034. The Cobalt Loan is secured by all of Cobalt’s business assets pursuant to a blanket lien as well as additional collateral, including limited guarantees secured with a third deed of trust on certain real estate properties and other assets of the former owners of Cobalt. The interest rate on the Cobalt loan is Prime plus 2.75%.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Cobalt Loan may be declared due and payable at the option of the holder upon an event of default and upon a qualifying change of control event.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Long-term debt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12.0% Senior Unsecured Convertible Notes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July 2024 Notes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July 2024, the Company issued $46.0 million of senior unsecured convertible notes (“July 2024 Notes”) consisting of $28.0 million in cash proceeds. The remaining $18.0 million of the July 2024 Notes arose from an exchange of debt accounted for as a troubled debt restructuring (“Debt Exchange”). Refer to the Company’s Annual Report on Form 10-K for the fiscal year ended December 28, 2025 for details regarding $18.0 million of debt arising from the Debt Exchange.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Cash proceeds of $28.0 million included $18.0 million from the Rodgers Revocable Trust, a related party and $10.0 million of the debt exchanged was issued to Carlyle, also a related party. Carlyle was no longer deemed a related party to the Company subsequent to March 30, 2025.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sz w:val="20"/>
          <w:bdr w:val="single" w:sz="12" w:space="1" w:color="000000"/>
        </w:rPr>
      </w:pPr>
      <w:r>
        <w:rPr>
          <w:sz w:val="20"/>
          <w:bdr w:val="single" w:sz="12" w:space="1" w:color="000000"/>
        </w:rPr>
        <w:t>F-32</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July 2024 Notes bear interest at 12.0% per annum, and the principal is payable in full at maturity on July 1, 2029. The interest is payable in cash on January 1 and July 1 of each year, beginning on July 1, 2025. The interest rate increases by 3% in the event of default. The conversion rate of the July 2024 Notes is initially equal to 595.2381 shares of common stock per $1,000 of principal amount due under the July 2024 Notes. Holders of July 2024 Notes may convert at any time. The July 2024 Notes may be declared due and payable at the option of the holder upon an event of default and upon a qualifying change of control event. The conversion option was required to be bifurcated as a derivative liability, and the Company recorded a derivative liability of $28.7 million on the issuance date.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effective interest rate on the July 2024 Notes cash proceeds of $28.0 million approximates 45% as of March 29. 2026. Coupon interest, default interest and failure to file interest on the $18.0 million Debt Exchange were capitalized as part of the July 2024 Notes. Accordingly, the effective interest rate on the $18.0 million arising from the Debt Exchange is nil as of March 29, 2026.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carrying amount of the July 2024 Notes was as follows </w:t>
      </w:r>
      <w:r>
        <w:rPr>
          <w:rFonts w:ascii="Times New Roman;Times;Serif" w:hAnsi="Times New Roman;Times;Serif"/>
          <w:b w:val="false"/>
          <w:i/>
          <w:caps w:val="false"/>
          <w:smallCaps w:val="false"/>
          <w:sz w:val="20"/>
        </w:rPr>
        <w:t>(in thousands)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tbl>
      <w:tblPr>
        <w:tblW w:w="6653" w:type="dxa"/>
        <w:jc w:val="left"/>
        <w:tblInd w:w="0" w:type="dxa"/>
        <w:tblLayout w:type="fixed"/>
        <w:tblCellMar>
          <w:top w:w="0" w:type="dxa"/>
          <w:left w:w="0" w:type="dxa"/>
          <w:bottom w:w="0" w:type="dxa"/>
          <w:right w:w="0" w:type="dxa"/>
        </w:tblCellMar>
      </w:tblPr>
      <w:tblGrid>
        <w:gridCol w:w="3845"/>
        <w:gridCol w:w="60"/>
        <w:gridCol w:w="167"/>
        <w:gridCol w:w="902"/>
        <w:gridCol w:w="95"/>
        <w:gridCol w:w="60"/>
        <w:gridCol w:w="220"/>
        <w:gridCol w:w="1194"/>
        <w:gridCol w:w="110"/>
      </w:tblGrid>
      <w:tr>
        <w:trPr/>
        <w:tc>
          <w:tcPr>
            <w:tcW w:w="384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2638" w:type="dxa"/>
            <w:gridSpan w:val="6"/>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As of</w:t>
            </w:r>
          </w:p>
        </w:tc>
        <w:tc>
          <w:tcPr>
            <w:tcW w:w="110" w:type="dxa"/>
            <w:tcBorders/>
            <w:vAlign w:val="center"/>
          </w:tcPr>
          <w:p>
            <w:pPr>
              <w:pStyle w:val="TableContents"/>
              <w:bidi w:val="0"/>
              <w:spacing w:before="0" w:after="283"/>
              <w:jc w:val="left"/>
              <w:rPr/>
            </w:pPr>
            <w:r>
              <w:rPr/>
              <w:t> </w:t>
            </w:r>
          </w:p>
        </w:tc>
      </w:tr>
      <w:tr>
        <w:trPr/>
        <w:tc>
          <w:tcPr>
            <w:tcW w:w="384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069" w:type="dxa"/>
            <w:gridSpan w:val="2"/>
            <w:tcBorders/>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March 29,</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14" w:type="dxa"/>
            <w:gridSpan w:val="2"/>
            <w:tcBorders/>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December 28,</w:t>
            </w:r>
          </w:p>
        </w:tc>
        <w:tc>
          <w:tcPr>
            <w:tcW w:w="110" w:type="dxa"/>
            <w:tcBorders/>
            <w:vAlign w:val="center"/>
          </w:tcPr>
          <w:p>
            <w:pPr>
              <w:pStyle w:val="TableContents"/>
              <w:bidi w:val="0"/>
              <w:spacing w:before="0" w:after="283"/>
              <w:jc w:val="left"/>
              <w:rPr/>
            </w:pPr>
            <w:r>
              <w:rPr/>
              <w:t> </w:t>
            </w:r>
          </w:p>
        </w:tc>
      </w:tr>
      <w:tr>
        <w:trPr/>
        <w:tc>
          <w:tcPr>
            <w:tcW w:w="384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069"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2026</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14"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2025</w:t>
            </w:r>
          </w:p>
        </w:tc>
        <w:tc>
          <w:tcPr>
            <w:tcW w:w="110" w:type="dxa"/>
            <w:tcBorders/>
            <w:vAlign w:val="center"/>
          </w:tcPr>
          <w:p>
            <w:pPr>
              <w:pStyle w:val="TableContents"/>
              <w:bidi w:val="0"/>
              <w:spacing w:before="0" w:after="283"/>
              <w:jc w:val="left"/>
              <w:rPr/>
            </w:pPr>
            <w:r>
              <w:rPr/>
              <w:t> </w:t>
            </w:r>
          </w:p>
        </w:tc>
      </w:tr>
      <w:tr>
        <w:trPr/>
        <w:tc>
          <w:tcPr>
            <w:tcW w:w="3845" w:type="dxa"/>
            <w:tcBorders/>
            <w:shd w:fill="CCEEFF" w:val="cle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 xml:space="preserve">July 2024 Notes principal amount </w:t>
            </w:r>
            <w:r>
              <w:rPr>
                <w:rFonts w:ascii="Times New Roman;Times;Serif" w:hAnsi="Times New Roman;Times;Serif"/>
                <w:position w:val="7"/>
                <w:sz w:val="16"/>
                <w:sz w:val="20"/>
              </w:rPr>
              <w:t>(1)</w:t>
            </w:r>
          </w:p>
        </w:tc>
        <w:tc>
          <w:tcPr>
            <w:tcW w:w="60" w:type="dxa"/>
            <w:tcBorders/>
            <w:shd w:fill="CCEEFF" w:val="clear"/>
            <w:vAlign w:val="center"/>
          </w:tcPr>
          <w:p>
            <w:pPr>
              <w:pStyle w:val="TableContents"/>
              <w:bidi w:val="0"/>
              <w:spacing w:before="0" w:after="283"/>
              <w:jc w:val="left"/>
              <w:rPr/>
            </w:pPr>
            <w:r>
              <w:rPr/>
              <w:t> </w:t>
            </w:r>
          </w:p>
        </w:tc>
        <w:tc>
          <w:tcPr>
            <w:tcW w:w="167"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02"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55,566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194"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56,801</w:t>
            </w:r>
          </w:p>
        </w:tc>
        <w:tc>
          <w:tcPr>
            <w:tcW w:w="110" w:type="dxa"/>
            <w:tcBorders/>
            <w:shd w:fill="CCEEFF" w:val="clear"/>
            <w:vAlign w:val="center"/>
          </w:tcPr>
          <w:p>
            <w:pPr>
              <w:pStyle w:val="TableContents"/>
              <w:bidi w:val="0"/>
              <w:spacing w:before="0" w:after="283"/>
              <w:jc w:val="left"/>
              <w:rPr/>
            </w:pPr>
            <w:r>
              <w:rPr/>
              <w:t> </w:t>
            </w:r>
          </w:p>
        </w:tc>
      </w:tr>
      <w:tr>
        <w:trPr/>
        <w:tc>
          <w:tcPr>
            <w:tcW w:w="3845" w:type="dxa"/>
            <w:tcBorders/>
            <w:shd w:fill="FFFFFF" w:val="cle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Less Unamortized debt discount</w:t>
            </w:r>
          </w:p>
        </w:tc>
        <w:tc>
          <w:tcPr>
            <w:tcW w:w="60" w:type="dxa"/>
            <w:tcBorders/>
            <w:shd w:fill="FFFFFF" w:val="clear"/>
            <w:vAlign w:val="center"/>
          </w:tcPr>
          <w:p>
            <w:pPr>
              <w:pStyle w:val="TableContents"/>
              <w:bidi w:val="0"/>
              <w:spacing w:before="0" w:after="283"/>
              <w:jc w:val="left"/>
              <w:rPr/>
            </w:pPr>
            <w:r>
              <w:rPr/>
              <w:t> </w:t>
            </w:r>
          </w:p>
        </w:tc>
        <w:tc>
          <w:tcPr>
            <w:tcW w:w="167"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902"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(15,709</w:t>
            </w:r>
          </w:p>
        </w:tc>
        <w:tc>
          <w:tcPr>
            <w:tcW w:w="9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22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94"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(16,201</w:t>
            </w:r>
          </w:p>
        </w:tc>
        <w:tc>
          <w:tcPr>
            <w:tcW w:w="11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3845" w:type="dxa"/>
            <w:tcBorders/>
            <w:shd w:fill="CCEEFF" w:val="cle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Net carrying amount of July 2024 Notes</w:t>
            </w:r>
          </w:p>
        </w:tc>
        <w:tc>
          <w:tcPr>
            <w:tcW w:w="60" w:type="dxa"/>
            <w:tcBorders/>
            <w:shd w:fill="CCEEFF" w:val="clear"/>
            <w:vAlign w:val="center"/>
          </w:tcPr>
          <w:p>
            <w:pPr>
              <w:pStyle w:val="TableContents"/>
              <w:bidi w:val="0"/>
              <w:spacing w:before="0" w:after="283"/>
              <w:jc w:val="left"/>
              <w:rPr/>
            </w:pPr>
            <w:r>
              <w:rPr/>
              <w:t> </w:t>
            </w:r>
          </w:p>
        </w:tc>
        <w:tc>
          <w:tcPr>
            <w:tcW w:w="167" w:type="dxa"/>
            <w:tcBorders>
              <w:bottom w:val="double" w:sz="10"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02" w:type="dxa"/>
            <w:tcBorders>
              <w:bottom w:val="double" w:sz="10"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39,857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0" w:type="dxa"/>
            <w:tcBorders>
              <w:bottom w:val="double" w:sz="10"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194" w:type="dxa"/>
            <w:tcBorders>
              <w:bottom w:val="double" w:sz="10"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40,600</w:t>
            </w:r>
          </w:p>
        </w:tc>
        <w:tc>
          <w:tcPr>
            <w:tcW w:w="11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08"/>
        <w:gridCol w:w="9959"/>
      </w:tblGrid>
      <w:tr>
        <w:trPr/>
        <w:tc>
          <w:tcPr>
            <w:tcW w:w="38"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rFonts w:ascii="Times New Roman;Times;Serif" w:hAnsi="Times New Roman;Times;Serif"/>
                <w:position w:val="8"/>
                <w:sz w:val="19"/>
              </w:rPr>
            </w:pPr>
            <w:r>
              <w:rPr>
                <w:rFonts w:ascii="Times New Roman;Times;Serif" w:hAnsi="Times New Roman;Times;Serif"/>
                <w:position w:val="8"/>
                <w:sz w:val="19"/>
              </w:rPr>
              <w:t>(1)</w:t>
            </w:r>
          </w:p>
        </w:tc>
        <w:tc>
          <w:tcPr>
            <w:tcW w:w="9959"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Includes capitalized coupon interest of $7.5 million and $8.6 million as of March 29, 2026 and December 28, 2025, respectively, and capitalized contingent interest of $2.0 million and $2.2 million as of March 29, 2026 and December 28, 2025, respectively.</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thirteen week periods ended March 29, 2026 and March 30, 2025, total interest expense was $1.3 million and $1.1 million, respectively, with coupon interest expense of $0.8 million in each period, and debt discount and issuance costs of $0.5 million and $0.3 million in the thirteen week periods ended March 29, 2026 and March 30, 2025, respectively. Of the coupon interest expense, related party interest expense was $0.5 million in each period. Related party amortization expense was $0.3 million and $0.2 million in the thirteen week periods ended March 29, 2026 and March 30, 2025, respectively.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July 2025 Note – related party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July 10, 2025, the Company issued a convertible promissory note (the “July 2025 Note”) to the Rodgers Revocable Trust, a related party, in exchange for $5.0 million of proceeds.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July 2025 Note is a general unsecured obligation of the Company and will mature on July 1, 2029, unless earlier converted, redeemed or repurchased. The July 2025 Note has an annual coupon interest rate of 12.0% which is payable semiannually in arrears on January 1 and July 1 of each year, beginning on January 1, 2026. The July 2025 Note is convertible at the option of the holder at any time prior to the payment of the principal amount of the July 2025 Note in full. Upon conversion of the July 2025 Note, the Company will satisfy its conversion obligation by delivering shares of the Company’s common stock and paying cash in respect of any fractional shares. The conversion rate of the July 2025 Note is initially equal to 558.6592 shares of common stock per $1,000 of principal amount due under the July 2025 Note. The conversion rate is subject to adjustment from time to time pursuant to the terms of the July 2025 Note. The conversion option related to the July 2025 Note was required to be bifurcated as a derivative liability. The Company recorded a derivative liability of $3.7 million with a corresponding offset to debt discount on the issuance date. The July 2025 Note has an effective interest rate of 62%.</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sz w:val="20"/>
          <w:bdr w:val="single" w:sz="12" w:space="1" w:color="000000"/>
        </w:rPr>
      </w:pPr>
      <w:r>
        <w:rPr>
          <w:sz w:val="20"/>
          <w:bdr w:val="single" w:sz="12" w:space="1" w:color="000000"/>
        </w:rPr>
        <w:t>F-33</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carrying amount of the July 2025 Note was as follows </w:t>
      </w:r>
      <w:r>
        <w:rPr>
          <w:rFonts w:ascii="Times New Roman;Times;Serif" w:hAnsi="Times New Roman;Times;Serif"/>
          <w:b w:val="false"/>
          <w:i/>
          <w:caps w:val="false"/>
          <w:smallCaps w:val="false"/>
          <w:sz w:val="20"/>
        </w:rPr>
        <w:t>(in thousands)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tbl>
      <w:tblPr>
        <w:tblW w:w="6563" w:type="dxa"/>
        <w:jc w:val="left"/>
        <w:tblInd w:w="0" w:type="dxa"/>
        <w:tblLayout w:type="fixed"/>
        <w:tblCellMar>
          <w:top w:w="0" w:type="dxa"/>
          <w:left w:w="0" w:type="dxa"/>
          <w:bottom w:w="0" w:type="dxa"/>
          <w:right w:w="0" w:type="dxa"/>
        </w:tblCellMar>
      </w:tblPr>
      <w:tblGrid>
        <w:gridCol w:w="3755"/>
        <w:gridCol w:w="60"/>
        <w:gridCol w:w="193"/>
        <w:gridCol w:w="876"/>
        <w:gridCol w:w="95"/>
        <w:gridCol w:w="60"/>
        <w:gridCol w:w="254"/>
        <w:gridCol w:w="1160"/>
        <w:gridCol w:w="110"/>
      </w:tblGrid>
      <w:tr>
        <w:trPr/>
        <w:tc>
          <w:tcPr>
            <w:tcW w:w="375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2638" w:type="dxa"/>
            <w:gridSpan w:val="6"/>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As of</w:t>
            </w:r>
          </w:p>
        </w:tc>
        <w:tc>
          <w:tcPr>
            <w:tcW w:w="110" w:type="dxa"/>
            <w:tcBorders/>
            <w:vAlign w:val="center"/>
          </w:tcPr>
          <w:p>
            <w:pPr>
              <w:pStyle w:val="TableContents"/>
              <w:bidi w:val="0"/>
              <w:spacing w:before="0" w:after="283"/>
              <w:jc w:val="left"/>
              <w:rPr/>
            </w:pPr>
            <w:r>
              <w:rPr/>
              <w:t> </w:t>
            </w:r>
          </w:p>
        </w:tc>
      </w:tr>
      <w:tr>
        <w:trPr/>
        <w:tc>
          <w:tcPr>
            <w:tcW w:w="375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069" w:type="dxa"/>
            <w:gridSpan w:val="2"/>
            <w:tcBorders/>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March 29,</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14" w:type="dxa"/>
            <w:gridSpan w:val="2"/>
            <w:tcBorders/>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December 28,</w:t>
            </w:r>
          </w:p>
        </w:tc>
        <w:tc>
          <w:tcPr>
            <w:tcW w:w="110" w:type="dxa"/>
            <w:tcBorders/>
            <w:vAlign w:val="center"/>
          </w:tcPr>
          <w:p>
            <w:pPr>
              <w:pStyle w:val="TableContents"/>
              <w:bidi w:val="0"/>
              <w:spacing w:before="0" w:after="283"/>
              <w:jc w:val="left"/>
              <w:rPr/>
            </w:pPr>
            <w:r>
              <w:rPr/>
              <w:t> </w:t>
            </w:r>
          </w:p>
        </w:tc>
      </w:tr>
      <w:tr>
        <w:trPr/>
        <w:tc>
          <w:tcPr>
            <w:tcW w:w="375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069"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2026</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14"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2025</w:t>
            </w:r>
          </w:p>
        </w:tc>
        <w:tc>
          <w:tcPr>
            <w:tcW w:w="110" w:type="dxa"/>
            <w:tcBorders/>
            <w:vAlign w:val="center"/>
          </w:tcPr>
          <w:p>
            <w:pPr>
              <w:pStyle w:val="TableContents"/>
              <w:bidi w:val="0"/>
              <w:spacing w:before="0" w:after="283"/>
              <w:jc w:val="left"/>
              <w:rPr/>
            </w:pPr>
            <w:r>
              <w:rPr/>
              <w:t> </w:t>
            </w:r>
          </w:p>
        </w:tc>
      </w:tr>
      <w:tr>
        <w:trPr/>
        <w:tc>
          <w:tcPr>
            <w:tcW w:w="3755" w:type="dxa"/>
            <w:tcBorders/>
            <w:shd w:fill="CCEEFF" w:val="cle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July 2025 Note principal amount</w:t>
            </w:r>
          </w:p>
        </w:tc>
        <w:tc>
          <w:tcPr>
            <w:tcW w:w="60" w:type="dxa"/>
            <w:tcBorders/>
            <w:shd w:fill="CCEEFF" w:val="clear"/>
            <w:vAlign w:val="center"/>
          </w:tcPr>
          <w:p>
            <w:pPr>
              <w:pStyle w:val="TableContents"/>
              <w:bidi w:val="0"/>
              <w:spacing w:before="0" w:after="283"/>
              <w:jc w:val="left"/>
              <w:rPr/>
            </w:pPr>
            <w:r>
              <w:rPr/>
              <w:t> </w:t>
            </w:r>
          </w:p>
        </w:tc>
        <w:tc>
          <w:tcPr>
            <w:tcW w:w="193"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876"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5,000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54"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16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5,000</w:t>
            </w:r>
          </w:p>
        </w:tc>
        <w:tc>
          <w:tcPr>
            <w:tcW w:w="110" w:type="dxa"/>
            <w:tcBorders/>
            <w:shd w:fill="CCEEFF" w:val="clear"/>
            <w:vAlign w:val="center"/>
          </w:tcPr>
          <w:p>
            <w:pPr>
              <w:pStyle w:val="TableContents"/>
              <w:bidi w:val="0"/>
              <w:spacing w:before="0" w:after="283"/>
              <w:jc w:val="left"/>
              <w:rPr/>
            </w:pPr>
            <w:r>
              <w:rPr/>
              <w:t> </w:t>
            </w:r>
          </w:p>
        </w:tc>
      </w:tr>
      <w:tr>
        <w:trPr/>
        <w:tc>
          <w:tcPr>
            <w:tcW w:w="3755" w:type="dxa"/>
            <w:tcBorders/>
            <w:shd w:fill="FFFFFF" w:val="cle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Less Unamortized debt discount</w:t>
            </w:r>
          </w:p>
        </w:tc>
        <w:tc>
          <w:tcPr>
            <w:tcW w:w="60" w:type="dxa"/>
            <w:tcBorders/>
            <w:shd w:fill="FFFFFF" w:val="clear"/>
            <w:vAlign w:val="center"/>
          </w:tcPr>
          <w:p>
            <w:pPr>
              <w:pStyle w:val="TableContents"/>
              <w:bidi w:val="0"/>
              <w:spacing w:before="0" w:after="283"/>
              <w:jc w:val="left"/>
              <w:rPr/>
            </w:pPr>
            <w:r>
              <w:rPr/>
              <w:t> </w:t>
            </w:r>
          </w:p>
        </w:tc>
        <w:tc>
          <w:tcPr>
            <w:tcW w:w="193"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876"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(3,481</w:t>
            </w:r>
          </w:p>
        </w:tc>
        <w:tc>
          <w:tcPr>
            <w:tcW w:w="9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254"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60"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(3,557</w:t>
            </w:r>
          </w:p>
        </w:tc>
        <w:tc>
          <w:tcPr>
            <w:tcW w:w="11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3755" w:type="dxa"/>
            <w:tcBorders/>
            <w:shd w:fill="CCEEFF" w:val="cle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Net carrying amount of July 2025 Note</w:t>
            </w:r>
          </w:p>
        </w:tc>
        <w:tc>
          <w:tcPr>
            <w:tcW w:w="60" w:type="dxa"/>
            <w:tcBorders/>
            <w:shd w:fill="CCEEFF" w:val="clear"/>
            <w:vAlign w:val="center"/>
          </w:tcPr>
          <w:p>
            <w:pPr>
              <w:pStyle w:val="TableContents"/>
              <w:bidi w:val="0"/>
              <w:spacing w:before="0" w:after="283"/>
              <w:jc w:val="left"/>
              <w:rPr/>
            </w:pPr>
            <w:r>
              <w:rPr/>
              <w:t> </w:t>
            </w:r>
          </w:p>
        </w:tc>
        <w:tc>
          <w:tcPr>
            <w:tcW w:w="193" w:type="dxa"/>
            <w:tcBorders>
              <w:bottom w:val="double" w:sz="10"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876" w:type="dxa"/>
            <w:tcBorders>
              <w:bottom w:val="double" w:sz="10"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1,519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54" w:type="dxa"/>
            <w:tcBorders>
              <w:bottom w:val="double" w:sz="10"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160" w:type="dxa"/>
            <w:tcBorders>
              <w:bottom w:val="double" w:sz="10"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1,443</w:t>
            </w:r>
          </w:p>
        </w:tc>
        <w:tc>
          <w:tcPr>
            <w:tcW w:w="11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thirteen week period ended March 29, 2026, the total interest expense was $0.2 million with coupon interest expense $0.15 million and debt discount and issuance costs of less than $0.1 million.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November 2025 Note – related party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November 20, 2025, the Company issued a convertible note (the “November 2025 Note”) to the Rodgers Massey Freedom and Free Markets Charitable Trust in exchange for $2.0 million of proceeds.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November 2025 Note is a general unsecured obligation of the Company and will mature on July 1, 2029, unless earlier converted, redeemed or repurchased. The November 2025 Note has an annual coupon interest rate of 12.0% which is payable semiannually in arrears on January 1 and July 1 of each year, beginning on January 1, 2026. The November 2025 Note is convertible at the option of the holder at any time prior to the payment of the principal amount of the November 2025 Note in full. The conversion rate of the November 2025 Note is initially equal to 626.9592 shares of the Company’s common stock per $1,000 principal amount due under the November 2025 Note. The conversion rate shall be subject to adjustment from time to time pursuant to the terms of the November 2025 Note. The Company may not redeem the November 2025 Note prior to July 5, 2026. The conversion option related to the November 2025 Note was required to be bifurcated as a derivative liability, and the Company recorded a derivative liability of $1.5 million on the issuance date with a corresponding offset to debt discount. The November 2025 Note has an effective interest rate of 71% as of March 29, 2025.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carrying amount of the November 2025 Note was as follows </w:t>
      </w:r>
      <w:r>
        <w:rPr>
          <w:rFonts w:ascii="Times New Roman;Times;Serif" w:hAnsi="Times New Roman;Times;Serif"/>
          <w:b w:val="false"/>
          <w:i/>
          <w:caps w:val="false"/>
          <w:smallCaps w:val="false"/>
          <w:sz w:val="20"/>
        </w:rPr>
        <w:t>(in thousands)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tbl>
      <w:tblPr>
        <w:tblW w:w="7178" w:type="dxa"/>
        <w:jc w:val="left"/>
        <w:tblInd w:w="0" w:type="dxa"/>
        <w:tblLayout w:type="fixed"/>
        <w:tblCellMar>
          <w:top w:w="0" w:type="dxa"/>
          <w:left w:w="0" w:type="dxa"/>
          <w:bottom w:w="0" w:type="dxa"/>
          <w:right w:w="0" w:type="dxa"/>
        </w:tblCellMar>
      </w:tblPr>
      <w:tblGrid>
        <w:gridCol w:w="4370"/>
        <w:gridCol w:w="60"/>
        <w:gridCol w:w="193"/>
        <w:gridCol w:w="876"/>
        <w:gridCol w:w="95"/>
        <w:gridCol w:w="60"/>
        <w:gridCol w:w="254"/>
        <w:gridCol w:w="1160"/>
        <w:gridCol w:w="110"/>
      </w:tblGrid>
      <w:tr>
        <w:trPr/>
        <w:tc>
          <w:tcPr>
            <w:tcW w:w="437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2638" w:type="dxa"/>
            <w:gridSpan w:val="6"/>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As of</w:t>
            </w:r>
          </w:p>
        </w:tc>
        <w:tc>
          <w:tcPr>
            <w:tcW w:w="110" w:type="dxa"/>
            <w:tcBorders/>
            <w:vAlign w:val="center"/>
          </w:tcPr>
          <w:p>
            <w:pPr>
              <w:pStyle w:val="TableContents"/>
              <w:bidi w:val="0"/>
              <w:spacing w:before="0" w:after="283"/>
              <w:jc w:val="left"/>
              <w:rPr/>
            </w:pPr>
            <w:r>
              <w:rPr/>
              <w:t> </w:t>
            </w:r>
          </w:p>
        </w:tc>
      </w:tr>
      <w:tr>
        <w:trPr/>
        <w:tc>
          <w:tcPr>
            <w:tcW w:w="437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069" w:type="dxa"/>
            <w:gridSpan w:val="2"/>
            <w:tcBorders/>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March 29,</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14" w:type="dxa"/>
            <w:gridSpan w:val="2"/>
            <w:tcBorders/>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December 28,</w:t>
            </w:r>
          </w:p>
        </w:tc>
        <w:tc>
          <w:tcPr>
            <w:tcW w:w="110" w:type="dxa"/>
            <w:tcBorders/>
            <w:vAlign w:val="center"/>
          </w:tcPr>
          <w:p>
            <w:pPr>
              <w:pStyle w:val="TableContents"/>
              <w:bidi w:val="0"/>
              <w:spacing w:before="0" w:after="283"/>
              <w:jc w:val="left"/>
              <w:rPr/>
            </w:pPr>
            <w:r>
              <w:rPr/>
              <w:t> </w:t>
            </w:r>
          </w:p>
        </w:tc>
      </w:tr>
      <w:tr>
        <w:trPr/>
        <w:tc>
          <w:tcPr>
            <w:tcW w:w="437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069"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2026</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14"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2025</w:t>
            </w:r>
          </w:p>
        </w:tc>
        <w:tc>
          <w:tcPr>
            <w:tcW w:w="110" w:type="dxa"/>
            <w:tcBorders/>
            <w:vAlign w:val="center"/>
          </w:tcPr>
          <w:p>
            <w:pPr>
              <w:pStyle w:val="TableContents"/>
              <w:bidi w:val="0"/>
              <w:spacing w:before="0" w:after="283"/>
              <w:jc w:val="left"/>
              <w:rPr/>
            </w:pPr>
            <w:r>
              <w:rPr/>
              <w:t> </w:t>
            </w:r>
          </w:p>
        </w:tc>
      </w:tr>
      <w:tr>
        <w:trPr/>
        <w:tc>
          <w:tcPr>
            <w:tcW w:w="4370" w:type="dxa"/>
            <w:tcBorders/>
            <w:shd w:fill="CCEEFF" w:val="cle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November 2025 Note principal amount</w:t>
            </w:r>
          </w:p>
        </w:tc>
        <w:tc>
          <w:tcPr>
            <w:tcW w:w="60" w:type="dxa"/>
            <w:tcBorders/>
            <w:shd w:fill="CCEEFF" w:val="clear"/>
            <w:vAlign w:val="center"/>
          </w:tcPr>
          <w:p>
            <w:pPr>
              <w:pStyle w:val="TableContents"/>
              <w:bidi w:val="0"/>
              <w:spacing w:before="0" w:after="283"/>
              <w:jc w:val="left"/>
              <w:rPr/>
            </w:pPr>
            <w:r>
              <w:rPr/>
              <w:t> </w:t>
            </w:r>
          </w:p>
        </w:tc>
        <w:tc>
          <w:tcPr>
            <w:tcW w:w="193"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876"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2,000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54"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16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2,000</w:t>
            </w:r>
          </w:p>
        </w:tc>
        <w:tc>
          <w:tcPr>
            <w:tcW w:w="110" w:type="dxa"/>
            <w:tcBorders/>
            <w:shd w:fill="CCEEFF" w:val="clear"/>
            <w:vAlign w:val="center"/>
          </w:tcPr>
          <w:p>
            <w:pPr>
              <w:pStyle w:val="TableContents"/>
              <w:bidi w:val="0"/>
              <w:spacing w:before="0" w:after="283"/>
              <w:jc w:val="left"/>
              <w:rPr/>
            </w:pPr>
            <w:r>
              <w:rPr/>
              <w:t> </w:t>
            </w:r>
          </w:p>
        </w:tc>
      </w:tr>
      <w:tr>
        <w:trPr/>
        <w:tc>
          <w:tcPr>
            <w:tcW w:w="4370" w:type="dxa"/>
            <w:tcBorders/>
            <w:shd w:fill="FFFFFF" w:val="cle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Less Unamortized debt discount</w:t>
            </w:r>
          </w:p>
        </w:tc>
        <w:tc>
          <w:tcPr>
            <w:tcW w:w="60" w:type="dxa"/>
            <w:tcBorders/>
            <w:shd w:fill="FFFFFF" w:val="clear"/>
            <w:vAlign w:val="center"/>
          </w:tcPr>
          <w:p>
            <w:pPr>
              <w:pStyle w:val="TableContents"/>
              <w:bidi w:val="0"/>
              <w:spacing w:before="0" w:after="283"/>
              <w:jc w:val="left"/>
              <w:rPr/>
            </w:pPr>
            <w:r>
              <w:rPr/>
              <w:t> </w:t>
            </w:r>
          </w:p>
        </w:tc>
        <w:tc>
          <w:tcPr>
            <w:tcW w:w="193"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876"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(1,483</w:t>
            </w:r>
          </w:p>
        </w:tc>
        <w:tc>
          <w:tcPr>
            <w:tcW w:w="9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254"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60"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(1,509</w:t>
            </w:r>
          </w:p>
        </w:tc>
        <w:tc>
          <w:tcPr>
            <w:tcW w:w="11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4370" w:type="dxa"/>
            <w:tcBorders/>
            <w:shd w:fill="CCEEFF" w:val="cle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Net carrying amount of November 2025 Note</w:t>
            </w:r>
          </w:p>
        </w:tc>
        <w:tc>
          <w:tcPr>
            <w:tcW w:w="60" w:type="dxa"/>
            <w:tcBorders/>
            <w:shd w:fill="CCEEFF" w:val="clear"/>
            <w:vAlign w:val="center"/>
          </w:tcPr>
          <w:p>
            <w:pPr>
              <w:pStyle w:val="TableContents"/>
              <w:bidi w:val="0"/>
              <w:spacing w:before="0" w:after="283"/>
              <w:jc w:val="left"/>
              <w:rPr/>
            </w:pPr>
            <w:r>
              <w:rPr/>
              <w:t> </w:t>
            </w:r>
          </w:p>
        </w:tc>
        <w:tc>
          <w:tcPr>
            <w:tcW w:w="193" w:type="dxa"/>
            <w:tcBorders>
              <w:bottom w:val="double" w:sz="10"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876" w:type="dxa"/>
            <w:tcBorders>
              <w:bottom w:val="double" w:sz="10"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517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54" w:type="dxa"/>
            <w:tcBorders>
              <w:bottom w:val="double" w:sz="10"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160" w:type="dxa"/>
            <w:tcBorders>
              <w:bottom w:val="double" w:sz="10"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491</w:t>
            </w:r>
          </w:p>
        </w:tc>
        <w:tc>
          <w:tcPr>
            <w:tcW w:w="11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thirteen week period ended March 29, 2026, the total interest expense was less than $0.1 million and each of coupon interest and amortization of debt discount and issuance costs were less than $0.1 million.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January 2026 Note – related party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received a deposit of $2.0 million from the Rodgers Revocable Trust, a related party, in the fiscal year ended December 28, 2025. In January 2026, the Company received an additional $1.3 million in proceeds from the Rodgers Revocable Trust. On January 29, 2026, the Company issued a convertible promissory note in the original principal amount of $3.3 million (the “January 2026 Note”) with respect to the aggregate proceeds received.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sz w:val="20"/>
          <w:bdr w:val="single" w:sz="12" w:space="1" w:color="000000"/>
        </w:rPr>
      </w:pPr>
      <w:r>
        <w:rPr>
          <w:sz w:val="20"/>
          <w:bdr w:val="single" w:sz="12" w:space="1" w:color="000000"/>
        </w:rPr>
        <w:t>F-34</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January 2026 Note bears an interest rate of 12.0% and is a general unsecured obligation of the Company. The January 2026 Note will mature on July 1, 2029, unless earlier converted, redeemed or repurchased. Interest on the January 2026 Note is payable semiannually in arrears on January1 and July 1 of each year, beginning on July 1, 2026. The January 2026 Note is convertible at the option of the holder at any time prior to the payment of the principal amount of the January 2026 Note in full. The conversion rate of the January 2026 Note is initially equal to 540.5405 shares of the Company’s common stock per $1,000 of principal amount due under the January 2026 Note. The conversion rate is subject to adjustment from time to time pursuant to the terms of the January 2026 Note. The January 2026 Note has an effective interest rate of 61% as of March 29, 2025.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carrying amount of the January 2026 Note was as follows </w:t>
      </w:r>
      <w:r>
        <w:rPr>
          <w:rFonts w:ascii="Times New Roman;Times;Serif" w:hAnsi="Times New Roman;Times;Serif"/>
          <w:b w:val="false"/>
          <w:i/>
          <w:caps w:val="false"/>
          <w:smallCaps w:val="false"/>
          <w:sz w:val="20"/>
        </w:rPr>
        <w:t>(in thousands)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tbl>
      <w:tblPr>
        <w:tblW w:w="5339" w:type="dxa"/>
        <w:jc w:val="left"/>
        <w:tblInd w:w="0" w:type="dxa"/>
        <w:tblLayout w:type="fixed"/>
        <w:tblCellMar>
          <w:top w:w="0" w:type="dxa"/>
          <w:left w:w="0" w:type="dxa"/>
          <w:bottom w:w="0" w:type="dxa"/>
          <w:right w:w="0" w:type="dxa"/>
        </w:tblCellMar>
      </w:tblPr>
      <w:tblGrid>
        <w:gridCol w:w="4100"/>
        <w:gridCol w:w="60"/>
        <w:gridCol w:w="193"/>
        <w:gridCol w:w="876"/>
        <w:gridCol w:w="110"/>
      </w:tblGrid>
      <w:tr>
        <w:trPr/>
        <w:tc>
          <w:tcPr>
            <w:tcW w:w="410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069" w:type="dxa"/>
            <w:gridSpan w:val="2"/>
            <w:tcBorders/>
            <w:vAlign w:val="center"/>
          </w:tcPr>
          <w:p>
            <w:pPr>
              <w:pStyle w:val="TableContents"/>
              <w:bidi w:val="0"/>
              <w:spacing w:before="0" w:after="283"/>
              <w:jc w:val="center"/>
              <w:rPr>
                <w:b/>
              </w:rPr>
            </w:pPr>
            <w:r>
              <w:rPr>
                <w:b/>
              </w:rPr>
              <w:t>As of</w:t>
            </w:r>
          </w:p>
        </w:tc>
        <w:tc>
          <w:tcPr>
            <w:tcW w:w="110" w:type="dxa"/>
            <w:tcBorders/>
            <w:vAlign w:val="center"/>
          </w:tcPr>
          <w:p>
            <w:pPr>
              <w:pStyle w:val="TableContents"/>
              <w:bidi w:val="0"/>
              <w:spacing w:before="0" w:after="283"/>
              <w:jc w:val="left"/>
              <w:rPr/>
            </w:pPr>
            <w:r>
              <w:rPr/>
              <w:t> </w:t>
            </w:r>
          </w:p>
        </w:tc>
      </w:tr>
      <w:tr>
        <w:trPr/>
        <w:tc>
          <w:tcPr>
            <w:tcW w:w="410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069" w:type="dxa"/>
            <w:gridSpan w:val="2"/>
            <w:tcBorders/>
            <w:vAlign w:val="center"/>
          </w:tcPr>
          <w:p>
            <w:pPr>
              <w:pStyle w:val="TableContents"/>
              <w:bidi w:val="0"/>
              <w:spacing w:before="0" w:after="283"/>
              <w:jc w:val="center"/>
              <w:rPr>
                <w:b/>
              </w:rPr>
            </w:pPr>
            <w:r>
              <w:rPr>
                <w:b/>
              </w:rPr>
              <w:t>March 29,</w:t>
            </w:r>
          </w:p>
        </w:tc>
        <w:tc>
          <w:tcPr>
            <w:tcW w:w="110" w:type="dxa"/>
            <w:tcBorders/>
            <w:vAlign w:val="center"/>
          </w:tcPr>
          <w:p>
            <w:pPr>
              <w:pStyle w:val="TableContents"/>
              <w:bidi w:val="0"/>
              <w:spacing w:before="0" w:after="283"/>
              <w:jc w:val="left"/>
              <w:rPr/>
            </w:pPr>
            <w:r>
              <w:rPr/>
              <w:t> </w:t>
            </w:r>
          </w:p>
        </w:tc>
      </w:tr>
      <w:tr>
        <w:trPr/>
        <w:tc>
          <w:tcPr>
            <w:tcW w:w="410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069"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2026</w:t>
            </w:r>
          </w:p>
        </w:tc>
        <w:tc>
          <w:tcPr>
            <w:tcW w:w="110" w:type="dxa"/>
            <w:tcBorders/>
            <w:vAlign w:val="center"/>
          </w:tcPr>
          <w:p>
            <w:pPr>
              <w:pStyle w:val="TableContents"/>
              <w:bidi w:val="0"/>
              <w:spacing w:before="0" w:after="283"/>
              <w:jc w:val="left"/>
              <w:rPr/>
            </w:pPr>
            <w:r>
              <w:rPr/>
              <w:t> </w:t>
            </w:r>
          </w:p>
        </w:tc>
      </w:tr>
      <w:tr>
        <w:trPr/>
        <w:tc>
          <w:tcPr>
            <w:tcW w:w="4100" w:type="dxa"/>
            <w:tcBorders/>
            <w:shd w:fill="CCEEFF" w:val="clear"/>
            <w:vAlign w:val="center"/>
          </w:tcPr>
          <w:p>
            <w:pPr>
              <w:pStyle w:val="TableContents"/>
              <w:bidi w:val="0"/>
              <w:spacing w:before="0" w:after="283"/>
              <w:jc w:val="both"/>
              <w:rPr/>
            </w:pPr>
            <w:r>
              <w:rPr/>
              <w:t>January 2026 Note principal amount</w:t>
            </w:r>
          </w:p>
        </w:tc>
        <w:tc>
          <w:tcPr>
            <w:tcW w:w="60" w:type="dxa"/>
            <w:tcBorders/>
            <w:shd w:fill="CCEEFF" w:val="clear"/>
            <w:vAlign w:val="center"/>
          </w:tcPr>
          <w:p>
            <w:pPr>
              <w:pStyle w:val="TableContents"/>
              <w:bidi w:val="0"/>
              <w:spacing w:before="0" w:after="283"/>
              <w:jc w:val="left"/>
              <w:rPr/>
            </w:pPr>
            <w:r>
              <w:rPr/>
              <w:t> </w:t>
            </w:r>
          </w:p>
        </w:tc>
        <w:tc>
          <w:tcPr>
            <w:tcW w:w="193" w:type="dxa"/>
            <w:tcBorders/>
            <w:shd w:fill="CCEEFF" w:val="clear"/>
            <w:vAlign w:val="center"/>
          </w:tcPr>
          <w:p>
            <w:pPr>
              <w:pStyle w:val="TableContents"/>
              <w:bidi w:val="0"/>
              <w:spacing w:before="0" w:after="283"/>
              <w:jc w:val="left"/>
              <w:rPr/>
            </w:pPr>
            <w:r>
              <w:rPr/>
              <w:t>$</w:t>
            </w:r>
          </w:p>
        </w:tc>
        <w:tc>
          <w:tcPr>
            <w:tcW w:w="876" w:type="dxa"/>
            <w:tcBorders/>
            <w:shd w:fill="CCEEFF" w:val="clear"/>
            <w:vAlign w:val="center"/>
          </w:tcPr>
          <w:p>
            <w:pPr>
              <w:pStyle w:val="TableContents"/>
              <w:bidi w:val="0"/>
              <w:spacing w:before="0" w:after="283"/>
              <w:jc w:val="right"/>
              <w:rPr/>
            </w:pPr>
            <w:r>
              <w:rPr/>
              <w:t>3,300</w:t>
            </w:r>
          </w:p>
        </w:tc>
        <w:tc>
          <w:tcPr>
            <w:tcW w:w="110" w:type="dxa"/>
            <w:tcBorders/>
            <w:shd w:fill="CCEEFF" w:val="clear"/>
            <w:vAlign w:val="center"/>
          </w:tcPr>
          <w:p>
            <w:pPr>
              <w:pStyle w:val="TableContents"/>
              <w:bidi w:val="0"/>
              <w:spacing w:before="0" w:after="283"/>
              <w:jc w:val="left"/>
              <w:rPr/>
            </w:pPr>
            <w:r>
              <w:rPr/>
              <w:t> </w:t>
            </w:r>
          </w:p>
        </w:tc>
      </w:tr>
      <w:tr>
        <w:trPr/>
        <w:tc>
          <w:tcPr>
            <w:tcW w:w="4100" w:type="dxa"/>
            <w:tcBorders/>
            <w:shd w:fill="FFFFFF" w:val="clear"/>
            <w:vAlign w:val="center"/>
          </w:tcPr>
          <w:p>
            <w:pPr>
              <w:pStyle w:val="TableContents"/>
              <w:bidi w:val="0"/>
              <w:spacing w:before="0" w:after="283"/>
              <w:jc w:val="both"/>
              <w:rPr/>
            </w:pPr>
            <w:r>
              <w:rPr/>
              <w:t>Less Unamortized debt discount</w:t>
            </w:r>
          </w:p>
        </w:tc>
        <w:tc>
          <w:tcPr>
            <w:tcW w:w="60" w:type="dxa"/>
            <w:tcBorders/>
            <w:shd w:fill="FFFFFF" w:val="clear"/>
            <w:vAlign w:val="center"/>
          </w:tcPr>
          <w:p>
            <w:pPr>
              <w:pStyle w:val="TableContents"/>
              <w:bidi w:val="0"/>
              <w:spacing w:before="0" w:after="283"/>
              <w:jc w:val="left"/>
              <w:rPr/>
            </w:pPr>
            <w:r>
              <w:rPr/>
              <w:t> </w:t>
            </w:r>
          </w:p>
        </w:tc>
        <w:tc>
          <w:tcPr>
            <w:tcW w:w="193"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876" w:type="dxa"/>
            <w:tcBorders>
              <w:bottom w:val="single" w:sz="12" w:space="0" w:color="000000"/>
            </w:tcBorders>
            <w:shd w:fill="FFFFFF" w:val="clear"/>
            <w:tcMar>
              <w:bottom w:w="28" w:type="dxa"/>
            </w:tcMar>
            <w:vAlign w:val="center"/>
          </w:tcPr>
          <w:p>
            <w:pPr>
              <w:pStyle w:val="TableContents"/>
              <w:bidi w:val="0"/>
              <w:spacing w:before="0" w:after="283"/>
              <w:jc w:val="right"/>
              <w:rPr/>
            </w:pPr>
            <w:r>
              <w:rPr/>
              <w:t>(2,262</w:t>
            </w:r>
          </w:p>
        </w:tc>
        <w:tc>
          <w:tcPr>
            <w:tcW w:w="110" w:type="dxa"/>
            <w:tcBorders/>
            <w:shd w:fill="FFFFFF" w:val="clear"/>
            <w:vAlign w:val="center"/>
          </w:tcPr>
          <w:p>
            <w:pPr>
              <w:pStyle w:val="TableContents"/>
              <w:bidi w:val="0"/>
              <w:spacing w:before="0" w:after="283"/>
              <w:jc w:val="left"/>
              <w:rPr/>
            </w:pPr>
            <w:r>
              <w:rPr/>
              <w:t>)</w:t>
            </w:r>
          </w:p>
        </w:tc>
      </w:tr>
      <w:tr>
        <w:trPr/>
        <w:tc>
          <w:tcPr>
            <w:tcW w:w="4100" w:type="dxa"/>
            <w:tcBorders/>
            <w:shd w:fill="CCEEFF" w:val="clear"/>
            <w:vAlign w:val="center"/>
          </w:tcPr>
          <w:p>
            <w:pPr>
              <w:pStyle w:val="TableContents"/>
              <w:bidi w:val="0"/>
              <w:spacing w:before="0" w:after="283"/>
              <w:jc w:val="both"/>
              <w:rPr/>
            </w:pPr>
            <w:r>
              <w:rPr/>
              <w:t>Net carrying amount of January 2026 Note</w:t>
            </w:r>
          </w:p>
        </w:tc>
        <w:tc>
          <w:tcPr>
            <w:tcW w:w="60" w:type="dxa"/>
            <w:tcBorders/>
            <w:shd w:fill="CCEEFF" w:val="clear"/>
            <w:vAlign w:val="center"/>
          </w:tcPr>
          <w:p>
            <w:pPr>
              <w:pStyle w:val="TableContents"/>
              <w:bidi w:val="0"/>
              <w:spacing w:before="0" w:after="283"/>
              <w:jc w:val="left"/>
              <w:rPr/>
            </w:pPr>
            <w:r>
              <w:rPr/>
              <w:t> </w:t>
            </w:r>
          </w:p>
        </w:tc>
        <w:tc>
          <w:tcPr>
            <w:tcW w:w="193"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876" w:type="dxa"/>
            <w:tcBorders>
              <w:bottom w:val="double" w:sz="10" w:space="0" w:color="000000"/>
            </w:tcBorders>
            <w:shd w:fill="CCEEFF" w:val="clear"/>
            <w:tcMar>
              <w:bottom w:w="28" w:type="dxa"/>
            </w:tcMar>
            <w:vAlign w:val="center"/>
          </w:tcPr>
          <w:p>
            <w:pPr>
              <w:pStyle w:val="TableContents"/>
              <w:bidi w:val="0"/>
              <w:spacing w:before="0" w:after="283"/>
              <w:jc w:val="right"/>
              <w:rPr/>
            </w:pPr>
            <w:r>
              <w:rPr/>
              <w:t>1,038</w:t>
            </w:r>
          </w:p>
        </w:tc>
        <w:tc>
          <w:tcPr>
            <w:tcW w:w="11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thirteen week period ended March 29, 2026, the total interest expense was $0.1 million and each of coupon interest and amortization of debt discount and issuance costs were less than $0.1 million.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7.0% Senior Unsecured Convertible Notes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September 16, 2024, the Company entered into an Indenture agreement with U.S. Bank Trust Company, National Association, as trustee (the “Indenture”), for the issuance of 7.0% senior unsecured convertible notes (“7.0% Notes”). The 7.0% Notes issued under the Indenture bear interest at 7.0% per annum, and the interest is payable semiannually in arrears on January 1 and July 1 of each year beginning on January 1, 2025. The principal is payable in full at maturity on July 1, 2029. Holders of the 7.0% Senior Notes may convert all or any portion of their 7% Notes at any time, in integral multiples of $1,000 principal amount, at the option of the holder. Upon conversion, the Company may satisfy its conversion obligation by paying or delivering, as the case may be, cash, shares of common stock or a combination of cash and shares of common stock, at the Company’s election, in the manner and subject to the terms, conditions and limitations provided in the Indenture. The 7.0% Senior Notes may be declared due and payable at the option of the holder upon an event of default and upon a qualifying change of control event. There are no financial covenants. As described below, the Company has issued multiple tranches under this Indenture.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conversion rate for the 7.0% Notes was initially 467.8363 shares of common stock per $1,000 principal amount of 7.0% Notes. The conversion rate for the 7.0% Notes is subject to adjustment from time to time in accordance with the terms of the Indenture, and as of December 28, 2025 the 7.0% Notes were convertible at the rate of 584.7953 shares of common stock per $1,000 principal amount of the notes. In addition, upon a conversion of the 7.0% Notes, following certain corporate events that occur prior to the maturity date of the 7.0% Notes or if the Company delivers a notice of redemption in respect of the 7.0% Notes, the Company will, under certain circumstances, increase the conversion rate of the 7.0% Notes for a holder who elects to convert its 7.0% Notes following September 16, 2025, in connection with such a corporate event that occurs prior to the maturity date, or if the Company delivers a notice of redemption in respect of the 7.0% Notes.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September 2024 Notes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issued an aggregate of $80.0 million of 7.0% Notes to various lenders (the “September 2024 Notes”), of which the Company received cash proceeds in two tranches of $66.8 million and $13.0 million in fiscal 2024. The remainder was received in fiscal 2025.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cash proceeds of $66.8 million included $4.0 million from the Rodgers Family Freedom and Free Markets Charitable Trust (“Massey Charitable Trust”), a related party, and $4.0 million from the Rodgers Revocable Trust (collectively with Massey Charitable Trust, “Massey Trusts”), also a related party. In fiscal 2025, a holder of $0.75 million of the September 2024 Notes became a member of the Company’s board of directors and this note is now deemed to be with a related party beginning in fiscal 2025. As the $66.8 million of notes were issued with a debt discount in excess of the principal amount, the initial net carrying amount of the September 2024 Notes was zero. The debt discount is being amortized on a straight-line basis over the term of the September 2024 Notes.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sz w:val="20"/>
          <w:bdr w:val="single" w:sz="12" w:space="1" w:color="000000"/>
        </w:rPr>
      </w:pPr>
      <w:r>
        <w:rPr>
          <w:sz w:val="20"/>
          <w:bdr w:val="single" w:sz="12" w:space="1" w:color="000000"/>
        </w:rPr>
        <w:t>F-35</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December 2024, the Company received proceeds of $13.0 million in a second tranche. The Company recognized a $10.9 million debt discount in connection with these additional proceeds. The effective interest rate on this tranche is 64% as of March 29, 2026.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Certain holders of the September 2024 Notes exercised their rights to convert this debt to shares of the Company’s common stock. In the thirteen week period ended March 29, 2025 $2.8 million of the September 2024 Notes were converted into 1.6 million shares of the Company’s common stock. In the fiscal year ended December 29, 2025, $14.7 million of the September 2024 Notes were converted into 8.6 million shares of the Company’s common stock.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carrying amount of the convertible September 2024 Notes was as follows </w:t>
      </w:r>
      <w:r>
        <w:rPr>
          <w:rFonts w:ascii="Times New Roman;Times;Serif" w:hAnsi="Times New Roman;Times;Serif"/>
          <w:b w:val="false"/>
          <w:i/>
          <w:caps w:val="false"/>
          <w:smallCaps w:val="false"/>
          <w:sz w:val="20"/>
        </w:rPr>
        <w:t>(in thousands)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tbl>
      <w:tblPr>
        <w:tblW w:w="7268" w:type="dxa"/>
        <w:jc w:val="left"/>
        <w:tblInd w:w="0" w:type="dxa"/>
        <w:tblLayout w:type="fixed"/>
        <w:tblCellMar>
          <w:top w:w="0" w:type="dxa"/>
          <w:left w:w="0" w:type="dxa"/>
          <w:bottom w:w="0" w:type="dxa"/>
          <w:right w:w="0" w:type="dxa"/>
        </w:tblCellMar>
      </w:tblPr>
      <w:tblGrid>
        <w:gridCol w:w="4460"/>
        <w:gridCol w:w="60"/>
        <w:gridCol w:w="167"/>
        <w:gridCol w:w="902"/>
        <w:gridCol w:w="95"/>
        <w:gridCol w:w="60"/>
        <w:gridCol w:w="220"/>
        <w:gridCol w:w="1194"/>
        <w:gridCol w:w="110"/>
      </w:tblGrid>
      <w:tr>
        <w:trPr/>
        <w:tc>
          <w:tcPr>
            <w:tcW w:w="44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2638" w:type="dxa"/>
            <w:gridSpan w:val="6"/>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As of</w:t>
            </w:r>
          </w:p>
        </w:tc>
        <w:tc>
          <w:tcPr>
            <w:tcW w:w="110" w:type="dxa"/>
            <w:tcBorders/>
            <w:vAlign w:val="center"/>
          </w:tcPr>
          <w:p>
            <w:pPr>
              <w:pStyle w:val="TableContents"/>
              <w:bidi w:val="0"/>
              <w:spacing w:before="0" w:after="283"/>
              <w:jc w:val="left"/>
              <w:rPr/>
            </w:pPr>
            <w:r>
              <w:rPr/>
              <w:t> </w:t>
            </w:r>
          </w:p>
        </w:tc>
      </w:tr>
      <w:tr>
        <w:trPr/>
        <w:tc>
          <w:tcPr>
            <w:tcW w:w="44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069" w:type="dxa"/>
            <w:gridSpan w:val="2"/>
            <w:tcBorders/>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March 29,</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14" w:type="dxa"/>
            <w:gridSpan w:val="2"/>
            <w:tcBorders/>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December 28,</w:t>
            </w:r>
          </w:p>
        </w:tc>
        <w:tc>
          <w:tcPr>
            <w:tcW w:w="110" w:type="dxa"/>
            <w:tcBorders/>
            <w:vAlign w:val="center"/>
          </w:tcPr>
          <w:p>
            <w:pPr>
              <w:pStyle w:val="TableContents"/>
              <w:bidi w:val="0"/>
              <w:spacing w:before="0" w:after="283"/>
              <w:jc w:val="left"/>
              <w:rPr/>
            </w:pPr>
            <w:r>
              <w:rPr/>
              <w:t> </w:t>
            </w:r>
          </w:p>
        </w:tc>
      </w:tr>
      <w:tr>
        <w:trPr/>
        <w:tc>
          <w:tcPr>
            <w:tcW w:w="44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069"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2026</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14"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2025</w:t>
            </w:r>
          </w:p>
        </w:tc>
        <w:tc>
          <w:tcPr>
            <w:tcW w:w="110" w:type="dxa"/>
            <w:tcBorders/>
            <w:vAlign w:val="center"/>
          </w:tcPr>
          <w:p>
            <w:pPr>
              <w:pStyle w:val="TableContents"/>
              <w:bidi w:val="0"/>
              <w:spacing w:before="0" w:after="283"/>
              <w:jc w:val="left"/>
              <w:rPr/>
            </w:pPr>
            <w:r>
              <w:rPr/>
              <w:t> </w:t>
            </w:r>
          </w:p>
        </w:tc>
      </w:tr>
      <w:tr>
        <w:trPr/>
        <w:tc>
          <w:tcPr>
            <w:tcW w:w="4460" w:type="dxa"/>
            <w:tcBorders/>
            <w:shd w:fill="CCEEFF" w:val="cle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September 2024 Notes</w:t>
            </w:r>
          </w:p>
        </w:tc>
        <w:tc>
          <w:tcPr>
            <w:tcW w:w="60" w:type="dxa"/>
            <w:tcBorders/>
            <w:shd w:fill="CCEEFF" w:val="clear"/>
            <w:vAlign w:val="center"/>
          </w:tcPr>
          <w:p>
            <w:pPr>
              <w:pStyle w:val="TableContents"/>
              <w:bidi w:val="0"/>
              <w:spacing w:before="0" w:after="283"/>
              <w:jc w:val="left"/>
              <w:rPr/>
            </w:pPr>
            <w:r>
              <w:rPr/>
              <w:t> </w:t>
            </w:r>
          </w:p>
        </w:tc>
        <w:tc>
          <w:tcPr>
            <w:tcW w:w="167"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02"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62,543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194"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65,293</w:t>
            </w:r>
          </w:p>
        </w:tc>
        <w:tc>
          <w:tcPr>
            <w:tcW w:w="110" w:type="dxa"/>
            <w:tcBorders/>
            <w:shd w:fill="CCEEFF" w:val="clear"/>
            <w:vAlign w:val="center"/>
          </w:tcPr>
          <w:p>
            <w:pPr>
              <w:pStyle w:val="TableContents"/>
              <w:bidi w:val="0"/>
              <w:spacing w:before="0" w:after="283"/>
              <w:jc w:val="left"/>
              <w:rPr/>
            </w:pPr>
            <w:r>
              <w:rPr/>
              <w:t> </w:t>
            </w:r>
          </w:p>
        </w:tc>
      </w:tr>
      <w:tr>
        <w:trPr/>
        <w:tc>
          <w:tcPr>
            <w:tcW w:w="4460" w:type="dxa"/>
            <w:tcBorders/>
            <w:shd w:fill="FFFFFF" w:val="cle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Less Unamortized debt discount</w:t>
            </w:r>
          </w:p>
        </w:tc>
        <w:tc>
          <w:tcPr>
            <w:tcW w:w="60" w:type="dxa"/>
            <w:tcBorders/>
            <w:shd w:fill="FFFFFF" w:val="clear"/>
            <w:vAlign w:val="center"/>
          </w:tcPr>
          <w:p>
            <w:pPr>
              <w:pStyle w:val="TableContents"/>
              <w:bidi w:val="0"/>
              <w:spacing w:before="0" w:after="283"/>
              <w:jc w:val="left"/>
              <w:rPr/>
            </w:pPr>
            <w:r>
              <w:rPr/>
              <w:t> </w:t>
            </w:r>
          </w:p>
        </w:tc>
        <w:tc>
          <w:tcPr>
            <w:tcW w:w="167"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902"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(43,797</w:t>
            </w:r>
          </w:p>
        </w:tc>
        <w:tc>
          <w:tcPr>
            <w:tcW w:w="9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22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94"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(48,615</w:t>
            </w:r>
          </w:p>
        </w:tc>
        <w:tc>
          <w:tcPr>
            <w:tcW w:w="11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4460" w:type="dxa"/>
            <w:tcBorders/>
            <w:shd w:fill="CCEEFF" w:val="cle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Net carrying amount of September 2024 Notes</w:t>
            </w:r>
          </w:p>
        </w:tc>
        <w:tc>
          <w:tcPr>
            <w:tcW w:w="60" w:type="dxa"/>
            <w:tcBorders/>
            <w:shd w:fill="CCEEFF" w:val="clear"/>
            <w:vAlign w:val="center"/>
          </w:tcPr>
          <w:p>
            <w:pPr>
              <w:pStyle w:val="TableContents"/>
              <w:bidi w:val="0"/>
              <w:spacing w:before="0" w:after="283"/>
              <w:jc w:val="left"/>
              <w:rPr/>
            </w:pPr>
            <w:r>
              <w:rPr/>
              <w:t> </w:t>
            </w:r>
          </w:p>
        </w:tc>
        <w:tc>
          <w:tcPr>
            <w:tcW w:w="167" w:type="dxa"/>
            <w:tcBorders>
              <w:bottom w:val="double" w:sz="10"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02" w:type="dxa"/>
            <w:tcBorders>
              <w:bottom w:val="double" w:sz="10"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18,746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0" w:type="dxa"/>
            <w:tcBorders>
              <w:bottom w:val="double" w:sz="10"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194" w:type="dxa"/>
            <w:tcBorders>
              <w:bottom w:val="double" w:sz="10"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16,678</w:t>
            </w:r>
          </w:p>
        </w:tc>
        <w:tc>
          <w:tcPr>
            <w:tcW w:w="11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thirteen week periods ended March 29, 2026 and March 30, 2025, total interest expense was $5.9 million and $5.0 million with coupon interest expense of $1.1 million and $1.4 million, respectively, and debt discount and issuance costs of $4.8 million and $3.6 million, respectively. Of the coupon interest expense, related party interest expense was $0.2 million and $0.1 million in the thirteen week periods ended March 29, 2026 and March 30, 2025, respectively. Related party amortization expense was $0.5 million and $0.5 million in the thirteen week periods ended March 29, 2026 and March 30, 2025, respectively.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September 2025 Notes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September 21, 2025, the Company issued an additional $22.0 million of the 7.0% Notes (the “September 2025 Notes”) pursuant to the Indenture to various parties. The September 2025 Notes contain a conversion option which required bifurcation and recognition of a derivative, and the Company recorded a derivative liability of $15.4 million on the issuance date. The Company also recognized a $3.6 million debt discount and issuance costs in connection with the September 2025 Notes. The debt issuance costs include an estimate of the value of a warrant issued in the second quarter of fiscal 2026 to the entity that arranged the financing. The effective interest rate on the September 2025 Notes approximated 78% as of March 29, 2026. The net proceeds from the issuance of the September 2025 Notes were principally used to pay a portion of the cash consideration for the Company’s acquisition of Sunder.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carrying amount of the September 2025 Notes, inclusive of the fair value of the derivative liabilities was as follows </w:t>
      </w:r>
      <w:r>
        <w:rPr>
          <w:rFonts w:ascii="Times New Roman;Times;Serif" w:hAnsi="Times New Roman;Times;Serif"/>
          <w:b w:val="false"/>
          <w:i/>
          <w:caps w:val="false"/>
          <w:smallCaps w:val="false"/>
          <w:sz w:val="20"/>
        </w:rPr>
        <w:t>(in thousands)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tbl>
      <w:tblPr>
        <w:tblW w:w="7268" w:type="dxa"/>
        <w:jc w:val="left"/>
        <w:tblInd w:w="0" w:type="dxa"/>
        <w:tblLayout w:type="fixed"/>
        <w:tblCellMar>
          <w:top w:w="0" w:type="dxa"/>
          <w:left w:w="0" w:type="dxa"/>
          <w:bottom w:w="0" w:type="dxa"/>
          <w:right w:w="0" w:type="dxa"/>
        </w:tblCellMar>
      </w:tblPr>
      <w:tblGrid>
        <w:gridCol w:w="4460"/>
        <w:gridCol w:w="60"/>
        <w:gridCol w:w="167"/>
        <w:gridCol w:w="902"/>
        <w:gridCol w:w="95"/>
        <w:gridCol w:w="60"/>
        <w:gridCol w:w="220"/>
        <w:gridCol w:w="1194"/>
        <w:gridCol w:w="110"/>
      </w:tblGrid>
      <w:tr>
        <w:trPr/>
        <w:tc>
          <w:tcPr>
            <w:tcW w:w="44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2638" w:type="dxa"/>
            <w:gridSpan w:val="6"/>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As of</w:t>
            </w:r>
          </w:p>
        </w:tc>
        <w:tc>
          <w:tcPr>
            <w:tcW w:w="110" w:type="dxa"/>
            <w:tcBorders/>
            <w:vAlign w:val="center"/>
          </w:tcPr>
          <w:p>
            <w:pPr>
              <w:pStyle w:val="TableContents"/>
              <w:bidi w:val="0"/>
              <w:spacing w:before="0" w:after="283"/>
              <w:jc w:val="left"/>
              <w:rPr/>
            </w:pPr>
            <w:r>
              <w:rPr/>
              <w:t> </w:t>
            </w:r>
          </w:p>
        </w:tc>
      </w:tr>
      <w:tr>
        <w:trPr/>
        <w:tc>
          <w:tcPr>
            <w:tcW w:w="44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069" w:type="dxa"/>
            <w:gridSpan w:val="2"/>
            <w:tcBorders/>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March 29,</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14" w:type="dxa"/>
            <w:gridSpan w:val="2"/>
            <w:tcBorders/>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December 28,</w:t>
            </w:r>
          </w:p>
        </w:tc>
        <w:tc>
          <w:tcPr>
            <w:tcW w:w="110" w:type="dxa"/>
            <w:tcBorders/>
            <w:vAlign w:val="center"/>
          </w:tcPr>
          <w:p>
            <w:pPr>
              <w:pStyle w:val="TableContents"/>
              <w:bidi w:val="0"/>
              <w:spacing w:before="0" w:after="283"/>
              <w:jc w:val="left"/>
              <w:rPr/>
            </w:pPr>
            <w:r>
              <w:rPr/>
              <w:t> </w:t>
            </w:r>
          </w:p>
        </w:tc>
      </w:tr>
      <w:tr>
        <w:trPr/>
        <w:tc>
          <w:tcPr>
            <w:tcW w:w="44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069"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2026</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14"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2025</w:t>
            </w:r>
          </w:p>
        </w:tc>
        <w:tc>
          <w:tcPr>
            <w:tcW w:w="110" w:type="dxa"/>
            <w:tcBorders/>
            <w:vAlign w:val="center"/>
          </w:tcPr>
          <w:p>
            <w:pPr>
              <w:pStyle w:val="TableContents"/>
              <w:bidi w:val="0"/>
              <w:spacing w:before="0" w:after="283"/>
              <w:jc w:val="left"/>
              <w:rPr/>
            </w:pPr>
            <w:r>
              <w:rPr/>
              <w:t> </w:t>
            </w:r>
          </w:p>
        </w:tc>
      </w:tr>
      <w:tr>
        <w:trPr/>
        <w:tc>
          <w:tcPr>
            <w:tcW w:w="4460" w:type="dxa"/>
            <w:tcBorders/>
            <w:shd w:fill="CCEEFF" w:val="cle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September 2024 Notes</w:t>
            </w:r>
          </w:p>
        </w:tc>
        <w:tc>
          <w:tcPr>
            <w:tcW w:w="60" w:type="dxa"/>
            <w:tcBorders/>
            <w:shd w:fill="CCEEFF" w:val="clear"/>
            <w:vAlign w:val="center"/>
          </w:tcPr>
          <w:p>
            <w:pPr>
              <w:pStyle w:val="TableContents"/>
              <w:bidi w:val="0"/>
              <w:spacing w:before="0" w:after="283"/>
              <w:jc w:val="left"/>
              <w:rPr/>
            </w:pPr>
            <w:r>
              <w:rPr/>
              <w:t> </w:t>
            </w:r>
          </w:p>
        </w:tc>
        <w:tc>
          <w:tcPr>
            <w:tcW w:w="167"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02"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22,000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194"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22,000</w:t>
            </w:r>
          </w:p>
        </w:tc>
        <w:tc>
          <w:tcPr>
            <w:tcW w:w="110" w:type="dxa"/>
            <w:tcBorders/>
            <w:shd w:fill="CCEEFF" w:val="clear"/>
            <w:vAlign w:val="center"/>
          </w:tcPr>
          <w:p>
            <w:pPr>
              <w:pStyle w:val="TableContents"/>
              <w:bidi w:val="0"/>
              <w:spacing w:before="0" w:after="283"/>
              <w:jc w:val="left"/>
              <w:rPr/>
            </w:pPr>
            <w:r>
              <w:rPr/>
              <w:t> </w:t>
            </w:r>
          </w:p>
        </w:tc>
      </w:tr>
      <w:tr>
        <w:trPr/>
        <w:tc>
          <w:tcPr>
            <w:tcW w:w="4460" w:type="dxa"/>
            <w:tcBorders/>
            <w:shd w:fill="FFFFFF" w:val="cle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Less Unamortized debt discount</w:t>
            </w:r>
          </w:p>
        </w:tc>
        <w:tc>
          <w:tcPr>
            <w:tcW w:w="60" w:type="dxa"/>
            <w:tcBorders/>
            <w:shd w:fill="FFFFFF" w:val="clear"/>
            <w:vAlign w:val="center"/>
          </w:tcPr>
          <w:p>
            <w:pPr>
              <w:pStyle w:val="TableContents"/>
              <w:bidi w:val="0"/>
              <w:spacing w:before="0" w:after="283"/>
              <w:jc w:val="left"/>
              <w:rPr/>
            </w:pPr>
            <w:r>
              <w:rPr/>
              <w:t> </w:t>
            </w:r>
          </w:p>
        </w:tc>
        <w:tc>
          <w:tcPr>
            <w:tcW w:w="167"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902"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(18,425</w:t>
            </w:r>
          </w:p>
        </w:tc>
        <w:tc>
          <w:tcPr>
            <w:tcW w:w="9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22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94"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(18,646</w:t>
            </w:r>
          </w:p>
        </w:tc>
        <w:tc>
          <w:tcPr>
            <w:tcW w:w="11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4460" w:type="dxa"/>
            <w:tcBorders/>
            <w:shd w:fill="CCEEFF" w:val="cle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Net carrying amount of September 2024 Notes</w:t>
            </w:r>
          </w:p>
        </w:tc>
        <w:tc>
          <w:tcPr>
            <w:tcW w:w="60" w:type="dxa"/>
            <w:tcBorders/>
            <w:shd w:fill="CCEEFF" w:val="clear"/>
            <w:vAlign w:val="center"/>
          </w:tcPr>
          <w:p>
            <w:pPr>
              <w:pStyle w:val="TableContents"/>
              <w:bidi w:val="0"/>
              <w:spacing w:before="0" w:after="283"/>
              <w:jc w:val="left"/>
              <w:rPr/>
            </w:pPr>
            <w:r>
              <w:rPr/>
              <w:t> </w:t>
            </w:r>
          </w:p>
        </w:tc>
        <w:tc>
          <w:tcPr>
            <w:tcW w:w="167" w:type="dxa"/>
            <w:tcBorders>
              <w:bottom w:val="double" w:sz="10"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02" w:type="dxa"/>
            <w:tcBorders>
              <w:bottom w:val="double" w:sz="10"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3,575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0" w:type="dxa"/>
            <w:tcBorders>
              <w:bottom w:val="double" w:sz="10"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194" w:type="dxa"/>
            <w:tcBorders>
              <w:bottom w:val="double" w:sz="10"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3,354</w:t>
            </w:r>
          </w:p>
        </w:tc>
        <w:tc>
          <w:tcPr>
            <w:tcW w:w="11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thirteen week period ended March 29, 2026, total interest expense was $0.6 million with coupon interest expense of $0.4 million and debt discount and issuance costs of $0.2 million.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April 21, 2026, the Company entered into separately- and privately- negotiated exchange agreements (the “</w:t>
      </w:r>
      <w:r>
        <w:rPr>
          <w:rFonts w:ascii="Times New Roman;Times;Serif" w:hAnsi="Times New Roman;Times;Serif"/>
          <w:b/>
          <w:i w:val="false"/>
          <w:caps w:val="false"/>
          <w:smallCaps w:val="false"/>
          <w:sz w:val="20"/>
        </w:rPr>
        <w:t>Exchange Agreements</w:t>
      </w:r>
      <w:r>
        <w:rPr>
          <w:rFonts w:ascii="Times New Roman;Times;Serif" w:hAnsi="Times New Roman;Times;Serif"/>
          <w:b w:val="false"/>
          <w:i w:val="false"/>
          <w:caps w:val="false"/>
          <w:smallCaps w:val="false"/>
          <w:sz w:val="20"/>
        </w:rPr>
        <w:t xml:space="preserve">”) with certain holders of the 7.0% Notes to repurchase $21.25 million aggregate principal amount of outstanding 7.0% Notes in exchange for (i) an aggregate of 18.8 million shares of the Company’s common stock and (ii) approximately $0.5 of accrued interest payable under the exchanged 7.0% Notes. Refer to </w:t>
      </w:r>
      <w:r>
        <w:rPr>
          <w:rFonts w:ascii="Times New Roman;Times;Serif" w:hAnsi="Times New Roman;Times;Serif"/>
          <w:b/>
          <w:i w:val="false"/>
          <w:caps w:val="false"/>
          <w:smallCaps w:val="false"/>
          <w:sz w:val="20"/>
        </w:rPr>
        <w:t xml:space="preserve">Note 18 – Subsequent Events </w:t>
      </w:r>
      <w:r>
        <w:rPr>
          <w:rFonts w:ascii="Times New Roman;Times;Serif" w:hAnsi="Times New Roman;Times;Serif"/>
          <w:b w:val="false"/>
          <w:i w:val="false"/>
          <w:caps w:val="false"/>
          <w:smallCaps w:val="false"/>
          <w:sz w:val="20"/>
        </w:rPr>
        <w:t>for details.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sz w:val="20"/>
          <w:bdr w:val="single" w:sz="12" w:space="1" w:color="000000"/>
        </w:rPr>
      </w:pPr>
      <w:r>
        <w:rPr>
          <w:sz w:val="20"/>
          <w:bdr w:val="single" w:sz="12" w:space="1" w:color="000000"/>
        </w:rPr>
        <w:t>F-36</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 xml:space="preserve">Principal payments due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principal amount of all short and long-term debt, excluding capitalized contingent interest in connection with the July 2024 Notes, is as follows:</w:t>
      </w:r>
    </w:p>
    <w:p>
      <w:pPr>
        <w:pStyle w:val="TextBody"/>
        <w:bidi w:val="0"/>
        <w:spacing w:before="0" w:after="0"/>
        <w:ind w:left="0" w:right="0" w:hanging="0"/>
        <w:jc w:val="left"/>
        <w:rPr>
          <w:caps w:val="false"/>
          <w:smallCaps w:val="false"/>
        </w:rPr>
      </w:pPr>
      <w:r>
        <w:rPr>
          <w:caps w:val="false"/>
          <w:smallCaps w:val="false"/>
        </w:rPr>
        <w:t> </w:t>
      </w:r>
    </w:p>
    <w:tbl>
      <w:tblPr>
        <w:tblW w:w="3505" w:type="dxa"/>
        <w:jc w:val="left"/>
        <w:tblInd w:w="0" w:type="dxa"/>
        <w:tblLayout w:type="fixed"/>
        <w:tblCellMar>
          <w:top w:w="0" w:type="dxa"/>
          <w:left w:w="0" w:type="dxa"/>
          <w:bottom w:w="0" w:type="dxa"/>
          <w:right w:w="0" w:type="dxa"/>
        </w:tblCellMar>
      </w:tblPr>
      <w:tblGrid>
        <w:gridCol w:w="2420"/>
        <w:gridCol w:w="60"/>
        <w:gridCol w:w="141"/>
        <w:gridCol w:w="809"/>
        <w:gridCol w:w="75"/>
      </w:tblGrid>
      <w:tr>
        <w:trPr/>
        <w:tc>
          <w:tcPr>
            <w:tcW w:w="24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50"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Principal</w:t>
              <w:br/>
              <w:t>payment</w:t>
            </w:r>
          </w:p>
        </w:tc>
        <w:tc>
          <w:tcPr>
            <w:tcW w:w="75" w:type="dxa"/>
            <w:tcBorders/>
            <w:vAlign w:val="center"/>
          </w:tcPr>
          <w:p>
            <w:pPr>
              <w:pStyle w:val="TableContents"/>
              <w:bidi w:val="0"/>
              <w:spacing w:before="0" w:after="283"/>
              <w:jc w:val="left"/>
              <w:rPr/>
            </w:pPr>
            <w:r>
              <w:rPr/>
              <w:t> </w:t>
            </w:r>
          </w:p>
        </w:tc>
      </w:tr>
      <w:tr>
        <w:trPr/>
        <w:tc>
          <w:tcPr>
            <w:tcW w:w="242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Fiscal year ending</w:t>
            </w:r>
          </w:p>
        </w:tc>
        <w:tc>
          <w:tcPr>
            <w:tcW w:w="60" w:type="dxa"/>
            <w:tcBorders/>
            <w:vAlign w:val="center"/>
          </w:tcPr>
          <w:p>
            <w:pPr>
              <w:pStyle w:val="TableContents"/>
              <w:bidi w:val="0"/>
              <w:spacing w:before="0" w:after="283"/>
              <w:jc w:val="left"/>
              <w:rPr/>
            </w:pPr>
            <w:r>
              <w:rPr/>
              <w:t> </w:t>
            </w:r>
          </w:p>
        </w:tc>
        <w:tc>
          <w:tcPr>
            <w:tcW w:w="950" w:type="dxa"/>
            <w:gridSpan w:val="2"/>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242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Remainder of fiscal 2026</w:t>
            </w:r>
          </w:p>
        </w:tc>
        <w:tc>
          <w:tcPr>
            <w:tcW w:w="60" w:type="dxa"/>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809"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35,284</w:t>
            </w:r>
          </w:p>
        </w:tc>
        <w:tc>
          <w:tcPr>
            <w:tcW w:w="75" w:type="dxa"/>
            <w:tcBorders/>
            <w:shd w:fill="CCEEFF" w:val="clear"/>
            <w:vAlign w:val="center"/>
          </w:tcPr>
          <w:p>
            <w:pPr>
              <w:pStyle w:val="TableContents"/>
              <w:bidi w:val="0"/>
              <w:spacing w:before="0" w:after="283"/>
              <w:jc w:val="left"/>
              <w:rPr/>
            </w:pPr>
            <w:r>
              <w:rPr/>
              <w:t> </w:t>
            </w:r>
          </w:p>
        </w:tc>
      </w:tr>
      <w:tr>
        <w:trPr/>
        <w:tc>
          <w:tcPr>
            <w:tcW w:w="242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2027</w:t>
            </w:r>
          </w:p>
        </w:tc>
        <w:tc>
          <w:tcPr>
            <w:tcW w:w="60" w:type="dxa"/>
            <w:tcBorders/>
            <w:shd w:fill="FFFFFF" w:val="clear"/>
            <w:vAlign w:val="center"/>
          </w:tcPr>
          <w:p>
            <w:pPr>
              <w:pStyle w:val="TableContents"/>
              <w:bidi w:val="0"/>
              <w:spacing w:before="0" w:after="283"/>
              <w:jc w:val="left"/>
              <w:rPr/>
            </w:pPr>
            <w:r>
              <w:rPr/>
              <w:t> </w:t>
            </w:r>
          </w:p>
        </w:tc>
        <w:tc>
          <w:tcPr>
            <w:tcW w:w="141" w:type="dxa"/>
            <w:tcBorders/>
            <w:shd w:fill="FFFFFF" w:val="clear"/>
            <w:vAlign w:val="center"/>
          </w:tcPr>
          <w:p>
            <w:pPr>
              <w:pStyle w:val="TableContents"/>
              <w:bidi w:val="0"/>
              <w:spacing w:before="0" w:after="283"/>
              <w:jc w:val="left"/>
              <w:rPr/>
            </w:pPr>
            <w:r>
              <w:rPr/>
              <w:t> </w:t>
            </w:r>
          </w:p>
        </w:tc>
        <w:tc>
          <w:tcPr>
            <w:tcW w:w="809"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4,056</w:t>
            </w:r>
          </w:p>
        </w:tc>
        <w:tc>
          <w:tcPr>
            <w:tcW w:w="75" w:type="dxa"/>
            <w:tcBorders/>
            <w:shd w:fill="FFFFFF" w:val="clear"/>
            <w:vAlign w:val="center"/>
          </w:tcPr>
          <w:p>
            <w:pPr>
              <w:pStyle w:val="TableContents"/>
              <w:bidi w:val="0"/>
              <w:spacing w:before="0" w:after="283"/>
              <w:jc w:val="left"/>
              <w:rPr/>
            </w:pPr>
            <w:r>
              <w:rPr/>
              <w:t> </w:t>
            </w:r>
          </w:p>
        </w:tc>
      </w:tr>
      <w:tr>
        <w:trPr/>
        <w:tc>
          <w:tcPr>
            <w:tcW w:w="242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2028</w:t>
            </w:r>
          </w:p>
        </w:tc>
        <w:tc>
          <w:tcPr>
            <w:tcW w:w="60" w:type="dxa"/>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283"/>
              <w:jc w:val="left"/>
              <w:rPr/>
            </w:pPr>
            <w:r>
              <w:rPr/>
              <w:t> </w:t>
            </w:r>
          </w:p>
        </w:tc>
        <w:tc>
          <w:tcPr>
            <w:tcW w:w="809"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2,156</w:t>
            </w:r>
          </w:p>
        </w:tc>
        <w:tc>
          <w:tcPr>
            <w:tcW w:w="75" w:type="dxa"/>
            <w:tcBorders/>
            <w:shd w:fill="CCEEFF" w:val="clear"/>
            <w:vAlign w:val="center"/>
          </w:tcPr>
          <w:p>
            <w:pPr>
              <w:pStyle w:val="TableContents"/>
              <w:bidi w:val="0"/>
              <w:spacing w:before="0" w:after="283"/>
              <w:jc w:val="left"/>
              <w:rPr/>
            </w:pPr>
            <w:r>
              <w:rPr/>
              <w:t> </w:t>
            </w:r>
          </w:p>
        </w:tc>
      </w:tr>
      <w:tr>
        <w:trPr/>
        <w:tc>
          <w:tcPr>
            <w:tcW w:w="242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2029</w:t>
            </w:r>
          </w:p>
        </w:tc>
        <w:tc>
          <w:tcPr>
            <w:tcW w:w="60" w:type="dxa"/>
            <w:tcBorders/>
            <w:shd w:fill="FFFFFF" w:val="clear"/>
            <w:vAlign w:val="center"/>
          </w:tcPr>
          <w:p>
            <w:pPr>
              <w:pStyle w:val="TableContents"/>
              <w:bidi w:val="0"/>
              <w:spacing w:before="0" w:after="283"/>
              <w:jc w:val="left"/>
              <w:rPr/>
            </w:pPr>
            <w:r>
              <w:rPr/>
              <w:t> </w:t>
            </w:r>
          </w:p>
        </w:tc>
        <w:tc>
          <w:tcPr>
            <w:tcW w:w="141"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809"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141,894</w:t>
            </w:r>
          </w:p>
        </w:tc>
        <w:tc>
          <w:tcPr>
            <w:tcW w:w="75" w:type="dxa"/>
            <w:tcBorders/>
            <w:shd w:fill="FFFFFF" w:val="clear"/>
            <w:vAlign w:val="center"/>
          </w:tcPr>
          <w:p>
            <w:pPr>
              <w:pStyle w:val="TableContents"/>
              <w:bidi w:val="0"/>
              <w:spacing w:before="0" w:after="283"/>
              <w:jc w:val="left"/>
              <w:rPr/>
            </w:pPr>
            <w:r>
              <w:rPr/>
              <w:t> </w:t>
            </w:r>
          </w:p>
        </w:tc>
      </w:tr>
      <w:tr>
        <w:trPr/>
        <w:tc>
          <w:tcPr>
            <w:tcW w:w="242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Total</w:t>
            </w:r>
          </w:p>
        </w:tc>
        <w:tc>
          <w:tcPr>
            <w:tcW w:w="60" w:type="dxa"/>
            <w:tcBorders/>
            <w:shd w:fill="CCEEFF" w:val="clear"/>
            <w:vAlign w:val="center"/>
          </w:tcPr>
          <w:p>
            <w:pPr>
              <w:pStyle w:val="TableContents"/>
              <w:bidi w:val="0"/>
              <w:spacing w:before="0" w:after="283"/>
              <w:jc w:val="left"/>
              <w:rPr/>
            </w:pPr>
            <w:r>
              <w:rPr/>
              <w:t> </w:t>
            </w:r>
          </w:p>
        </w:tc>
        <w:tc>
          <w:tcPr>
            <w:tcW w:w="141" w:type="dxa"/>
            <w:tcBorders>
              <w:bottom w:val="double" w:sz="10"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809" w:type="dxa"/>
            <w:tcBorders>
              <w:bottom w:val="double" w:sz="10"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184,468</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(10) Other Non-Operating Income, Net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non-operating income, net consists of the following (</w:t>
      </w:r>
      <w:r>
        <w:rPr>
          <w:rFonts w:ascii="Times New Roman;Times;Serif" w:hAnsi="Times New Roman;Times;Serif"/>
          <w:b w:val="false"/>
          <w:i/>
          <w:caps w:val="false"/>
          <w:smallCaps w:val="false"/>
          <w:sz w:val="20"/>
        </w:rPr>
        <w:t>in thousands</w:t>
      </w:r>
      <w:r>
        <w:rPr>
          <w:rFonts w:ascii="Times New Roman;Times;Serif" w:hAnsi="Times New Roman;Times;Serif"/>
          <w:b w:val="false"/>
          <w:i w:val="false"/>
          <w:caps w:val="false"/>
          <w:smallCaps w:val="false"/>
          <w:sz w:val="20"/>
        </w:rPr>
        <w:t>):</w:t>
      </w:r>
    </w:p>
    <w:p>
      <w:pPr>
        <w:pStyle w:val="TextBody"/>
        <w:bidi w:val="0"/>
        <w:spacing w:before="0" w:after="0"/>
        <w:ind w:left="36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676"/>
        <w:gridCol w:w="60"/>
        <w:gridCol w:w="185"/>
        <w:gridCol w:w="893"/>
        <w:gridCol w:w="122"/>
        <w:gridCol w:w="77"/>
        <w:gridCol w:w="185"/>
        <w:gridCol w:w="893"/>
        <w:gridCol w:w="114"/>
      </w:tblGrid>
      <w:tr>
        <w:trPr/>
        <w:tc>
          <w:tcPr>
            <w:tcW w:w="7676"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2355"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Thirteen Weeks Ended</w:t>
            </w:r>
          </w:p>
        </w:tc>
        <w:tc>
          <w:tcPr>
            <w:tcW w:w="114" w:type="dxa"/>
            <w:tcBorders/>
            <w:vAlign w:val="center"/>
          </w:tcPr>
          <w:p>
            <w:pPr>
              <w:pStyle w:val="TableContents"/>
              <w:bidi w:val="0"/>
              <w:spacing w:before="0" w:after="283"/>
              <w:jc w:val="left"/>
              <w:rPr/>
            </w:pPr>
            <w:r>
              <w:rPr/>
              <w:t> </w:t>
            </w:r>
          </w:p>
        </w:tc>
      </w:tr>
      <w:tr>
        <w:trPr/>
        <w:tc>
          <w:tcPr>
            <w:tcW w:w="7676"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078" w:type="dxa"/>
            <w:gridSpan w:val="2"/>
            <w:tcBorders/>
            <w:vAlign w:val="center"/>
          </w:tcPr>
          <w:p>
            <w:pPr>
              <w:pStyle w:val="TableContents"/>
              <w:bidi w:val="0"/>
              <w:spacing w:before="0" w:after="283"/>
              <w:jc w:val="center"/>
              <w:rPr>
                <w:b/>
              </w:rPr>
            </w:pPr>
            <w:r>
              <w:rPr>
                <w:b/>
              </w:rPr>
              <w:t>March 29,</w:t>
            </w:r>
          </w:p>
        </w:tc>
        <w:tc>
          <w:tcPr>
            <w:tcW w:w="122" w:type="dxa"/>
            <w:tcBorders/>
            <w:vAlign w:val="center"/>
          </w:tcPr>
          <w:p>
            <w:pPr>
              <w:pStyle w:val="TableContents"/>
              <w:bidi w:val="0"/>
              <w:spacing w:before="0" w:after="283"/>
              <w:jc w:val="left"/>
              <w:rPr/>
            </w:pPr>
            <w:r>
              <w:rPr/>
              <w:t> </w:t>
            </w:r>
          </w:p>
        </w:tc>
        <w:tc>
          <w:tcPr>
            <w:tcW w:w="77" w:type="dxa"/>
            <w:tcBorders/>
            <w:vAlign w:val="center"/>
          </w:tcPr>
          <w:p>
            <w:pPr>
              <w:pStyle w:val="TableContents"/>
              <w:bidi w:val="0"/>
              <w:spacing w:before="0" w:after="283"/>
              <w:jc w:val="left"/>
              <w:rPr/>
            </w:pPr>
            <w:r>
              <w:rPr/>
              <w:t> </w:t>
            </w:r>
          </w:p>
        </w:tc>
        <w:tc>
          <w:tcPr>
            <w:tcW w:w="1078" w:type="dxa"/>
            <w:gridSpan w:val="2"/>
            <w:tcBorders/>
            <w:vAlign w:val="center"/>
          </w:tcPr>
          <w:p>
            <w:pPr>
              <w:pStyle w:val="TableContents"/>
              <w:bidi w:val="0"/>
              <w:spacing w:before="0" w:after="283"/>
              <w:jc w:val="center"/>
              <w:rPr>
                <w:b/>
              </w:rPr>
            </w:pPr>
            <w:r>
              <w:rPr>
                <w:b/>
              </w:rPr>
              <w:t>March 30,</w:t>
            </w:r>
          </w:p>
        </w:tc>
        <w:tc>
          <w:tcPr>
            <w:tcW w:w="114" w:type="dxa"/>
            <w:tcBorders/>
            <w:vAlign w:val="center"/>
          </w:tcPr>
          <w:p>
            <w:pPr>
              <w:pStyle w:val="TableContents"/>
              <w:bidi w:val="0"/>
              <w:spacing w:before="0" w:after="283"/>
              <w:jc w:val="left"/>
              <w:rPr/>
            </w:pPr>
            <w:r>
              <w:rPr/>
              <w:t> </w:t>
            </w:r>
          </w:p>
        </w:tc>
      </w:tr>
      <w:tr>
        <w:trPr/>
        <w:tc>
          <w:tcPr>
            <w:tcW w:w="7676"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078"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2026</w:t>
            </w:r>
          </w:p>
        </w:tc>
        <w:tc>
          <w:tcPr>
            <w:tcW w:w="122" w:type="dxa"/>
            <w:tcBorders/>
            <w:vAlign w:val="center"/>
          </w:tcPr>
          <w:p>
            <w:pPr>
              <w:pStyle w:val="TableContents"/>
              <w:bidi w:val="0"/>
              <w:spacing w:before="0" w:after="283"/>
              <w:jc w:val="left"/>
              <w:rPr/>
            </w:pPr>
            <w:r>
              <w:rPr/>
              <w:t> </w:t>
            </w:r>
          </w:p>
        </w:tc>
        <w:tc>
          <w:tcPr>
            <w:tcW w:w="77" w:type="dxa"/>
            <w:tcBorders/>
            <w:vAlign w:val="center"/>
          </w:tcPr>
          <w:p>
            <w:pPr>
              <w:pStyle w:val="TableContents"/>
              <w:bidi w:val="0"/>
              <w:spacing w:before="0" w:after="283"/>
              <w:jc w:val="left"/>
              <w:rPr/>
            </w:pPr>
            <w:r>
              <w:rPr/>
              <w:t> </w:t>
            </w:r>
          </w:p>
        </w:tc>
        <w:tc>
          <w:tcPr>
            <w:tcW w:w="1078"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2025</w:t>
            </w:r>
          </w:p>
        </w:tc>
        <w:tc>
          <w:tcPr>
            <w:tcW w:w="114" w:type="dxa"/>
            <w:tcBorders/>
            <w:vAlign w:val="center"/>
          </w:tcPr>
          <w:p>
            <w:pPr>
              <w:pStyle w:val="TableContents"/>
              <w:bidi w:val="0"/>
              <w:spacing w:before="0" w:after="283"/>
              <w:jc w:val="left"/>
              <w:rPr/>
            </w:pPr>
            <w:r>
              <w:rPr/>
              <w:t> </w:t>
            </w:r>
          </w:p>
        </w:tc>
      </w:tr>
      <w:tr>
        <w:trPr/>
        <w:tc>
          <w:tcPr>
            <w:tcW w:w="7676" w:type="dxa"/>
            <w:tcBorders/>
            <w:shd w:fill="CCEEFF" w:val="cle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Gain on remeasurement of derivative liabilities</w:t>
            </w:r>
            <w:r>
              <w:rPr>
                <w:rFonts w:ascii="Times New Roman;Times;Serif" w:hAnsi="Times New Roman;Times;Serif"/>
                <w:position w:val="7"/>
                <w:sz w:val="16"/>
                <w:sz w:val="20"/>
              </w:rPr>
              <w:t>(1)</w:t>
            </w:r>
          </w:p>
        </w:tc>
        <w:tc>
          <w:tcPr>
            <w:tcW w:w="60"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jc w:val="left"/>
              <w:rPr/>
            </w:pPr>
            <w:r>
              <w:rPr/>
              <w:t>$</w:t>
            </w:r>
          </w:p>
        </w:tc>
        <w:tc>
          <w:tcPr>
            <w:tcW w:w="893" w:type="dxa"/>
            <w:tcBorders/>
            <w:shd w:fill="CCEEFF" w:val="clear"/>
            <w:vAlign w:val="center"/>
          </w:tcPr>
          <w:p>
            <w:pPr>
              <w:pStyle w:val="TableContents"/>
              <w:bidi w:val="0"/>
              <w:spacing w:before="0" w:after="283"/>
              <w:jc w:val="right"/>
              <w:rPr/>
            </w:pPr>
            <w:r>
              <w:rPr/>
              <w:t>26,608</w:t>
            </w:r>
          </w:p>
        </w:tc>
        <w:tc>
          <w:tcPr>
            <w:tcW w:w="122" w:type="dxa"/>
            <w:tcBorders/>
            <w:shd w:fill="CCEEFF" w:val="clear"/>
            <w:vAlign w:val="center"/>
          </w:tcPr>
          <w:p>
            <w:pPr>
              <w:pStyle w:val="TableContents"/>
              <w:bidi w:val="0"/>
              <w:spacing w:before="0" w:after="283"/>
              <w:jc w:val="left"/>
              <w:rPr/>
            </w:pPr>
            <w:r>
              <w:rPr/>
              <w:t> </w:t>
            </w:r>
          </w:p>
        </w:tc>
        <w:tc>
          <w:tcPr>
            <w:tcW w:w="77"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jc w:val="left"/>
              <w:rPr/>
            </w:pPr>
            <w:r>
              <w:rPr/>
              <w:t>$</w:t>
            </w:r>
          </w:p>
        </w:tc>
        <w:tc>
          <w:tcPr>
            <w:tcW w:w="893" w:type="dxa"/>
            <w:tcBorders/>
            <w:shd w:fill="CCEEFF" w:val="clear"/>
            <w:vAlign w:val="center"/>
          </w:tcPr>
          <w:p>
            <w:pPr>
              <w:pStyle w:val="TableContents"/>
              <w:bidi w:val="0"/>
              <w:spacing w:before="0" w:after="283"/>
              <w:jc w:val="right"/>
              <w:rPr/>
            </w:pPr>
            <w:r>
              <w:rPr/>
              <w:t>15,127</w:t>
            </w:r>
          </w:p>
        </w:tc>
        <w:tc>
          <w:tcPr>
            <w:tcW w:w="114" w:type="dxa"/>
            <w:tcBorders/>
            <w:shd w:fill="CCEEFF" w:val="clear"/>
            <w:vAlign w:val="center"/>
          </w:tcPr>
          <w:p>
            <w:pPr>
              <w:pStyle w:val="TableContents"/>
              <w:bidi w:val="0"/>
              <w:spacing w:before="0" w:after="283"/>
              <w:jc w:val="left"/>
              <w:rPr/>
            </w:pPr>
            <w:r>
              <w:rPr/>
              <w:t> </w:t>
            </w:r>
          </w:p>
        </w:tc>
      </w:tr>
      <w:tr>
        <w:trPr/>
        <w:tc>
          <w:tcPr>
            <w:tcW w:w="7676" w:type="dxa"/>
            <w:tcBorders/>
            <w:shd w:fill="FFFFFF" w:val="cle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Change in fair value of forward purchase agreement liabilities</w:t>
            </w:r>
            <w:r>
              <w:rPr>
                <w:rFonts w:ascii="Times New Roman;Times;Serif" w:hAnsi="Times New Roman;Times;Serif"/>
                <w:position w:val="7"/>
                <w:sz w:val="16"/>
                <w:sz w:val="20"/>
              </w:rPr>
              <w:t>(2)</w:t>
            </w:r>
          </w:p>
        </w:tc>
        <w:tc>
          <w:tcPr>
            <w:tcW w:w="60" w:type="dxa"/>
            <w:tcBorders/>
            <w:shd w:fill="FFFFFF" w:val="clear"/>
            <w:vAlign w:val="center"/>
          </w:tcPr>
          <w:p>
            <w:pPr>
              <w:pStyle w:val="TableContents"/>
              <w:bidi w:val="0"/>
              <w:spacing w:before="0" w:after="283"/>
              <w:jc w:val="left"/>
              <w:rPr/>
            </w:pPr>
            <w:r>
              <w:rPr/>
              <w:t> </w:t>
            </w:r>
          </w:p>
        </w:tc>
        <w:tc>
          <w:tcPr>
            <w:tcW w:w="185" w:type="dxa"/>
            <w:tcBorders/>
            <w:shd w:fill="FFFFFF" w:val="clear"/>
            <w:vAlign w:val="center"/>
          </w:tcPr>
          <w:p>
            <w:pPr>
              <w:pStyle w:val="TableContents"/>
              <w:bidi w:val="0"/>
              <w:spacing w:before="0" w:after="283"/>
              <w:jc w:val="left"/>
              <w:rPr/>
            </w:pPr>
            <w:r>
              <w:rPr/>
              <w:t> </w:t>
            </w:r>
          </w:p>
        </w:tc>
        <w:tc>
          <w:tcPr>
            <w:tcW w:w="893" w:type="dxa"/>
            <w:tcBorders/>
            <w:shd w:fill="FFFFFF" w:val="clear"/>
            <w:vAlign w:val="center"/>
          </w:tcPr>
          <w:p>
            <w:pPr>
              <w:pStyle w:val="TableContents"/>
              <w:bidi w:val="0"/>
              <w:spacing w:before="0" w:after="283"/>
              <w:jc w:val="right"/>
              <w:rPr/>
            </w:pPr>
            <w:r>
              <w:rPr/>
              <w:t>(1,142</w:t>
            </w:r>
          </w:p>
        </w:tc>
        <w:tc>
          <w:tcPr>
            <w:tcW w:w="122" w:type="dxa"/>
            <w:tcBorders/>
            <w:shd w:fill="FFFFFF" w:val="clear"/>
            <w:vAlign w:val="center"/>
          </w:tcPr>
          <w:p>
            <w:pPr>
              <w:pStyle w:val="TableContents"/>
              <w:bidi w:val="0"/>
              <w:spacing w:before="0" w:after="283"/>
              <w:jc w:val="left"/>
              <w:rPr/>
            </w:pPr>
            <w:r>
              <w:rPr/>
              <w:t>)</w:t>
            </w:r>
          </w:p>
        </w:tc>
        <w:tc>
          <w:tcPr>
            <w:tcW w:w="77" w:type="dxa"/>
            <w:tcBorders/>
            <w:shd w:fill="FFFFFF" w:val="clear"/>
            <w:vAlign w:val="center"/>
          </w:tcPr>
          <w:p>
            <w:pPr>
              <w:pStyle w:val="TableContents"/>
              <w:bidi w:val="0"/>
              <w:spacing w:before="0" w:after="283"/>
              <w:jc w:val="left"/>
              <w:rPr/>
            </w:pPr>
            <w:r>
              <w:rPr/>
              <w:t> </w:t>
            </w:r>
          </w:p>
        </w:tc>
        <w:tc>
          <w:tcPr>
            <w:tcW w:w="185" w:type="dxa"/>
            <w:tcBorders/>
            <w:shd w:fill="FFFFFF" w:val="clear"/>
            <w:vAlign w:val="center"/>
          </w:tcPr>
          <w:p>
            <w:pPr>
              <w:pStyle w:val="TableContents"/>
              <w:bidi w:val="0"/>
              <w:spacing w:before="0" w:after="283"/>
              <w:jc w:val="left"/>
              <w:rPr/>
            </w:pPr>
            <w:r>
              <w:rPr/>
              <w:t> </w:t>
            </w:r>
          </w:p>
        </w:tc>
        <w:tc>
          <w:tcPr>
            <w:tcW w:w="893" w:type="dxa"/>
            <w:tcBorders/>
            <w:shd w:fill="FFFFFF" w:val="clear"/>
            <w:vAlign w:val="center"/>
          </w:tcPr>
          <w:p>
            <w:pPr>
              <w:pStyle w:val="TableContents"/>
              <w:bidi w:val="0"/>
              <w:spacing w:before="0" w:after="283"/>
              <w:jc w:val="right"/>
              <w:rPr/>
            </w:pPr>
            <w:r>
              <w:rPr/>
              <w:t>269</w:t>
            </w:r>
          </w:p>
        </w:tc>
        <w:tc>
          <w:tcPr>
            <w:tcW w:w="114" w:type="dxa"/>
            <w:tcBorders/>
            <w:shd w:fill="FFFFFF" w:val="clear"/>
            <w:vAlign w:val="center"/>
          </w:tcPr>
          <w:p>
            <w:pPr>
              <w:pStyle w:val="TableContents"/>
              <w:bidi w:val="0"/>
              <w:spacing w:before="0" w:after="283"/>
              <w:jc w:val="left"/>
              <w:rPr/>
            </w:pPr>
            <w:r>
              <w:rPr/>
              <w:t> </w:t>
            </w:r>
          </w:p>
        </w:tc>
      </w:tr>
      <w:tr>
        <w:trPr/>
        <w:tc>
          <w:tcPr>
            <w:tcW w:w="7676" w:type="dxa"/>
            <w:tcBorders/>
            <w:shd w:fill="CCEEFF" w:val="clear"/>
            <w:vAlign w:val="center"/>
          </w:tcPr>
          <w:p>
            <w:pPr>
              <w:pStyle w:val="TableContents"/>
              <w:bidi w:val="0"/>
              <w:spacing w:before="0" w:after="283"/>
              <w:jc w:val="both"/>
              <w:rPr/>
            </w:pPr>
            <w:r>
              <w:rPr/>
              <w:t>Change in fair value of SAFE Agreement with related party</w:t>
            </w:r>
          </w:p>
        </w:tc>
        <w:tc>
          <w:tcPr>
            <w:tcW w:w="60"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jc w:val="left"/>
              <w:rPr/>
            </w:pPr>
            <w:r>
              <w:rPr/>
              <w:t> </w:t>
            </w:r>
          </w:p>
        </w:tc>
        <w:tc>
          <w:tcPr>
            <w:tcW w:w="893" w:type="dxa"/>
            <w:tcBorders/>
            <w:shd w:fill="CCEEFF" w:val="clear"/>
            <w:vAlign w:val="center"/>
          </w:tcPr>
          <w:p>
            <w:pPr>
              <w:pStyle w:val="TableContents"/>
              <w:bidi w:val="0"/>
              <w:spacing w:before="0" w:after="283"/>
              <w:jc w:val="right"/>
              <w:rPr/>
            </w:pPr>
            <w:r>
              <w:rPr/>
              <w:t>(44</w:t>
            </w:r>
          </w:p>
        </w:tc>
        <w:tc>
          <w:tcPr>
            <w:tcW w:w="122" w:type="dxa"/>
            <w:tcBorders/>
            <w:shd w:fill="CCEEFF" w:val="clear"/>
            <w:vAlign w:val="center"/>
          </w:tcPr>
          <w:p>
            <w:pPr>
              <w:pStyle w:val="TableContents"/>
              <w:bidi w:val="0"/>
              <w:spacing w:before="0" w:after="283"/>
              <w:jc w:val="left"/>
              <w:rPr/>
            </w:pPr>
            <w:r>
              <w:rPr/>
              <w:t>)</w:t>
            </w:r>
          </w:p>
        </w:tc>
        <w:tc>
          <w:tcPr>
            <w:tcW w:w="77"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jc w:val="left"/>
              <w:rPr/>
            </w:pPr>
            <w:r>
              <w:rPr/>
              <w:t> </w:t>
            </w:r>
          </w:p>
        </w:tc>
        <w:tc>
          <w:tcPr>
            <w:tcW w:w="893" w:type="dxa"/>
            <w:tcBorders/>
            <w:shd w:fill="CCEEFF" w:val="clear"/>
            <w:vAlign w:val="center"/>
          </w:tcPr>
          <w:p>
            <w:pPr>
              <w:pStyle w:val="TableContents"/>
              <w:bidi w:val="0"/>
              <w:spacing w:before="0" w:after="283"/>
              <w:jc w:val="right"/>
              <w:rPr/>
            </w:pPr>
            <w:r>
              <w:rPr/>
              <w:t>(20</w:t>
            </w:r>
          </w:p>
        </w:tc>
        <w:tc>
          <w:tcPr>
            <w:tcW w:w="114" w:type="dxa"/>
            <w:tcBorders/>
            <w:shd w:fill="CCEEFF" w:val="clear"/>
            <w:vAlign w:val="center"/>
          </w:tcPr>
          <w:p>
            <w:pPr>
              <w:pStyle w:val="TableContents"/>
              <w:bidi w:val="0"/>
              <w:spacing w:before="0" w:after="283"/>
              <w:jc w:val="left"/>
              <w:rPr/>
            </w:pPr>
            <w:r>
              <w:rPr/>
              <w:t>)</w:t>
            </w:r>
          </w:p>
        </w:tc>
      </w:tr>
      <w:tr>
        <w:trPr/>
        <w:tc>
          <w:tcPr>
            <w:tcW w:w="7676" w:type="dxa"/>
            <w:tcBorders/>
            <w:shd w:fill="FFFFFF" w:val="clear"/>
            <w:vAlign w:val="center"/>
          </w:tcPr>
          <w:p>
            <w:pPr>
              <w:pStyle w:val="TableContents"/>
              <w:bidi w:val="0"/>
              <w:spacing w:before="0" w:after="283"/>
              <w:jc w:val="both"/>
              <w:rPr/>
            </w:pPr>
            <w:r>
              <w:rPr/>
              <w:t>Change in fair value of FACT public, private placement and working capital warrants</w:t>
            </w:r>
          </w:p>
        </w:tc>
        <w:tc>
          <w:tcPr>
            <w:tcW w:w="60" w:type="dxa"/>
            <w:tcBorders/>
            <w:shd w:fill="FFFFFF" w:val="clear"/>
            <w:vAlign w:val="center"/>
          </w:tcPr>
          <w:p>
            <w:pPr>
              <w:pStyle w:val="TableContents"/>
              <w:bidi w:val="0"/>
              <w:spacing w:before="0" w:after="283"/>
              <w:jc w:val="left"/>
              <w:rPr/>
            </w:pPr>
            <w:r>
              <w:rPr/>
              <w:t> </w:t>
            </w:r>
          </w:p>
        </w:tc>
        <w:tc>
          <w:tcPr>
            <w:tcW w:w="185" w:type="dxa"/>
            <w:tcBorders/>
            <w:shd w:fill="FFFFFF" w:val="clear"/>
            <w:vAlign w:val="center"/>
          </w:tcPr>
          <w:p>
            <w:pPr>
              <w:pStyle w:val="TableContents"/>
              <w:bidi w:val="0"/>
              <w:spacing w:before="0" w:after="283"/>
              <w:jc w:val="left"/>
              <w:rPr/>
            </w:pPr>
            <w:r>
              <w:rPr/>
              <w:t> </w:t>
            </w:r>
          </w:p>
        </w:tc>
        <w:tc>
          <w:tcPr>
            <w:tcW w:w="893" w:type="dxa"/>
            <w:tcBorders/>
            <w:shd w:fill="FFFFFF" w:val="clear"/>
            <w:vAlign w:val="center"/>
          </w:tcPr>
          <w:p>
            <w:pPr>
              <w:pStyle w:val="TableContents"/>
              <w:bidi w:val="0"/>
              <w:spacing w:before="0" w:after="283"/>
              <w:jc w:val="right"/>
              <w:rPr/>
            </w:pPr>
            <w:r>
              <w:rPr/>
              <w:t>615</w:t>
            </w:r>
          </w:p>
        </w:tc>
        <w:tc>
          <w:tcPr>
            <w:tcW w:w="122" w:type="dxa"/>
            <w:tcBorders/>
            <w:shd w:fill="FFFFFF" w:val="clear"/>
            <w:vAlign w:val="center"/>
          </w:tcPr>
          <w:p>
            <w:pPr>
              <w:pStyle w:val="TableContents"/>
              <w:bidi w:val="0"/>
              <w:spacing w:before="0" w:after="283"/>
              <w:jc w:val="left"/>
              <w:rPr/>
            </w:pPr>
            <w:r>
              <w:rPr/>
              <w:t> </w:t>
            </w:r>
          </w:p>
        </w:tc>
        <w:tc>
          <w:tcPr>
            <w:tcW w:w="77" w:type="dxa"/>
            <w:tcBorders/>
            <w:shd w:fill="FFFFFF" w:val="clear"/>
            <w:vAlign w:val="center"/>
          </w:tcPr>
          <w:p>
            <w:pPr>
              <w:pStyle w:val="TableContents"/>
              <w:bidi w:val="0"/>
              <w:spacing w:before="0" w:after="283"/>
              <w:jc w:val="left"/>
              <w:rPr/>
            </w:pPr>
            <w:r>
              <w:rPr/>
              <w:t> </w:t>
            </w:r>
          </w:p>
        </w:tc>
        <w:tc>
          <w:tcPr>
            <w:tcW w:w="185" w:type="dxa"/>
            <w:tcBorders/>
            <w:shd w:fill="FFFFFF" w:val="clear"/>
            <w:vAlign w:val="center"/>
          </w:tcPr>
          <w:p>
            <w:pPr>
              <w:pStyle w:val="TableContents"/>
              <w:bidi w:val="0"/>
              <w:spacing w:before="0" w:after="283"/>
              <w:jc w:val="left"/>
              <w:rPr/>
            </w:pPr>
            <w:r>
              <w:rPr/>
              <w:t> </w:t>
            </w:r>
          </w:p>
        </w:tc>
        <w:tc>
          <w:tcPr>
            <w:tcW w:w="893" w:type="dxa"/>
            <w:tcBorders/>
            <w:shd w:fill="FFFFFF" w:val="clear"/>
            <w:vAlign w:val="center"/>
          </w:tcPr>
          <w:p>
            <w:pPr>
              <w:pStyle w:val="TableContents"/>
              <w:bidi w:val="0"/>
              <w:spacing w:before="0" w:after="283"/>
              <w:jc w:val="right"/>
              <w:rPr/>
            </w:pPr>
            <w:r>
              <w:rPr/>
              <w:t>(1,092</w:t>
            </w:r>
          </w:p>
        </w:tc>
        <w:tc>
          <w:tcPr>
            <w:tcW w:w="114" w:type="dxa"/>
            <w:tcBorders/>
            <w:shd w:fill="FFFFFF" w:val="clear"/>
            <w:vAlign w:val="center"/>
          </w:tcPr>
          <w:p>
            <w:pPr>
              <w:pStyle w:val="TableContents"/>
              <w:bidi w:val="0"/>
              <w:spacing w:before="0" w:after="283"/>
              <w:jc w:val="left"/>
              <w:rPr/>
            </w:pPr>
            <w:r>
              <w:rPr/>
              <w:t>)</w:t>
            </w:r>
          </w:p>
        </w:tc>
      </w:tr>
      <w:tr>
        <w:trPr/>
        <w:tc>
          <w:tcPr>
            <w:tcW w:w="7676" w:type="dxa"/>
            <w:tcBorders/>
            <w:shd w:fill="CCEEFF" w:val="clear"/>
            <w:vAlign w:val="center"/>
          </w:tcPr>
          <w:p>
            <w:pPr>
              <w:pStyle w:val="TableContents"/>
              <w:bidi w:val="0"/>
              <w:spacing w:before="0" w:after="283"/>
              <w:jc w:val="both"/>
              <w:rPr/>
            </w:pPr>
            <w:r>
              <w:rPr/>
              <w:t>Change in fair value of Notes valued at fair value</w:t>
            </w:r>
          </w:p>
        </w:tc>
        <w:tc>
          <w:tcPr>
            <w:tcW w:w="60"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jc w:val="left"/>
              <w:rPr/>
            </w:pPr>
            <w:r>
              <w:rPr/>
              <w:t> </w:t>
            </w:r>
          </w:p>
        </w:tc>
        <w:tc>
          <w:tcPr>
            <w:tcW w:w="893" w:type="dxa"/>
            <w:tcBorders/>
            <w:shd w:fill="CCEEFF" w:val="clear"/>
            <w:vAlign w:val="center"/>
          </w:tcPr>
          <w:p>
            <w:pPr>
              <w:pStyle w:val="TableContents"/>
              <w:bidi w:val="0"/>
              <w:spacing w:before="0" w:after="283"/>
              <w:jc w:val="right"/>
              <w:rPr/>
            </w:pPr>
            <w:r>
              <w:rPr/>
              <w:t>(320</w:t>
            </w:r>
          </w:p>
        </w:tc>
        <w:tc>
          <w:tcPr>
            <w:tcW w:w="122" w:type="dxa"/>
            <w:tcBorders/>
            <w:shd w:fill="CCEEFF" w:val="clear"/>
            <w:vAlign w:val="center"/>
          </w:tcPr>
          <w:p>
            <w:pPr>
              <w:pStyle w:val="TableContents"/>
              <w:bidi w:val="0"/>
              <w:spacing w:before="0" w:after="283"/>
              <w:jc w:val="left"/>
              <w:rPr/>
            </w:pPr>
            <w:r>
              <w:rPr/>
              <w:t>)</w:t>
            </w:r>
          </w:p>
        </w:tc>
        <w:tc>
          <w:tcPr>
            <w:tcW w:w="77"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jc w:val="left"/>
              <w:rPr/>
            </w:pPr>
            <w:r>
              <w:rPr/>
              <w:t> </w:t>
            </w:r>
          </w:p>
        </w:tc>
        <w:tc>
          <w:tcPr>
            <w:tcW w:w="893" w:type="dxa"/>
            <w:tcBorders/>
            <w:shd w:fill="CCEEFF" w:val="clear"/>
            <w:vAlign w:val="center"/>
          </w:tcPr>
          <w:p>
            <w:pPr>
              <w:pStyle w:val="TableContents"/>
              <w:bidi w:val="0"/>
              <w:spacing w:before="0" w:after="283"/>
              <w:jc w:val="right"/>
              <w:rPr/>
            </w:pPr>
            <w:r>
              <w:rPr/>
              <w:t>—</w:t>
            </w:r>
          </w:p>
        </w:tc>
        <w:tc>
          <w:tcPr>
            <w:tcW w:w="114" w:type="dxa"/>
            <w:tcBorders/>
            <w:shd w:fill="CCEEFF" w:val="clear"/>
            <w:vAlign w:val="center"/>
          </w:tcPr>
          <w:p>
            <w:pPr>
              <w:pStyle w:val="TableContents"/>
              <w:bidi w:val="0"/>
              <w:spacing w:before="0" w:after="283"/>
              <w:jc w:val="left"/>
              <w:rPr/>
            </w:pPr>
            <w:r>
              <w:rPr/>
              <w:t> </w:t>
            </w:r>
          </w:p>
        </w:tc>
      </w:tr>
      <w:tr>
        <w:trPr/>
        <w:tc>
          <w:tcPr>
            <w:tcW w:w="7676" w:type="dxa"/>
            <w:tcBorders/>
            <w:shd w:fill="FFFFFF" w:val="clear"/>
            <w:vAlign w:val="center"/>
          </w:tcPr>
          <w:p>
            <w:pPr>
              <w:pStyle w:val="TableContents"/>
              <w:bidi w:val="0"/>
              <w:spacing w:before="0" w:after="283"/>
              <w:jc w:val="both"/>
              <w:rPr/>
            </w:pPr>
            <w:r>
              <w:rPr/>
              <w:t>Change in fair value of Deferred Sunder Consideration with related party</w:t>
            </w:r>
          </w:p>
        </w:tc>
        <w:tc>
          <w:tcPr>
            <w:tcW w:w="60" w:type="dxa"/>
            <w:tcBorders/>
            <w:shd w:fill="FFFFFF" w:val="clear"/>
            <w:vAlign w:val="center"/>
          </w:tcPr>
          <w:p>
            <w:pPr>
              <w:pStyle w:val="TableContents"/>
              <w:bidi w:val="0"/>
              <w:spacing w:before="0" w:after="283"/>
              <w:jc w:val="left"/>
              <w:rPr/>
            </w:pPr>
            <w:r>
              <w:rPr/>
              <w:t> </w:t>
            </w:r>
          </w:p>
        </w:tc>
        <w:tc>
          <w:tcPr>
            <w:tcW w:w="185" w:type="dxa"/>
            <w:tcBorders/>
            <w:shd w:fill="FFFFFF" w:val="clear"/>
            <w:vAlign w:val="center"/>
          </w:tcPr>
          <w:p>
            <w:pPr>
              <w:pStyle w:val="TableContents"/>
              <w:bidi w:val="0"/>
              <w:spacing w:before="0" w:after="283"/>
              <w:jc w:val="left"/>
              <w:rPr/>
            </w:pPr>
            <w:r>
              <w:rPr/>
              <w:t> </w:t>
            </w:r>
          </w:p>
        </w:tc>
        <w:tc>
          <w:tcPr>
            <w:tcW w:w="893" w:type="dxa"/>
            <w:tcBorders/>
            <w:shd w:fill="FFFFFF" w:val="clear"/>
            <w:vAlign w:val="center"/>
          </w:tcPr>
          <w:p>
            <w:pPr>
              <w:pStyle w:val="TableContents"/>
              <w:bidi w:val="0"/>
              <w:spacing w:before="0" w:after="283"/>
              <w:jc w:val="right"/>
              <w:rPr/>
            </w:pPr>
            <w:r>
              <w:rPr/>
              <w:t>2,306</w:t>
            </w:r>
          </w:p>
        </w:tc>
        <w:tc>
          <w:tcPr>
            <w:tcW w:w="122" w:type="dxa"/>
            <w:tcBorders/>
            <w:shd w:fill="FFFFFF" w:val="clear"/>
            <w:vAlign w:val="center"/>
          </w:tcPr>
          <w:p>
            <w:pPr>
              <w:pStyle w:val="TableContents"/>
              <w:bidi w:val="0"/>
              <w:spacing w:before="0" w:after="283"/>
              <w:jc w:val="left"/>
              <w:rPr/>
            </w:pPr>
            <w:r>
              <w:rPr/>
              <w:t> </w:t>
            </w:r>
          </w:p>
        </w:tc>
        <w:tc>
          <w:tcPr>
            <w:tcW w:w="77" w:type="dxa"/>
            <w:tcBorders/>
            <w:shd w:fill="FFFFFF" w:val="clear"/>
            <w:vAlign w:val="center"/>
          </w:tcPr>
          <w:p>
            <w:pPr>
              <w:pStyle w:val="TableContents"/>
              <w:bidi w:val="0"/>
              <w:spacing w:before="0" w:after="283"/>
              <w:jc w:val="left"/>
              <w:rPr/>
            </w:pPr>
            <w:r>
              <w:rPr/>
              <w:t> </w:t>
            </w:r>
          </w:p>
        </w:tc>
        <w:tc>
          <w:tcPr>
            <w:tcW w:w="185" w:type="dxa"/>
            <w:tcBorders/>
            <w:shd w:fill="FFFFFF" w:val="clear"/>
            <w:vAlign w:val="center"/>
          </w:tcPr>
          <w:p>
            <w:pPr>
              <w:pStyle w:val="TableContents"/>
              <w:bidi w:val="0"/>
              <w:spacing w:before="0" w:after="283"/>
              <w:jc w:val="left"/>
              <w:rPr/>
            </w:pPr>
            <w:r>
              <w:rPr/>
              <w:t> </w:t>
            </w:r>
          </w:p>
        </w:tc>
        <w:tc>
          <w:tcPr>
            <w:tcW w:w="893" w:type="dxa"/>
            <w:tcBorders/>
            <w:shd w:fill="FFFFFF" w:val="clear"/>
            <w:vAlign w:val="center"/>
          </w:tcPr>
          <w:p>
            <w:pPr>
              <w:pStyle w:val="TableContents"/>
              <w:bidi w:val="0"/>
              <w:spacing w:before="0" w:after="283"/>
              <w:jc w:val="right"/>
              <w:rPr/>
            </w:pPr>
            <w:r>
              <w:rPr/>
              <w:t>—</w:t>
            </w:r>
          </w:p>
        </w:tc>
        <w:tc>
          <w:tcPr>
            <w:tcW w:w="114" w:type="dxa"/>
            <w:tcBorders/>
            <w:shd w:fill="FFFFFF" w:val="clear"/>
            <w:vAlign w:val="center"/>
          </w:tcPr>
          <w:p>
            <w:pPr>
              <w:pStyle w:val="TableContents"/>
              <w:bidi w:val="0"/>
              <w:spacing w:before="0" w:after="283"/>
              <w:jc w:val="left"/>
              <w:rPr/>
            </w:pPr>
            <w:r>
              <w:rPr/>
              <w:t> </w:t>
            </w:r>
          </w:p>
        </w:tc>
      </w:tr>
      <w:tr>
        <w:trPr/>
        <w:tc>
          <w:tcPr>
            <w:tcW w:w="7676" w:type="dxa"/>
            <w:tcBorders/>
            <w:shd w:fill="CCEEFF" w:val="clear"/>
            <w:vAlign w:val="center"/>
          </w:tcPr>
          <w:p>
            <w:pPr>
              <w:pStyle w:val="TableContents"/>
              <w:bidi w:val="0"/>
              <w:spacing w:before="0" w:after="283"/>
              <w:jc w:val="both"/>
              <w:rPr/>
            </w:pPr>
            <w:r>
              <w:rPr/>
              <w:t>Change in fair value of Deferred Ambia Consideration</w:t>
            </w:r>
          </w:p>
        </w:tc>
        <w:tc>
          <w:tcPr>
            <w:tcW w:w="60"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jc w:val="left"/>
              <w:rPr/>
            </w:pPr>
            <w:r>
              <w:rPr/>
              <w:t> </w:t>
            </w:r>
          </w:p>
        </w:tc>
        <w:tc>
          <w:tcPr>
            <w:tcW w:w="893" w:type="dxa"/>
            <w:tcBorders/>
            <w:shd w:fill="CCEEFF" w:val="clear"/>
            <w:vAlign w:val="center"/>
          </w:tcPr>
          <w:p>
            <w:pPr>
              <w:pStyle w:val="TableContents"/>
              <w:bidi w:val="0"/>
              <w:spacing w:before="0" w:after="283"/>
              <w:jc w:val="right"/>
              <w:rPr/>
            </w:pPr>
            <w:r>
              <w:rPr/>
              <w:t>2,943</w:t>
            </w:r>
          </w:p>
        </w:tc>
        <w:tc>
          <w:tcPr>
            <w:tcW w:w="122" w:type="dxa"/>
            <w:tcBorders/>
            <w:shd w:fill="CCEEFF" w:val="clear"/>
            <w:vAlign w:val="center"/>
          </w:tcPr>
          <w:p>
            <w:pPr>
              <w:pStyle w:val="TableContents"/>
              <w:bidi w:val="0"/>
              <w:spacing w:before="0" w:after="283"/>
              <w:jc w:val="left"/>
              <w:rPr/>
            </w:pPr>
            <w:r>
              <w:rPr/>
              <w:t> </w:t>
            </w:r>
          </w:p>
        </w:tc>
        <w:tc>
          <w:tcPr>
            <w:tcW w:w="77"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jc w:val="left"/>
              <w:rPr/>
            </w:pPr>
            <w:r>
              <w:rPr/>
              <w:t> </w:t>
            </w:r>
          </w:p>
        </w:tc>
        <w:tc>
          <w:tcPr>
            <w:tcW w:w="893" w:type="dxa"/>
            <w:tcBorders/>
            <w:shd w:fill="CCEEFF" w:val="clear"/>
            <w:vAlign w:val="center"/>
          </w:tcPr>
          <w:p>
            <w:pPr>
              <w:pStyle w:val="TableContents"/>
              <w:bidi w:val="0"/>
              <w:spacing w:before="0" w:after="283"/>
              <w:jc w:val="right"/>
              <w:rPr/>
            </w:pPr>
            <w:r>
              <w:rPr/>
              <w:t>—</w:t>
            </w:r>
          </w:p>
        </w:tc>
        <w:tc>
          <w:tcPr>
            <w:tcW w:w="114" w:type="dxa"/>
            <w:tcBorders/>
            <w:shd w:fill="CCEEFF" w:val="clear"/>
            <w:vAlign w:val="center"/>
          </w:tcPr>
          <w:p>
            <w:pPr>
              <w:pStyle w:val="TableContents"/>
              <w:bidi w:val="0"/>
              <w:spacing w:before="0" w:after="283"/>
              <w:jc w:val="left"/>
              <w:rPr/>
            </w:pPr>
            <w:r>
              <w:rPr/>
              <w:t> </w:t>
            </w:r>
          </w:p>
        </w:tc>
      </w:tr>
      <w:tr>
        <w:trPr/>
        <w:tc>
          <w:tcPr>
            <w:tcW w:w="7676" w:type="dxa"/>
            <w:tcBorders/>
            <w:shd w:fill="FFFFFF" w:val="cle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Other, net</w:t>
            </w:r>
            <w:r>
              <w:rPr>
                <w:rFonts w:ascii="Times New Roman;Times;Serif" w:hAnsi="Times New Roman;Times;Serif"/>
                <w:position w:val="7"/>
                <w:sz w:val="16"/>
                <w:sz w:val="20"/>
              </w:rPr>
              <w:t>(3)</w:t>
            </w:r>
          </w:p>
        </w:tc>
        <w:tc>
          <w:tcPr>
            <w:tcW w:w="60" w:type="dxa"/>
            <w:tcBorders/>
            <w:shd w:fill="FFFFFF" w:val="clear"/>
            <w:vAlign w:val="center"/>
          </w:tcPr>
          <w:p>
            <w:pPr>
              <w:pStyle w:val="TableContents"/>
              <w:bidi w:val="0"/>
              <w:spacing w:before="0" w:after="283"/>
              <w:jc w:val="left"/>
              <w:rPr/>
            </w:pPr>
            <w:r>
              <w:rPr/>
              <w:t> </w:t>
            </w:r>
          </w:p>
        </w:tc>
        <w:tc>
          <w:tcPr>
            <w:tcW w:w="185"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893" w:type="dxa"/>
            <w:tcBorders>
              <w:bottom w:val="single" w:sz="12" w:space="0" w:color="000000"/>
            </w:tcBorders>
            <w:shd w:fill="FFFFFF" w:val="clear"/>
            <w:tcMar>
              <w:bottom w:w="28" w:type="dxa"/>
            </w:tcMar>
            <w:vAlign w:val="center"/>
          </w:tcPr>
          <w:p>
            <w:pPr>
              <w:pStyle w:val="TableContents"/>
              <w:bidi w:val="0"/>
              <w:spacing w:before="0" w:after="283"/>
              <w:jc w:val="right"/>
              <w:rPr/>
            </w:pPr>
            <w:r>
              <w:rPr/>
              <w:t>(205</w:t>
            </w:r>
          </w:p>
        </w:tc>
        <w:tc>
          <w:tcPr>
            <w:tcW w:w="122" w:type="dxa"/>
            <w:tcBorders/>
            <w:shd w:fill="FFFFFF" w:val="clear"/>
            <w:vAlign w:val="center"/>
          </w:tcPr>
          <w:p>
            <w:pPr>
              <w:pStyle w:val="TableContents"/>
              <w:bidi w:val="0"/>
              <w:spacing w:before="0" w:after="283"/>
              <w:jc w:val="left"/>
              <w:rPr/>
            </w:pPr>
            <w:r>
              <w:rPr/>
              <w:t>)</w:t>
            </w:r>
          </w:p>
        </w:tc>
        <w:tc>
          <w:tcPr>
            <w:tcW w:w="77" w:type="dxa"/>
            <w:tcBorders/>
            <w:shd w:fill="FFFFFF" w:val="clear"/>
            <w:vAlign w:val="center"/>
          </w:tcPr>
          <w:p>
            <w:pPr>
              <w:pStyle w:val="TableContents"/>
              <w:bidi w:val="0"/>
              <w:spacing w:before="0" w:after="283"/>
              <w:jc w:val="left"/>
              <w:rPr/>
            </w:pPr>
            <w:r>
              <w:rPr/>
              <w:t> </w:t>
            </w:r>
          </w:p>
        </w:tc>
        <w:tc>
          <w:tcPr>
            <w:tcW w:w="185"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893" w:type="dxa"/>
            <w:tcBorders>
              <w:bottom w:val="single" w:sz="12" w:space="0" w:color="000000"/>
            </w:tcBorders>
            <w:shd w:fill="FFFFFF" w:val="clear"/>
            <w:tcMar>
              <w:bottom w:w="28" w:type="dxa"/>
            </w:tcMar>
            <w:vAlign w:val="center"/>
          </w:tcPr>
          <w:p>
            <w:pPr>
              <w:pStyle w:val="TableContents"/>
              <w:bidi w:val="0"/>
              <w:spacing w:before="0" w:after="283"/>
              <w:jc w:val="right"/>
              <w:rPr/>
            </w:pPr>
            <w:r>
              <w:rPr/>
              <w:t>292</w:t>
            </w:r>
          </w:p>
        </w:tc>
        <w:tc>
          <w:tcPr>
            <w:tcW w:w="114" w:type="dxa"/>
            <w:tcBorders/>
            <w:shd w:fill="FFFFFF" w:val="clear"/>
            <w:vAlign w:val="center"/>
          </w:tcPr>
          <w:p>
            <w:pPr>
              <w:pStyle w:val="TableContents"/>
              <w:bidi w:val="0"/>
              <w:spacing w:before="0" w:after="283"/>
              <w:jc w:val="left"/>
              <w:rPr/>
            </w:pPr>
            <w:r>
              <w:rPr/>
              <w:t> </w:t>
            </w:r>
          </w:p>
        </w:tc>
      </w:tr>
      <w:tr>
        <w:trPr/>
        <w:tc>
          <w:tcPr>
            <w:tcW w:w="7676" w:type="dxa"/>
            <w:tcBorders/>
            <w:shd w:fill="CCEEFF" w:val="clear"/>
            <w:vAlign w:val="center"/>
          </w:tcPr>
          <w:p>
            <w:pPr>
              <w:pStyle w:val="TableContents"/>
              <w:bidi w:val="0"/>
              <w:spacing w:before="0" w:after="283"/>
              <w:jc w:val="both"/>
              <w:rPr/>
            </w:pPr>
            <w:r>
              <w:rPr/>
              <w:t>Total Other non-operating income, net</w:t>
            </w:r>
          </w:p>
        </w:tc>
        <w:tc>
          <w:tcPr>
            <w:tcW w:w="60" w:type="dxa"/>
            <w:tcBorders/>
            <w:shd w:fill="CCEEFF" w:val="clear"/>
            <w:vAlign w:val="center"/>
          </w:tcPr>
          <w:p>
            <w:pPr>
              <w:pStyle w:val="TableContents"/>
              <w:bidi w:val="0"/>
              <w:spacing w:before="0" w:after="283"/>
              <w:jc w:val="left"/>
              <w:rPr/>
            </w:pPr>
            <w:r>
              <w:rPr/>
              <w:t> </w:t>
            </w:r>
          </w:p>
        </w:tc>
        <w:tc>
          <w:tcPr>
            <w:tcW w:w="185"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893" w:type="dxa"/>
            <w:tcBorders>
              <w:bottom w:val="double" w:sz="10" w:space="0" w:color="000000"/>
            </w:tcBorders>
            <w:shd w:fill="CCEEFF" w:val="clear"/>
            <w:tcMar>
              <w:bottom w:w="28" w:type="dxa"/>
            </w:tcMar>
            <w:vAlign w:val="center"/>
          </w:tcPr>
          <w:p>
            <w:pPr>
              <w:pStyle w:val="TableContents"/>
              <w:bidi w:val="0"/>
              <w:spacing w:before="0" w:after="283"/>
              <w:jc w:val="right"/>
              <w:rPr/>
            </w:pPr>
            <w:r>
              <w:rPr/>
              <w:t>30,761</w:t>
            </w:r>
          </w:p>
        </w:tc>
        <w:tc>
          <w:tcPr>
            <w:tcW w:w="122" w:type="dxa"/>
            <w:tcBorders/>
            <w:shd w:fill="CCEEFF" w:val="clear"/>
            <w:vAlign w:val="center"/>
          </w:tcPr>
          <w:p>
            <w:pPr>
              <w:pStyle w:val="TableContents"/>
              <w:bidi w:val="0"/>
              <w:spacing w:before="0" w:after="283"/>
              <w:jc w:val="left"/>
              <w:rPr/>
            </w:pPr>
            <w:r>
              <w:rPr/>
              <w:t> </w:t>
            </w:r>
          </w:p>
        </w:tc>
        <w:tc>
          <w:tcPr>
            <w:tcW w:w="77" w:type="dxa"/>
            <w:tcBorders/>
            <w:shd w:fill="CCEEFF" w:val="clear"/>
            <w:vAlign w:val="center"/>
          </w:tcPr>
          <w:p>
            <w:pPr>
              <w:pStyle w:val="TableContents"/>
              <w:bidi w:val="0"/>
              <w:spacing w:before="0" w:after="283"/>
              <w:jc w:val="left"/>
              <w:rPr/>
            </w:pPr>
            <w:r>
              <w:rPr/>
              <w:t> </w:t>
            </w:r>
          </w:p>
        </w:tc>
        <w:tc>
          <w:tcPr>
            <w:tcW w:w="185"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893" w:type="dxa"/>
            <w:tcBorders>
              <w:bottom w:val="double" w:sz="10" w:space="0" w:color="000000"/>
            </w:tcBorders>
            <w:shd w:fill="CCEEFF" w:val="clear"/>
            <w:tcMar>
              <w:bottom w:w="28" w:type="dxa"/>
            </w:tcMar>
            <w:vAlign w:val="center"/>
          </w:tcPr>
          <w:p>
            <w:pPr>
              <w:pStyle w:val="TableContents"/>
              <w:bidi w:val="0"/>
              <w:spacing w:before="0" w:after="283"/>
              <w:jc w:val="right"/>
              <w:rPr/>
            </w:pPr>
            <w:r>
              <w:rPr/>
              <w:t>14,576</w:t>
            </w:r>
          </w:p>
        </w:tc>
        <w:tc>
          <w:tcPr>
            <w:tcW w:w="114"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36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25"/>
        <w:gridCol w:w="9980"/>
      </w:tblGrid>
      <w:tr>
        <w:trPr/>
        <w:tc>
          <w:tcPr>
            <w:tcW w:w="22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(1)</w:t>
            </w:r>
          </w:p>
        </w:tc>
        <w:tc>
          <w:tcPr>
            <w:tcW w:w="998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 xml:space="preserve">Includes a gain of $7.5 million and $3.7 million on the change in the fair value of derivative liabilities with related parties in the thirteen weeks ended March 29, 2026 and March 30, 2025, respectively. Refer to </w:t>
            </w:r>
            <w:r>
              <w:rPr>
                <w:rFonts w:ascii="Times New Roman;Times;Serif" w:hAnsi="Times New Roman;Times;Serif"/>
                <w:b/>
                <w:sz w:val="20"/>
              </w:rPr>
              <w:t>Note 9 – Borrowings and Derivative Liabilities</w:t>
            </w:r>
            <w:r>
              <w:rPr>
                <w:rFonts w:ascii="Times New Roman;Times;Serif" w:hAnsi="Times New Roman;Times;Serif"/>
                <w:sz w:val="20"/>
              </w:rPr>
              <w:t xml:space="preserve"> for details.</w:t>
            </w:r>
          </w:p>
        </w:tc>
      </w:tr>
    </w:tbl>
    <w:p>
      <w:pPr>
        <w:pStyle w:val="TextBody"/>
        <w:bidi w:val="0"/>
        <w:spacing w:before="0" w:after="0"/>
        <w:ind w:left="360" w:right="0" w:hanging="0"/>
        <w:jc w:val="both"/>
        <w:rPr>
          <w:caps w:val="false"/>
          <w:smallCaps w:val="false"/>
        </w:rPr>
      </w:pPr>
      <w:r>
        <w:rPr>
          <w:caps w:val="false"/>
          <w:smallCaps w:val="false"/>
        </w:rPr>
        <w:t> </w:t>
      </w:r>
    </w:p>
    <w:tbl>
      <w:tblPr>
        <w:tblW w:w="8830" w:type="dxa"/>
        <w:jc w:val="left"/>
        <w:tblInd w:w="0" w:type="dxa"/>
        <w:tblLayout w:type="fixed"/>
        <w:tblCellMar>
          <w:top w:w="0" w:type="dxa"/>
          <w:left w:w="0" w:type="dxa"/>
          <w:bottom w:w="0" w:type="dxa"/>
          <w:right w:w="0" w:type="dxa"/>
        </w:tblCellMar>
      </w:tblPr>
      <w:tblGrid>
        <w:gridCol w:w="260"/>
        <w:gridCol w:w="8570"/>
      </w:tblGrid>
      <w:tr>
        <w:trPr/>
        <w:tc>
          <w:tcPr>
            <w:tcW w:w="2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(2)</w:t>
            </w:r>
          </w:p>
        </w:tc>
        <w:tc>
          <w:tcPr>
            <w:tcW w:w="857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Includes income of $0.1 million due to related parties for the thirteen week period ended March 30, 2025.</w:t>
            </w:r>
          </w:p>
        </w:tc>
      </w:tr>
    </w:tbl>
    <w:p>
      <w:pPr>
        <w:pStyle w:val="TextBody"/>
        <w:bidi w:val="0"/>
        <w:spacing w:before="0" w:after="0"/>
        <w:ind w:left="0" w:right="0" w:hanging="0"/>
        <w:jc w:val="left"/>
        <w:rPr>
          <w:caps w:val="false"/>
          <w:smallCaps w:val="false"/>
        </w:rPr>
      </w:pPr>
      <w:r>
        <w:rPr>
          <w:caps w:val="false"/>
          <w:smallCaps w:val="false"/>
        </w:rPr>
        <w:t> </w:t>
      </w:r>
    </w:p>
    <w:tbl>
      <w:tblPr>
        <w:tblW w:w="8560" w:type="dxa"/>
        <w:jc w:val="left"/>
        <w:tblInd w:w="0" w:type="dxa"/>
        <w:tblLayout w:type="fixed"/>
        <w:tblCellMar>
          <w:top w:w="0" w:type="dxa"/>
          <w:left w:w="0" w:type="dxa"/>
          <w:bottom w:w="0" w:type="dxa"/>
          <w:right w:w="0" w:type="dxa"/>
        </w:tblCellMar>
      </w:tblPr>
      <w:tblGrid>
        <w:gridCol w:w="260"/>
        <w:gridCol w:w="8300"/>
      </w:tblGrid>
      <w:tr>
        <w:trPr/>
        <w:tc>
          <w:tcPr>
            <w:tcW w:w="2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(3)</w:t>
            </w:r>
          </w:p>
        </w:tc>
        <w:tc>
          <w:tcPr>
            <w:tcW w:w="830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Includes $0.1 million income due to related parties in the thirteen week period ended March 30, 2025.</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12" w:space="1" w:color="000000"/>
        </w:rPr>
      </w:pPr>
      <w:r>
        <w:rPr>
          <w:sz w:val="20"/>
          <w:bdr w:val="single" w:sz="12" w:space="1" w:color="000000"/>
        </w:rPr>
        <w:t>F-37</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(11) Commitments and Contingencies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Warranty Provision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Warranty activity by period was as follows </w:t>
      </w:r>
      <w:r>
        <w:rPr>
          <w:rFonts w:ascii="Times New Roman;Times;Serif" w:hAnsi="Times New Roman;Times;Serif"/>
          <w:b w:val="false"/>
          <w:i/>
          <w:caps w:val="false"/>
          <w:smallCaps w:val="false"/>
          <w:sz w:val="20"/>
        </w:rPr>
        <w:t>(in thousands)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719"/>
        <w:gridCol w:w="60"/>
        <w:gridCol w:w="213"/>
        <w:gridCol w:w="853"/>
        <w:gridCol w:w="90"/>
        <w:gridCol w:w="90"/>
        <w:gridCol w:w="213"/>
        <w:gridCol w:w="853"/>
        <w:gridCol w:w="114"/>
      </w:tblGrid>
      <w:tr>
        <w:trPr/>
        <w:tc>
          <w:tcPr>
            <w:tcW w:w="7719"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312"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Thirteen Weeks Ended</w:t>
            </w:r>
          </w:p>
        </w:tc>
        <w:tc>
          <w:tcPr>
            <w:tcW w:w="114" w:type="dxa"/>
            <w:tcBorders/>
            <w:vAlign w:val="center"/>
          </w:tcPr>
          <w:p>
            <w:pPr>
              <w:pStyle w:val="TableContents"/>
              <w:bidi w:val="0"/>
              <w:spacing w:before="0" w:after="283"/>
              <w:jc w:val="left"/>
              <w:rPr/>
            </w:pPr>
            <w:r>
              <w:rPr/>
              <w:t> </w:t>
            </w:r>
          </w:p>
        </w:tc>
      </w:tr>
      <w:tr>
        <w:trPr/>
        <w:tc>
          <w:tcPr>
            <w:tcW w:w="7719"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66" w:type="dxa"/>
            <w:gridSpan w:val="2"/>
            <w:tcBorders/>
            <w:vAlign w:val="center"/>
          </w:tcPr>
          <w:p>
            <w:pPr>
              <w:pStyle w:val="TableContents"/>
              <w:bidi w:val="0"/>
              <w:spacing w:before="0" w:after="283"/>
              <w:jc w:val="center"/>
              <w:rPr>
                <w:b/>
              </w:rPr>
            </w:pPr>
            <w:r>
              <w:rPr>
                <w:b/>
              </w:rPr>
              <w:t>March 29,</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066" w:type="dxa"/>
            <w:gridSpan w:val="2"/>
            <w:tcBorders/>
            <w:vAlign w:val="center"/>
          </w:tcPr>
          <w:p>
            <w:pPr>
              <w:pStyle w:val="TableContents"/>
              <w:bidi w:val="0"/>
              <w:spacing w:before="0" w:after="283"/>
              <w:jc w:val="center"/>
              <w:rPr>
                <w:b/>
              </w:rPr>
            </w:pPr>
            <w:r>
              <w:rPr>
                <w:b/>
              </w:rPr>
              <w:t>March 30,</w:t>
            </w:r>
          </w:p>
        </w:tc>
        <w:tc>
          <w:tcPr>
            <w:tcW w:w="114" w:type="dxa"/>
            <w:tcBorders/>
            <w:vAlign w:val="center"/>
          </w:tcPr>
          <w:p>
            <w:pPr>
              <w:pStyle w:val="TableContents"/>
              <w:bidi w:val="0"/>
              <w:spacing w:before="0" w:after="283"/>
              <w:jc w:val="left"/>
              <w:rPr/>
            </w:pPr>
            <w:r>
              <w:rPr/>
              <w:t> </w:t>
            </w:r>
          </w:p>
        </w:tc>
      </w:tr>
      <w:tr>
        <w:trPr/>
        <w:tc>
          <w:tcPr>
            <w:tcW w:w="7719"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66"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2026</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066"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2025</w:t>
            </w:r>
          </w:p>
        </w:tc>
        <w:tc>
          <w:tcPr>
            <w:tcW w:w="114" w:type="dxa"/>
            <w:tcBorders/>
            <w:vAlign w:val="center"/>
          </w:tcPr>
          <w:p>
            <w:pPr>
              <w:pStyle w:val="TableContents"/>
              <w:bidi w:val="0"/>
              <w:spacing w:before="0" w:after="283"/>
              <w:jc w:val="left"/>
              <w:rPr/>
            </w:pPr>
            <w:r>
              <w:rPr/>
              <w:t> </w:t>
            </w:r>
          </w:p>
        </w:tc>
      </w:tr>
      <w:tr>
        <w:trPr/>
        <w:tc>
          <w:tcPr>
            <w:tcW w:w="7719" w:type="dxa"/>
            <w:tcBorders/>
            <w:shd w:fill="CCEEFF" w:val="clear"/>
            <w:vAlign w:val="center"/>
          </w:tcPr>
          <w:p>
            <w:pPr>
              <w:pStyle w:val="TableContents"/>
              <w:bidi w:val="0"/>
              <w:spacing w:before="0" w:after="283"/>
              <w:jc w:val="left"/>
              <w:rPr/>
            </w:pPr>
            <w:r>
              <w:rPr/>
              <w:t>Warranty provision, beginning of period</w:t>
            </w:r>
          </w:p>
        </w:tc>
        <w:tc>
          <w:tcPr>
            <w:tcW w:w="60" w:type="dxa"/>
            <w:tcBorders/>
            <w:shd w:fill="CCEEFF" w:val="clear"/>
            <w:vAlign w:val="center"/>
          </w:tcPr>
          <w:p>
            <w:pPr>
              <w:pStyle w:val="TableContents"/>
              <w:bidi w:val="0"/>
              <w:spacing w:before="0" w:after="283"/>
              <w:jc w:val="left"/>
              <w:rPr/>
            </w:pPr>
            <w:r>
              <w:rPr/>
              <w:t> </w:t>
            </w:r>
          </w:p>
        </w:tc>
        <w:tc>
          <w:tcPr>
            <w:tcW w:w="213" w:type="dxa"/>
            <w:tcBorders/>
            <w:shd w:fill="CCEEFF" w:val="clear"/>
            <w:vAlign w:val="center"/>
          </w:tcPr>
          <w:p>
            <w:pPr>
              <w:pStyle w:val="TableContents"/>
              <w:bidi w:val="0"/>
              <w:spacing w:before="0" w:after="283"/>
              <w:jc w:val="left"/>
              <w:rPr/>
            </w:pPr>
            <w:r>
              <w:rPr/>
              <w:t>$</w:t>
            </w:r>
          </w:p>
        </w:tc>
        <w:tc>
          <w:tcPr>
            <w:tcW w:w="853" w:type="dxa"/>
            <w:tcBorders/>
            <w:shd w:fill="CCEEFF" w:val="clear"/>
            <w:vAlign w:val="center"/>
          </w:tcPr>
          <w:p>
            <w:pPr>
              <w:pStyle w:val="TableContents"/>
              <w:bidi w:val="0"/>
              <w:spacing w:before="0" w:after="283"/>
              <w:jc w:val="right"/>
              <w:rPr/>
            </w:pPr>
            <w:r>
              <w:rPr/>
              <w:t>4,653</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13" w:type="dxa"/>
            <w:tcBorders/>
            <w:shd w:fill="CCEEFF" w:val="clear"/>
            <w:vAlign w:val="center"/>
          </w:tcPr>
          <w:p>
            <w:pPr>
              <w:pStyle w:val="TableContents"/>
              <w:bidi w:val="0"/>
              <w:spacing w:before="0" w:after="283"/>
              <w:jc w:val="left"/>
              <w:rPr/>
            </w:pPr>
            <w:r>
              <w:rPr/>
              <w:t>$</w:t>
            </w:r>
          </w:p>
        </w:tc>
        <w:tc>
          <w:tcPr>
            <w:tcW w:w="853" w:type="dxa"/>
            <w:tcBorders/>
            <w:shd w:fill="CCEEFF" w:val="clear"/>
            <w:vAlign w:val="center"/>
          </w:tcPr>
          <w:p>
            <w:pPr>
              <w:pStyle w:val="TableContents"/>
              <w:bidi w:val="0"/>
              <w:spacing w:before="0" w:after="283"/>
              <w:jc w:val="right"/>
              <w:rPr/>
            </w:pPr>
            <w:r>
              <w:rPr/>
              <w:t>5,968</w:t>
            </w:r>
          </w:p>
        </w:tc>
        <w:tc>
          <w:tcPr>
            <w:tcW w:w="114" w:type="dxa"/>
            <w:tcBorders/>
            <w:shd w:fill="CCEEFF" w:val="clear"/>
            <w:vAlign w:val="center"/>
          </w:tcPr>
          <w:p>
            <w:pPr>
              <w:pStyle w:val="TableContents"/>
              <w:bidi w:val="0"/>
              <w:spacing w:before="0" w:after="283"/>
              <w:jc w:val="left"/>
              <w:rPr/>
            </w:pPr>
            <w:r>
              <w:rPr/>
              <w:t> </w:t>
            </w:r>
          </w:p>
        </w:tc>
      </w:tr>
      <w:tr>
        <w:trPr/>
        <w:tc>
          <w:tcPr>
            <w:tcW w:w="7719" w:type="dxa"/>
            <w:tcBorders/>
            <w:shd w:fill="FFFFFF" w:val="clear"/>
            <w:vAlign w:val="center"/>
          </w:tcPr>
          <w:p>
            <w:pPr>
              <w:pStyle w:val="TableContents"/>
              <w:bidi w:val="0"/>
              <w:spacing w:before="0" w:after="283"/>
              <w:jc w:val="left"/>
              <w:rPr/>
            </w:pPr>
            <w:r>
              <w:rPr/>
              <w:t>Accruals for new warranties issued</w:t>
            </w:r>
          </w:p>
        </w:tc>
        <w:tc>
          <w:tcPr>
            <w:tcW w:w="60" w:type="dxa"/>
            <w:tcBorders/>
            <w:shd w:fill="FFFFFF" w:val="clear"/>
            <w:vAlign w:val="center"/>
          </w:tcPr>
          <w:p>
            <w:pPr>
              <w:pStyle w:val="TableContents"/>
              <w:bidi w:val="0"/>
              <w:spacing w:before="0" w:after="283"/>
              <w:jc w:val="left"/>
              <w:rPr/>
            </w:pPr>
            <w:r>
              <w:rPr/>
              <w:t> </w:t>
            </w:r>
          </w:p>
        </w:tc>
        <w:tc>
          <w:tcPr>
            <w:tcW w:w="213" w:type="dxa"/>
            <w:tcBorders/>
            <w:shd w:fill="FFFFFF" w:val="clear"/>
            <w:vAlign w:val="center"/>
          </w:tcPr>
          <w:p>
            <w:pPr>
              <w:pStyle w:val="TableContents"/>
              <w:bidi w:val="0"/>
              <w:spacing w:before="0" w:after="283"/>
              <w:jc w:val="left"/>
              <w:rPr/>
            </w:pPr>
            <w:r>
              <w:rPr/>
              <w:t> </w:t>
            </w:r>
          </w:p>
        </w:tc>
        <w:tc>
          <w:tcPr>
            <w:tcW w:w="853" w:type="dxa"/>
            <w:tcBorders/>
            <w:shd w:fill="FFFFFF" w:val="clear"/>
            <w:vAlign w:val="center"/>
          </w:tcPr>
          <w:p>
            <w:pPr>
              <w:pStyle w:val="TableContents"/>
              <w:bidi w:val="0"/>
              <w:spacing w:before="0" w:after="283"/>
              <w:jc w:val="right"/>
              <w:rPr/>
            </w:pPr>
            <w:r>
              <w:rPr/>
              <w:t>236</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213" w:type="dxa"/>
            <w:tcBorders/>
            <w:shd w:fill="FFFFFF" w:val="clear"/>
            <w:vAlign w:val="center"/>
          </w:tcPr>
          <w:p>
            <w:pPr>
              <w:pStyle w:val="TableContents"/>
              <w:bidi w:val="0"/>
              <w:spacing w:before="0" w:after="283"/>
              <w:jc w:val="left"/>
              <w:rPr/>
            </w:pPr>
            <w:r>
              <w:rPr/>
              <w:t> </w:t>
            </w:r>
          </w:p>
        </w:tc>
        <w:tc>
          <w:tcPr>
            <w:tcW w:w="853" w:type="dxa"/>
            <w:tcBorders/>
            <w:shd w:fill="FFFFFF" w:val="clear"/>
            <w:vAlign w:val="center"/>
          </w:tcPr>
          <w:p>
            <w:pPr>
              <w:pStyle w:val="TableContents"/>
              <w:bidi w:val="0"/>
              <w:spacing w:before="0" w:after="283"/>
              <w:jc w:val="right"/>
              <w:rPr/>
            </w:pPr>
            <w:r>
              <w:rPr/>
              <w:t>526</w:t>
            </w:r>
          </w:p>
        </w:tc>
        <w:tc>
          <w:tcPr>
            <w:tcW w:w="114" w:type="dxa"/>
            <w:tcBorders/>
            <w:shd w:fill="FFFFFF" w:val="clear"/>
            <w:vAlign w:val="center"/>
          </w:tcPr>
          <w:p>
            <w:pPr>
              <w:pStyle w:val="TableContents"/>
              <w:bidi w:val="0"/>
              <w:spacing w:before="0" w:after="283"/>
              <w:jc w:val="left"/>
              <w:rPr/>
            </w:pPr>
            <w:r>
              <w:rPr/>
              <w:t> </w:t>
            </w:r>
          </w:p>
        </w:tc>
      </w:tr>
      <w:tr>
        <w:trPr/>
        <w:tc>
          <w:tcPr>
            <w:tcW w:w="7719" w:type="dxa"/>
            <w:tcBorders/>
            <w:shd w:fill="CCEEFF" w:val="clear"/>
            <w:vAlign w:val="center"/>
          </w:tcPr>
          <w:p>
            <w:pPr>
              <w:pStyle w:val="TableContents"/>
              <w:bidi w:val="0"/>
              <w:spacing w:before="0" w:after="283"/>
              <w:jc w:val="left"/>
              <w:rPr/>
            </w:pPr>
            <w:r>
              <w:rPr/>
              <w:t>Settlements and other</w:t>
            </w:r>
          </w:p>
        </w:tc>
        <w:tc>
          <w:tcPr>
            <w:tcW w:w="60" w:type="dxa"/>
            <w:tcBorders/>
            <w:shd w:fill="CCEEFF" w:val="clear"/>
            <w:vAlign w:val="center"/>
          </w:tcPr>
          <w:p>
            <w:pPr>
              <w:pStyle w:val="TableContents"/>
              <w:bidi w:val="0"/>
              <w:spacing w:before="0" w:after="283"/>
              <w:jc w:val="left"/>
              <w:rPr/>
            </w:pPr>
            <w:r>
              <w:rPr/>
              <w:t> </w:t>
            </w:r>
          </w:p>
        </w:tc>
        <w:tc>
          <w:tcPr>
            <w:tcW w:w="213"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53"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13"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53" w:type="dxa"/>
            <w:tcBorders>
              <w:bottom w:val="single" w:sz="12" w:space="0" w:color="000000"/>
            </w:tcBorders>
            <w:shd w:fill="CCEEFF" w:val="clear"/>
            <w:tcMar>
              <w:bottom w:w="28" w:type="dxa"/>
            </w:tcMar>
            <w:vAlign w:val="center"/>
          </w:tcPr>
          <w:p>
            <w:pPr>
              <w:pStyle w:val="TableContents"/>
              <w:bidi w:val="0"/>
              <w:spacing w:before="0" w:after="283"/>
              <w:jc w:val="right"/>
              <w:rPr/>
            </w:pPr>
            <w:r>
              <w:rPr/>
              <w:t>(38</w:t>
            </w:r>
          </w:p>
        </w:tc>
        <w:tc>
          <w:tcPr>
            <w:tcW w:w="114" w:type="dxa"/>
            <w:tcBorders/>
            <w:shd w:fill="CCEEFF" w:val="clear"/>
            <w:vAlign w:val="center"/>
          </w:tcPr>
          <w:p>
            <w:pPr>
              <w:pStyle w:val="TableContents"/>
              <w:bidi w:val="0"/>
              <w:spacing w:before="0" w:after="283"/>
              <w:jc w:val="left"/>
              <w:rPr/>
            </w:pPr>
            <w:r>
              <w:rPr/>
              <w:t>)</w:t>
            </w:r>
          </w:p>
        </w:tc>
      </w:tr>
      <w:tr>
        <w:trPr/>
        <w:tc>
          <w:tcPr>
            <w:tcW w:w="7719" w:type="dxa"/>
            <w:tcBorders/>
            <w:shd w:fill="FFFFFF" w:val="clear"/>
            <w:vAlign w:val="center"/>
          </w:tcPr>
          <w:p>
            <w:pPr>
              <w:pStyle w:val="TableContents"/>
              <w:bidi w:val="0"/>
              <w:spacing w:before="0" w:after="283"/>
              <w:jc w:val="left"/>
              <w:rPr/>
            </w:pPr>
            <w:r>
              <w:rPr/>
              <w:t>Warranty provision, end of period</w:t>
            </w:r>
          </w:p>
        </w:tc>
        <w:tc>
          <w:tcPr>
            <w:tcW w:w="60" w:type="dxa"/>
            <w:tcBorders/>
            <w:shd w:fill="FFFFFF" w:val="clear"/>
            <w:vAlign w:val="center"/>
          </w:tcPr>
          <w:p>
            <w:pPr>
              <w:pStyle w:val="TableContents"/>
              <w:bidi w:val="0"/>
              <w:spacing w:before="0" w:after="283"/>
              <w:jc w:val="left"/>
              <w:rPr/>
            </w:pPr>
            <w:r>
              <w:rPr/>
              <w:t> </w:t>
            </w:r>
          </w:p>
        </w:tc>
        <w:tc>
          <w:tcPr>
            <w:tcW w:w="213" w:type="dxa"/>
            <w:tcBorders>
              <w:bottom w:val="double" w:sz="10" w:space="0" w:color="000000"/>
            </w:tcBorders>
            <w:shd w:fill="FFFFFF" w:val="clear"/>
            <w:tcMar>
              <w:bottom w:w="28" w:type="dxa"/>
            </w:tcMar>
            <w:vAlign w:val="center"/>
          </w:tcPr>
          <w:p>
            <w:pPr>
              <w:pStyle w:val="TableContents"/>
              <w:bidi w:val="0"/>
              <w:spacing w:before="0" w:after="283"/>
              <w:jc w:val="left"/>
              <w:rPr/>
            </w:pPr>
            <w:r>
              <w:rPr/>
              <w:t>$</w:t>
            </w:r>
          </w:p>
        </w:tc>
        <w:tc>
          <w:tcPr>
            <w:tcW w:w="853" w:type="dxa"/>
            <w:tcBorders>
              <w:bottom w:val="double" w:sz="10" w:space="0" w:color="000000"/>
            </w:tcBorders>
            <w:shd w:fill="FFFFFF" w:val="clear"/>
            <w:tcMar>
              <w:bottom w:w="28" w:type="dxa"/>
            </w:tcMar>
            <w:vAlign w:val="center"/>
          </w:tcPr>
          <w:p>
            <w:pPr>
              <w:pStyle w:val="TableContents"/>
              <w:bidi w:val="0"/>
              <w:spacing w:before="0" w:after="283"/>
              <w:jc w:val="right"/>
              <w:rPr/>
            </w:pPr>
            <w:r>
              <w:rPr/>
              <w:t>4,889</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213" w:type="dxa"/>
            <w:tcBorders>
              <w:bottom w:val="double" w:sz="10" w:space="0" w:color="000000"/>
            </w:tcBorders>
            <w:shd w:fill="FFFFFF" w:val="clear"/>
            <w:tcMar>
              <w:bottom w:w="28" w:type="dxa"/>
            </w:tcMar>
            <w:vAlign w:val="center"/>
          </w:tcPr>
          <w:p>
            <w:pPr>
              <w:pStyle w:val="TableContents"/>
              <w:bidi w:val="0"/>
              <w:spacing w:before="0" w:after="283"/>
              <w:jc w:val="left"/>
              <w:rPr/>
            </w:pPr>
            <w:r>
              <w:rPr/>
              <w:t>$</w:t>
            </w:r>
          </w:p>
        </w:tc>
        <w:tc>
          <w:tcPr>
            <w:tcW w:w="853" w:type="dxa"/>
            <w:tcBorders>
              <w:bottom w:val="double" w:sz="10" w:space="0" w:color="000000"/>
            </w:tcBorders>
            <w:shd w:fill="FFFFFF" w:val="clear"/>
            <w:tcMar>
              <w:bottom w:w="28" w:type="dxa"/>
            </w:tcMar>
            <w:vAlign w:val="center"/>
          </w:tcPr>
          <w:p>
            <w:pPr>
              <w:pStyle w:val="TableContents"/>
              <w:bidi w:val="0"/>
              <w:spacing w:before="0" w:after="283"/>
              <w:jc w:val="right"/>
              <w:rPr/>
            </w:pPr>
            <w:r>
              <w:rPr/>
              <w:t>6,456</w:t>
            </w:r>
          </w:p>
        </w:tc>
        <w:tc>
          <w:tcPr>
            <w:tcW w:w="114" w:type="dxa"/>
            <w:tcBorders/>
            <w:shd w:fill="FFFFFF" w:val="clear"/>
            <w:vAlign w:val="center"/>
          </w:tcPr>
          <w:p>
            <w:pPr>
              <w:pStyle w:val="TableContents"/>
              <w:bidi w:val="0"/>
              <w:spacing w:before="0" w:after="283"/>
              <w:jc w:val="left"/>
              <w:rPr/>
            </w:pPr>
            <w:r>
              <w:rPr/>
              <w:t> </w:t>
            </w:r>
          </w:p>
        </w:tc>
      </w:tr>
      <w:tr>
        <w:trPr/>
        <w:tc>
          <w:tcPr>
            <w:tcW w:w="7719" w:type="dxa"/>
            <w:tcBorders/>
            <w:shd w:fill="CCEEFF" w:val="clear"/>
            <w:vAlign w:val="center"/>
          </w:tcPr>
          <w:p>
            <w:pPr>
              <w:pStyle w:val="TableContents"/>
              <w:bidi w:val="0"/>
              <w:spacing w:before="0" w:after="283"/>
              <w:jc w:val="left"/>
              <w:rPr/>
            </w:pPr>
            <w:r>
              <w:rPr/>
              <w:t>Balance sheet classification</w:t>
            </w:r>
          </w:p>
        </w:tc>
        <w:tc>
          <w:tcPr>
            <w:tcW w:w="60" w:type="dxa"/>
            <w:tcBorders/>
            <w:shd w:fill="CCEEFF" w:val="clear"/>
            <w:vAlign w:val="center"/>
          </w:tcPr>
          <w:p>
            <w:pPr>
              <w:pStyle w:val="TableContents"/>
              <w:bidi w:val="0"/>
              <w:spacing w:before="0" w:after="283"/>
              <w:jc w:val="left"/>
              <w:rPr/>
            </w:pPr>
            <w:r>
              <w:rPr/>
              <w:t> </w:t>
            </w:r>
          </w:p>
        </w:tc>
        <w:tc>
          <w:tcPr>
            <w:tcW w:w="213" w:type="dxa"/>
            <w:tcBorders/>
            <w:shd w:fill="CCEEFF" w:val="clear"/>
            <w:vAlign w:val="center"/>
          </w:tcPr>
          <w:p>
            <w:pPr>
              <w:pStyle w:val="TableContents"/>
              <w:bidi w:val="0"/>
              <w:spacing w:before="0" w:after="283"/>
              <w:jc w:val="left"/>
              <w:rPr/>
            </w:pPr>
            <w:r>
              <w:rPr/>
              <w:t> </w:t>
            </w:r>
          </w:p>
        </w:tc>
        <w:tc>
          <w:tcPr>
            <w:tcW w:w="853" w:type="dxa"/>
            <w:tcBorders/>
            <w:shd w:fill="CCEEFF" w:val="clear"/>
            <w:vAlign w:val="center"/>
          </w:tcPr>
          <w:p>
            <w:pPr>
              <w:pStyle w:val="TableContents"/>
              <w:bidi w:val="0"/>
              <w:spacing w:before="0" w:after="283"/>
              <w:jc w:val="righ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13" w:type="dxa"/>
            <w:tcBorders/>
            <w:shd w:fill="CCEEFF" w:val="clear"/>
            <w:vAlign w:val="center"/>
          </w:tcPr>
          <w:p>
            <w:pPr>
              <w:pStyle w:val="TableContents"/>
              <w:bidi w:val="0"/>
              <w:spacing w:before="0" w:after="283"/>
              <w:jc w:val="left"/>
              <w:rPr/>
            </w:pPr>
            <w:r>
              <w:rPr/>
              <w:t> </w:t>
            </w:r>
          </w:p>
        </w:tc>
        <w:tc>
          <w:tcPr>
            <w:tcW w:w="853" w:type="dxa"/>
            <w:tcBorders/>
            <w:shd w:fill="CCEEFF" w:val="clear"/>
            <w:vAlign w:val="center"/>
          </w:tcPr>
          <w:p>
            <w:pPr>
              <w:pStyle w:val="TableContents"/>
              <w:bidi w:val="0"/>
              <w:spacing w:before="0" w:after="283"/>
              <w:jc w:val="right"/>
              <w:rPr/>
            </w:pPr>
            <w:r>
              <w:rPr/>
              <w:t> </w:t>
            </w:r>
          </w:p>
        </w:tc>
        <w:tc>
          <w:tcPr>
            <w:tcW w:w="114" w:type="dxa"/>
            <w:tcBorders/>
            <w:shd w:fill="CCEEFF" w:val="clear"/>
            <w:vAlign w:val="center"/>
          </w:tcPr>
          <w:p>
            <w:pPr>
              <w:pStyle w:val="TableContents"/>
              <w:bidi w:val="0"/>
              <w:spacing w:before="0" w:after="283"/>
              <w:jc w:val="left"/>
              <w:rPr/>
            </w:pPr>
            <w:r>
              <w:rPr/>
              <w:t> </w:t>
            </w:r>
          </w:p>
        </w:tc>
      </w:tr>
      <w:tr>
        <w:trPr/>
        <w:tc>
          <w:tcPr>
            <w:tcW w:w="7719" w:type="dxa"/>
            <w:tcBorders/>
            <w:shd w:fill="FFFFFF" w:val="clear"/>
            <w:vAlign w:val="center"/>
          </w:tcPr>
          <w:p>
            <w:pPr>
              <w:pStyle w:val="TableContents"/>
              <w:bidi w:val="0"/>
              <w:spacing w:before="0" w:after="283"/>
              <w:jc w:val="left"/>
              <w:rPr/>
            </w:pPr>
            <w:r>
              <w:rPr/>
              <w:t>Accrued warranty current (Classified in Accrued expenses and other current liabilities)</w:t>
            </w:r>
          </w:p>
        </w:tc>
        <w:tc>
          <w:tcPr>
            <w:tcW w:w="60" w:type="dxa"/>
            <w:tcBorders/>
            <w:shd w:fill="FFFFFF" w:val="clear"/>
            <w:vAlign w:val="center"/>
          </w:tcPr>
          <w:p>
            <w:pPr>
              <w:pStyle w:val="TableContents"/>
              <w:bidi w:val="0"/>
              <w:spacing w:before="0" w:after="283"/>
              <w:jc w:val="left"/>
              <w:rPr/>
            </w:pPr>
            <w:r>
              <w:rPr/>
              <w:t> </w:t>
            </w:r>
          </w:p>
        </w:tc>
        <w:tc>
          <w:tcPr>
            <w:tcW w:w="213" w:type="dxa"/>
            <w:tcBorders/>
            <w:shd w:fill="FFFFFF" w:val="clear"/>
            <w:vAlign w:val="center"/>
          </w:tcPr>
          <w:p>
            <w:pPr>
              <w:pStyle w:val="TableContents"/>
              <w:bidi w:val="0"/>
              <w:spacing w:before="0" w:after="283"/>
              <w:jc w:val="left"/>
              <w:rPr/>
            </w:pPr>
            <w:r>
              <w:rPr/>
              <w:t>$</w:t>
            </w:r>
          </w:p>
        </w:tc>
        <w:tc>
          <w:tcPr>
            <w:tcW w:w="853" w:type="dxa"/>
            <w:tcBorders/>
            <w:shd w:fill="FFFFFF" w:val="clear"/>
            <w:vAlign w:val="center"/>
          </w:tcPr>
          <w:p>
            <w:pPr>
              <w:pStyle w:val="TableContents"/>
              <w:bidi w:val="0"/>
              <w:spacing w:before="0" w:after="283"/>
              <w:jc w:val="right"/>
              <w:rPr/>
            </w:pPr>
            <w:r>
              <w:rPr/>
              <w:t>1,830</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213" w:type="dxa"/>
            <w:tcBorders/>
            <w:shd w:fill="FFFFFF" w:val="clear"/>
            <w:vAlign w:val="center"/>
          </w:tcPr>
          <w:p>
            <w:pPr>
              <w:pStyle w:val="TableContents"/>
              <w:bidi w:val="0"/>
              <w:spacing w:before="0" w:after="283"/>
              <w:jc w:val="left"/>
              <w:rPr/>
            </w:pPr>
            <w:r>
              <w:rPr/>
              <w:t>$</w:t>
            </w:r>
          </w:p>
        </w:tc>
        <w:tc>
          <w:tcPr>
            <w:tcW w:w="853" w:type="dxa"/>
            <w:tcBorders/>
            <w:shd w:fill="FFFFFF" w:val="clear"/>
            <w:vAlign w:val="center"/>
          </w:tcPr>
          <w:p>
            <w:pPr>
              <w:pStyle w:val="TableContents"/>
              <w:bidi w:val="0"/>
              <w:spacing w:before="0" w:after="283"/>
              <w:jc w:val="right"/>
              <w:rPr/>
            </w:pPr>
            <w:r>
              <w:rPr/>
              <w:t>3,019</w:t>
            </w:r>
          </w:p>
        </w:tc>
        <w:tc>
          <w:tcPr>
            <w:tcW w:w="114" w:type="dxa"/>
            <w:tcBorders/>
            <w:shd w:fill="FFFFFF" w:val="clear"/>
            <w:vAlign w:val="center"/>
          </w:tcPr>
          <w:p>
            <w:pPr>
              <w:pStyle w:val="TableContents"/>
              <w:bidi w:val="0"/>
              <w:spacing w:before="0" w:after="283"/>
              <w:jc w:val="left"/>
              <w:rPr/>
            </w:pPr>
            <w:r>
              <w:rPr/>
              <w:t> </w:t>
            </w:r>
          </w:p>
        </w:tc>
      </w:tr>
      <w:tr>
        <w:trPr/>
        <w:tc>
          <w:tcPr>
            <w:tcW w:w="7719" w:type="dxa"/>
            <w:tcBorders/>
            <w:shd w:fill="CCEEFF" w:val="clear"/>
            <w:vAlign w:val="center"/>
          </w:tcPr>
          <w:p>
            <w:pPr>
              <w:pStyle w:val="TableContents"/>
              <w:bidi w:val="0"/>
              <w:spacing w:before="0" w:after="283"/>
              <w:jc w:val="left"/>
              <w:rPr/>
            </w:pPr>
            <w:r>
              <w:rPr/>
              <w:t>Warranty provision, noncurrent</w:t>
            </w:r>
          </w:p>
        </w:tc>
        <w:tc>
          <w:tcPr>
            <w:tcW w:w="60" w:type="dxa"/>
            <w:tcBorders/>
            <w:shd w:fill="CCEEFF" w:val="clear"/>
            <w:vAlign w:val="center"/>
          </w:tcPr>
          <w:p>
            <w:pPr>
              <w:pStyle w:val="TableContents"/>
              <w:bidi w:val="0"/>
              <w:spacing w:before="0" w:after="283"/>
              <w:jc w:val="left"/>
              <w:rPr/>
            </w:pPr>
            <w:r>
              <w:rPr/>
              <w:t> </w:t>
            </w:r>
          </w:p>
        </w:tc>
        <w:tc>
          <w:tcPr>
            <w:tcW w:w="213"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53" w:type="dxa"/>
            <w:tcBorders>
              <w:bottom w:val="single" w:sz="12" w:space="0" w:color="000000"/>
            </w:tcBorders>
            <w:shd w:fill="CCEEFF" w:val="clear"/>
            <w:tcMar>
              <w:bottom w:w="28" w:type="dxa"/>
            </w:tcMar>
            <w:vAlign w:val="center"/>
          </w:tcPr>
          <w:p>
            <w:pPr>
              <w:pStyle w:val="TableContents"/>
              <w:bidi w:val="0"/>
              <w:spacing w:before="0" w:after="283"/>
              <w:jc w:val="right"/>
              <w:rPr/>
            </w:pPr>
            <w:r>
              <w:rPr/>
              <w:t>3,059</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13"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53" w:type="dxa"/>
            <w:tcBorders>
              <w:bottom w:val="single" w:sz="12" w:space="0" w:color="000000"/>
            </w:tcBorders>
            <w:shd w:fill="CCEEFF" w:val="clear"/>
            <w:tcMar>
              <w:bottom w:w="28" w:type="dxa"/>
            </w:tcMar>
            <w:vAlign w:val="center"/>
          </w:tcPr>
          <w:p>
            <w:pPr>
              <w:pStyle w:val="TableContents"/>
              <w:bidi w:val="0"/>
              <w:spacing w:before="0" w:after="283"/>
              <w:jc w:val="right"/>
              <w:rPr/>
            </w:pPr>
            <w:r>
              <w:rPr/>
              <w:t>3,437</w:t>
            </w:r>
          </w:p>
        </w:tc>
        <w:tc>
          <w:tcPr>
            <w:tcW w:w="114" w:type="dxa"/>
            <w:tcBorders/>
            <w:shd w:fill="CCEEFF" w:val="clear"/>
            <w:vAlign w:val="center"/>
          </w:tcPr>
          <w:p>
            <w:pPr>
              <w:pStyle w:val="TableContents"/>
              <w:bidi w:val="0"/>
              <w:spacing w:before="0" w:after="283"/>
              <w:jc w:val="left"/>
              <w:rPr/>
            </w:pPr>
            <w:r>
              <w:rPr/>
              <w:t> </w:t>
            </w:r>
          </w:p>
        </w:tc>
      </w:tr>
      <w:tr>
        <w:trPr/>
        <w:tc>
          <w:tcPr>
            <w:tcW w:w="7719" w:type="dxa"/>
            <w:tcBorders/>
            <w:shd w:fill="FFFFFF" w:val="clear"/>
            <w:vAlign w:val="center"/>
          </w:tcPr>
          <w:p>
            <w:pPr>
              <w:pStyle w:val="TableContents"/>
              <w:bidi w:val="0"/>
              <w:spacing w:before="0" w:after="283"/>
              <w:jc w:val="left"/>
              <w:rPr/>
            </w:pPr>
            <w:r>
              <w:rPr/>
              <w:t>Total warranty liability</w:t>
            </w:r>
          </w:p>
        </w:tc>
        <w:tc>
          <w:tcPr>
            <w:tcW w:w="60" w:type="dxa"/>
            <w:tcBorders/>
            <w:shd w:fill="FFFFFF" w:val="clear"/>
            <w:vAlign w:val="center"/>
          </w:tcPr>
          <w:p>
            <w:pPr>
              <w:pStyle w:val="TableContents"/>
              <w:bidi w:val="0"/>
              <w:spacing w:before="0" w:after="283"/>
              <w:jc w:val="left"/>
              <w:rPr/>
            </w:pPr>
            <w:r>
              <w:rPr/>
              <w:t> </w:t>
            </w:r>
          </w:p>
        </w:tc>
        <w:tc>
          <w:tcPr>
            <w:tcW w:w="213" w:type="dxa"/>
            <w:tcBorders>
              <w:bottom w:val="double" w:sz="10" w:space="0" w:color="000000"/>
            </w:tcBorders>
            <w:shd w:fill="FFFFFF" w:val="clear"/>
            <w:tcMar>
              <w:bottom w:w="28" w:type="dxa"/>
            </w:tcMar>
            <w:vAlign w:val="center"/>
          </w:tcPr>
          <w:p>
            <w:pPr>
              <w:pStyle w:val="TableContents"/>
              <w:bidi w:val="0"/>
              <w:spacing w:before="0" w:after="283"/>
              <w:jc w:val="left"/>
              <w:rPr/>
            </w:pPr>
            <w:r>
              <w:rPr/>
              <w:t>$</w:t>
            </w:r>
          </w:p>
        </w:tc>
        <w:tc>
          <w:tcPr>
            <w:tcW w:w="853" w:type="dxa"/>
            <w:tcBorders>
              <w:bottom w:val="double" w:sz="10" w:space="0" w:color="000000"/>
            </w:tcBorders>
            <w:shd w:fill="FFFFFF" w:val="clear"/>
            <w:tcMar>
              <w:bottom w:w="28" w:type="dxa"/>
            </w:tcMar>
            <w:vAlign w:val="center"/>
          </w:tcPr>
          <w:p>
            <w:pPr>
              <w:pStyle w:val="TableContents"/>
              <w:bidi w:val="0"/>
              <w:spacing w:before="0" w:after="283"/>
              <w:jc w:val="right"/>
              <w:rPr/>
            </w:pPr>
            <w:r>
              <w:rPr/>
              <w:t>4,889</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213" w:type="dxa"/>
            <w:tcBorders>
              <w:bottom w:val="double" w:sz="10" w:space="0" w:color="000000"/>
            </w:tcBorders>
            <w:shd w:fill="FFFFFF" w:val="clear"/>
            <w:tcMar>
              <w:bottom w:w="28" w:type="dxa"/>
            </w:tcMar>
            <w:vAlign w:val="center"/>
          </w:tcPr>
          <w:p>
            <w:pPr>
              <w:pStyle w:val="TableContents"/>
              <w:bidi w:val="0"/>
              <w:spacing w:before="0" w:after="283"/>
              <w:jc w:val="left"/>
              <w:rPr/>
            </w:pPr>
            <w:r>
              <w:rPr/>
              <w:t>$</w:t>
            </w:r>
          </w:p>
        </w:tc>
        <w:tc>
          <w:tcPr>
            <w:tcW w:w="853" w:type="dxa"/>
            <w:tcBorders>
              <w:bottom w:val="double" w:sz="10" w:space="0" w:color="000000"/>
            </w:tcBorders>
            <w:shd w:fill="FFFFFF" w:val="clear"/>
            <w:tcMar>
              <w:bottom w:w="28" w:type="dxa"/>
            </w:tcMar>
            <w:vAlign w:val="center"/>
          </w:tcPr>
          <w:p>
            <w:pPr>
              <w:pStyle w:val="TableContents"/>
              <w:bidi w:val="0"/>
              <w:spacing w:before="0" w:after="283"/>
              <w:jc w:val="right"/>
              <w:rPr/>
            </w:pPr>
            <w:r>
              <w:rPr/>
              <w:t>6,456</w:t>
            </w:r>
          </w:p>
        </w:tc>
        <w:tc>
          <w:tcPr>
            <w:tcW w:w="114"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Indemnification Agreements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From time to time, in its normal course of business, the Company may indemnify other parties with which it enters into contractual relationships, including customers, lessors, and parties to other transactions with the Company. The Company may agree to hold other parties harmless against specific losses, such as those that could arise from breach of representation, covenant or third-party infringement claims. It may not be possible to determine the maximum potential amount of liability under such indemnification agreements due to the unique facts and circumstances that are likely to be involved in each particular claim and indemnification provision. Historically, there have been no such indemnification claims. In the opinion of management, any liabilities resulting from these agreements would not have a material adverse effect on the business, financial position, results of operations, or cash flows of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Settlement of dispute with SunPower Debtors Bankruptcy Estate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Following the consummation of the acquisition of certain assets and assumption of certain liabilities of SunPower Debtors on September 30, 2024, certain matters pertaining to the acquisition were under dispute which included 1) amounts owed to and from the buyer and seller with respect to amounts held in escrow related to the consideration transferred, 2) the right to the cash acquired in the acquisition, and 3) the right for the Company to sell and collect for certain solar systems that were acquired as a part of the acquisition that were sold or are to be sold to homebuilders within the New Homes Business. On June 25, 2025, all matters under dispute were resolved by the Company and the SunPower Bankruptcy Estate. Matters 1) and 2) were resolved with such that no amounts were required to be paid (or received) by the Company. Matter 3) was resolved such that the Company has the right to sell the related inventory acquired and collect the underlying sales price for the sale of the solar system. In connection with each system sold, the Company is required to remit a portion of the sales price to the SunPower Bankruptcy Estate.  The impact of the related settlement is not anticipated to be material.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Legal Matters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is a party to various legal proceedings and claims which arise in the ordinary course of business. The Company records a liability when it is probable that a loss has been incurred and the amount of the loss can be reasonably estimated. If the Company determines that a loss is reasonably possible and the loss or range of loss can be reasonably estimated, the Company discloses the reasonably possible loss. The Company adjusts its accruals to reflect the impact of negotiations, settlements, rulings, advice of legal counsel and other information and events pertaining to a particular case. Legal costs are expensed as incurred. Although claims are inherently unpredictable, the Company is not aware of any matters that may have a material adverse effect on the Company’s business, financial position, results of operations, or cash flows. The Company has a loss contingency for legal settlements of $9.5 million recorded within accrued expenses and other current liabilities on its consolidated balance sheets as of March 29, 2026, and December 28, 2025, respectively.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12" w:space="1" w:color="000000"/>
        </w:rPr>
      </w:pPr>
      <w:r>
        <w:rPr>
          <w:sz w:val="20"/>
          <w:bdr w:val="single" w:sz="12" w:space="1" w:color="000000"/>
        </w:rPr>
        <w:t>F-38</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SolarPark Litigation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January 2023, SolarPark Korea Co., LTD (“SolarPark”) demanded approximately $80.0 million during discussions between the Company and SolarPark. In February 2023, the Company submitted its statement of claim seeking approximately $26.4 million in damages against SolarPark. The ultimate outcome of this arbitration is currently unknown and could result in a material liability to the Company. However, the Company believes that the allegations lack merit and intends to vigorously defend all claims asserted.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March 16, 2023, SolarPark filed a complaint against the Company in the U.S. District Court for the Northern District of California (“the Court”). The complaint alleges a civil conspiracy involving misappropriation of trade secrets, defamation, tortious interference with contractual relations, inducement to breach of contract, and violation of California’s Unfair Competition Law. The complaint indicates that SolarPark has suffered in excess of $220.0 million in damages.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May 11, 2023, SolarPark filed a motion for preliminary injunction to seek an order restraining the Company from using or disclosing SolarPark’s trade secrets, making or selling shingled modules other than those produced by SolarPark, and from soliciting solar module manufacturers to produce shingled modules using Solaria’s shingled patents. On May 18, 2023, the Company responded by filing a motion for partial dismissal and stay. On June 1, 2023, SolarPark filed an opposition to the Company’s motion for dismissal and stay and a reply in support of their motion for preliminary injunction. On June 8, 2023, the Company replied in support of its motion for partial dismissal and stay. On July 11, 2023, the Court conducted a hearing to consider SolarPark’s and the Company’s respective motions. On August 3, 2023, the Court issued a ruling, which granted the preliminary injunction motion with respect to any purported misappropriation of SolarPark’s trade secrets. The Court’s ruling does not prohibit the Company from producing shingled modules or from utilizing its own patents for the manufacture of shingled modules. The Court denied SolarPark’s motion seeking a defamation injunction. The Court denied the Company’s motion to dismiss and granted the Company’s motion to stay the entire litigation pending the arbitration in Singapore. On September 1, 2023, the Company filed a Limited Notice of Appeal to appeal the August 2023 order granting SolarPark’s motion for preliminary injunction. On September 26, 2023, the Company filed a Notice of Withdrawal of Appeal and will not appeal the Court’s Preliminary Injunction Order. Between August 2023 and March 2024, the parties were engaged in discovery negotiations and the Company produced documents to SolarPark. The Company produced its last set of documents on March 14, 2024. On August 14, 2025, the Court held a virtual hearing and revived the case. SolarPark subsequently amended the complaint, and the Company responded on October 14, 2025, with a motion to dismiss the complaint in its entirety. The Company also believes it has valid counterclaims to pursue against SolarPark.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Court heard argument regarding the Company’s partial motion to dismiss on February 12, 2026. On April 8, 2026, the Court granted-in-part and denied-in-part the Company’s partial motion to dismiss. The Court denied the Company’s motion as to the breach of contract claim and granted the motion as to fraudulent inducement, tortious interference, and injunctive relief. The Court dismissed the tortious interference and injunctive relief claims with prejudice but granted SolarPark’s leave to amend its fraudulent inducement claim. On April 28, 2026, SolarPark filed a notice stating that it did not intend to amend its complaint to refile a fraudulent inducement claim. SolarPark now intends to proceed only on the surviving claims (misappropriation of trade secrets and breach of contract). On April 29, 2026, the Court set a case management conference for June 4, 2026, and a deadline for filing a joint case management statement by May 28, 2026. The Company intends to answer the complaint and file counterclaims.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liability has been recorded on the Company’s consolidated financial statements as the likelihood of a loss is not probable at this time.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Siemens Litigation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July 22, 2021, Siemens Government Technologies, Inc. (“Siemens Government Technologies”) filed a lawsuit against Solaria Corporation in Fairfax Circuit Court (the “Circuit Court”) in Fairfax, Virginia. On July 27, 2023, Siemens Government Technologies moved to amend the complaint to add Siemens Industry Inc. as a co-plaintiff. This motion was granted on August 25, 2023. On October 23, 2023, Siemens Government Technologies and Siemens Industry Inc. (collectively, “Siemens”) and Solaria Corporation stipulated to add Solar CA, LLC as a co-defendant. Solaria Corporation and Solar CA, LLC (collectively, the “Subsidiaries”) are both wholly-owned subsidiaries of the Company. In the lawsuit, Siemens alleged that the Subsidiaries breached express and implied warranties under a purchase order that Siemens placed with the Subsidiaries for a solar module system. Siemens claimed damages of approximately $6.9 million, inclusive of amounts of the Subsidiaries’ indemnity obligations to Siemens, plus attorneys’ fees.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sz w:val="20"/>
          <w:bdr w:val="single" w:sz="12" w:space="1" w:color="000000"/>
        </w:rPr>
      </w:pPr>
      <w:r>
        <w:rPr>
          <w:sz w:val="20"/>
          <w:bdr w:val="single" w:sz="12" w:space="1" w:color="000000"/>
        </w:rPr>
        <w:t>F-39</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February 22, 2024, the Circuit Court issued an order against the Subsidiaries which awarded Siemens approximately $6.9 million, inclusive of the amounts of the Subsidiaries’ indemnity obligations to Siemens, plus attorneys’ fees, the amount of which would be determined at a later hearing. On March 15, 2024, Siemens filed a motion seeking to recover $2.67 million for attorneys’ fees, expenses, and pre-and post-judgment interest. The Company opposed Siemens’ motion for attorneys’ fees, expenses, and pre- and post-judgment interest on April 5, 2024. On June 17, 2024, the Circuit Court entered a final order which awarded Siemens a total of $2.0 million in attorneys’ fees and costs. The Company appealed these judgments.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to the above, on August 19, 2024, Siemens applied for the enforcement to a sister state judgment in the Superior Court of Alameda, California and the court entered a judgement in favor of Siemens. On December 9, 2024, Siemens moved to amend the judgment to add the Company as a judgement debtor. The Subsidiaries opposed the Siemens motion. On June 30, 2025, the California court found that the Company should be added as a judgment debtor party in California. In addition, the parties argued the appeal of the underlying Virginia litigation on July 24, 2025. On September 23, 2025, the Virginia Court of Appeals issued a decision on the appeal, affirming the original lower court decision and judgment against the Company. The Alameda County litigation has continued with several upcoming deadlines related to the already-noticed appeal and Siemens’ motion for fees and costs.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recognized $6.9 million as a legal settlement loss related to this litigation as of December 31, 2023. The Company recorded additional expense of $1.1 million and $2.0 million within discontinued operations in the years ended December 28, 2025 and December 29, 2024, respectively, for attorneys’ fees, expenses, and pre-judgment interest related to this matter. The legal settlement liability associated with this matter is included within accrued expenses and other current liabilities on the Company’s consolidated balance sheet as of December 28, 2025.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December 4, 2025, the Company entered into a global Settlement Agreement (“Settlement Agreement”) with Siemens to resolve the case and other related cases as well as to resolve potential claims related to Siemens’ Atwater Wastewater Treatment Plant. In exchange for full releases, the Company agreed to pay Siemens $9.5 million spread across four payments to be made at the end of each calendar quarter during 2026. If the Company successfully engages in any form of new financing or new debt worth $1.0 million or more, or successfully obtains shareholder approval for the issuance of additional shares in connection with the raise of additional funds and/or any merger or acquisition activity, the next due quarterly payment to Siemens (if any) becomes immediately due and payable (collectively, the “Fundraise Provision”). The settlement payment to Siemens is secured by a first-priority continuing security interest in $9.5 million of Company collateral. This security interest is reduced on a one-to-one basis as the settlement payments are made.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LGCY Power, LLC Matter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LGCY Power, LLC (“LGCY”) markets and sells residential solar energy systems throughout the United States, and is a competitor of the Company. In 2019, LGCY filed suit against Sunder and several individuals associated with Sunder. LGCY asserts claims of over $16.0 million against Sunder and its associated individuals. LGCY’s claims against Sunder and its associated individuals center on the alleged misappropriation of LGCY’s confidential information, the alleged wrongful solicitation of LGCY’s customers and potential customers, and the alleged wrongful solicitation of LGCY’s sales representatives. In addition, several of the Sunder associated individuals have filed counterclaims against LGCY for declaratory relief, unjust enrichment, and breach of contract based on LGCY’s failure to pay these individuals earned sales commissions following their resignations as LGCY sales managers. LGCY denies these claims. The Company denies LGCY’s claims.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has assumed the defense of the case, including the costs of defense, following the Company’s acquisition of Sunder in September 2025. Under the terms of the Sunder MIPA, the Seller agreed to indemnify the Company in the event of damages (such as a settlement or an adverse judgement) stemming from LGCY’s claims, separate and apart from their other indemnification obligations or limitations in the Sunder MIPA. Discovery is complete and no trial date has been set. Both sides have filed various summary judgment motions, and oral arguments for these motions are scheduled for July 2, 2026.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Based upon information currently available, management is unable to determine the probability of an adverse outcome or to reasonably estimate the amount or range of potential loss, if any. Accordingly, no provision for loss has been recorded in the accompanying consolidated financial statements. While the ultimate resolution of these matters could have a material effect on the Company’s results of operations, cash flows, or financial position, management believes that the resolution will not have a material adverse effect on the Company’s financial condition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Letters of Credit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Company had $1.1 million and $3.5 million of outstanding letters of credit as of March 29, 2026 and December 28, 2025, respectively. The Company is required to maintain specified amounts of cash as collateral in segregated accounts to support the letters of credit issued thereunder. As discussed in </w:t>
      </w:r>
      <w:r>
        <w:rPr>
          <w:rFonts w:ascii="Times New Roman;Times;Serif" w:hAnsi="Times New Roman;Times;Serif"/>
          <w:b/>
          <w:i w:val="false"/>
          <w:caps w:val="false"/>
          <w:smallCaps w:val="false"/>
          <w:sz w:val="20"/>
        </w:rPr>
        <w:t>Note 2 – Summary of Significant Accounting Policies</w:t>
      </w:r>
      <w:r>
        <w:rPr>
          <w:rFonts w:ascii="Times New Roman;Times;Serif" w:hAnsi="Times New Roman;Times;Serif"/>
          <w:b w:val="false"/>
          <w:i w:val="false"/>
          <w:caps w:val="false"/>
          <w:smallCaps w:val="false"/>
          <w:sz w:val="20"/>
        </w:rPr>
        <w:t>, the cash collateral in these restricted cash accounts was $1.1 million and $3.8 million at each of March 29, 2026 and December 28, 2025, respectively.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sz w:val="20"/>
          <w:bdr w:val="single" w:sz="12" w:space="1" w:color="000000"/>
        </w:rPr>
      </w:pPr>
      <w:r>
        <w:rPr>
          <w:sz w:val="20"/>
          <w:bdr w:val="single" w:sz="12" w:space="1" w:color="000000"/>
        </w:rPr>
        <w:t>F-40</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(12) Income Taxes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income tax expense for interim periods is computed using an estimated annual effective tax rate applied to year-to-date ordinary income or loss, adjusted for the tax effects of discrete items recognized in the period in which they occur.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recognized an income tax benefit of $0.6 million and nil in the thirteen week periods ended March 29, 2026, and March 30, 2025, respectively.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effective tax rate was 10.4% and nil for the thirteen week periods ended March 29, 2026, and March 30, 2025, respectively. The effective tax rate for the thirteen week period ended March 29, 2026 differs from the U.S. statutory rate of 21.0% primarily because of permanent differences due to fair value adjustments and the valuation allowance against most of the deferred tax assets. The effective tax rate for the thirteen week period ended March 30, 2025 differs from the U.S. statutory rate of 21.0% primarily because of permanent differences due to fair value adjustments, share-based compensation related to stock options, non-deductible meals and entertainment, and state taxes.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 result of the Company’s history of net operating losses, the Company has provided a full valuation allowance against its deferred tax assets. During the thirteen week period ended March 29, 2026, the Company recorded a $0.8 million decrease in its valuation allowance primarily related to recognition of deferred tax liabilities in connection with the Cobalt acquisition.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the thirteen week periods ended March 29, 2026 and March 30, 2025, the Company had no unrecognized tax benefits. The Company recognizes interest and penalties related to unrecognized tax benefits as a component of income tax expense.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(13) Common Stock and Common Stock Warrants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has authorized the issuance of 1,000,000,000 shares of common stock and 10,000,000 shares of preferred stock as of March 29, 2026. No preferred stock has been issued and none are outstanding as of March 29, 2026.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Common stock purchase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July 16, 2024, the Company entered into a common stock purchase agreement with White Lion Capital, LLC (“White Lion”), as amended on July 24, 2024 (“White Lion SPA”), and a related registration rights agreement for an equity line of credit financing facility. Pursuant to the White Lion SPA, the Company has the right, but not the obligation, to require White Lion to purchase, from time to time, up to $30 million in aggregate gross purchase price of newly issued shares of the Company’s common stock, subject to the caps and certain limitations and conditions set forth in the White Lion SPA, including terms that restrict the ability of the Company to issue shares of common stock to White Lion that would result in White Lion beneficially owning more than 9.99% of the Company’s outstanding common stock.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August 14, 2024, the Company entered into Amendment No. 2 to the White Lion SPA (collectively with the White Lion SPA “White Lion Amended SPA”). The White Lion Amended SPA provides that the Company may notify White Lion to exercise the Company’s right to sell shares of its common stock by delivering an Hour Rapid Purchase Notice. If the Company delivers an Hour Rapid Purchase Notice, the Company shall deliver to White Lion shares of common stock not to exceed the lesser of (i) five percent of the Average Daily Trading Volume on the date of an Hour Rapid Purchase Notice and (ii) 100,000 shares of common stock. The closing of the transactions under an Hour Rapid Purchase Notice will occur one Business Day following the date on which the Hour Rapid Purchase Notice is delivered. At such closing, White Lion will pay the Company the Hour Rapid Purchase Investment Amount equal to the number of shares of common stock subject to the applicable Hour Rapid Purchase Notice multiplied by the lowest traded price of the Company’s common stock during the one-hour period following White Lion’s consent to the acceptance of the applicable Hour Rapid Purchase Notice.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January 11, 2026, the Company and White Lion entered into Amendment No. 3 (“Amendment No. 3”) to the White Lion SPA. Amendment No. 3 extends the commitment period under the White Lion SPA (the “Commitment Period”) to the earlier of December 31, 2027 and the date on which White Lion has purchased an aggregate number of shares of the Company’s common stock equal to the Commitment Amount (as defined below). Further, Amendment No. 3 increases, subject to approval by the Company’s stockholders, the commitment amount under the Purchase Agreement to $55.0 million of shares of its common stock (the “Commitment Amount”), which the Company may elect to sell to White Lion pursuant to the White Lion SPA, from time to time in the Company’s sole discretion, during the Commitment Period.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sz w:val="20"/>
          <w:bdr w:val="single" w:sz="12" w:space="1" w:color="000000"/>
        </w:rPr>
      </w:pPr>
      <w:r>
        <w:rPr>
          <w:sz w:val="20"/>
          <w:bdr w:val="single" w:sz="12" w:space="1" w:color="000000"/>
        </w:rPr>
        <w:t>F-41</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Amendment No. 3 adds an option for the Company to submit three hour rapid purchase notices to White Lion that, if accepted by White Lion and otherwise delivered in accordance with the Purchase Agreement, would enable the Company to sell shares of its common stock to White Lion based on the lowest traded price of the Company’s common stock during the three-hour valuation period following White Lion’s written acceptance of a three hour purchase notice.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thirteen week period ended March 29, 2026, the Company issued an aggregate of 4.6 million shares of the Company’s common stock for total proceeds of $7.0 million. As of March 29, 2026, the Company has issued an aggregate of 11.5 million shares of the Company’s common stock for total proceeds of $20.4 million.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Shares reserved for future issuance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has reserved shares of common stock for issuance related to the following:</w:t>
      </w:r>
    </w:p>
    <w:p>
      <w:pPr>
        <w:pStyle w:val="TextBody"/>
        <w:bidi w:val="0"/>
        <w:spacing w:before="0" w:after="0"/>
        <w:ind w:left="0" w:right="0" w:hanging="0"/>
        <w:jc w:val="both"/>
        <w:rPr>
          <w:caps w:val="false"/>
          <w:smallCaps w:val="false"/>
        </w:rPr>
      </w:pPr>
      <w:r>
        <w:rPr>
          <w:caps w:val="false"/>
          <w:smallCaps w:val="false"/>
        </w:rPr>
        <w:t> </w:t>
      </w:r>
    </w:p>
    <w:tbl>
      <w:tblPr>
        <w:tblW w:w="8219" w:type="dxa"/>
        <w:jc w:val="left"/>
        <w:tblInd w:w="0" w:type="dxa"/>
        <w:tblLayout w:type="fixed"/>
        <w:tblCellMar>
          <w:top w:w="0" w:type="dxa"/>
          <w:left w:w="0" w:type="dxa"/>
          <w:bottom w:w="0" w:type="dxa"/>
          <w:right w:w="0" w:type="dxa"/>
        </w:tblCellMar>
      </w:tblPr>
      <w:tblGrid>
        <w:gridCol w:w="5270"/>
        <w:gridCol w:w="60"/>
        <w:gridCol w:w="60"/>
        <w:gridCol w:w="1220"/>
        <w:gridCol w:w="60"/>
        <w:gridCol w:w="60"/>
        <w:gridCol w:w="65"/>
        <w:gridCol w:w="1349"/>
        <w:gridCol w:w="75"/>
      </w:tblGrid>
      <w:tr>
        <w:trPr/>
        <w:tc>
          <w:tcPr>
            <w:tcW w:w="5270"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p>
        </w:tc>
        <w:tc>
          <w:tcPr>
            <w:tcW w:w="2814" w:type="dxa"/>
            <w:gridSpan w:val="6"/>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As of</w:t>
            </w:r>
          </w:p>
        </w:tc>
        <w:tc>
          <w:tcPr>
            <w:tcW w:w="75" w:type="dxa"/>
            <w:tcBorders/>
            <w:vAlign w:val="center"/>
          </w:tcPr>
          <w:p>
            <w:pPr>
              <w:pStyle w:val="TableContents"/>
              <w:bidi w:val="0"/>
              <w:spacing w:before="0" w:after="283"/>
              <w:jc w:val="left"/>
              <w:rPr/>
            </w:pPr>
            <w:r>
              <w:rPr/>
              <w:t> </w:t>
            </w:r>
          </w:p>
        </w:tc>
      </w:tr>
      <w:tr>
        <w:trPr/>
        <w:tc>
          <w:tcPr>
            <w:tcW w:w="5270"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p>
        </w:tc>
        <w:tc>
          <w:tcPr>
            <w:tcW w:w="1280" w:type="dxa"/>
            <w:gridSpan w:val="2"/>
            <w:tcBorders/>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March 29,</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14" w:type="dxa"/>
            <w:gridSpan w:val="2"/>
            <w:tcBorders/>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December 28,</w:t>
            </w:r>
          </w:p>
        </w:tc>
        <w:tc>
          <w:tcPr>
            <w:tcW w:w="75" w:type="dxa"/>
            <w:tcBorders/>
            <w:vAlign w:val="center"/>
          </w:tcPr>
          <w:p>
            <w:pPr>
              <w:pStyle w:val="TableContents"/>
              <w:bidi w:val="0"/>
              <w:spacing w:before="0" w:after="283"/>
              <w:jc w:val="left"/>
              <w:rPr/>
            </w:pPr>
            <w:r>
              <w:rPr/>
              <w:t> </w:t>
            </w:r>
          </w:p>
        </w:tc>
      </w:tr>
      <w:tr>
        <w:trPr/>
        <w:tc>
          <w:tcPr>
            <w:tcW w:w="5270"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p>
        </w:tc>
        <w:tc>
          <w:tcPr>
            <w:tcW w:w="1280"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2026</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14"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2025</w:t>
            </w:r>
          </w:p>
        </w:tc>
        <w:tc>
          <w:tcPr>
            <w:tcW w:w="75" w:type="dxa"/>
            <w:tcBorders/>
            <w:vAlign w:val="center"/>
          </w:tcPr>
          <w:p>
            <w:pPr>
              <w:pStyle w:val="TableContents"/>
              <w:bidi w:val="0"/>
              <w:spacing w:before="0" w:after="283"/>
              <w:jc w:val="left"/>
              <w:rPr/>
            </w:pPr>
            <w:r>
              <w:rPr/>
              <w:t> </w:t>
            </w:r>
          </w:p>
        </w:tc>
      </w:tr>
      <w:tr>
        <w:trPr/>
        <w:tc>
          <w:tcPr>
            <w:tcW w:w="5270" w:type="dxa"/>
            <w:tcBorders/>
            <w:shd w:fill="CCEEFF" w:val="cle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Common stock warrants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25,670,265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jc w:val="left"/>
              <w:rPr/>
            </w:pPr>
            <w:r>
              <w:rPr/>
              <w:t> </w:t>
            </w:r>
          </w:p>
        </w:tc>
        <w:tc>
          <w:tcPr>
            <w:tcW w:w="1349"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25,670,265</w:t>
            </w:r>
          </w:p>
        </w:tc>
        <w:tc>
          <w:tcPr>
            <w:tcW w:w="75" w:type="dxa"/>
            <w:tcBorders/>
            <w:shd w:fill="CCEEFF" w:val="clear"/>
            <w:vAlign w:val="center"/>
          </w:tcPr>
          <w:p>
            <w:pPr>
              <w:pStyle w:val="TableContents"/>
              <w:bidi w:val="0"/>
              <w:spacing w:before="0" w:after="283"/>
              <w:jc w:val="left"/>
              <w:rPr/>
            </w:pPr>
            <w:r>
              <w:rPr/>
              <w:t> </w:t>
            </w:r>
          </w:p>
        </w:tc>
      </w:tr>
      <w:tr>
        <w:trPr/>
        <w:tc>
          <w:tcPr>
            <w:tcW w:w="5270" w:type="dxa"/>
            <w:tcBorders/>
            <w:shd w:fill="FFFFFF" w:val="cle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Employee stock purchase plan</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3,174,434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5" w:type="dxa"/>
            <w:tcBorders/>
            <w:shd w:fill="FFFFFF" w:val="clear"/>
            <w:vAlign w:val="center"/>
          </w:tcPr>
          <w:p>
            <w:pPr>
              <w:pStyle w:val="TableContents"/>
              <w:bidi w:val="0"/>
              <w:spacing w:before="0" w:after="283"/>
              <w:jc w:val="left"/>
              <w:rPr/>
            </w:pPr>
            <w:r>
              <w:rPr/>
              <w:t> </w:t>
            </w:r>
          </w:p>
        </w:tc>
        <w:tc>
          <w:tcPr>
            <w:tcW w:w="1349"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3,174,434</w:t>
            </w:r>
          </w:p>
        </w:tc>
        <w:tc>
          <w:tcPr>
            <w:tcW w:w="75" w:type="dxa"/>
            <w:tcBorders/>
            <w:shd w:fill="FFFFFF" w:val="clear"/>
            <w:vAlign w:val="center"/>
          </w:tcPr>
          <w:p>
            <w:pPr>
              <w:pStyle w:val="TableContents"/>
              <w:bidi w:val="0"/>
              <w:spacing w:before="0" w:after="283"/>
              <w:jc w:val="left"/>
              <w:rPr/>
            </w:pPr>
            <w:r>
              <w:rPr/>
              <w:t> </w:t>
            </w:r>
          </w:p>
        </w:tc>
      </w:tr>
      <w:tr>
        <w:trPr/>
        <w:tc>
          <w:tcPr>
            <w:tcW w:w="5270" w:type="dxa"/>
            <w:tcBorders/>
            <w:shd w:fill="CCEEFF" w:val="cle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Stock options and RSUs, issued and outstanding</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18,299,560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jc w:val="left"/>
              <w:rPr/>
            </w:pPr>
            <w:r>
              <w:rPr/>
              <w:t> </w:t>
            </w:r>
          </w:p>
        </w:tc>
        <w:tc>
          <w:tcPr>
            <w:tcW w:w="1349"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19,164,660</w:t>
            </w:r>
          </w:p>
        </w:tc>
        <w:tc>
          <w:tcPr>
            <w:tcW w:w="75" w:type="dxa"/>
            <w:tcBorders/>
            <w:shd w:fill="CCEEFF" w:val="clear"/>
            <w:vAlign w:val="center"/>
          </w:tcPr>
          <w:p>
            <w:pPr>
              <w:pStyle w:val="TableContents"/>
              <w:bidi w:val="0"/>
              <w:spacing w:before="0" w:after="283"/>
              <w:jc w:val="left"/>
              <w:rPr/>
            </w:pPr>
            <w:r>
              <w:rPr/>
              <w:t> </w:t>
            </w:r>
          </w:p>
        </w:tc>
      </w:tr>
      <w:tr>
        <w:trPr/>
        <w:tc>
          <w:tcPr>
            <w:tcW w:w="5270" w:type="dxa"/>
            <w:tcBorders/>
            <w:shd w:fill="FFFFFF" w:val="cle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Stock options and RSUs, authorized for future issuance</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11,603,508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5" w:type="dxa"/>
            <w:tcBorders/>
            <w:shd w:fill="FFFFFF" w:val="clear"/>
            <w:vAlign w:val="center"/>
          </w:tcPr>
          <w:p>
            <w:pPr>
              <w:pStyle w:val="TableContents"/>
              <w:bidi w:val="0"/>
              <w:spacing w:before="0" w:after="283"/>
              <w:jc w:val="left"/>
              <w:rPr/>
            </w:pPr>
            <w:r>
              <w:rPr/>
              <w:t> </w:t>
            </w:r>
          </w:p>
        </w:tc>
        <w:tc>
          <w:tcPr>
            <w:tcW w:w="1349"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11,603,508</w:t>
            </w:r>
          </w:p>
        </w:tc>
        <w:tc>
          <w:tcPr>
            <w:tcW w:w="75" w:type="dxa"/>
            <w:tcBorders/>
            <w:shd w:fill="FFFFFF" w:val="clear"/>
            <w:vAlign w:val="center"/>
          </w:tcPr>
          <w:p>
            <w:pPr>
              <w:pStyle w:val="TableContents"/>
              <w:bidi w:val="0"/>
              <w:spacing w:before="0" w:after="283"/>
              <w:jc w:val="left"/>
              <w:rPr/>
            </w:pPr>
            <w:r>
              <w:rPr/>
              <w:t> </w:t>
            </w:r>
          </w:p>
        </w:tc>
      </w:tr>
      <w:tr>
        <w:trPr/>
        <w:tc>
          <w:tcPr>
            <w:tcW w:w="5270" w:type="dxa"/>
            <w:tcBorders/>
            <w:shd w:fill="CCEEFF" w:val="cle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SAFE Agreement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2,750,000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jc w:val="left"/>
              <w:rPr/>
            </w:pPr>
            <w:r>
              <w:rPr/>
              <w:t> </w:t>
            </w:r>
          </w:p>
        </w:tc>
        <w:tc>
          <w:tcPr>
            <w:tcW w:w="1349"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2,750,000</w:t>
            </w:r>
          </w:p>
        </w:tc>
        <w:tc>
          <w:tcPr>
            <w:tcW w:w="75" w:type="dxa"/>
            <w:tcBorders/>
            <w:shd w:fill="CCEEFF" w:val="clear"/>
            <w:vAlign w:val="center"/>
          </w:tcPr>
          <w:p>
            <w:pPr>
              <w:pStyle w:val="TableContents"/>
              <w:bidi w:val="0"/>
              <w:spacing w:before="0" w:after="283"/>
              <w:jc w:val="left"/>
              <w:rPr/>
            </w:pPr>
            <w:r>
              <w:rPr/>
              <w:t> </w:t>
            </w:r>
          </w:p>
        </w:tc>
      </w:tr>
      <w:tr>
        <w:trPr/>
        <w:tc>
          <w:tcPr>
            <w:tcW w:w="5270" w:type="dxa"/>
            <w:tcBorders/>
            <w:shd w:fill="FFFFFF" w:val="cle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Forward purchase agreements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6,720,000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5" w:type="dxa"/>
            <w:tcBorders/>
            <w:shd w:fill="FFFFFF" w:val="clear"/>
            <w:vAlign w:val="center"/>
          </w:tcPr>
          <w:p>
            <w:pPr>
              <w:pStyle w:val="TableContents"/>
              <w:bidi w:val="0"/>
              <w:spacing w:before="0" w:after="283"/>
              <w:jc w:val="left"/>
              <w:rPr/>
            </w:pPr>
            <w:r>
              <w:rPr/>
              <w:t> </w:t>
            </w:r>
          </w:p>
        </w:tc>
        <w:tc>
          <w:tcPr>
            <w:tcW w:w="1349"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6,720,000</w:t>
            </w:r>
          </w:p>
        </w:tc>
        <w:tc>
          <w:tcPr>
            <w:tcW w:w="75" w:type="dxa"/>
            <w:tcBorders/>
            <w:shd w:fill="FFFFFF" w:val="clear"/>
            <w:vAlign w:val="center"/>
          </w:tcPr>
          <w:p>
            <w:pPr>
              <w:pStyle w:val="TableContents"/>
              <w:bidi w:val="0"/>
              <w:spacing w:before="0" w:after="283"/>
              <w:jc w:val="left"/>
              <w:rPr/>
            </w:pPr>
            <w:r>
              <w:rPr/>
              <w:t> </w:t>
            </w:r>
          </w:p>
        </w:tc>
      </w:tr>
      <w:tr>
        <w:trPr/>
        <w:tc>
          <w:tcPr>
            <w:tcW w:w="5270" w:type="dxa"/>
            <w:tcBorders/>
            <w:shd w:fill="CCEEFF" w:val="cle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Convertible notes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82,635,442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jc w:val="left"/>
              <w:rPr/>
            </w:pPr>
            <w:r>
              <w:rPr/>
              <w:t> </w:t>
            </w:r>
          </w:p>
        </w:tc>
        <w:tc>
          <w:tcPr>
            <w:tcW w:w="1349"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82,460,428</w:t>
            </w:r>
          </w:p>
        </w:tc>
        <w:tc>
          <w:tcPr>
            <w:tcW w:w="75" w:type="dxa"/>
            <w:tcBorders/>
            <w:shd w:fill="CCEEFF" w:val="clear"/>
            <w:vAlign w:val="center"/>
          </w:tcPr>
          <w:p>
            <w:pPr>
              <w:pStyle w:val="TableContents"/>
              <w:bidi w:val="0"/>
              <w:spacing w:before="0" w:after="283"/>
              <w:jc w:val="left"/>
              <w:rPr/>
            </w:pPr>
            <w:r>
              <w:rPr/>
              <w:t> </w:t>
            </w:r>
          </w:p>
        </w:tc>
      </w:tr>
      <w:tr>
        <w:trPr/>
        <w:tc>
          <w:tcPr>
            <w:tcW w:w="5270" w:type="dxa"/>
            <w:tcBorders/>
            <w:shd w:fill="FFFFFF" w:val="cle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Deferred purchase price consideration</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20"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4,973,840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5"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349"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11,640,506</w:t>
            </w:r>
          </w:p>
        </w:tc>
        <w:tc>
          <w:tcPr>
            <w:tcW w:w="75" w:type="dxa"/>
            <w:tcBorders/>
            <w:shd w:fill="FFFFFF" w:val="clear"/>
            <w:vAlign w:val="center"/>
          </w:tcPr>
          <w:p>
            <w:pPr>
              <w:pStyle w:val="TableContents"/>
              <w:bidi w:val="0"/>
              <w:spacing w:before="0" w:after="283"/>
              <w:jc w:val="left"/>
              <w:rPr/>
            </w:pPr>
            <w:r>
              <w:rPr/>
              <w:t> </w:t>
            </w:r>
          </w:p>
        </w:tc>
      </w:tr>
      <w:tr>
        <w:trPr/>
        <w:tc>
          <w:tcPr>
            <w:tcW w:w="5270" w:type="dxa"/>
            <w:tcBorders/>
            <w:shd w:fill="CCEEFF" w:val="cle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Total shares reserved</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1220" w:type="dxa"/>
            <w:tcBorders>
              <w:bottom w:val="double" w:sz="10"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155,827,049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5"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1349" w:type="dxa"/>
            <w:tcBorders>
              <w:bottom w:val="double" w:sz="10"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163,183,801</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Warrants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potential number of shares of the Company’s common stock for outstanding warrants were as follows:</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4684"/>
        <w:gridCol w:w="60"/>
        <w:gridCol w:w="66"/>
        <w:gridCol w:w="1223"/>
        <w:gridCol w:w="66"/>
        <w:gridCol w:w="66"/>
        <w:gridCol w:w="69"/>
        <w:gridCol w:w="1225"/>
        <w:gridCol w:w="60"/>
        <w:gridCol w:w="60"/>
        <w:gridCol w:w="183"/>
        <w:gridCol w:w="735"/>
        <w:gridCol w:w="60"/>
        <w:gridCol w:w="60"/>
        <w:gridCol w:w="1507"/>
        <w:gridCol w:w="81"/>
      </w:tblGrid>
      <w:tr>
        <w:trPr/>
        <w:tc>
          <w:tcPr>
            <w:tcW w:w="4684"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2715" w:type="dxa"/>
            <w:gridSpan w:val="6"/>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Potential shares of common</w:t>
              <w:br/>
              <w:t>stock as of</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18" w:type="dxa"/>
            <w:gridSpan w:val="2"/>
            <w:tcBorders/>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Exercise</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07" w:type="dxa"/>
            <w:tcBorders/>
            <w:vAlign w:val="center"/>
          </w:tcPr>
          <w:p>
            <w:pPr>
              <w:pStyle w:val="TableContents"/>
              <w:bidi w:val="0"/>
              <w:spacing w:before="0" w:after="283"/>
              <w:jc w:val="center"/>
              <w:rPr/>
            </w:pPr>
            <w:r>
              <w:rPr/>
              <w:t> </w:t>
            </w:r>
          </w:p>
        </w:tc>
        <w:tc>
          <w:tcPr>
            <w:tcW w:w="81" w:type="dxa"/>
            <w:tcBorders/>
            <w:vAlign w:val="center"/>
          </w:tcPr>
          <w:p>
            <w:pPr>
              <w:pStyle w:val="TableContents"/>
              <w:bidi w:val="0"/>
              <w:spacing w:before="0" w:after="283"/>
              <w:jc w:val="left"/>
              <w:rPr/>
            </w:pPr>
            <w:r>
              <w:rPr/>
              <w:t> </w:t>
            </w:r>
          </w:p>
        </w:tc>
      </w:tr>
      <w:tr>
        <w:trPr/>
        <w:tc>
          <w:tcPr>
            <w:tcW w:w="4684"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289"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March 29,</w:t>
              <w:br/>
              <w:t xml:space="preserve">2026 </w:t>
            </w:r>
            <w:r>
              <w:rPr>
                <w:rFonts w:ascii="Times New Roman;Times;Serif" w:hAnsi="Times New Roman;Times;Serif"/>
                <w:b/>
                <w:position w:val="7"/>
                <w:sz w:val="16"/>
                <w:sz w:val="20"/>
              </w:rPr>
              <w:t>(1)</w:t>
            </w:r>
          </w:p>
        </w:tc>
        <w:tc>
          <w:tcPr>
            <w:tcW w:w="66" w:type="dxa"/>
            <w:tcBorders/>
            <w:vAlign w:val="center"/>
          </w:tcPr>
          <w:p>
            <w:pPr>
              <w:pStyle w:val="TableContents"/>
              <w:bidi w:val="0"/>
              <w:spacing w:before="0" w:after="283"/>
              <w:jc w:val="left"/>
              <w:rPr/>
            </w:pPr>
            <w:r>
              <w:rPr/>
              <w:t> </w:t>
            </w:r>
          </w:p>
        </w:tc>
        <w:tc>
          <w:tcPr>
            <w:tcW w:w="66" w:type="dxa"/>
            <w:tcBorders/>
            <w:vAlign w:val="center"/>
          </w:tcPr>
          <w:p>
            <w:pPr>
              <w:pStyle w:val="TableContents"/>
              <w:bidi w:val="0"/>
              <w:spacing w:before="0" w:after="283"/>
              <w:jc w:val="left"/>
              <w:rPr/>
            </w:pPr>
            <w:r>
              <w:rPr/>
              <w:t> </w:t>
            </w:r>
          </w:p>
        </w:tc>
        <w:tc>
          <w:tcPr>
            <w:tcW w:w="1294"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December 28,</w:t>
              <w:br/>
              <w:t xml:space="preserve">2025 </w:t>
            </w:r>
            <w:r>
              <w:rPr>
                <w:rFonts w:ascii="Times New Roman;Times;Serif" w:hAnsi="Times New Roman;Times;Serif"/>
                <w:b/>
                <w:position w:val="7"/>
                <w:sz w:val="16"/>
                <w:sz w:val="20"/>
              </w:rPr>
              <w:t>(1)</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18"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price per</w:t>
              <w:br/>
              <w:t>share</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07" w:type="dxa"/>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Expiration date</w:t>
            </w:r>
          </w:p>
        </w:tc>
        <w:tc>
          <w:tcPr>
            <w:tcW w:w="81" w:type="dxa"/>
            <w:tcBorders/>
            <w:vAlign w:val="center"/>
          </w:tcPr>
          <w:p>
            <w:pPr>
              <w:pStyle w:val="TableContents"/>
              <w:bidi w:val="0"/>
              <w:spacing w:before="0" w:after="283"/>
              <w:jc w:val="left"/>
              <w:rPr/>
            </w:pPr>
            <w:r>
              <w:rPr/>
              <w:t> </w:t>
            </w:r>
          </w:p>
        </w:tc>
      </w:tr>
      <w:tr>
        <w:trPr/>
        <w:tc>
          <w:tcPr>
            <w:tcW w:w="4684" w:type="dxa"/>
            <w:tcBorders/>
            <w:vAlign w:val="center"/>
          </w:tcPr>
          <w:p>
            <w:pPr>
              <w:pStyle w:val="TableContents"/>
              <w:bidi w:val="0"/>
              <w:spacing w:before="0" w:after="283"/>
              <w:jc w:val="both"/>
              <w:rPr>
                <w:rFonts w:ascii="Times New Roman;Times;Serif" w:hAnsi="Times New Roman;Times;Serif"/>
                <w:b/>
              </w:rPr>
            </w:pPr>
            <w:r>
              <w:rPr>
                <w:rFonts w:ascii="Times New Roman;Times;Serif" w:hAnsi="Times New Roman;Times;Serif"/>
                <w:b/>
              </w:rPr>
              <w:t>Liability classified warrants</w:t>
            </w:r>
          </w:p>
        </w:tc>
        <w:tc>
          <w:tcPr>
            <w:tcW w:w="60" w:type="dxa"/>
            <w:tcBorders/>
            <w:vAlign w:val="center"/>
          </w:tcPr>
          <w:p>
            <w:pPr>
              <w:pStyle w:val="TableContents"/>
              <w:bidi w:val="0"/>
              <w:spacing w:before="0" w:after="283"/>
              <w:jc w:val="left"/>
              <w:rPr/>
            </w:pPr>
            <w:r>
              <w:rPr/>
              <w:t> </w:t>
            </w:r>
          </w:p>
        </w:tc>
        <w:tc>
          <w:tcPr>
            <w:tcW w:w="1289" w:type="dxa"/>
            <w:gridSpan w:val="2"/>
            <w:tcBorders/>
            <w:vAlign w:val="center"/>
          </w:tcPr>
          <w:p>
            <w:pPr>
              <w:pStyle w:val="TableContents"/>
              <w:bidi w:val="0"/>
              <w:spacing w:before="0" w:after="283"/>
              <w:jc w:val="right"/>
              <w:rPr/>
            </w:pPr>
            <w:r>
              <w:rPr/>
              <w:t> </w:t>
            </w:r>
          </w:p>
        </w:tc>
        <w:tc>
          <w:tcPr>
            <w:tcW w:w="66" w:type="dxa"/>
            <w:tcBorders/>
            <w:vAlign w:val="center"/>
          </w:tcPr>
          <w:p>
            <w:pPr>
              <w:pStyle w:val="TableContents"/>
              <w:bidi w:val="0"/>
              <w:spacing w:before="0" w:after="283"/>
              <w:jc w:val="left"/>
              <w:rPr/>
            </w:pPr>
            <w:r>
              <w:rPr/>
              <w:t> </w:t>
            </w:r>
          </w:p>
        </w:tc>
        <w:tc>
          <w:tcPr>
            <w:tcW w:w="66" w:type="dxa"/>
            <w:tcBorders/>
            <w:vAlign w:val="center"/>
          </w:tcPr>
          <w:p>
            <w:pPr>
              <w:pStyle w:val="TableContents"/>
              <w:bidi w:val="0"/>
              <w:spacing w:before="0" w:after="283"/>
              <w:jc w:val="left"/>
              <w:rPr/>
            </w:pPr>
            <w:r>
              <w:rPr/>
              <w:t> </w:t>
            </w:r>
          </w:p>
        </w:tc>
        <w:tc>
          <w:tcPr>
            <w:tcW w:w="1294" w:type="dxa"/>
            <w:gridSpan w:val="2"/>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18" w:type="dxa"/>
            <w:gridSpan w:val="2"/>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07" w:type="dxa"/>
            <w:tcBorders/>
            <w:vAlign w:val="center"/>
          </w:tcPr>
          <w:p>
            <w:pPr>
              <w:pStyle w:val="TableContents"/>
              <w:bidi w:val="0"/>
              <w:spacing w:before="0" w:after="283"/>
              <w:jc w:val="center"/>
              <w:rPr/>
            </w:pPr>
            <w:r>
              <w:rPr/>
              <w:t> </w:t>
            </w:r>
          </w:p>
        </w:tc>
        <w:tc>
          <w:tcPr>
            <w:tcW w:w="81" w:type="dxa"/>
            <w:tcBorders/>
            <w:vAlign w:val="center"/>
          </w:tcPr>
          <w:p>
            <w:pPr>
              <w:pStyle w:val="TableContents"/>
              <w:bidi w:val="0"/>
              <w:spacing w:before="0" w:after="283"/>
              <w:jc w:val="left"/>
              <w:rPr/>
            </w:pPr>
            <w:r>
              <w:rPr/>
              <w:t> </w:t>
            </w:r>
          </w:p>
        </w:tc>
      </w:tr>
      <w:tr>
        <w:trPr/>
        <w:tc>
          <w:tcPr>
            <w:tcW w:w="4684" w:type="dxa"/>
            <w:tcBorders/>
            <w:shd w:fill="CCEEFF" w:val="cle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Public Warrants</w:t>
            </w:r>
          </w:p>
        </w:tc>
        <w:tc>
          <w:tcPr>
            <w:tcW w:w="60" w:type="dxa"/>
            <w:tcBorders/>
            <w:shd w:fill="CCEEFF" w:val="clear"/>
            <w:vAlign w:val="center"/>
          </w:tcPr>
          <w:p>
            <w:pPr>
              <w:pStyle w:val="TableContents"/>
              <w:bidi w:val="0"/>
              <w:spacing w:before="0" w:after="283"/>
              <w:jc w:val="left"/>
              <w:rPr/>
            </w:pPr>
            <w:r>
              <w:rPr/>
              <w:t> </w:t>
            </w:r>
          </w:p>
        </w:tc>
        <w:tc>
          <w:tcPr>
            <w:tcW w:w="66" w:type="dxa"/>
            <w:tcBorders/>
            <w:shd w:fill="CCEEFF" w:val="clear"/>
            <w:vAlign w:val="center"/>
          </w:tcPr>
          <w:p>
            <w:pPr>
              <w:pStyle w:val="TableContents"/>
              <w:bidi w:val="0"/>
              <w:spacing w:before="0" w:after="283"/>
              <w:jc w:val="left"/>
              <w:rPr/>
            </w:pPr>
            <w:r>
              <w:rPr/>
              <w:t> </w:t>
            </w:r>
          </w:p>
        </w:tc>
        <w:tc>
          <w:tcPr>
            <w:tcW w:w="1223"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8,625,000</w:t>
            </w:r>
          </w:p>
        </w:tc>
        <w:tc>
          <w:tcPr>
            <w:tcW w:w="66" w:type="dxa"/>
            <w:tcBorders/>
            <w:shd w:fill="CCEEFF" w:val="clear"/>
            <w:vAlign w:val="center"/>
          </w:tcPr>
          <w:p>
            <w:pPr>
              <w:pStyle w:val="TableContents"/>
              <w:bidi w:val="0"/>
              <w:spacing w:before="0" w:after="283"/>
              <w:jc w:val="left"/>
              <w:rPr/>
            </w:pPr>
            <w:r>
              <w:rPr/>
              <w:t> </w:t>
            </w:r>
          </w:p>
        </w:tc>
        <w:tc>
          <w:tcPr>
            <w:tcW w:w="66" w:type="dxa"/>
            <w:tcBorders/>
            <w:shd w:fill="CCEEFF" w:val="clear"/>
            <w:vAlign w:val="center"/>
          </w:tcPr>
          <w:p>
            <w:pPr>
              <w:pStyle w:val="TableContents"/>
              <w:bidi w:val="0"/>
              <w:spacing w:before="0" w:after="283"/>
              <w:jc w:val="left"/>
              <w:rPr/>
            </w:pPr>
            <w:r>
              <w:rPr/>
              <w:t> </w:t>
            </w:r>
          </w:p>
        </w:tc>
        <w:tc>
          <w:tcPr>
            <w:tcW w:w="69" w:type="dxa"/>
            <w:tcBorders/>
            <w:shd w:fill="CCEEFF" w:val="clear"/>
            <w:vAlign w:val="center"/>
          </w:tcPr>
          <w:p>
            <w:pPr>
              <w:pStyle w:val="TableContents"/>
              <w:bidi w:val="0"/>
              <w:spacing w:before="0" w:after="283"/>
              <w:jc w:val="left"/>
              <w:rPr/>
            </w:pPr>
            <w:r>
              <w:rPr/>
              <w:t> </w:t>
            </w:r>
          </w:p>
        </w:tc>
        <w:tc>
          <w:tcPr>
            <w:tcW w:w="122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8,625,000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3"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73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11.50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07"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 xml:space="preserve">July 18, 2028 </w:t>
            </w:r>
            <w:r>
              <w:rPr>
                <w:rFonts w:ascii="Times New Roman;Times;Serif" w:hAnsi="Times New Roman;Times;Serif"/>
                <w:position w:val="7"/>
                <w:sz w:val="16"/>
                <w:sz w:val="20"/>
              </w:rPr>
              <w:t>(2)</w:t>
            </w:r>
          </w:p>
        </w:tc>
        <w:tc>
          <w:tcPr>
            <w:tcW w:w="81" w:type="dxa"/>
            <w:tcBorders/>
            <w:shd w:fill="CCEEFF" w:val="clear"/>
            <w:vAlign w:val="center"/>
          </w:tcPr>
          <w:p>
            <w:pPr>
              <w:pStyle w:val="TableContents"/>
              <w:bidi w:val="0"/>
              <w:spacing w:before="0" w:after="283"/>
              <w:jc w:val="left"/>
              <w:rPr/>
            </w:pPr>
            <w:r>
              <w:rPr/>
              <w:t> </w:t>
            </w:r>
          </w:p>
        </w:tc>
      </w:tr>
      <w:tr>
        <w:trPr/>
        <w:tc>
          <w:tcPr>
            <w:tcW w:w="4684"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Private Placement Warrants</w:t>
            </w:r>
          </w:p>
        </w:tc>
        <w:tc>
          <w:tcPr>
            <w:tcW w:w="60" w:type="dxa"/>
            <w:tcBorders/>
            <w:shd w:fill="FFFFFF" w:val="clear"/>
            <w:vAlign w:val="center"/>
          </w:tcPr>
          <w:p>
            <w:pPr>
              <w:pStyle w:val="TableContents"/>
              <w:bidi w:val="0"/>
              <w:spacing w:before="0" w:after="283"/>
              <w:jc w:val="left"/>
              <w:rPr/>
            </w:pPr>
            <w:r>
              <w:rPr/>
              <w:t> </w:t>
            </w:r>
          </w:p>
        </w:tc>
        <w:tc>
          <w:tcPr>
            <w:tcW w:w="66" w:type="dxa"/>
            <w:tcBorders/>
            <w:shd w:fill="FFFFFF" w:val="clear"/>
            <w:vAlign w:val="center"/>
          </w:tcPr>
          <w:p>
            <w:pPr>
              <w:pStyle w:val="TableContents"/>
              <w:bidi w:val="0"/>
              <w:spacing w:before="0" w:after="283"/>
              <w:jc w:val="left"/>
              <w:rPr/>
            </w:pPr>
            <w:r>
              <w:rPr/>
              <w:t> </w:t>
            </w:r>
          </w:p>
        </w:tc>
        <w:tc>
          <w:tcPr>
            <w:tcW w:w="1223"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6,266,667</w:t>
            </w:r>
          </w:p>
        </w:tc>
        <w:tc>
          <w:tcPr>
            <w:tcW w:w="66" w:type="dxa"/>
            <w:tcBorders/>
            <w:shd w:fill="FFFFFF" w:val="clear"/>
            <w:vAlign w:val="center"/>
          </w:tcPr>
          <w:p>
            <w:pPr>
              <w:pStyle w:val="TableContents"/>
              <w:bidi w:val="0"/>
              <w:spacing w:before="0" w:after="283"/>
              <w:jc w:val="left"/>
              <w:rPr/>
            </w:pPr>
            <w:r>
              <w:rPr/>
              <w:t> </w:t>
            </w:r>
          </w:p>
        </w:tc>
        <w:tc>
          <w:tcPr>
            <w:tcW w:w="66" w:type="dxa"/>
            <w:tcBorders/>
            <w:shd w:fill="FFFFFF" w:val="clear"/>
            <w:vAlign w:val="center"/>
          </w:tcPr>
          <w:p>
            <w:pPr>
              <w:pStyle w:val="TableContents"/>
              <w:bidi w:val="0"/>
              <w:spacing w:before="0" w:after="283"/>
              <w:jc w:val="left"/>
              <w:rPr/>
            </w:pPr>
            <w:r>
              <w:rPr/>
              <w:t> </w:t>
            </w:r>
          </w:p>
        </w:tc>
        <w:tc>
          <w:tcPr>
            <w:tcW w:w="69" w:type="dxa"/>
            <w:tcBorders/>
            <w:shd w:fill="FFFFFF" w:val="clear"/>
            <w:vAlign w:val="center"/>
          </w:tcPr>
          <w:p>
            <w:pPr>
              <w:pStyle w:val="TableContents"/>
              <w:bidi w:val="0"/>
              <w:spacing w:before="0" w:after="283"/>
              <w:jc w:val="left"/>
              <w:rPr/>
            </w:pPr>
            <w:r>
              <w:rPr/>
              <w:t> </w:t>
            </w:r>
          </w:p>
        </w:tc>
        <w:tc>
          <w:tcPr>
            <w:tcW w:w="122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6,266,667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3" w:type="dxa"/>
            <w:tcBorders/>
            <w:shd w:fill="FFFFFF" w:val="clear"/>
            <w:vAlign w:val="center"/>
          </w:tcPr>
          <w:p>
            <w:pPr>
              <w:pStyle w:val="TableContents"/>
              <w:bidi w:val="0"/>
              <w:spacing w:before="0" w:after="283"/>
              <w:jc w:val="left"/>
              <w:rPr/>
            </w:pPr>
            <w:r>
              <w:rPr/>
              <w:t> </w:t>
            </w:r>
          </w:p>
        </w:tc>
        <w:tc>
          <w:tcPr>
            <w:tcW w:w="73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11.50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07" w:type="dxa"/>
            <w:tcBorders/>
            <w:shd w:fill="FFFF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 xml:space="preserve">July 18, 2028 </w:t>
            </w:r>
            <w:r>
              <w:rPr>
                <w:rFonts w:ascii="Times New Roman;Times;Serif" w:hAnsi="Times New Roman;Times;Serif"/>
                <w:position w:val="7"/>
                <w:sz w:val="16"/>
                <w:sz w:val="20"/>
              </w:rPr>
              <w:t>(2)</w:t>
            </w:r>
          </w:p>
        </w:tc>
        <w:tc>
          <w:tcPr>
            <w:tcW w:w="81" w:type="dxa"/>
            <w:tcBorders/>
            <w:shd w:fill="FFFFFF" w:val="clear"/>
            <w:vAlign w:val="center"/>
          </w:tcPr>
          <w:p>
            <w:pPr>
              <w:pStyle w:val="TableContents"/>
              <w:bidi w:val="0"/>
              <w:spacing w:before="0" w:after="283"/>
              <w:jc w:val="left"/>
              <w:rPr/>
            </w:pPr>
            <w:r>
              <w:rPr/>
              <w:t> </w:t>
            </w:r>
          </w:p>
        </w:tc>
      </w:tr>
      <w:tr>
        <w:trPr/>
        <w:tc>
          <w:tcPr>
            <w:tcW w:w="4684" w:type="dxa"/>
            <w:tcBorders/>
            <w:shd w:fill="CCEEFF" w:val="cle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Working Capital Warrants</w:t>
            </w:r>
          </w:p>
        </w:tc>
        <w:tc>
          <w:tcPr>
            <w:tcW w:w="60" w:type="dxa"/>
            <w:tcBorders/>
            <w:shd w:fill="CCEEFF" w:val="clear"/>
            <w:vAlign w:val="center"/>
          </w:tcPr>
          <w:p>
            <w:pPr>
              <w:pStyle w:val="TableContents"/>
              <w:bidi w:val="0"/>
              <w:spacing w:before="0" w:after="283"/>
              <w:jc w:val="left"/>
              <w:rPr/>
            </w:pPr>
            <w:r>
              <w:rPr/>
              <w:t> </w:t>
            </w:r>
          </w:p>
        </w:tc>
        <w:tc>
          <w:tcPr>
            <w:tcW w:w="66"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23"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716,668</w:t>
            </w:r>
          </w:p>
        </w:tc>
        <w:tc>
          <w:tcPr>
            <w:tcW w:w="66" w:type="dxa"/>
            <w:tcBorders/>
            <w:shd w:fill="CCEEFF" w:val="clear"/>
            <w:vAlign w:val="center"/>
          </w:tcPr>
          <w:p>
            <w:pPr>
              <w:pStyle w:val="TableContents"/>
              <w:bidi w:val="0"/>
              <w:spacing w:before="0" w:after="283"/>
              <w:jc w:val="left"/>
              <w:rPr/>
            </w:pPr>
            <w:r>
              <w:rPr/>
              <w:t> </w:t>
            </w:r>
          </w:p>
        </w:tc>
        <w:tc>
          <w:tcPr>
            <w:tcW w:w="66" w:type="dxa"/>
            <w:tcBorders/>
            <w:shd w:fill="CCEEFF" w:val="clear"/>
            <w:vAlign w:val="center"/>
          </w:tcPr>
          <w:p>
            <w:pPr>
              <w:pStyle w:val="TableContents"/>
              <w:bidi w:val="0"/>
              <w:spacing w:before="0" w:after="283"/>
              <w:jc w:val="left"/>
              <w:rPr/>
            </w:pPr>
            <w:r>
              <w:rPr/>
              <w:t> </w:t>
            </w:r>
          </w:p>
        </w:tc>
        <w:tc>
          <w:tcPr>
            <w:tcW w:w="69"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25"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716,668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3" w:type="dxa"/>
            <w:tcBorders/>
            <w:shd w:fill="CCEEFF" w:val="clear"/>
            <w:vAlign w:val="center"/>
          </w:tcPr>
          <w:p>
            <w:pPr>
              <w:pStyle w:val="TableContents"/>
              <w:bidi w:val="0"/>
              <w:spacing w:before="0" w:after="283"/>
              <w:jc w:val="left"/>
              <w:rPr/>
            </w:pPr>
            <w:r>
              <w:rPr/>
              <w:t> </w:t>
            </w:r>
          </w:p>
        </w:tc>
        <w:tc>
          <w:tcPr>
            <w:tcW w:w="73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11.50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07"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 xml:space="preserve">July 18, 2028 </w:t>
            </w:r>
            <w:r>
              <w:rPr>
                <w:rFonts w:ascii="Times New Roman;Times;Serif" w:hAnsi="Times New Roman;Times;Serif"/>
                <w:position w:val="7"/>
                <w:sz w:val="16"/>
                <w:sz w:val="20"/>
              </w:rPr>
              <w:t>(2)</w:t>
            </w:r>
          </w:p>
        </w:tc>
        <w:tc>
          <w:tcPr>
            <w:tcW w:w="81" w:type="dxa"/>
            <w:tcBorders/>
            <w:shd w:fill="CCEEFF" w:val="clear"/>
            <w:vAlign w:val="center"/>
          </w:tcPr>
          <w:p>
            <w:pPr>
              <w:pStyle w:val="TableContents"/>
              <w:bidi w:val="0"/>
              <w:spacing w:before="0" w:after="283"/>
              <w:ind w:left="0" w:right="0" w:hanging="180"/>
              <w:jc w:val="left"/>
              <w:rPr/>
            </w:pPr>
            <w:r>
              <w:rPr/>
              <w:t> </w:t>
            </w:r>
          </w:p>
        </w:tc>
      </w:tr>
      <w:tr>
        <w:trPr/>
        <w:tc>
          <w:tcPr>
            <w:tcW w:w="4684"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Total shares of common stock – liability classified warrants</w:t>
            </w:r>
          </w:p>
        </w:tc>
        <w:tc>
          <w:tcPr>
            <w:tcW w:w="60" w:type="dxa"/>
            <w:tcBorders/>
            <w:shd w:fill="FFFFFF" w:val="clear"/>
            <w:vAlign w:val="center"/>
          </w:tcPr>
          <w:p>
            <w:pPr>
              <w:pStyle w:val="TableContents"/>
              <w:bidi w:val="0"/>
              <w:spacing w:before="0" w:after="283"/>
              <w:jc w:val="left"/>
              <w:rPr/>
            </w:pPr>
            <w:r>
              <w:rPr/>
              <w:t> </w:t>
            </w:r>
          </w:p>
        </w:tc>
        <w:tc>
          <w:tcPr>
            <w:tcW w:w="66"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23"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15,608,335</w:t>
            </w:r>
          </w:p>
        </w:tc>
        <w:tc>
          <w:tcPr>
            <w:tcW w:w="66" w:type="dxa"/>
            <w:tcBorders/>
            <w:shd w:fill="FFFFFF" w:val="clear"/>
            <w:vAlign w:val="center"/>
          </w:tcPr>
          <w:p>
            <w:pPr>
              <w:pStyle w:val="TableContents"/>
              <w:bidi w:val="0"/>
              <w:spacing w:before="0" w:after="283"/>
              <w:jc w:val="left"/>
              <w:rPr/>
            </w:pPr>
            <w:r>
              <w:rPr/>
              <w:t> </w:t>
            </w:r>
          </w:p>
        </w:tc>
        <w:tc>
          <w:tcPr>
            <w:tcW w:w="66" w:type="dxa"/>
            <w:tcBorders/>
            <w:shd w:fill="FFFFFF" w:val="clear"/>
            <w:vAlign w:val="center"/>
          </w:tcPr>
          <w:p>
            <w:pPr>
              <w:pStyle w:val="TableContents"/>
              <w:bidi w:val="0"/>
              <w:spacing w:before="0" w:after="283"/>
              <w:jc w:val="left"/>
              <w:rPr/>
            </w:pPr>
            <w:r>
              <w:rPr/>
              <w:t> </w:t>
            </w:r>
          </w:p>
        </w:tc>
        <w:tc>
          <w:tcPr>
            <w:tcW w:w="69"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25"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15,608,335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3" w:type="dxa"/>
            <w:tcBorders/>
            <w:shd w:fill="FFFFFF" w:val="clear"/>
            <w:vAlign w:val="center"/>
          </w:tcPr>
          <w:p>
            <w:pPr>
              <w:pStyle w:val="TableContents"/>
              <w:bidi w:val="0"/>
              <w:spacing w:before="0" w:after="283"/>
              <w:jc w:val="left"/>
              <w:rPr/>
            </w:pPr>
            <w:r>
              <w:rPr/>
              <w:t> </w:t>
            </w:r>
          </w:p>
        </w:tc>
        <w:tc>
          <w:tcPr>
            <w:tcW w:w="735"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07" w:type="dxa"/>
            <w:tcBorders/>
            <w:shd w:fill="FFFFFF" w:val="clear"/>
            <w:vAlign w:val="center"/>
          </w:tcPr>
          <w:p>
            <w:pPr>
              <w:pStyle w:val="TableContents"/>
              <w:bidi w:val="0"/>
              <w:spacing w:before="0" w:after="283"/>
              <w:jc w:val="center"/>
              <w:rPr/>
            </w:pPr>
            <w:r>
              <w:rPr/>
              <w:t> </w:t>
            </w:r>
          </w:p>
        </w:tc>
        <w:tc>
          <w:tcPr>
            <w:tcW w:w="81" w:type="dxa"/>
            <w:tcBorders/>
            <w:shd w:fill="FFFFFF" w:val="clear"/>
            <w:vAlign w:val="center"/>
          </w:tcPr>
          <w:p>
            <w:pPr>
              <w:pStyle w:val="TableContents"/>
              <w:bidi w:val="0"/>
              <w:spacing w:before="0" w:after="283"/>
              <w:jc w:val="left"/>
              <w:rPr/>
            </w:pPr>
            <w:r>
              <w:rPr/>
              <w:t> </w:t>
            </w:r>
          </w:p>
        </w:tc>
      </w:tr>
      <w:tr>
        <w:trPr/>
        <w:tc>
          <w:tcPr>
            <w:tcW w:w="4684" w:type="dxa"/>
            <w:tcBorders/>
            <w:shd w:fill="CCEE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Equity classified warrants</w:t>
            </w:r>
          </w:p>
        </w:tc>
        <w:tc>
          <w:tcPr>
            <w:tcW w:w="60" w:type="dxa"/>
            <w:tcBorders/>
            <w:shd w:fill="CCEEFF" w:val="clear"/>
            <w:vAlign w:val="center"/>
          </w:tcPr>
          <w:p>
            <w:pPr>
              <w:pStyle w:val="TableContents"/>
              <w:bidi w:val="0"/>
              <w:spacing w:before="0" w:after="283"/>
              <w:jc w:val="left"/>
              <w:rPr/>
            </w:pPr>
            <w:r>
              <w:rPr/>
              <w:t> </w:t>
            </w:r>
          </w:p>
        </w:tc>
        <w:tc>
          <w:tcPr>
            <w:tcW w:w="66" w:type="dxa"/>
            <w:tcBorders/>
            <w:shd w:fill="CCEEFF" w:val="clear"/>
            <w:vAlign w:val="center"/>
          </w:tcPr>
          <w:p>
            <w:pPr>
              <w:pStyle w:val="TableContents"/>
              <w:bidi w:val="0"/>
              <w:spacing w:before="0" w:after="283"/>
              <w:jc w:val="left"/>
              <w:rPr/>
            </w:pPr>
            <w:r>
              <w:rPr/>
              <w:t> </w:t>
            </w:r>
          </w:p>
        </w:tc>
        <w:tc>
          <w:tcPr>
            <w:tcW w:w="1223" w:type="dxa"/>
            <w:tcBorders/>
            <w:shd w:fill="CCEEFF" w:val="clear"/>
            <w:vAlign w:val="center"/>
          </w:tcPr>
          <w:p>
            <w:pPr>
              <w:pStyle w:val="TableContents"/>
              <w:bidi w:val="0"/>
              <w:spacing w:before="0" w:after="283"/>
              <w:jc w:val="right"/>
              <w:rPr/>
            </w:pPr>
            <w:r>
              <w:rPr/>
              <w:t> </w:t>
            </w:r>
          </w:p>
        </w:tc>
        <w:tc>
          <w:tcPr>
            <w:tcW w:w="66" w:type="dxa"/>
            <w:tcBorders/>
            <w:shd w:fill="CCEEFF" w:val="clear"/>
            <w:vAlign w:val="center"/>
          </w:tcPr>
          <w:p>
            <w:pPr>
              <w:pStyle w:val="TableContents"/>
              <w:bidi w:val="0"/>
              <w:spacing w:before="0" w:after="283"/>
              <w:jc w:val="left"/>
              <w:rPr/>
            </w:pPr>
            <w:r>
              <w:rPr/>
              <w:t> </w:t>
            </w:r>
          </w:p>
        </w:tc>
        <w:tc>
          <w:tcPr>
            <w:tcW w:w="66" w:type="dxa"/>
            <w:tcBorders/>
            <w:shd w:fill="CCEEFF" w:val="clear"/>
            <w:vAlign w:val="center"/>
          </w:tcPr>
          <w:p>
            <w:pPr>
              <w:pStyle w:val="TableContents"/>
              <w:bidi w:val="0"/>
              <w:spacing w:before="0" w:after="283"/>
              <w:jc w:val="left"/>
              <w:rPr/>
            </w:pPr>
            <w:r>
              <w:rPr/>
              <w:t> </w:t>
            </w:r>
          </w:p>
        </w:tc>
        <w:tc>
          <w:tcPr>
            <w:tcW w:w="69" w:type="dxa"/>
            <w:tcBorders/>
            <w:shd w:fill="CCEEFF" w:val="clear"/>
            <w:vAlign w:val="center"/>
          </w:tcPr>
          <w:p>
            <w:pPr>
              <w:pStyle w:val="TableContents"/>
              <w:bidi w:val="0"/>
              <w:spacing w:before="0" w:after="283"/>
              <w:jc w:val="left"/>
              <w:rPr/>
            </w:pPr>
            <w:r>
              <w:rPr/>
              <w:t> </w:t>
            </w:r>
          </w:p>
        </w:tc>
        <w:tc>
          <w:tcPr>
            <w:tcW w:w="1225"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3" w:type="dxa"/>
            <w:tcBorders/>
            <w:shd w:fill="CCEEFF" w:val="clear"/>
            <w:vAlign w:val="center"/>
          </w:tcPr>
          <w:p>
            <w:pPr>
              <w:pStyle w:val="TableContents"/>
              <w:bidi w:val="0"/>
              <w:spacing w:before="0" w:after="283"/>
              <w:jc w:val="left"/>
              <w:rPr/>
            </w:pPr>
            <w:r>
              <w:rPr/>
              <w:t> </w:t>
            </w:r>
          </w:p>
        </w:tc>
        <w:tc>
          <w:tcPr>
            <w:tcW w:w="735"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07" w:type="dxa"/>
            <w:tcBorders/>
            <w:shd w:fill="CCEEFF" w:val="clear"/>
            <w:vAlign w:val="center"/>
          </w:tcPr>
          <w:p>
            <w:pPr>
              <w:pStyle w:val="TableContents"/>
              <w:bidi w:val="0"/>
              <w:spacing w:before="0" w:after="283"/>
              <w:jc w:val="center"/>
              <w:rPr/>
            </w:pPr>
            <w:r>
              <w:rPr/>
              <w:t> </w:t>
            </w:r>
          </w:p>
        </w:tc>
        <w:tc>
          <w:tcPr>
            <w:tcW w:w="81" w:type="dxa"/>
            <w:tcBorders/>
            <w:shd w:fill="CCEEFF" w:val="clear"/>
            <w:vAlign w:val="center"/>
          </w:tcPr>
          <w:p>
            <w:pPr>
              <w:pStyle w:val="TableContents"/>
              <w:bidi w:val="0"/>
              <w:spacing w:before="0" w:after="283"/>
              <w:ind w:left="0" w:right="0" w:hanging="180"/>
              <w:jc w:val="left"/>
              <w:rPr/>
            </w:pPr>
            <w:r>
              <w:rPr/>
              <w:t> </w:t>
            </w:r>
          </w:p>
        </w:tc>
      </w:tr>
      <w:tr>
        <w:trPr/>
        <w:tc>
          <w:tcPr>
            <w:tcW w:w="4684"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Series B Warrants (converted to common stock warrants)</w:t>
            </w:r>
          </w:p>
        </w:tc>
        <w:tc>
          <w:tcPr>
            <w:tcW w:w="60" w:type="dxa"/>
            <w:tcBorders/>
            <w:shd w:fill="FFFFFF" w:val="clear"/>
            <w:vAlign w:val="center"/>
          </w:tcPr>
          <w:p>
            <w:pPr>
              <w:pStyle w:val="TableContents"/>
              <w:bidi w:val="0"/>
              <w:spacing w:before="0" w:after="283"/>
              <w:jc w:val="left"/>
              <w:rPr/>
            </w:pPr>
            <w:r>
              <w:rPr/>
              <w:t> </w:t>
            </w:r>
          </w:p>
        </w:tc>
        <w:tc>
          <w:tcPr>
            <w:tcW w:w="66" w:type="dxa"/>
            <w:tcBorders/>
            <w:shd w:fill="FFFFFF" w:val="clear"/>
            <w:vAlign w:val="center"/>
          </w:tcPr>
          <w:p>
            <w:pPr>
              <w:pStyle w:val="TableContents"/>
              <w:bidi w:val="0"/>
              <w:spacing w:before="0" w:after="283"/>
              <w:jc w:val="left"/>
              <w:rPr/>
            </w:pPr>
            <w:r>
              <w:rPr/>
              <w:t> </w:t>
            </w:r>
          </w:p>
        </w:tc>
        <w:tc>
          <w:tcPr>
            <w:tcW w:w="1223"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5,054</w:t>
            </w:r>
          </w:p>
        </w:tc>
        <w:tc>
          <w:tcPr>
            <w:tcW w:w="66" w:type="dxa"/>
            <w:tcBorders/>
            <w:shd w:fill="FFFFFF" w:val="clear"/>
            <w:vAlign w:val="center"/>
          </w:tcPr>
          <w:p>
            <w:pPr>
              <w:pStyle w:val="TableContents"/>
              <w:bidi w:val="0"/>
              <w:spacing w:before="0" w:after="283"/>
              <w:jc w:val="left"/>
              <w:rPr/>
            </w:pPr>
            <w:r>
              <w:rPr/>
              <w:t> </w:t>
            </w:r>
          </w:p>
        </w:tc>
        <w:tc>
          <w:tcPr>
            <w:tcW w:w="66" w:type="dxa"/>
            <w:tcBorders/>
            <w:shd w:fill="FFFFFF" w:val="clear"/>
            <w:vAlign w:val="center"/>
          </w:tcPr>
          <w:p>
            <w:pPr>
              <w:pStyle w:val="TableContents"/>
              <w:bidi w:val="0"/>
              <w:spacing w:before="0" w:after="283"/>
              <w:jc w:val="left"/>
              <w:rPr/>
            </w:pPr>
            <w:r>
              <w:rPr/>
              <w:t> </w:t>
            </w:r>
          </w:p>
        </w:tc>
        <w:tc>
          <w:tcPr>
            <w:tcW w:w="69" w:type="dxa"/>
            <w:tcBorders/>
            <w:shd w:fill="FFFFFF" w:val="clear"/>
            <w:vAlign w:val="center"/>
          </w:tcPr>
          <w:p>
            <w:pPr>
              <w:pStyle w:val="TableContents"/>
              <w:bidi w:val="0"/>
              <w:spacing w:before="0" w:after="283"/>
              <w:jc w:val="left"/>
              <w:rPr/>
            </w:pPr>
            <w:r>
              <w:rPr/>
              <w:t> </w:t>
            </w:r>
          </w:p>
        </w:tc>
        <w:tc>
          <w:tcPr>
            <w:tcW w:w="122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5,054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3"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73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4.30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07" w:type="dxa"/>
            <w:tcBorders/>
            <w:shd w:fill="FFFF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February 2026</w:t>
            </w:r>
          </w:p>
        </w:tc>
        <w:tc>
          <w:tcPr>
            <w:tcW w:w="81" w:type="dxa"/>
            <w:tcBorders/>
            <w:shd w:fill="FFFFFF" w:val="clear"/>
            <w:vAlign w:val="center"/>
          </w:tcPr>
          <w:p>
            <w:pPr>
              <w:pStyle w:val="TableContents"/>
              <w:bidi w:val="0"/>
              <w:spacing w:before="0" w:after="283"/>
              <w:ind w:left="0" w:right="0" w:hanging="180"/>
              <w:jc w:val="left"/>
              <w:rPr/>
            </w:pPr>
            <w:r>
              <w:rPr/>
              <w:t> </w:t>
            </w:r>
          </w:p>
        </w:tc>
      </w:tr>
      <w:tr>
        <w:trPr/>
        <w:tc>
          <w:tcPr>
            <w:tcW w:w="4684"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Series C Warrants (converted to common stock warrants)</w:t>
            </w:r>
          </w:p>
        </w:tc>
        <w:tc>
          <w:tcPr>
            <w:tcW w:w="60" w:type="dxa"/>
            <w:tcBorders/>
            <w:shd w:fill="CCEEFF" w:val="clear"/>
            <w:vAlign w:val="center"/>
          </w:tcPr>
          <w:p>
            <w:pPr>
              <w:pStyle w:val="TableContents"/>
              <w:bidi w:val="0"/>
              <w:spacing w:before="0" w:after="283"/>
              <w:jc w:val="left"/>
              <w:rPr/>
            </w:pPr>
            <w:r>
              <w:rPr/>
              <w:t> </w:t>
            </w:r>
          </w:p>
        </w:tc>
        <w:tc>
          <w:tcPr>
            <w:tcW w:w="66" w:type="dxa"/>
            <w:tcBorders/>
            <w:shd w:fill="CCEEFF" w:val="clear"/>
            <w:vAlign w:val="center"/>
          </w:tcPr>
          <w:p>
            <w:pPr>
              <w:pStyle w:val="TableContents"/>
              <w:bidi w:val="0"/>
              <w:spacing w:before="0" w:after="283"/>
              <w:jc w:val="left"/>
              <w:rPr/>
            </w:pPr>
            <w:r>
              <w:rPr/>
              <w:t> </w:t>
            </w:r>
          </w:p>
        </w:tc>
        <w:tc>
          <w:tcPr>
            <w:tcW w:w="1223"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482,969</w:t>
            </w:r>
          </w:p>
        </w:tc>
        <w:tc>
          <w:tcPr>
            <w:tcW w:w="66" w:type="dxa"/>
            <w:tcBorders/>
            <w:shd w:fill="CCEEFF" w:val="clear"/>
            <w:vAlign w:val="center"/>
          </w:tcPr>
          <w:p>
            <w:pPr>
              <w:pStyle w:val="TableContents"/>
              <w:bidi w:val="0"/>
              <w:spacing w:before="0" w:after="283"/>
              <w:jc w:val="left"/>
              <w:rPr/>
            </w:pPr>
            <w:r>
              <w:rPr/>
              <w:t> </w:t>
            </w:r>
          </w:p>
        </w:tc>
        <w:tc>
          <w:tcPr>
            <w:tcW w:w="66" w:type="dxa"/>
            <w:tcBorders/>
            <w:shd w:fill="CCEEFF" w:val="clear"/>
            <w:vAlign w:val="center"/>
          </w:tcPr>
          <w:p>
            <w:pPr>
              <w:pStyle w:val="TableContents"/>
              <w:bidi w:val="0"/>
              <w:spacing w:before="0" w:after="283"/>
              <w:jc w:val="left"/>
              <w:rPr/>
            </w:pPr>
            <w:r>
              <w:rPr/>
              <w:t> </w:t>
            </w:r>
          </w:p>
        </w:tc>
        <w:tc>
          <w:tcPr>
            <w:tcW w:w="69" w:type="dxa"/>
            <w:tcBorders/>
            <w:shd w:fill="CCEEFF" w:val="clear"/>
            <w:vAlign w:val="center"/>
          </w:tcPr>
          <w:p>
            <w:pPr>
              <w:pStyle w:val="TableContents"/>
              <w:bidi w:val="0"/>
              <w:spacing w:before="0" w:after="283"/>
              <w:jc w:val="left"/>
              <w:rPr/>
            </w:pPr>
            <w:r>
              <w:rPr/>
              <w:t> </w:t>
            </w:r>
          </w:p>
        </w:tc>
        <w:tc>
          <w:tcPr>
            <w:tcW w:w="122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482,969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3" w:type="dxa"/>
            <w:tcBorders/>
            <w:shd w:fill="CCEEFF" w:val="clear"/>
            <w:vAlign w:val="center"/>
          </w:tcPr>
          <w:p>
            <w:pPr>
              <w:pStyle w:val="TableContents"/>
              <w:bidi w:val="0"/>
              <w:spacing w:before="0" w:after="283"/>
              <w:jc w:val="left"/>
              <w:rPr/>
            </w:pPr>
            <w:r>
              <w:rPr/>
              <w:t> </w:t>
            </w:r>
          </w:p>
        </w:tc>
        <w:tc>
          <w:tcPr>
            <w:tcW w:w="73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07"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July 2026</w:t>
            </w:r>
          </w:p>
        </w:tc>
        <w:tc>
          <w:tcPr>
            <w:tcW w:w="81" w:type="dxa"/>
            <w:tcBorders/>
            <w:shd w:fill="CCEEFF" w:val="clear"/>
            <w:vAlign w:val="center"/>
          </w:tcPr>
          <w:p>
            <w:pPr>
              <w:pStyle w:val="TableContents"/>
              <w:bidi w:val="0"/>
              <w:spacing w:before="0" w:after="283"/>
              <w:ind w:left="0" w:right="0" w:hanging="180"/>
              <w:jc w:val="left"/>
              <w:rPr/>
            </w:pPr>
            <w:r>
              <w:rPr/>
              <w:t> </w:t>
            </w:r>
          </w:p>
        </w:tc>
      </w:tr>
      <w:tr>
        <w:trPr/>
        <w:tc>
          <w:tcPr>
            <w:tcW w:w="4684"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Series C-1 Warrants (converted to common stock warrants)</w:t>
            </w:r>
          </w:p>
        </w:tc>
        <w:tc>
          <w:tcPr>
            <w:tcW w:w="60" w:type="dxa"/>
            <w:tcBorders/>
            <w:shd w:fill="FFFFFF" w:val="clear"/>
            <w:vAlign w:val="center"/>
          </w:tcPr>
          <w:p>
            <w:pPr>
              <w:pStyle w:val="TableContents"/>
              <w:bidi w:val="0"/>
              <w:spacing w:before="0" w:after="283"/>
              <w:jc w:val="left"/>
              <w:rPr/>
            </w:pPr>
            <w:r>
              <w:rPr/>
              <w:t> </w:t>
            </w:r>
          </w:p>
        </w:tc>
        <w:tc>
          <w:tcPr>
            <w:tcW w:w="66" w:type="dxa"/>
            <w:tcBorders/>
            <w:shd w:fill="FFFFFF" w:val="clear"/>
            <w:vAlign w:val="center"/>
          </w:tcPr>
          <w:p>
            <w:pPr>
              <w:pStyle w:val="TableContents"/>
              <w:bidi w:val="0"/>
              <w:spacing w:before="0" w:after="283"/>
              <w:jc w:val="left"/>
              <w:rPr/>
            </w:pPr>
            <w:r>
              <w:rPr/>
              <w:t> </w:t>
            </w:r>
          </w:p>
        </w:tc>
        <w:tc>
          <w:tcPr>
            <w:tcW w:w="1223"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173,067</w:t>
            </w:r>
          </w:p>
        </w:tc>
        <w:tc>
          <w:tcPr>
            <w:tcW w:w="66" w:type="dxa"/>
            <w:tcBorders/>
            <w:shd w:fill="FFFFFF" w:val="clear"/>
            <w:vAlign w:val="center"/>
          </w:tcPr>
          <w:p>
            <w:pPr>
              <w:pStyle w:val="TableContents"/>
              <w:bidi w:val="0"/>
              <w:spacing w:before="0" w:after="283"/>
              <w:jc w:val="left"/>
              <w:rPr/>
            </w:pPr>
            <w:r>
              <w:rPr/>
              <w:t> </w:t>
            </w:r>
          </w:p>
        </w:tc>
        <w:tc>
          <w:tcPr>
            <w:tcW w:w="66" w:type="dxa"/>
            <w:tcBorders/>
            <w:shd w:fill="FFFFFF" w:val="clear"/>
            <w:vAlign w:val="center"/>
          </w:tcPr>
          <w:p>
            <w:pPr>
              <w:pStyle w:val="TableContents"/>
              <w:bidi w:val="0"/>
              <w:spacing w:before="0" w:after="283"/>
              <w:jc w:val="left"/>
              <w:rPr/>
            </w:pPr>
            <w:r>
              <w:rPr/>
              <w:t> </w:t>
            </w:r>
          </w:p>
        </w:tc>
        <w:tc>
          <w:tcPr>
            <w:tcW w:w="69" w:type="dxa"/>
            <w:tcBorders/>
            <w:shd w:fill="FFFFFF" w:val="clear"/>
            <w:vAlign w:val="center"/>
          </w:tcPr>
          <w:p>
            <w:pPr>
              <w:pStyle w:val="TableContents"/>
              <w:bidi w:val="0"/>
              <w:spacing w:before="0" w:after="283"/>
              <w:jc w:val="left"/>
              <w:rPr/>
            </w:pPr>
            <w:r>
              <w:rPr/>
              <w:t> </w:t>
            </w:r>
          </w:p>
        </w:tc>
        <w:tc>
          <w:tcPr>
            <w:tcW w:w="122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173,067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3" w:type="dxa"/>
            <w:tcBorders/>
            <w:shd w:fill="FFFFFF" w:val="clear"/>
            <w:vAlign w:val="center"/>
          </w:tcPr>
          <w:p>
            <w:pPr>
              <w:pStyle w:val="TableContents"/>
              <w:bidi w:val="0"/>
              <w:spacing w:before="0" w:after="283"/>
              <w:jc w:val="left"/>
              <w:rPr/>
            </w:pPr>
            <w:r>
              <w:rPr/>
              <w:t> </w:t>
            </w:r>
          </w:p>
        </w:tc>
        <w:tc>
          <w:tcPr>
            <w:tcW w:w="73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0.01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07" w:type="dxa"/>
            <w:tcBorders/>
            <w:shd w:fill="FFFF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January 2030</w:t>
            </w:r>
          </w:p>
        </w:tc>
        <w:tc>
          <w:tcPr>
            <w:tcW w:w="81" w:type="dxa"/>
            <w:tcBorders/>
            <w:shd w:fill="FFFFFF" w:val="clear"/>
            <w:vAlign w:val="center"/>
          </w:tcPr>
          <w:p>
            <w:pPr>
              <w:pStyle w:val="TableContents"/>
              <w:bidi w:val="0"/>
              <w:spacing w:before="0" w:after="283"/>
              <w:ind w:left="0" w:right="0" w:hanging="180"/>
              <w:jc w:val="left"/>
              <w:rPr/>
            </w:pPr>
            <w:r>
              <w:rPr/>
              <w:t> </w:t>
            </w:r>
          </w:p>
        </w:tc>
      </w:tr>
      <w:tr>
        <w:trPr/>
        <w:tc>
          <w:tcPr>
            <w:tcW w:w="4684"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SVB Common Stock Warrants</w:t>
            </w:r>
          </w:p>
        </w:tc>
        <w:tc>
          <w:tcPr>
            <w:tcW w:w="60" w:type="dxa"/>
            <w:tcBorders/>
            <w:shd w:fill="CCEEFF" w:val="clear"/>
            <w:vAlign w:val="center"/>
          </w:tcPr>
          <w:p>
            <w:pPr>
              <w:pStyle w:val="TableContents"/>
              <w:bidi w:val="0"/>
              <w:spacing w:before="0" w:after="283"/>
              <w:jc w:val="left"/>
              <w:rPr/>
            </w:pPr>
            <w:r>
              <w:rPr/>
              <w:t> </w:t>
            </w:r>
          </w:p>
        </w:tc>
        <w:tc>
          <w:tcPr>
            <w:tcW w:w="66" w:type="dxa"/>
            <w:tcBorders/>
            <w:shd w:fill="CCEEFF" w:val="clear"/>
            <w:vAlign w:val="center"/>
          </w:tcPr>
          <w:p>
            <w:pPr>
              <w:pStyle w:val="TableContents"/>
              <w:bidi w:val="0"/>
              <w:spacing w:before="0" w:after="283"/>
              <w:jc w:val="left"/>
              <w:rPr/>
            </w:pPr>
            <w:r>
              <w:rPr/>
              <w:t> </w:t>
            </w:r>
          </w:p>
        </w:tc>
        <w:tc>
          <w:tcPr>
            <w:tcW w:w="1223"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2,473</w:t>
            </w:r>
          </w:p>
        </w:tc>
        <w:tc>
          <w:tcPr>
            <w:tcW w:w="66" w:type="dxa"/>
            <w:tcBorders/>
            <w:shd w:fill="CCEEFF" w:val="clear"/>
            <w:vAlign w:val="center"/>
          </w:tcPr>
          <w:p>
            <w:pPr>
              <w:pStyle w:val="TableContents"/>
              <w:bidi w:val="0"/>
              <w:spacing w:before="0" w:after="283"/>
              <w:jc w:val="left"/>
              <w:rPr/>
            </w:pPr>
            <w:r>
              <w:rPr/>
              <w:t> </w:t>
            </w:r>
          </w:p>
        </w:tc>
        <w:tc>
          <w:tcPr>
            <w:tcW w:w="66" w:type="dxa"/>
            <w:tcBorders/>
            <w:shd w:fill="CCEEFF" w:val="clear"/>
            <w:vAlign w:val="center"/>
          </w:tcPr>
          <w:p>
            <w:pPr>
              <w:pStyle w:val="TableContents"/>
              <w:bidi w:val="0"/>
              <w:spacing w:before="0" w:after="283"/>
              <w:jc w:val="left"/>
              <w:rPr/>
            </w:pPr>
            <w:r>
              <w:rPr/>
              <w:t> </w:t>
            </w:r>
          </w:p>
        </w:tc>
        <w:tc>
          <w:tcPr>
            <w:tcW w:w="69" w:type="dxa"/>
            <w:tcBorders/>
            <w:shd w:fill="CCEEFF" w:val="clear"/>
            <w:vAlign w:val="center"/>
          </w:tcPr>
          <w:p>
            <w:pPr>
              <w:pStyle w:val="TableContents"/>
              <w:bidi w:val="0"/>
              <w:spacing w:before="0" w:after="283"/>
              <w:jc w:val="left"/>
              <w:rPr/>
            </w:pPr>
            <w:r>
              <w:rPr/>
              <w:t> </w:t>
            </w:r>
          </w:p>
        </w:tc>
        <w:tc>
          <w:tcPr>
            <w:tcW w:w="122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2,473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3" w:type="dxa"/>
            <w:tcBorders/>
            <w:shd w:fill="CCEEFF" w:val="clear"/>
            <w:vAlign w:val="center"/>
          </w:tcPr>
          <w:p>
            <w:pPr>
              <w:pStyle w:val="TableContents"/>
              <w:bidi w:val="0"/>
              <w:spacing w:before="0" w:after="283"/>
              <w:jc w:val="left"/>
              <w:rPr/>
            </w:pPr>
            <w:r>
              <w:rPr/>
              <w:t> </w:t>
            </w:r>
          </w:p>
        </w:tc>
        <w:tc>
          <w:tcPr>
            <w:tcW w:w="73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0.38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07" w:type="dxa"/>
            <w:tcBorders/>
            <w:shd w:fill="CCEEFF" w:val="cle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2033</w:t>
            </w:r>
          </w:p>
        </w:tc>
        <w:tc>
          <w:tcPr>
            <w:tcW w:w="81" w:type="dxa"/>
            <w:tcBorders/>
            <w:shd w:fill="CCEEFF" w:val="clear"/>
            <w:vAlign w:val="center"/>
          </w:tcPr>
          <w:p>
            <w:pPr>
              <w:pStyle w:val="TableContents"/>
              <w:bidi w:val="0"/>
              <w:spacing w:before="0" w:after="283"/>
              <w:ind w:left="0" w:right="0" w:hanging="180"/>
              <w:jc w:val="left"/>
              <w:rPr/>
            </w:pPr>
            <w:r>
              <w:rPr/>
              <w:t> </w:t>
            </w:r>
          </w:p>
        </w:tc>
      </w:tr>
      <w:tr>
        <w:trPr/>
        <w:tc>
          <w:tcPr>
            <w:tcW w:w="4684"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SVB Common Stock Warrants</w:t>
            </w:r>
          </w:p>
        </w:tc>
        <w:tc>
          <w:tcPr>
            <w:tcW w:w="60" w:type="dxa"/>
            <w:tcBorders/>
            <w:shd w:fill="FFFFFF" w:val="clear"/>
            <w:vAlign w:val="center"/>
          </w:tcPr>
          <w:p>
            <w:pPr>
              <w:pStyle w:val="TableContents"/>
              <w:bidi w:val="0"/>
              <w:spacing w:before="0" w:after="283"/>
              <w:jc w:val="left"/>
              <w:rPr/>
            </w:pPr>
            <w:r>
              <w:rPr/>
              <w:t> </w:t>
            </w:r>
          </w:p>
        </w:tc>
        <w:tc>
          <w:tcPr>
            <w:tcW w:w="66" w:type="dxa"/>
            <w:tcBorders/>
            <w:shd w:fill="FFFFFF" w:val="clear"/>
            <w:vAlign w:val="center"/>
          </w:tcPr>
          <w:p>
            <w:pPr>
              <w:pStyle w:val="TableContents"/>
              <w:bidi w:val="0"/>
              <w:spacing w:before="0" w:after="283"/>
              <w:jc w:val="left"/>
              <w:rPr/>
            </w:pPr>
            <w:r>
              <w:rPr/>
              <w:t> </w:t>
            </w:r>
          </w:p>
        </w:tc>
        <w:tc>
          <w:tcPr>
            <w:tcW w:w="1223"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2,525</w:t>
            </w:r>
          </w:p>
        </w:tc>
        <w:tc>
          <w:tcPr>
            <w:tcW w:w="66" w:type="dxa"/>
            <w:tcBorders/>
            <w:shd w:fill="FFFFFF" w:val="clear"/>
            <w:vAlign w:val="center"/>
          </w:tcPr>
          <w:p>
            <w:pPr>
              <w:pStyle w:val="TableContents"/>
              <w:bidi w:val="0"/>
              <w:spacing w:before="0" w:after="283"/>
              <w:jc w:val="left"/>
              <w:rPr/>
            </w:pPr>
            <w:r>
              <w:rPr/>
              <w:t> </w:t>
            </w:r>
          </w:p>
        </w:tc>
        <w:tc>
          <w:tcPr>
            <w:tcW w:w="66" w:type="dxa"/>
            <w:tcBorders/>
            <w:shd w:fill="FFFFFF" w:val="clear"/>
            <w:vAlign w:val="center"/>
          </w:tcPr>
          <w:p>
            <w:pPr>
              <w:pStyle w:val="TableContents"/>
              <w:bidi w:val="0"/>
              <w:spacing w:before="0" w:after="283"/>
              <w:jc w:val="left"/>
              <w:rPr/>
            </w:pPr>
            <w:r>
              <w:rPr/>
              <w:t> </w:t>
            </w:r>
          </w:p>
        </w:tc>
        <w:tc>
          <w:tcPr>
            <w:tcW w:w="69" w:type="dxa"/>
            <w:tcBorders/>
            <w:shd w:fill="FFFFFF" w:val="clear"/>
            <w:vAlign w:val="center"/>
          </w:tcPr>
          <w:p>
            <w:pPr>
              <w:pStyle w:val="TableContents"/>
              <w:bidi w:val="0"/>
              <w:spacing w:before="0" w:after="283"/>
              <w:jc w:val="left"/>
              <w:rPr/>
            </w:pPr>
            <w:r>
              <w:rPr/>
              <w:t> </w:t>
            </w:r>
          </w:p>
        </w:tc>
        <w:tc>
          <w:tcPr>
            <w:tcW w:w="122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2,525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3" w:type="dxa"/>
            <w:tcBorders/>
            <w:shd w:fill="FFFFFF" w:val="clear"/>
            <w:vAlign w:val="center"/>
          </w:tcPr>
          <w:p>
            <w:pPr>
              <w:pStyle w:val="TableContents"/>
              <w:bidi w:val="0"/>
              <w:spacing w:before="0" w:after="283"/>
              <w:jc w:val="left"/>
              <w:rPr/>
            </w:pPr>
            <w:r>
              <w:rPr/>
              <w:t> </w:t>
            </w:r>
          </w:p>
        </w:tc>
        <w:tc>
          <w:tcPr>
            <w:tcW w:w="73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0.62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07" w:type="dxa"/>
            <w:tcBorders/>
            <w:shd w:fill="FFFFFF" w:val="cle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2033</w:t>
            </w:r>
          </w:p>
        </w:tc>
        <w:tc>
          <w:tcPr>
            <w:tcW w:w="81" w:type="dxa"/>
            <w:tcBorders/>
            <w:shd w:fill="FFFFFF" w:val="clear"/>
            <w:vAlign w:val="center"/>
          </w:tcPr>
          <w:p>
            <w:pPr>
              <w:pStyle w:val="TableContents"/>
              <w:bidi w:val="0"/>
              <w:spacing w:before="0" w:after="283"/>
              <w:ind w:left="0" w:right="0" w:hanging="180"/>
              <w:jc w:val="left"/>
              <w:rPr/>
            </w:pPr>
            <w:r>
              <w:rPr/>
              <w:t> </w:t>
            </w:r>
          </w:p>
        </w:tc>
      </w:tr>
      <w:tr>
        <w:trPr/>
        <w:tc>
          <w:tcPr>
            <w:tcW w:w="4684"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Promissory Note Common Stock Warrants</w:t>
            </w:r>
          </w:p>
        </w:tc>
        <w:tc>
          <w:tcPr>
            <w:tcW w:w="60" w:type="dxa"/>
            <w:tcBorders/>
            <w:shd w:fill="CCEEFF" w:val="clear"/>
            <w:vAlign w:val="center"/>
          </w:tcPr>
          <w:p>
            <w:pPr>
              <w:pStyle w:val="TableContents"/>
              <w:bidi w:val="0"/>
              <w:spacing w:before="0" w:after="283"/>
              <w:jc w:val="left"/>
              <w:rPr/>
            </w:pPr>
            <w:r>
              <w:rPr/>
              <w:t> </w:t>
            </w:r>
          </w:p>
        </w:tc>
        <w:tc>
          <w:tcPr>
            <w:tcW w:w="66" w:type="dxa"/>
            <w:tcBorders/>
            <w:shd w:fill="CCEEFF" w:val="clear"/>
            <w:vAlign w:val="center"/>
          </w:tcPr>
          <w:p>
            <w:pPr>
              <w:pStyle w:val="TableContents"/>
              <w:bidi w:val="0"/>
              <w:spacing w:before="0" w:after="283"/>
              <w:jc w:val="left"/>
              <w:rPr/>
            </w:pPr>
            <w:r>
              <w:rPr/>
              <w:t> </w:t>
            </w:r>
          </w:p>
        </w:tc>
        <w:tc>
          <w:tcPr>
            <w:tcW w:w="1223"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24,148</w:t>
            </w:r>
          </w:p>
        </w:tc>
        <w:tc>
          <w:tcPr>
            <w:tcW w:w="66" w:type="dxa"/>
            <w:tcBorders/>
            <w:shd w:fill="CCEEFF" w:val="clear"/>
            <w:vAlign w:val="center"/>
          </w:tcPr>
          <w:p>
            <w:pPr>
              <w:pStyle w:val="TableContents"/>
              <w:bidi w:val="0"/>
              <w:spacing w:before="0" w:after="283"/>
              <w:jc w:val="left"/>
              <w:rPr/>
            </w:pPr>
            <w:r>
              <w:rPr/>
              <w:t> </w:t>
            </w:r>
          </w:p>
        </w:tc>
        <w:tc>
          <w:tcPr>
            <w:tcW w:w="66" w:type="dxa"/>
            <w:tcBorders/>
            <w:shd w:fill="CCEEFF" w:val="clear"/>
            <w:vAlign w:val="center"/>
          </w:tcPr>
          <w:p>
            <w:pPr>
              <w:pStyle w:val="TableContents"/>
              <w:bidi w:val="0"/>
              <w:spacing w:before="0" w:after="283"/>
              <w:jc w:val="left"/>
              <w:rPr/>
            </w:pPr>
            <w:r>
              <w:rPr/>
              <w:t> </w:t>
            </w:r>
          </w:p>
        </w:tc>
        <w:tc>
          <w:tcPr>
            <w:tcW w:w="69" w:type="dxa"/>
            <w:tcBorders/>
            <w:shd w:fill="CCEEFF" w:val="clear"/>
            <w:vAlign w:val="center"/>
          </w:tcPr>
          <w:p>
            <w:pPr>
              <w:pStyle w:val="TableContents"/>
              <w:bidi w:val="0"/>
              <w:spacing w:before="0" w:after="283"/>
              <w:jc w:val="left"/>
              <w:rPr/>
            </w:pPr>
            <w:r>
              <w:rPr/>
              <w:t> </w:t>
            </w:r>
          </w:p>
        </w:tc>
        <w:tc>
          <w:tcPr>
            <w:tcW w:w="122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24,148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3" w:type="dxa"/>
            <w:tcBorders/>
            <w:shd w:fill="CCEEFF" w:val="clear"/>
            <w:vAlign w:val="center"/>
          </w:tcPr>
          <w:p>
            <w:pPr>
              <w:pStyle w:val="TableContents"/>
              <w:bidi w:val="0"/>
              <w:spacing w:before="0" w:after="283"/>
              <w:jc w:val="left"/>
              <w:rPr/>
            </w:pPr>
            <w:r>
              <w:rPr/>
              <w:t> </w:t>
            </w:r>
          </w:p>
        </w:tc>
        <w:tc>
          <w:tcPr>
            <w:tcW w:w="73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0.01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07"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October 2031</w:t>
            </w:r>
          </w:p>
        </w:tc>
        <w:tc>
          <w:tcPr>
            <w:tcW w:w="81" w:type="dxa"/>
            <w:tcBorders/>
            <w:shd w:fill="CCEEFF" w:val="clear"/>
            <w:vAlign w:val="center"/>
          </w:tcPr>
          <w:p>
            <w:pPr>
              <w:pStyle w:val="TableContents"/>
              <w:bidi w:val="0"/>
              <w:spacing w:before="0" w:after="283"/>
              <w:ind w:left="0" w:right="0" w:hanging="180"/>
              <w:jc w:val="left"/>
              <w:rPr/>
            </w:pPr>
            <w:r>
              <w:rPr/>
              <w:t> </w:t>
            </w:r>
          </w:p>
        </w:tc>
      </w:tr>
      <w:tr>
        <w:trPr/>
        <w:tc>
          <w:tcPr>
            <w:tcW w:w="4684"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July 2023 Common Stock Warrants</w:t>
            </w:r>
          </w:p>
        </w:tc>
        <w:tc>
          <w:tcPr>
            <w:tcW w:w="60" w:type="dxa"/>
            <w:tcBorders/>
            <w:shd w:fill="FFFFFF" w:val="clear"/>
            <w:vAlign w:val="center"/>
          </w:tcPr>
          <w:p>
            <w:pPr>
              <w:pStyle w:val="TableContents"/>
              <w:bidi w:val="0"/>
              <w:spacing w:before="0" w:after="283"/>
              <w:jc w:val="left"/>
              <w:rPr/>
            </w:pPr>
            <w:r>
              <w:rPr/>
              <w:t> </w:t>
            </w:r>
          </w:p>
        </w:tc>
        <w:tc>
          <w:tcPr>
            <w:tcW w:w="66" w:type="dxa"/>
            <w:tcBorders/>
            <w:shd w:fill="FFFFFF" w:val="clear"/>
            <w:vAlign w:val="center"/>
          </w:tcPr>
          <w:p>
            <w:pPr>
              <w:pStyle w:val="TableContents"/>
              <w:bidi w:val="0"/>
              <w:spacing w:before="0" w:after="283"/>
              <w:jc w:val="left"/>
              <w:rPr/>
            </w:pPr>
            <w:r>
              <w:rPr/>
              <w:t> </w:t>
            </w:r>
          </w:p>
        </w:tc>
        <w:tc>
          <w:tcPr>
            <w:tcW w:w="1223"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38,981</w:t>
            </w:r>
          </w:p>
        </w:tc>
        <w:tc>
          <w:tcPr>
            <w:tcW w:w="66" w:type="dxa"/>
            <w:tcBorders/>
            <w:shd w:fill="FFFFFF" w:val="clear"/>
            <w:vAlign w:val="center"/>
          </w:tcPr>
          <w:p>
            <w:pPr>
              <w:pStyle w:val="TableContents"/>
              <w:bidi w:val="0"/>
              <w:spacing w:before="0" w:after="283"/>
              <w:jc w:val="left"/>
              <w:rPr/>
            </w:pPr>
            <w:r>
              <w:rPr/>
              <w:t> </w:t>
            </w:r>
          </w:p>
        </w:tc>
        <w:tc>
          <w:tcPr>
            <w:tcW w:w="66" w:type="dxa"/>
            <w:tcBorders/>
            <w:shd w:fill="FFFFFF" w:val="clear"/>
            <w:vAlign w:val="center"/>
          </w:tcPr>
          <w:p>
            <w:pPr>
              <w:pStyle w:val="TableContents"/>
              <w:bidi w:val="0"/>
              <w:spacing w:before="0" w:after="283"/>
              <w:jc w:val="left"/>
              <w:rPr/>
            </w:pPr>
            <w:r>
              <w:rPr/>
              <w:t> </w:t>
            </w:r>
          </w:p>
        </w:tc>
        <w:tc>
          <w:tcPr>
            <w:tcW w:w="69" w:type="dxa"/>
            <w:tcBorders/>
            <w:shd w:fill="FFFFFF" w:val="clear"/>
            <w:vAlign w:val="center"/>
          </w:tcPr>
          <w:p>
            <w:pPr>
              <w:pStyle w:val="TableContents"/>
              <w:bidi w:val="0"/>
              <w:spacing w:before="0" w:after="283"/>
              <w:jc w:val="left"/>
              <w:rPr/>
            </w:pPr>
            <w:r>
              <w:rPr/>
              <w:t> </w:t>
            </w:r>
          </w:p>
        </w:tc>
        <w:tc>
          <w:tcPr>
            <w:tcW w:w="122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38,981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3" w:type="dxa"/>
            <w:tcBorders/>
            <w:shd w:fill="FFFFFF" w:val="clear"/>
            <w:vAlign w:val="center"/>
          </w:tcPr>
          <w:p>
            <w:pPr>
              <w:pStyle w:val="TableContents"/>
              <w:bidi w:val="0"/>
              <w:spacing w:before="0" w:after="283"/>
              <w:jc w:val="left"/>
              <w:rPr/>
            </w:pPr>
            <w:r>
              <w:rPr/>
              <w:t> </w:t>
            </w:r>
          </w:p>
        </w:tc>
        <w:tc>
          <w:tcPr>
            <w:tcW w:w="73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0.01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07" w:type="dxa"/>
            <w:tcBorders/>
            <w:shd w:fill="FFFF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July 2028</w:t>
            </w:r>
          </w:p>
        </w:tc>
        <w:tc>
          <w:tcPr>
            <w:tcW w:w="81" w:type="dxa"/>
            <w:tcBorders/>
            <w:shd w:fill="FFFFFF" w:val="clear"/>
            <w:vAlign w:val="center"/>
          </w:tcPr>
          <w:p>
            <w:pPr>
              <w:pStyle w:val="TableContents"/>
              <w:bidi w:val="0"/>
              <w:spacing w:before="0" w:after="283"/>
              <w:ind w:left="0" w:right="0" w:hanging="180"/>
              <w:jc w:val="left"/>
              <w:rPr/>
            </w:pPr>
            <w:r>
              <w:rPr/>
              <w:t> </w:t>
            </w:r>
          </w:p>
        </w:tc>
      </w:tr>
      <w:tr>
        <w:trPr/>
        <w:tc>
          <w:tcPr>
            <w:tcW w:w="4684"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Common Stock Warrants Issued in 2023 (“Merger Warrants”)</w:t>
            </w:r>
          </w:p>
        </w:tc>
        <w:tc>
          <w:tcPr>
            <w:tcW w:w="60" w:type="dxa"/>
            <w:tcBorders/>
            <w:shd w:fill="CCEEFF" w:val="clear"/>
            <w:vAlign w:val="center"/>
          </w:tcPr>
          <w:p>
            <w:pPr>
              <w:pStyle w:val="TableContents"/>
              <w:bidi w:val="0"/>
              <w:spacing w:before="0" w:after="283"/>
              <w:jc w:val="left"/>
              <w:rPr/>
            </w:pPr>
            <w:r>
              <w:rPr/>
              <w:t> </w:t>
            </w:r>
          </w:p>
        </w:tc>
        <w:tc>
          <w:tcPr>
            <w:tcW w:w="66" w:type="dxa"/>
            <w:tcBorders/>
            <w:shd w:fill="CCEEFF" w:val="clear"/>
            <w:vAlign w:val="center"/>
          </w:tcPr>
          <w:p>
            <w:pPr>
              <w:pStyle w:val="TableContents"/>
              <w:bidi w:val="0"/>
              <w:spacing w:before="0" w:after="283"/>
              <w:jc w:val="left"/>
              <w:rPr/>
            </w:pPr>
            <w:r>
              <w:rPr/>
              <w:t> </w:t>
            </w:r>
          </w:p>
        </w:tc>
        <w:tc>
          <w:tcPr>
            <w:tcW w:w="1223"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6,266,572</w:t>
            </w:r>
          </w:p>
        </w:tc>
        <w:tc>
          <w:tcPr>
            <w:tcW w:w="66" w:type="dxa"/>
            <w:tcBorders/>
            <w:shd w:fill="CCEEFF" w:val="clear"/>
            <w:vAlign w:val="center"/>
          </w:tcPr>
          <w:p>
            <w:pPr>
              <w:pStyle w:val="TableContents"/>
              <w:bidi w:val="0"/>
              <w:spacing w:before="0" w:after="283"/>
              <w:jc w:val="left"/>
              <w:rPr/>
            </w:pPr>
            <w:r>
              <w:rPr/>
              <w:t> </w:t>
            </w:r>
          </w:p>
        </w:tc>
        <w:tc>
          <w:tcPr>
            <w:tcW w:w="66" w:type="dxa"/>
            <w:tcBorders/>
            <w:shd w:fill="CCEEFF" w:val="clear"/>
            <w:vAlign w:val="center"/>
          </w:tcPr>
          <w:p>
            <w:pPr>
              <w:pStyle w:val="TableContents"/>
              <w:bidi w:val="0"/>
              <w:spacing w:before="0" w:after="283"/>
              <w:jc w:val="left"/>
              <w:rPr/>
            </w:pPr>
            <w:r>
              <w:rPr/>
              <w:t> </w:t>
            </w:r>
          </w:p>
        </w:tc>
        <w:tc>
          <w:tcPr>
            <w:tcW w:w="69" w:type="dxa"/>
            <w:tcBorders/>
            <w:shd w:fill="CCEEFF" w:val="clear"/>
            <w:vAlign w:val="center"/>
          </w:tcPr>
          <w:p>
            <w:pPr>
              <w:pStyle w:val="TableContents"/>
              <w:bidi w:val="0"/>
              <w:spacing w:before="0" w:after="283"/>
              <w:jc w:val="left"/>
              <w:rPr/>
            </w:pPr>
            <w:r>
              <w:rPr/>
              <w:t> </w:t>
            </w:r>
          </w:p>
        </w:tc>
        <w:tc>
          <w:tcPr>
            <w:tcW w:w="122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6,266,572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3" w:type="dxa"/>
            <w:tcBorders/>
            <w:shd w:fill="CCEEFF" w:val="clear"/>
            <w:vAlign w:val="center"/>
          </w:tcPr>
          <w:p>
            <w:pPr>
              <w:pStyle w:val="TableContents"/>
              <w:bidi w:val="0"/>
              <w:spacing w:before="0" w:after="283"/>
              <w:jc w:val="left"/>
              <w:rPr/>
            </w:pPr>
            <w:r>
              <w:rPr/>
              <w:t> </w:t>
            </w:r>
          </w:p>
        </w:tc>
        <w:tc>
          <w:tcPr>
            <w:tcW w:w="73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11.50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07"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July 18, 2033</w:t>
            </w:r>
          </w:p>
        </w:tc>
        <w:tc>
          <w:tcPr>
            <w:tcW w:w="81" w:type="dxa"/>
            <w:tcBorders/>
            <w:shd w:fill="CCEEFF" w:val="clear"/>
            <w:vAlign w:val="center"/>
          </w:tcPr>
          <w:p>
            <w:pPr>
              <w:pStyle w:val="TableContents"/>
              <w:bidi w:val="0"/>
              <w:spacing w:before="0" w:after="283"/>
              <w:ind w:left="0" w:right="0" w:hanging="180"/>
              <w:jc w:val="left"/>
              <w:rPr/>
            </w:pPr>
            <w:r>
              <w:rPr/>
              <w:t> </w:t>
            </w:r>
          </w:p>
        </w:tc>
      </w:tr>
      <w:tr>
        <w:trPr/>
        <w:tc>
          <w:tcPr>
            <w:tcW w:w="4684"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Cantor Warrant</w:t>
            </w:r>
          </w:p>
        </w:tc>
        <w:tc>
          <w:tcPr>
            <w:tcW w:w="60" w:type="dxa"/>
            <w:tcBorders/>
            <w:shd w:fill="FFFFFF" w:val="clear"/>
            <w:vAlign w:val="center"/>
          </w:tcPr>
          <w:p>
            <w:pPr>
              <w:pStyle w:val="TableContents"/>
              <w:bidi w:val="0"/>
              <w:spacing w:before="0" w:after="283"/>
              <w:jc w:val="left"/>
              <w:rPr/>
            </w:pPr>
            <w:r>
              <w:rPr/>
              <w:t> </w:t>
            </w:r>
          </w:p>
        </w:tc>
        <w:tc>
          <w:tcPr>
            <w:tcW w:w="66"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23"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3,066,141</w:t>
            </w:r>
          </w:p>
        </w:tc>
        <w:tc>
          <w:tcPr>
            <w:tcW w:w="66" w:type="dxa"/>
            <w:tcBorders/>
            <w:shd w:fill="FFFFFF" w:val="clear"/>
            <w:vAlign w:val="center"/>
          </w:tcPr>
          <w:p>
            <w:pPr>
              <w:pStyle w:val="TableContents"/>
              <w:bidi w:val="0"/>
              <w:spacing w:before="0" w:after="283"/>
              <w:jc w:val="left"/>
              <w:rPr/>
            </w:pPr>
            <w:r>
              <w:rPr/>
              <w:t> </w:t>
            </w:r>
          </w:p>
        </w:tc>
        <w:tc>
          <w:tcPr>
            <w:tcW w:w="66" w:type="dxa"/>
            <w:tcBorders/>
            <w:shd w:fill="FFFFFF" w:val="clear"/>
            <w:vAlign w:val="center"/>
          </w:tcPr>
          <w:p>
            <w:pPr>
              <w:pStyle w:val="TableContents"/>
              <w:bidi w:val="0"/>
              <w:spacing w:before="0" w:after="283"/>
              <w:jc w:val="left"/>
              <w:rPr/>
            </w:pPr>
            <w:r>
              <w:rPr/>
              <w:t> </w:t>
            </w:r>
          </w:p>
        </w:tc>
        <w:tc>
          <w:tcPr>
            <w:tcW w:w="69"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25"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3,066,141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3" w:type="dxa"/>
            <w:tcBorders/>
            <w:shd w:fill="FFFFFF" w:val="clear"/>
            <w:vAlign w:val="center"/>
          </w:tcPr>
          <w:p>
            <w:pPr>
              <w:pStyle w:val="TableContents"/>
              <w:bidi w:val="0"/>
              <w:spacing w:before="0" w:after="283"/>
              <w:jc w:val="left"/>
              <w:rPr/>
            </w:pPr>
            <w:r>
              <w:rPr/>
              <w:t> </w:t>
            </w:r>
          </w:p>
        </w:tc>
        <w:tc>
          <w:tcPr>
            <w:tcW w:w="73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1.68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07" w:type="dxa"/>
            <w:tcBorders/>
            <w:shd w:fill="FFFF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June 2029</w:t>
            </w:r>
          </w:p>
        </w:tc>
        <w:tc>
          <w:tcPr>
            <w:tcW w:w="81" w:type="dxa"/>
            <w:tcBorders/>
            <w:shd w:fill="FFFFFF" w:val="clear"/>
            <w:vAlign w:val="center"/>
          </w:tcPr>
          <w:p>
            <w:pPr>
              <w:pStyle w:val="TableContents"/>
              <w:bidi w:val="0"/>
              <w:spacing w:before="0" w:after="283"/>
              <w:jc w:val="left"/>
              <w:rPr/>
            </w:pPr>
            <w:r>
              <w:rPr/>
              <w:t> </w:t>
            </w:r>
          </w:p>
        </w:tc>
      </w:tr>
      <w:tr>
        <w:trPr/>
        <w:tc>
          <w:tcPr>
            <w:tcW w:w="4684"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Total shares of common stock – equity classified warrants</w:t>
            </w:r>
          </w:p>
        </w:tc>
        <w:tc>
          <w:tcPr>
            <w:tcW w:w="60" w:type="dxa"/>
            <w:tcBorders/>
            <w:shd w:fill="CCEEFF" w:val="clear"/>
            <w:vAlign w:val="center"/>
          </w:tcPr>
          <w:p>
            <w:pPr>
              <w:pStyle w:val="TableContents"/>
              <w:bidi w:val="0"/>
              <w:spacing w:before="0" w:after="283"/>
              <w:jc w:val="left"/>
              <w:rPr/>
            </w:pPr>
            <w:r>
              <w:rPr/>
              <w:t> </w:t>
            </w:r>
          </w:p>
        </w:tc>
        <w:tc>
          <w:tcPr>
            <w:tcW w:w="66"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23"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10,061,930</w:t>
            </w:r>
          </w:p>
        </w:tc>
        <w:tc>
          <w:tcPr>
            <w:tcW w:w="66" w:type="dxa"/>
            <w:tcBorders/>
            <w:shd w:fill="CCEEFF" w:val="clear"/>
            <w:vAlign w:val="center"/>
          </w:tcPr>
          <w:p>
            <w:pPr>
              <w:pStyle w:val="TableContents"/>
              <w:bidi w:val="0"/>
              <w:spacing w:before="0" w:after="283"/>
              <w:jc w:val="left"/>
              <w:rPr/>
            </w:pPr>
            <w:r>
              <w:rPr/>
              <w:t> </w:t>
            </w:r>
          </w:p>
        </w:tc>
        <w:tc>
          <w:tcPr>
            <w:tcW w:w="66" w:type="dxa"/>
            <w:tcBorders/>
            <w:shd w:fill="CCEEFF" w:val="clear"/>
            <w:vAlign w:val="center"/>
          </w:tcPr>
          <w:p>
            <w:pPr>
              <w:pStyle w:val="TableContents"/>
              <w:bidi w:val="0"/>
              <w:spacing w:before="0" w:after="283"/>
              <w:jc w:val="left"/>
              <w:rPr/>
            </w:pPr>
            <w:r>
              <w:rPr/>
              <w:t> </w:t>
            </w:r>
          </w:p>
        </w:tc>
        <w:tc>
          <w:tcPr>
            <w:tcW w:w="69"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25"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10,061,930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3" w:type="dxa"/>
            <w:tcBorders/>
            <w:shd w:fill="CCEEFF" w:val="clear"/>
            <w:vAlign w:val="center"/>
          </w:tcPr>
          <w:p>
            <w:pPr>
              <w:pStyle w:val="TableContents"/>
              <w:bidi w:val="0"/>
              <w:spacing w:before="0" w:after="283"/>
              <w:jc w:val="left"/>
              <w:rPr/>
            </w:pPr>
            <w:r>
              <w:rPr/>
              <w:t> </w:t>
            </w:r>
          </w:p>
        </w:tc>
        <w:tc>
          <w:tcPr>
            <w:tcW w:w="735"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07" w:type="dxa"/>
            <w:tcBorders/>
            <w:shd w:fill="CCEEFF" w:val="clear"/>
            <w:vAlign w:val="center"/>
          </w:tcPr>
          <w:p>
            <w:pPr>
              <w:pStyle w:val="TableContents"/>
              <w:bidi w:val="0"/>
              <w:spacing w:before="0" w:after="283"/>
              <w:jc w:val="right"/>
              <w:rPr/>
            </w:pPr>
            <w:r>
              <w:rPr/>
              <w:t> </w:t>
            </w:r>
          </w:p>
        </w:tc>
        <w:tc>
          <w:tcPr>
            <w:tcW w:w="81" w:type="dxa"/>
            <w:tcBorders/>
            <w:shd w:fill="CCEEFF" w:val="clear"/>
            <w:vAlign w:val="center"/>
          </w:tcPr>
          <w:p>
            <w:pPr>
              <w:pStyle w:val="TableContents"/>
              <w:bidi w:val="0"/>
              <w:spacing w:before="0" w:after="283"/>
              <w:jc w:val="left"/>
              <w:rPr/>
            </w:pPr>
            <w:r>
              <w:rPr/>
              <w:t> </w:t>
            </w:r>
          </w:p>
        </w:tc>
      </w:tr>
      <w:tr>
        <w:trPr/>
        <w:tc>
          <w:tcPr>
            <w:tcW w:w="4684"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Total potential shares of common stock</w:t>
            </w:r>
          </w:p>
        </w:tc>
        <w:tc>
          <w:tcPr>
            <w:tcW w:w="60" w:type="dxa"/>
            <w:tcBorders/>
            <w:shd w:fill="FFFFFF" w:val="clear"/>
            <w:vAlign w:val="center"/>
          </w:tcPr>
          <w:p>
            <w:pPr>
              <w:pStyle w:val="TableContents"/>
              <w:bidi w:val="0"/>
              <w:spacing w:before="0" w:after="283"/>
              <w:jc w:val="left"/>
              <w:rPr/>
            </w:pPr>
            <w:r>
              <w:rPr/>
              <w:t> </w:t>
            </w:r>
          </w:p>
        </w:tc>
        <w:tc>
          <w:tcPr>
            <w:tcW w:w="66" w:type="dxa"/>
            <w:tcBorders>
              <w:bottom w:val="double" w:sz="10" w:space="0" w:color="000000"/>
            </w:tcBorders>
            <w:shd w:fill="FFFFFF" w:val="clear"/>
            <w:tcMar>
              <w:bottom w:w="28" w:type="dxa"/>
            </w:tcMar>
            <w:vAlign w:val="center"/>
          </w:tcPr>
          <w:p>
            <w:pPr>
              <w:pStyle w:val="TableContents"/>
              <w:bidi w:val="0"/>
              <w:spacing w:before="0" w:after="283"/>
              <w:jc w:val="left"/>
              <w:rPr/>
            </w:pPr>
            <w:r>
              <w:rPr/>
              <w:t> </w:t>
            </w:r>
          </w:p>
        </w:tc>
        <w:tc>
          <w:tcPr>
            <w:tcW w:w="1223" w:type="dxa"/>
            <w:tcBorders>
              <w:bottom w:val="double" w:sz="10"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25,670,265</w:t>
            </w:r>
          </w:p>
        </w:tc>
        <w:tc>
          <w:tcPr>
            <w:tcW w:w="66" w:type="dxa"/>
            <w:tcBorders/>
            <w:shd w:fill="FFFFFF" w:val="clear"/>
            <w:vAlign w:val="center"/>
          </w:tcPr>
          <w:p>
            <w:pPr>
              <w:pStyle w:val="TableContents"/>
              <w:bidi w:val="0"/>
              <w:spacing w:before="0" w:after="283"/>
              <w:jc w:val="left"/>
              <w:rPr/>
            </w:pPr>
            <w:r>
              <w:rPr/>
              <w:t> </w:t>
            </w:r>
          </w:p>
        </w:tc>
        <w:tc>
          <w:tcPr>
            <w:tcW w:w="66" w:type="dxa"/>
            <w:tcBorders/>
            <w:shd w:fill="FFFFFF" w:val="clear"/>
            <w:vAlign w:val="center"/>
          </w:tcPr>
          <w:p>
            <w:pPr>
              <w:pStyle w:val="TableContents"/>
              <w:bidi w:val="0"/>
              <w:spacing w:before="0" w:after="283"/>
              <w:jc w:val="left"/>
              <w:rPr/>
            </w:pPr>
            <w:r>
              <w:rPr/>
              <w:t> </w:t>
            </w:r>
          </w:p>
        </w:tc>
        <w:tc>
          <w:tcPr>
            <w:tcW w:w="69" w:type="dxa"/>
            <w:tcBorders>
              <w:bottom w:val="double" w:sz="10" w:space="0" w:color="000000"/>
            </w:tcBorders>
            <w:shd w:fill="FFFFFF" w:val="clear"/>
            <w:tcMar>
              <w:bottom w:w="28" w:type="dxa"/>
            </w:tcMar>
            <w:vAlign w:val="center"/>
          </w:tcPr>
          <w:p>
            <w:pPr>
              <w:pStyle w:val="TableContents"/>
              <w:bidi w:val="0"/>
              <w:spacing w:before="0" w:after="283"/>
              <w:jc w:val="left"/>
              <w:rPr/>
            </w:pPr>
            <w:r>
              <w:rPr/>
              <w:t> </w:t>
            </w:r>
          </w:p>
        </w:tc>
        <w:tc>
          <w:tcPr>
            <w:tcW w:w="1225" w:type="dxa"/>
            <w:tcBorders>
              <w:bottom w:val="double" w:sz="10"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25,670,265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3" w:type="dxa"/>
            <w:tcBorders/>
            <w:shd w:fill="FFFFFF" w:val="clear"/>
            <w:vAlign w:val="center"/>
          </w:tcPr>
          <w:p>
            <w:pPr>
              <w:pStyle w:val="TableContents"/>
              <w:bidi w:val="0"/>
              <w:spacing w:before="0" w:after="283"/>
              <w:jc w:val="left"/>
              <w:rPr/>
            </w:pPr>
            <w:r>
              <w:rPr/>
              <w:t> </w:t>
            </w:r>
          </w:p>
        </w:tc>
        <w:tc>
          <w:tcPr>
            <w:tcW w:w="735"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07" w:type="dxa"/>
            <w:tcBorders/>
            <w:shd w:fill="FFFFFF" w:val="clear"/>
            <w:vAlign w:val="center"/>
          </w:tcPr>
          <w:p>
            <w:pPr>
              <w:pStyle w:val="TableContents"/>
              <w:bidi w:val="0"/>
              <w:spacing w:before="0" w:after="283"/>
              <w:jc w:val="right"/>
              <w:rPr/>
            </w:pPr>
            <w:r>
              <w:rPr/>
              <w:t> </w:t>
            </w:r>
          </w:p>
        </w:tc>
        <w:tc>
          <w:tcPr>
            <w:tcW w:w="81"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36"/>
        <w:gridCol w:w="9969"/>
      </w:tblGrid>
      <w:tr>
        <w:trPr/>
        <w:tc>
          <w:tcPr>
            <w:tcW w:w="236" w:type="dxa"/>
            <w:tcBorders/>
            <w:vAlign w:val="center"/>
          </w:tcPr>
          <w:p>
            <w:pPr>
              <w:pStyle w:val="TableContents"/>
              <w:bidi w:val="0"/>
              <w:spacing w:before="0" w:after="283"/>
              <w:jc w:val="left"/>
              <w:rPr>
                <w:rFonts w:ascii="Times New Roman;Times;Serif" w:hAnsi="Times New Roman;Times;Serif"/>
                <w:position w:val="7"/>
                <w:sz w:val="16"/>
                <w:sz w:val="20"/>
              </w:rPr>
            </w:pPr>
            <w:r>
              <w:rPr>
                <w:rFonts w:ascii="Times New Roman;Times;Serif" w:hAnsi="Times New Roman;Times;Serif"/>
                <w:position w:val="7"/>
                <w:sz w:val="16"/>
                <w:sz w:val="20"/>
              </w:rPr>
              <w:t>(1)</w:t>
            </w:r>
          </w:p>
        </w:tc>
        <w:tc>
          <w:tcPr>
            <w:tcW w:w="9969"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Excludes the 2025 Cantor Warrant which was not issued as of March 29, 2026.</w:t>
            </w:r>
          </w:p>
        </w:tc>
      </w:tr>
      <w:tr>
        <w:trPr/>
        <w:tc>
          <w:tcPr>
            <w:tcW w:w="236" w:type="dxa"/>
            <w:tcBorders/>
            <w:vAlign w:val="center"/>
          </w:tcPr>
          <w:p>
            <w:pPr>
              <w:pStyle w:val="TableContents"/>
              <w:bidi w:val="0"/>
              <w:spacing w:before="0" w:after="283"/>
              <w:jc w:val="left"/>
              <w:rPr/>
            </w:pPr>
            <w:r>
              <w:rPr/>
              <w:t> </w:t>
            </w:r>
          </w:p>
        </w:tc>
        <w:tc>
          <w:tcPr>
            <w:tcW w:w="9969" w:type="dxa"/>
            <w:tcBorders/>
            <w:vAlign w:val="center"/>
          </w:tcPr>
          <w:p>
            <w:pPr>
              <w:pStyle w:val="TableContents"/>
              <w:bidi w:val="0"/>
              <w:spacing w:before="0" w:after="283"/>
              <w:jc w:val="both"/>
              <w:rPr/>
            </w:pPr>
            <w:r>
              <w:rPr/>
              <w:t> </w:t>
            </w:r>
          </w:p>
        </w:tc>
      </w:tr>
      <w:tr>
        <w:trPr/>
        <w:tc>
          <w:tcPr>
            <w:tcW w:w="236" w:type="dxa"/>
            <w:tcBorders/>
            <w:vAlign w:val="center"/>
          </w:tcPr>
          <w:p>
            <w:pPr>
              <w:pStyle w:val="TableContents"/>
              <w:bidi w:val="0"/>
              <w:spacing w:before="0" w:after="283"/>
              <w:jc w:val="left"/>
              <w:rPr>
                <w:rFonts w:ascii="Times New Roman;Times;Serif" w:hAnsi="Times New Roman;Times;Serif"/>
                <w:position w:val="7"/>
                <w:sz w:val="16"/>
                <w:sz w:val="20"/>
              </w:rPr>
            </w:pPr>
            <w:r>
              <w:rPr>
                <w:rFonts w:ascii="Times New Roman;Times;Serif" w:hAnsi="Times New Roman;Times;Serif"/>
                <w:position w:val="7"/>
                <w:sz w:val="16"/>
                <w:sz w:val="20"/>
              </w:rPr>
              <w:t>(2)</w:t>
            </w:r>
          </w:p>
        </w:tc>
        <w:tc>
          <w:tcPr>
            <w:tcW w:w="9969"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warrants expire five years after the Closing date of the Mergers, which date was July 18, 2023, or earlier upon redemption or liquidation.</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sz w:val="20"/>
          <w:bdr w:val="single" w:sz="12" w:space="1" w:color="000000"/>
        </w:rPr>
      </w:pPr>
      <w:r>
        <w:rPr>
          <w:sz w:val="20"/>
          <w:bdr w:val="single" w:sz="12" w:space="1" w:color="000000"/>
        </w:rPr>
        <w:t>F-42</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(14) Stock-Based Compensation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information below summarizes the stock option activity under the Plans.</w:t>
      </w:r>
    </w:p>
    <w:p>
      <w:pPr>
        <w:pStyle w:val="TextBody"/>
        <w:bidi w:val="0"/>
        <w:spacing w:before="0" w:after="0"/>
        <w:ind w:left="0" w:right="0" w:hanging="0"/>
        <w:jc w:val="both"/>
        <w:rPr>
          <w:caps w:val="false"/>
          <w:smallCaps w:val="false"/>
        </w:rPr>
      </w:pPr>
      <w:r>
        <w:rPr>
          <w:caps w:val="false"/>
          <w:smallCaps w:val="false"/>
        </w:rPr>
        <w:t> </w:t>
      </w:r>
    </w:p>
    <w:tbl>
      <w:tblPr>
        <w:tblW w:w="9609" w:type="dxa"/>
        <w:jc w:val="left"/>
        <w:tblInd w:w="0" w:type="dxa"/>
        <w:tblLayout w:type="fixed"/>
        <w:tblCellMar>
          <w:top w:w="0" w:type="dxa"/>
          <w:left w:w="0" w:type="dxa"/>
          <w:bottom w:w="0" w:type="dxa"/>
          <w:right w:w="0" w:type="dxa"/>
        </w:tblCellMar>
      </w:tblPr>
      <w:tblGrid>
        <w:gridCol w:w="4550"/>
        <w:gridCol w:w="60"/>
        <w:gridCol w:w="65"/>
        <w:gridCol w:w="1064"/>
        <w:gridCol w:w="60"/>
        <w:gridCol w:w="60"/>
        <w:gridCol w:w="240"/>
        <w:gridCol w:w="755"/>
        <w:gridCol w:w="60"/>
        <w:gridCol w:w="60"/>
        <w:gridCol w:w="150"/>
        <w:gridCol w:w="1100"/>
        <w:gridCol w:w="60"/>
        <w:gridCol w:w="60"/>
        <w:gridCol w:w="238"/>
        <w:gridCol w:w="952"/>
        <w:gridCol w:w="75"/>
      </w:tblGrid>
      <w:tr>
        <w:trPr/>
        <w:tc>
          <w:tcPr>
            <w:tcW w:w="455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129"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Number of</w:t>
              <w:br/>
              <w:t>Shares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9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Weighted</w:t>
              <w:br/>
              <w:t>Average</w:t>
              <w:br/>
              <w:t>Exercise</w:t>
              <w:br/>
              <w:t>Price per</w:t>
              <w:br/>
              <w:t>Share</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5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Weighted</w:t>
              <w:br/>
              <w:t>Average</w:t>
              <w:br/>
              <w:t>Contractual</w:t>
              <w:br/>
              <w:t>Term</w:t>
              <w:br/>
              <w:t>(Years)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90"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Aggregate</w:t>
              <w:br/>
              <w:t>Intrinsic</w:t>
              <w:br/>
              <w:t>Value</w:t>
              <w:br/>
            </w:r>
            <w:r>
              <w:rPr>
                <w:rFonts w:ascii="Times New Roman;Times;Serif" w:hAnsi="Times New Roman;Times;Serif"/>
                <w:b/>
                <w:i/>
                <w:sz w:val="20"/>
              </w:rPr>
              <w:t>(in thousands)</w:t>
            </w:r>
          </w:p>
        </w:tc>
        <w:tc>
          <w:tcPr>
            <w:tcW w:w="75" w:type="dxa"/>
            <w:tcBorders/>
            <w:vAlign w:val="center"/>
          </w:tcPr>
          <w:p>
            <w:pPr>
              <w:pStyle w:val="TableContents"/>
              <w:bidi w:val="0"/>
              <w:spacing w:before="0" w:after="283"/>
              <w:jc w:val="left"/>
              <w:rPr/>
            </w:pPr>
            <w:r>
              <w:rPr/>
              <w:t> </w:t>
            </w:r>
          </w:p>
        </w:tc>
      </w:tr>
      <w:tr>
        <w:trPr/>
        <w:tc>
          <w:tcPr>
            <w:tcW w:w="4550" w:type="dxa"/>
            <w:tcBorders/>
            <w:shd w:fill="CCEEFF" w:val="clear"/>
            <w:vAlign w:val="center"/>
          </w:tcPr>
          <w:p>
            <w:pPr>
              <w:pStyle w:val="TableContents"/>
              <w:bidi w:val="0"/>
              <w:spacing w:before="0" w:after="283"/>
              <w:jc w:val="both"/>
              <w:rPr/>
            </w:pPr>
            <w:r>
              <w:rPr/>
              <w:t>Outstanding—December 28, 2025</w:t>
            </w:r>
          </w:p>
        </w:tc>
        <w:tc>
          <w:tcPr>
            <w:tcW w:w="60"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jc w:val="left"/>
              <w:rPr/>
            </w:pPr>
            <w:r>
              <w:rPr/>
              <w:t> </w:t>
            </w:r>
          </w:p>
        </w:tc>
        <w:tc>
          <w:tcPr>
            <w:tcW w:w="1064" w:type="dxa"/>
            <w:tcBorders/>
            <w:shd w:fill="CCEEFF" w:val="clear"/>
            <w:vAlign w:val="center"/>
          </w:tcPr>
          <w:p>
            <w:pPr>
              <w:pStyle w:val="TableContents"/>
              <w:bidi w:val="0"/>
              <w:spacing w:before="0" w:after="283"/>
              <w:jc w:val="right"/>
              <w:rPr/>
            </w:pPr>
            <w:r>
              <w:rPr/>
              <w:t>4,930,300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0" w:type="dxa"/>
            <w:tcBorders/>
            <w:shd w:fill="CCEEFF" w:val="clear"/>
            <w:vAlign w:val="center"/>
          </w:tcPr>
          <w:p>
            <w:pPr>
              <w:pStyle w:val="TableContents"/>
              <w:bidi w:val="0"/>
              <w:spacing w:before="0" w:after="283"/>
              <w:jc w:val="left"/>
              <w:rPr/>
            </w:pPr>
            <w:r>
              <w:rPr/>
              <w:t>$</w:t>
            </w:r>
          </w:p>
        </w:tc>
        <w:tc>
          <w:tcPr>
            <w:tcW w:w="755" w:type="dxa"/>
            <w:tcBorders/>
            <w:shd w:fill="CCEEFF" w:val="clear"/>
            <w:vAlign w:val="center"/>
          </w:tcPr>
          <w:p>
            <w:pPr>
              <w:pStyle w:val="TableContents"/>
              <w:bidi w:val="0"/>
              <w:spacing w:before="0" w:after="283"/>
              <w:jc w:val="right"/>
              <w:rPr/>
            </w:pPr>
            <w:r>
              <w:rPr/>
              <w:t>4.62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5.58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8" w:type="dxa"/>
            <w:tcBorders/>
            <w:shd w:fill="CCEEFF" w:val="clear"/>
            <w:vAlign w:val="center"/>
          </w:tcPr>
          <w:p>
            <w:pPr>
              <w:pStyle w:val="TableContents"/>
              <w:bidi w:val="0"/>
              <w:spacing w:before="0" w:after="283"/>
              <w:jc w:val="left"/>
              <w:rPr/>
            </w:pPr>
            <w:r>
              <w:rPr/>
              <w:t>$</w:t>
            </w:r>
          </w:p>
        </w:tc>
        <w:tc>
          <w:tcPr>
            <w:tcW w:w="952" w:type="dxa"/>
            <w:tcBorders/>
            <w:shd w:fill="CCEEFF" w:val="clear"/>
            <w:vAlign w:val="center"/>
          </w:tcPr>
          <w:p>
            <w:pPr>
              <w:pStyle w:val="TableContents"/>
              <w:bidi w:val="0"/>
              <w:spacing w:before="0" w:after="283"/>
              <w:jc w:val="right"/>
              <w:rPr/>
            </w:pPr>
            <w:r>
              <w:rPr/>
              <w:t>1,903</w:t>
            </w:r>
          </w:p>
        </w:tc>
        <w:tc>
          <w:tcPr>
            <w:tcW w:w="75" w:type="dxa"/>
            <w:tcBorders/>
            <w:shd w:fill="CCEEFF" w:val="clear"/>
            <w:vAlign w:val="center"/>
          </w:tcPr>
          <w:p>
            <w:pPr>
              <w:pStyle w:val="TableContents"/>
              <w:bidi w:val="0"/>
              <w:spacing w:before="0" w:after="283"/>
              <w:jc w:val="left"/>
              <w:rPr/>
            </w:pPr>
            <w:r>
              <w:rPr/>
              <w:t> </w:t>
            </w:r>
          </w:p>
        </w:tc>
      </w:tr>
      <w:tr>
        <w:trPr/>
        <w:tc>
          <w:tcPr>
            <w:tcW w:w="4550" w:type="dxa"/>
            <w:tcBorders/>
            <w:shd w:fill="FFFFFF" w:val="clear"/>
            <w:vAlign w:val="center"/>
          </w:tcPr>
          <w:p>
            <w:pPr>
              <w:pStyle w:val="TableContents"/>
              <w:bidi w:val="0"/>
              <w:spacing w:before="0" w:after="283"/>
              <w:jc w:val="both"/>
              <w:rPr/>
            </w:pPr>
            <w:r>
              <w:rPr/>
              <w:t>Options exercised</w:t>
            </w:r>
          </w:p>
        </w:tc>
        <w:tc>
          <w:tcPr>
            <w:tcW w:w="60" w:type="dxa"/>
            <w:tcBorders/>
            <w:shd w:fill="FFFFFF" w:val="clear"/>
            <w:vAlign w:val="center"/>
          </w:tcPr>
          <w:p>
            <w:pPr>
              <w:pStyle w:val="TableContents"/>
              <w:bidi w:val="0"/>
              <w:spacing w:before="0" w:after="283"/>
              <w:jc w:val="left"/>
              <w:rPr/>
            </w:pPr>
            <w:r>
              <w:rPr/>
              <w:t> </w:t>
            </w:r>
          </w:p>
        </w:tc>
        <w:tc>
          <w:tcPr>
            <w:tcW w:w="65"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064"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8" w:type="dxa"/>
            <w:tcBorders/>
            <w:shd w:fill="FFFFFF" w:val="clear"/>
            <w:vAlign w:val="center"/>
          </w:tcPr>
          <w:p>
            <w:pPr>
              <w:pStyle w:val="TableContents"/>
              <w:bidi w:val="0"/>
              <w:spacing w:before="0" w:after="283"/>
              <w:jc w:val="left"/>
              <w:rPr/>
            </w:pPr>
            <w:r>
              <w:rPr/>
              <w:t> </w:t>
            </w:r>
          </w:p>
        </w:tc>
        <w:tc>
          <w:tcPr>
            <w:tcW w:w="952" w:type="dxa"/>
            <w:tcBorders/>
            <w:shd w:fill="FFFFFF" w:val="clear"/>
            <w:vAlign w:val="center"/>
          </w:tcPr>
          <w:p>
            <w:pPr>
              <w:pStyle w:val="TableContents"/>
              <w:bidi w:val="0"/>
              <w:spacing w:before="0" w:after="283"/>
              <w:jc w:val="right"/>
              <w:rPr/>
            </w:pPr>
            <w:r>
              <w:rPr/>
              <w:t> </w:t>
            </w:r>
          </w:p>
        </w:tc>
        <w:tc>
          <w:tcPr>
            <w:tcW w:w="75" w:type="dxa"/>
            <w:tcBorders/>
            <w:shd w:fill="FFFFFF" w:val="clear"/>
            <w:vAlign w:val="center"/>
          </w:tcPr>
          <w:p>
            <w:pPr>
              <w:pStyle w:val="TableContents"/>
              <w:bidi w:val="0"/>
              <w:spacing w:before="0" w:after="283"/>
              <w:jc w:val="left"/>
              <w:rPr/>
            </w:pPr>
            <w:r>
              <w:rPr/>
              <w:t> </w:t>
            </w:r>
          </w:p>
        </w:tc>
      </w:tr>
      <w:tr>
        <w:trPr/>
        <w:tc>
          <w:tcPr>
            <w:tcW w:w="4550" w:type="dxa"/>
            <w:tcBorders/>
            <w:shd w:fill="CCEEFF" w:val="clear"/>
            <w:vAlign w:val="center"/>
          </w:tcPr>
          <w:p>
            <w:pPr>
              <w:pStyle w:val="TableContents"/>
              <w:bidi w:val="0"/>
              <w:spacing w:before="0" w:after="283"/>
              <w:jc w:val="both"/>
              <w:rPr/>
            </w:pPr>
            <w:r>
              <w:rPr/>
              <w:t>Outstanding—March 29, 2026</w:t>
            </w:r>
          </w:p>
        </w:tc>
        <w:tc>
          <w:tcPr>
            <w:tcW w:w="60" w:type="dxa"/>
            <w:tcBorders/>
            <w:shd w:fill="CCEEFF" w:val="clear"/>
            <w:vAlign w:val="center"/>
          </w:tcPr>
          <w:p>
            <w:pPr>
              <w:pStyle w:val="TableContents"/>
              <w:bidi w:val="0"/>
              <w:spacing w:before="0" w:after="283"/>
              <w:jc w:val="left"/>
              <w:rPr/>
            </w:pPr>
            <w:r>
              <w:rPr/>
              <w:t> </w:t>
            </w:r>
          </w:p>
        </w:tc>
        <w:tc>
          <w:tcPr>
            <w:tcW w:w="65"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1064" w:type="dxa"/>
            <w:tcBorders>
              <w:bottom w:val="double" w:sz="10" w:space="0" w:color="000000"/>
            </w:tcBorders>
            <w:shd w:fill="CCEEFF" w:val="clear"/>
            <w:tcMar>
              <w:bottom w:w="28" w:type="dxa"/>
            </w:tcMar>
            <w:vAlign w:val="center"/>
          </w:tcPr>
          <w:p>
            <w:pPr>
              <w:pStyle w:val="TableContents"/>
              <w:bidi w:val="0"/>
              <w:spacing w:before="0" w:after="283"/>
              <w:jc w:val="right"/>
              <w:rPr/>
            </w:pPr>
            <w:r>
              <w:rPr/>
              <w:t>4,930,300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4.62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5.74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8" w:type="dxa"/>
            <w:tcBorders/>
            <w:shd w:fill="CCEEFF" w:val="clear"/>
            <w:vAlign w:val="center"/>
          </w:tcPr>
          <w:p>
            <w:pPr>
              <w:pStyle w:val="TableContents"/>
              <w:bidi w:val="0"/>
              <w:spacing w:before="0" w:after="283"/>
              <w:jc w:val="left"/>
              <w:rPr/>
            </w:pPr>
            <w:r>
              <w:rPr/>
              <w:t> </w:t>
            </w:r>
          </w:p>
        </w:tc>
        <w:tc>
          <w:tcPr>
            <w:tcW w:w="952" w:type="dxa"/>
            <w:tcBorders/>
            <w:shd w:fill="CCEEFF" w:val="clear"/>
            <w:vAlign w:val="center"/>
          </w:tcPr>
          <w:p>
            <w:pPr>
              <w:pStyle w:val="TableContents"/>
              <w:bidi w:val="0"/>
              <w:spacing w:before="0" w:after="283"/>
              <w:jc w:val="right"/>
              <w:rPr/>
            </w:pPr>
            <w:r>
              <w:rPr/>
              <w:t>1,376</w:t>
            </w:r>
          </w:p>
        </w:tc>
        <w:tc>
          <w:tcPr>
            <w:tcW w:w="75" w:type="dxa"/>
            <w:tcBorders/>
            <w:shd w:fill="CCEEFF" w:val="clear"/>
            <w:vAlign w:val="center"/>
          </w:tcPr>
          <w:p>
            <w:pPr>
              <w:pStyle w:val="TableContents"/>
              <w:bidi w:val="0"/>
              <w:spacing w:before="0" w:after="283"/>
              <w:jc w:val="left"/>
              <w:rPr/>
            </w:pPr>
            <w:r>
              <w:rPr/>
              <w:t> </w:t>
            </w:r>
          </w:p>
        </w:tc>
      </w:tr>
      <w:tr>
        <w:trPr/>
        <w:tc>
          <w:tcPr>
            <w:tcW w:w="4550" w:type="dxa"/>
            <w:tcBorders/>
            <w:shd w:fill="FFFFFF" w:val="clear"/>
            <w:vAlign w:val="center"/>
          </w:tcPr>
          <w:p>
            <w:pPr>
              <w:pStyle w:val="TableContents"/>
              <w:bidi w:val="0"/>
              <w:spacing w:before="0" w:after="283"/>
              <w:jc w:val="both"/>
              <w:rPr/>
            </w:pPr>
            <w:r>
              <w:rPr/>
              <w:t>Vested and expected to vest — March 29, 2026</w:t>
            </w:r>
          </w:p>
        </w:tc>
        <w:tc>
          <w:tcPr>
            <w:tcW w:w="60" w:type="dxa"/>
            <w:tcBorders/>
            <w:shd w:fill="FFFFFF" w:val="clear"/>
            <w:vAlign w:val="center"/>
          </w:tcPr>
          <w:p>
            <w:pPr>
              <w:pStyle w:val="TableContents"/>
              <w:bidi w:val="0"/>
              <w:spacing w:before="0" w:after="283"/>
              <w:jc w:val="left"/>
              <w:rPr/>
            </w:pPr>
            <w:r>
              <w:rPr/>
              <w:t> </w:t>
            </w:r>
          </w:p>
        </w:tc>
        <w:tc>
          <w:tcPr>
            <w:tcW w:w="65" w:type="dxa"/>
            <w:tcBorders>
              <w:bottom w:val="double" w:sz="10" w:space="0" w:color="000000"/>
            </w:tcBorders>
            <w:shd w:fill="FFFFFF" w:val="clear"/>
            <w:tcMar>
              <w:bottom w:w="28" w:type="dxa"/>
            </w:tcMar>
            <w:vAlign w:val="center"/>
          </w:tcPr>
          <w:p>
            <w:pPr>
              <w:pStyle w:val="TableContents"/>
              <w:bidi w:val="0"/>
              <w:spacing w:before="0" w:after="283"/>
              <w:jc w:val="left"/>
              <w:rPr/>
            </w:pPr>
            <w:r>
              <w:rPr/>
              <w:t> </w:t>
            </w:r>
          </w:p>
        </w:tc>
        <w:tc>
          <w:tcPr>
            <w:tcW w:w="1064" w:type="dxa"/>
            <w:tcBorders>
              <w:bottom w:val="double" w:sz="10" w:space="0" w:color="000000"/>
            </w:tcBorders>
            <w:shd w:fill="FFFFFF" w:val="clear"/>
            <w:tcMar>
              <w:bottom w:w="28" w:type="dxa"/>
            </w:tcMar>
            <w:vAlign w:val="center"/>
          </w:tcPr>
          <w:p>
            <w:pPr>
              <w:pStyle w:val="TableContents"/>
              <w:bidi w:val="0"/>
              <w:spacing w:before="0" w:after="283"/>
              <w:jc w:val="right"/>
              <w:rPr/>
            </w:pPr>
            <w:r>
              <w:rPr/>
              <w:t>4,930,300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4.62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5.74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8" w:type="dxa"/>
            <w:tcBorders/>
            <w:shd w:fill="FFFFFF" w:val="clear"/>
            <w:vAlign w:val="center"/>
          </w:tcPr>
          <w:p>
            <w:pPr>
              <w:pStyle w:val="TableContents"/>
              <w:bidi w:val="0"/>
              <w:spacing w:before="0" w:after="283"/>
              <w:jc w:val="left"/>
              <w:rPr/>
            </w:pPr>
            <w:r>
              <w:rPr/>
              <w:t> </w:t>
            </w:r>
          </w:p>
        </w:tc>
        <w:tc>
          <w:tcPr>
            <w:tcW w:w="952" w:type="dxa"/>
            <w:tcBorders/>
            <w:shd w:fill="FFFFFF" w:val="clear"/>
            <w:vAlign w:val="center"/>
          </w:tcPr>
          <w:p>
            <w:pPr>
              <w:pStyle w:val="TableContents"/>
              <w:bidi w:val="0"/>
              <w:spacing w:before="0" w:after="283"/>
              <w:jc w:val="right"/>
              <w:rPr/>
            </w:pPr>
            <w:r>
              <w:rPr/>
              <w:t>1,376</w:t>
            </w:r>
          </w:p>
        </w:tc>
        <w:tc>
          <w:tcPr>
            <w:tcW w:w="75" w:type="dxa"/>
            <w:tcBorders/>
            <w:shd w:fill="FFFFFF" w:val="clear"/>
            <w:vAlign w:val="center"/>
          </w:tcPr>
          <w:p>
            <w:pPr>
              <w:pStyle w:val="TableContents"/>
              <w:bidi w:val="0"/>
              <w:spacing w:before="0" w:after="283"/>
              <w:jc w:val="left"/>
              <w:rPr/>
            </w:pPr>
            <w:r>
              <w:rPr/>
              <w:t> </w:t>
            </w:r>
          </w:p>
        </w:tc>
      </w:tr>
      <w:tr>
        <w:trPr/>
        <w:tc>
          <w:tcPr>
            <w:tcW w:w="4550" w:type="dxa"/>
            <w:tcBorders/>
            <w:shd w:fill="CCEEFF" w:val="clear"/>
            <w:vAlign w:val="center"/>
          </w:tcPr>
          <w:p>
            <w:pPr>
              <w:pStyle w:val="TableContents"/>
              <w:bidi w:val="0"/>
              <w:spacing w:before="0" w:after="283"/>
              <w:jc w:val="both"/>
              <w:rPr/>
            </w:pPr>
            <w:r>
              <w:rPr/>
              <w:t>Vested and exercisable — March 29, 2026</w:t>
            </w:r>
          </w:p>
        </w:tc>
        <w:tc>
          <w:tcPr>
            <w:tcW w:w="60" w:type="dxa"/>
            <w:tcBorders/>
            <w:shd w:fill="CCEEFF" w:val="clear"/>
            <w:vAlign w:val="center"/>
          </w:tcPr>
          <w:p>
            <w:pPr>
              <w:pStyle w:val="TableContents"/>
              <w:bidi w:val="0"/>
              <w:spacing w:before="0" w:after="283"/>
              <w:jc w:val="left"/>
              <w:rPr/>
            </w:pPr>
            <w:r>
              <w:rPr/>
              <w:t> </w:t>
            </w:r>
          </w:p>
        </w:tc>
        <w:tc>
          <w:tcPr>
            <w:tcW w:w="65"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1064" w:type="dxa"/>
            <w:tcBorders>
              <w:bottom w:val="double" w:sz="10" w:space="0" w:color="000000"/>
            </w:tcBorders>
            <w:shd w:fill="CCEEFF" w:val="clear"/>
            <w:tcMar>
              <w:bottom w:w="28" w:type="dxa"/>
            </w:tcMar>
            <w:vAlign w:val="center"/>
          </w:tcPr>
          <w:p>
            <w:pPr>
              <w:pStyle w:val="TableContents"/>
              <w:bidi w:val="0"/>
              <w:spacing w:before="0" w:after="283"/>
              <w:jc w:val="right"/>
              <w:rPr/>
            </w:pPr>
            <w:r>
              <w:rPr/>
              <w:t>1,781,378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5.39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5.69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8" w:type="dxa"/>
            <w:tcBorders/>
            <w:shd w:fill="CCEEFF" w:val="clear"/>
            <w:vAlign w:val="center"/>
          </w:tcPr>
          <w:p>
            <w:pPr>
              <w:pStyle w:val="TableContents"/>
              <w:bidi w:val="0"/>
              <w:spacing w:before="0" w:after="283"/>
              <w:jc w:val="left"/>
              <w:rPr/>
            </w:pPr>
            <w:r>
              <w:rPr/>
              <w:t> </w:t>
            </w:r>
          </w:p>
        </w:tc>
        <w:tc>
          <w:tcPr>
            <w:tcW w:w="952" w:type="dxa"/>
            <w:tcBorders/>
            <w:shd w:fill="CCEEFF" w:val="clear"/>
            <w:vAlign w:val="center"/>
          </w:tcPr>
          <w:p>
            <w:pPr>
              <w:pStyle w:val="TableContents"/>
              <w:bidi w:val="0"/>
              <w:spacing w:before="0" w:after="283"/>
              <w:jc w:val="right"/>
              <w:rPr/>
            </w:pPr>
            <w:r>
              <w:rPr/>
              <w:t>472</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aggregate fair value of the Company’s stock options that vested in the thirteen week periods ended March 29, 2026, and March 30, 2025 were $1.3 million and $3.8 million, respectively.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information below summarizes the RSU activity.</w:t>
      </w:r>
    </w:p>
    <w:p>
      <w:pPr>
        <w:pStyle w:val="TextBody"/>
        <w:bidi w:val="0"/>
        <w:spacing w:before="0" w:after="0"/>
        <w:ind w:left="0" w:right="0" w:hanging="0"/>
        <w:jc w:val="both"/>
        <w:rPr>
          <w:caps w:val="false"/>
          <w:smallCaps w:val="false"/>
        </w:rPr>
      </w:pPr>
      <w:r>
        <w:rPr>
          <w:caps w:val="false"/>
          <w:smallCaps w:val="false"/>
        </w:rPr>
        <w:t> </w:t>
      </w:r>
    </w:p>
    <w:tbl>
      <w:tblPr>
        <w:tblW w:w="5779" w:type="dxa"/>
        <w:jc w:val="left"/>
        <w:tblInd w:w="0" w:type="dxa"/>
        <w:tblLayout w:type="fixed"/>
        <w:tblCellMar>
          <w:top w:w="0" w:type="dxa"/>
          <w:left w:w="0" w:type="dxa"/>
          <w:bottom w:w="0" w:type="dxa"/>
          <w:right w:w="0" w:type="dxa"/>
        </w:tblCellMar>
      </w:tblPr>
      <w:tblGrid>
        <w:gridCol w:w="3095"/>
        <w:gridCol w:w="60"/>
        <w:gridCol w:w="60"/>
        <w:gridCol w:w="1100"/>
        <w:gridCol w:w="95"/>
        <w:gridCol w:w="60"/>
        <w:gridCol w:w="297"/>
        <w:gridCol w:w="937"/>
        <w:gridCol w:w="75"/>
      </w:tblGrid>
      <w:tr>
        <w:trPr/>
        <w:tc>
          <w:tcPr>
            <w:tcW w:w="30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160"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Number of</w:t>
              <w:br/>
              <w:t>RSUs</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34"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 xml:space="preserve">Weighted </w:t>
              <w:br/>
              <w:t xml:space="preserve">Average </w:t>
              <w:br/>
              <w:t xml:space="preserve">Grant Date </w:t>
              <w:br/>
              <w:t>Fair Value</w:t>
            </w:r>
          </w:p>
        </w:tc>
        <w:tc>
          <w:tcPr>
            <w:tcW w:w="75" w:type="dxa"/>
            <w:tcBorders/>
            <w:vAlign w:val="center"/>
          </w:tcPr>
          <w:p>
            <w:pPr>
              <w:pStyle w:val="TableContents"/>
              <w:bidi w:val="0"/>
              <w:spacing w:before="0" w:after="283"/>
              <w:jc w:val="left"/>
              <w:rPr/>
            </w:pPr>
            <w:r>
              <w:rPr/>
              <w:t> </w:t>
            </w:r>
          </w:p>
        </w:tc>
      </w:tr>
      <w:tr>
        <w:trPr/>
        <w:tc>
          <w:tcPr>
            <w:tcW w:w="3095" w:type="dxa"/>
            <w:tcBorders/>
            <w:shd w:fill="CCEEFF" w:val="cle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Unvested at December 28, 2025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14,234,360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97"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37"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1.73</w:t>
            </w:r>
          </w:p>
        </w:tc>
        <w:tc>
          <w:tcPr>
            <w:tcW w:w="75" w:type="dxa"/>
            <w:tcBorders/>
            <w:shd w:fill="CCEEFF" w:val="clear"/>
            <w:vAlign w:val="center"/>
          </w:tcPr>
          <w:p>
            <w:pPr>
              <w:pStyle w:val="TableContents"/>
              <w:bidi w:val="0"/>
              <w:spacing w:before="0" w:after="283"/>
              <w:jc w:val="left"/>
              <w:rPr/>
            </w:pPr>
            <w:r>
              <w:rPr/>
              <w:t> </w:t>
            </w:r>
          </w:p>
        </w:tc>
      </w:tr>
      <w:tr>
        <w:trPr/>
        <w:tc>
          <w:tcPr>
            <w:tcW w:w="3095" w:type="dxa"/>
            <w:tcBorders/>
            <w:shd w:fill="FFFFFF" w:val="cle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Vested and released</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(863,030</w:t>
            </w:r>
          </w:p>
        </w:tc>
        <w:tc>
          <w:tcPr>
            <w:tcW w:w="9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297" w:type="dxa"/>
            <w:tcBorders/>
            <w:shd w:fill="FFFFFF" w:val="clear"/>
            <w:vAlign w:val="center"/>
          </w:tcPr>
          <w:p>
            <w:pPr>
              <w:pStyle w:val="TableContents"/>
              <w:bidi w:val="0"/>
              <w:spacing w:before="0" w:after="283"/>
              <w:jc w:val="left"/>
              <w:rPr/>
            </w:pPr>
            <w:r>
              <w:rPr/>
              <w:t> </w:t>
            </w:r>
          </w:p>
        </w:tc>
        <w:tc>
          <w:tcPr>
            <w:tcW w:w="937"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1.73</w:t>
            </w:r>
          </w:p>
        </w:tc>
        <w:tc>
          <w:tcPr>
            <w:tcW w:w="75" w:type="dxa"/>
            <w:tcBorders/>
            <w:shd w:fill="FFFFFF" w:val="clear"/>
            <w:vAlign w:val="center"/>
          </w:tcPr>
          <w:p>
            <w:pPr>
              <w:pStyle w:val="TableContents"/>
              <w:bidi w:val="0"/>
              <w:spacing w:before="0" w:after="283"/>
              <w:jc w:val="left"/>
              <w:rPr/>
            </w:pPr>
            <w:r>
              <w:rPr/>
              <w:t> </w:t>
            </w:r>
          </w:p>
        </w:tc>
      </w:tr>
      <w:tr>
        <w:trPr/>
        <w:tc>
          <w:tcPr>
            <w:tcW w:w="3095" w:type="dxa"/>
            <w:tcBorders/>
            <w:shd w:fill="CCEEFF" w:val="cle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Cancelled or forfeited</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(2,070</w:t>
            </w:r>
          </w:p>
        </w:tc>
        <w:tc>
          <w:tcPr>
            <w:tcW w:w="9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297" w:type="dxa"/>
            <w:tcBorders/>
            <w:shd w:fill="CCEEFF" w:val="clear"/>
            <w:vAlign w:val="center"/>
          </w:tcPr>
          <w:p>
            <w:pPr>
              <w:pStyle w:val="TableContents"/>
              <w:bidi w:val="0"/>
              <w:spacing w:before="0" w:after="283"/>
              <w:jc w:val="left"/>
              <w:rPr/>
            </w:pPr>
            <w:r>
              <w:rPr/>
              <w:t> </w:t>
            </w:r>
          </w:p>
        </w:tc>
        <w:tc>
          <w:tcPr>
            <w:tcW w:w="937"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1.74</w:t>
            </w:r>
          </w:p>
        </w:tc>
        <w:tc>
          <w:tcPr>
            <w:tcW w:w="75" w:type="dxa"/>
            <w:tcBorders/>
            <w:shd w:fill="CCEEFF" w:val="clear"/>
            <w:vAlign w:val="center"/>
          </w:tcPr>
          <w:p>
            <w:pPr>
              <w:pStyle w:val="TableContents"/>
              <w:bidi w:val="0"/>
              <w:spacing w:before="0" w:after="283"/>
              <w:jc w:val="left"/>
              <w:rPr/>
            </w:pPr>
            <w:r>
              <w:rPr/>
              <w:t> </w:t>
            </w:r>
          </w:p>
        </w:tc>
      </w:tr>
      <w:tr>
        <w:trPr/>
        <w:tc>
          <w:tcPr>
            <w:tcW w:w="3095" w:type="dxa"/>
            <w:tcBorders/>
            <w:shd w:fill="FFFFFF" w:val="cle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Unvested at March 29, 2026</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10"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double" w:sz="10"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13,369,260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97" w:type="dxa"/>
            <w:tcBorders/>
            <w:shd w:fill="FFFFFF" w:val="clear"/>
            <w:vAlign w:val="center"/>
          </w:tcPr>
          <w:p>
            <w:pPr>
              <w:pStyle w:val="TableContents"/>
              <w:bidi w:val="0"/>
              <w:spacing w:before="0" w:after="283"/>
              <w:jc w:val="left"/>
              <w:rPr/>
            </w:pPr>
            <w:r>
              <w:rPr/>
              <w:t> </w:t>
            </w:r>
          </w:p>
        </w:tc>
        <w:tc>
          <w:tcPr>
            <w:tcW w:w="937"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1.73</w:t>
            </w:r>
          </w:p>
        </w:tc>
        <w:tc>
          <w:tcPr>
            <w:tcW w:w="75"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aggregate fair value of the Company’s RSUs that vested in the thirteen week periods ended March 29, 2026 and March 30, 2025 were $1.5 million and $0.5 million, respectively.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March 29, 2026, there was a total of $0.9 million and $21.3 million of unrecognized stock-based compensation costs related to service-based options and RSUs, respectively. Such compensation cost is expected to be recognized over a weighted-average period of approximately 2.3 years and 4.0 years, respectively.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Stock-based compensation expense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following table summarizes stock-based compensation expense and its allocation within the accompanying consolidated statements of operations and comprehensive loss </w:t>
      </w:r>
      <w:r>
        <w:rPr>
          <w:rFonts w:ascii="Times New Roman;Times;Serif" w:hAnsi="Times New Roman;Times;Serif"/>
          <w:b w:val="false"/>
          <w:i/>
          <w:caps w:val="false"/>
          <w:smallCaps w:val="false"/>
          <w:sz w:val="20"/>
        </w:rPr>
        <w:t>(in thousands)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tbl>
      <w:tblPr>
        <w:tblW w:w="6546" w:type="dxa"/>
        <w:jc w:val="left"/>
        <w:tblInd w:w="0" w:type="dxa"/>
        <w:tblLayout w:type="fixed"/>
        <w:tblCellMar>
          <w:top w:w="0" w:type="dxa"/>
          <w:left w:w="0" w:type="dxa"/>
          <w:bottom w:w="0" w:type="dxa"/>
          <w:right w:w="0" w:type="dxa"/>
        </w:tblCellMar>
      </w:tblPr>
      <w:tblGrid>
        <w:gridCol w:w="3890"/>
        <w:gridCol w:w="60"/>
        <w:gridCol w:w="248"/>
        <w:gridCol w:w="992"/>
        <w:gridCol w:w="106"/>
        <w:gridCol w:w="106"/>
        <w:gridCol w:w="288"/>
        <w:gridCol w:w="781"/>
        <w:gridCol w:w="75"/>
      </w:tblGrid>
      <w:tr>
        <w:trPr/>
        <w:tc>
          <w:tcPr>
            <w:tcW w:w="389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521" w:type="dxa"/>
            <w:gridSpan w:val="6"/>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Thirteen Weeks Ended</w:t>
            </w:r>
          </w:p>
        </w:tc>
        <w:tc>
          <w:tcPr>
            <w:tcW w:w="75" w:type="dxa"/>
            <w:tcBorders/>
            <w:vAlign w:val="center"/>
          </w:tcPr>
          <w:p>
            <w:pPr>
              <w:pStyle w:val="TableContents"/>
              <w:bidi w:val="0"/>
              <w:spacing w:before="0" w:after="283"/>
              <w:jc w:val="left"/>
              <w:rPr/>
            </w:pPr>
            <w:r>
              <w:rPr/>
              <w:t> </w:t>
            </w:r>
          </w:p>
        </w:tc>
      </w:tr>
      <w:tr>
        <w:trPr/>
        <w:tc>
          <w:tcPr>
            <w:tcW w:w="389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40" w:type="dxa"/>
            <w:gridSpan w:val="2"/>
            <w:tcBorders/>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March 29,</w:t>
            </w:r>
          </w:p>
        </w:tc>
        <w:tc>
          <w:tcPr>
            <w:tcW w:w="106" w:type="dxa"/>
            <w:tcBorders/>
            <w:vAlign w:val="center"/>
          </w:tcPr>
          <w:p>
            <w:pPr>
              <w:pStyle w:val="TableContents"/>
              <w:bidi w:val="0"/>
              <w:spacing w:before="0" w:after="283"/>
              <w:jc w:val="left"/>
              <w:rPr/>
            </w:pPr>
            <w:r>
              <w:rPr/>
              <w:t> </w:t>
            </w:r>
          </w:p>
        </w:tc>
        <w:tc>
          <w:tcPr>
            <w:tcW w:w="106" w:type="dxa"/>
            <w:tcBorders/>
            <w:vAlign w:val="center"/>
          </w:tcPr>
          <w:p>
            <w:pPr>
              <w:pStyle w:val="TableContents"/>
              <w:bidi w:val="0"/>
              <w:spacing w:before="0" w:after="283"/>
              <w:jc w:val="left"/>
              <w:rPr/>
            </w:pPr>
            <w:r>
              <w:rPr/>
              <w:t> </w:t>
            </w:r>
          </w:p>
        </w:tc>
        <w:tc>
          <w:tcPr>
            <w:tcW w:w="1069" w:type="dxa"/>
            <w:gridSpan w:val="2"/>
            <w:tcBorders/>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March 30,</w:t>
            </w:r>
          </w:p>
        </w:tc>
        <w:tc>
          <w:tcPr>
            <w:tcW w:w="75" w:type="dxa"/>
            <w:tcBorders/>
            <w:vAlign w:val="center"/>
          </w:tcPr>
          <w:p>
            <w:pPr>
              <w:pStyle w:val="TableContents"/>
              <w:bidi w:val="0"/>
              <w:spacing w:before="0" w:after="283"/>
              <w:jc w:val="left"/>
              <w:rPr/>
            </w:pPr>
            <w:r>
              <w:rPr/>
              <w:t> </w:t>
            </w:r>
          </w:p>
        </w:tc>
      </w:tr>
      <w:tr>
        <w:trPr/>
        <w:tc>
          <w:tcPr>
            <w:tcW w:w="389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40"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2026</w:t>
            </w:r>
          </w:p>
        </w:tc>
        <w:tc>
          <w:tcPr>
            <w:tcW w:w="106" w:type="dxa"/>
            <w:tcBorders/>
            <w:vAlign w:val="center"/>
          </w:tcPr>
          <w:p>
            <w:pPr>
              <w:pStyle w:val="TableContents"/>
              <w:bidi w:val="0"/>
              <w:spacing w:before="0" w:after="283"/>
              <w:jc w:val="left"/>
              <w:rPr/>
            </w:pPr>
            <w:r>
              <w:rPr/>
              <w:t> </w:t>
            </w:r>
          </w:p>
        </w:tc>
        <w:tc>
          <w:tcPr>
            <w:tcW w:w="106" w:type="dxa"/>
            <w:tcBorders/>
            <w:vAlign w:val="center"/>
          </w:tcPr>
          <w:p>
            <w:pPr>
              <w:pStyle w:val="TableContents"/>
              <w:bidi w:val="0"/>
              <w:spacing w:before="0" w:after="283"/>
              <w:jc w:val="left"/>
              <w:rPr/>
            </w:pPr>
            <w:r>
              <w:rPr/>
              <w:t> </w:t>
            </w:r>
          </w:p>
        </w:tc>
        <w:tc>
          <w:tcPr>
            <w:tcW w:w="1069"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2025</w:t>
            </w:r>
          </w:p>
        </w:tc>
        <w:tc>
          <w:tcPr>
            <w:tcW w:w="75" w:type="dxa"/>
            <w:tcBorders/>
            <w:vAlign w:val="center"/>
          </w:tcPr>
          <w:p>
            <w:pPr>
              <w:pStyle w:val="TableContents"/>
              <w:bidi w:val="0"/>
              <w:spacing w:before="0" w:after="283"/>
              <w:ind w:left="0" w:right="0" w:hanging="180"/>
              <w:jc w:val="left"/>
              <w:rPr/>
            </w:pPr>
            <w:r>
              <w:rPr/>
              <w:t> </w:t>
            </w:r>
          </w:p>
        </w:tc>
      </w:tr>
      <w:tr>
        <w:trPr/>
        <w:tc>
          <w:tcPr>
            <w:tcW w:w="389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Cost of revenues</w:t>
            </w:r>
          </w:p>
        </w:tc>
        <w:tc>
          <w:tcPr>
            <w:tcW w:w="60" w:type="dxa"/>
            <w:tcBorders/>
            <w:shd w:fill="CCEEFF" w:val="clear"/>
            <w:vAlign w:val="center"/>
          </w:tcPr>
          <w:p>
            <w:pPr>
              <w:pStyle w:val="TableContents"/>
              <w:bidi w:val="0"/>
              <w:spacing w:before="0" w:after="283"/>
              <w:jc w:val="left"/>
              <w:rPr/>
            </w:pPr>
            <w:r>
              <w:rPr/>
              <w:t> </w:t>
            </w:r>
          </w:p>
        </w:tc>
        <w:tc>
          <w:tcPr>
            <w:tcW w:w="248"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92"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485</w:t>
            </w:r>
          </w:p>
        </w:tc>
        <w:tc>
          <w:tcPr>
            <w:tcW w:w="106" w:type="dxa"/>
            <w:tcBorders/>
            <w:shd w:fill="CCEEFF" w:val="clear"/>
            <w:vAlign w:val="center"/>
          </w:tcPr>
          <w:p>
            <w:pPr>
              <w:pStyle w:val="TableContents"/>
              <w:bidi w:val="0"/>
              <w:spacing w:before="0" w:after="283"/>
              <w:jc w:val="left"/>
              <w:rPr/>
            </w:pPr>
            <w:r>
              <w:rPr/>
              <w:t> </w:t>
            </w:r>
          </w:p>
        </w:tc>
        <w:tc>
          <w:tcPr>
            <w:tcW w:w="106" w:type="dxa"/>
            <w:tcBorders/>
            <w:shd w:fill="CCEEFF" w:val="clear"/>
            <w:vAlign w:val="center"/>
          </w:tcPr>
          <w:p>
            <w:pPr>
              <w:pStyle w:val="TableContents"/>
              <w:bidi w:val="0"/>
              <w:spacing w:before="0" w:after="283"/>
              <w:jc w:val="left"/>
              <w:rPr/>
            </w:pPr>
            <w:r>
              <w:rPr/>
              <w:t> </w:t>
            </w:r>
          </w:p>
        </w:tc>
        <w:tc>
          <w:tcPr>
            <w:tcW w:w="288"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781"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155</w:t>
            </w:r>
          </w:p>
        </w:tc>
        <w:tc>
          <w:tcPr>
            <w:tcW w:w="75" w:type="dxa"/>
            <w:tcBorders/>
            <w:shd w:fill="CCEEFF" w:val="clear"/>
            <w:vAlign w:val="center"/>
          </w:tcPr>
          <w:p>
            <w:pPr>
              <w:pStyle w:val="TableContents"/>
              <w:bidi w:val="0"/>
              <w:spacing w:before="0" w:after="283"/>
              <w:ind w:left="0" w:right="0" w:hanging="180"/>
              <w:jc w:val="left"/>
              <w:rPr/>
            </w:pPr>
            <w:r>
              <w:rPr/>
              <w:t> </w:t>
            </w:r>
          </w:p>
        </w:tc>
      </w:tr>
      <w:tr>
        <w:trPr/>
        <w:tc>
          <w:tcPr>
            <w:tcW w:w="389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Sales and marketing</w:t>
            </w:r>
          </w:p>
        </w:tc>
        <w:tc>
          <w:tcPr>
            <w:tcW w:w="60" w:type="dxa"/>
            <w:tcBorders/>
            <w:shd w:fill="FFFFFF" w:val="clear"/>
            <w:vAlign w:val="center"/>
          </w:tcPr>
          <w:p>
            <w:pPr>
              <w:pStyle w:val="TableContents"/>
              <w:bidi w:val="0"/>
              <w:spacing w:before="0" w:after="283"/>
              <w:jc w:val="left"/>
              <w:rPr/>
            </w:pPr>
            <w:r>
              <w:rPr/>
              <w:t> </w:t>
            </w:r>
          </w:p>
        </w:tc>
        <w:tc>
          <w:tcPr>
            <w:tcW w:w="248" w:type="dxa"/>
            <w:tcBorders/>
            <w:shd w:fill="FFFFFF" w:val="clear"/>
            <w:vAlign w:val="center"/>
          </w:tcPr>
          <w:p>
            <w:pPr>
              <w:pStyle w:val="TableContents"/>
              <w:bidi w:val="0"/>
              <w:spacing w:before="0" w:after="283"/>
              <w:jc w:val="left"/>
              <w:rPr/>
            </w:pPr>
            <w:r>
              <w:rPr/>
              <w:t> </w:t>
            </w:r>
          </w:p>
        </w:tc>
        <w:tc>
          <w:tcPr>
            <w:tcW w:w="992"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466</w:t>
            </w:r>
          </w:p>
        </w:tc>
        <w:tc>
          <w:tcPr>
            <w:tcW w:w="106" w:type="dxa"/>
            <w:tcBorders/>
            <w:shd w:fill="FFFFFF" w:val="clear"/>
            <w:vAlign w:val="center"/>
          </w:tcPr>
          <w:p>
            <w:pPr>
              <w:pStyle w:val="TableContents"/>
              <w:bidi w:val="0"/>
              <w:spacing w:before="0" w:after="283"/>
              <w:jc w:val="left"/>
              <w:rPr/>
            </w:pPr>
            <w:r>
              <w:rPr/>
              <w:t> </w:t>
            </w:r>
          </w:p>
        </w:tc>
        <w:tc>
          <w:tcPr>
            <w:tcW w:w="106" w:type="dxa"/>
            <w:tcBorders/>
            <w:shd w:fill="FFFFFF" w:val="clear"/>
            <w:vAlign w:val="center"/>
          </w:tcPr>
          <w:p>
            <w:pPr>
              <w:pStyle w:val="TableContents"/>
              <w:bidi w:val="0"/>
              <w:spacing w:before="0" w:after="283"/>
              <w:jc w:val="left"/>
              <w:rPr/>
            </w:pPr>
            <w:r>
              <w:rPr/>
              <w:t> </w:t>
            </w:r>
          </w:p>
        </w:tc>
        <w:tc>
          <w:tcPr>
            <w:tcW w:w="288"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184</w:t>
            </w:r>
          </w:p>
        </w:tc>
        <w:tc>
          <w:tcPr>
            <w:tcW w:w="75" w:type="dxa"/>
            <w:tcBorders/>
            <w:shd w:fill="FFFFFF" w:val="clear"/>
            <w:vAlign w:val="center"/>
          </w:tcPr>
          <w:p>
            <w:pPr>
              <w:pStyle w:val="TableContents"/>
              <w:bidi w:val="0"/>
              <w:spacing w:before="0" w:after="283"/>
              <w:ind w:left="0" w:right="0" w:hanging="180"/>
              <w:jc w:val="left"/>
              <w:rPr/>
            </w:pPr>
            <w:r>
              <w:rPr/>
              <w:t> </w:t>
            </w:r>
          </w:p>
        </w:tc>
      </w:tr>
      <w:tr>
        <w:trPr/>
        <w:tc>
          <w:tcPr>
            <w:tcW w:w="389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General and administrative</w:t>
            </w:r>
          </w:p>
        </w:tc>
        <w:tc>
          <w:tcPr>
            <w:tcW w:w="60" w:type="dxa"/>
            <w:tcBorders/>
            <w:shd w:fill="CCEEFF" w:val="clear"/>
            <w:vAlign w:val="center"/>
          </w:tcPr>
          <w:p>
            <w:pPr>
              <w:pStyle w:val="TableContents"/>
              <w:bidi w:val="0"/>
              <w:spacing w:before="0" w:after="283"/>
              <w:jc w:val="left"/>
              <w:rPr/>
            </w:pPr>
            <w:r>
              <w:rPr/>
              <w:t> </w:t>
            </w:r>
          </w:p>
        </w:tc>
        <w:tc>
          <w:tcPr>
            <w:tcW w:w="248"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92"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654</w:t>
            </w:r>
          </w:p>
        </w:tc>
        <w:tc>
          <w:tcPr>
            <w:tcW w:w="106" w:type="dxa"/>
            <w:tcBorders/>
            <w:shd w:fill="CCEEFF" w:val="clear"/>
            <w:vAlign w:val="center"/>
          </w:tcPr>
          <w:p>
            <w:pPr>
              <w:pStyle w:val="TableContents"/>
              <w:bidi w:val="0"/>
              <w:spacing w:before="0" w:after="283"/>
              <w:jc w:val="left"/>
              <w:rPr/>
            </w:pPr>
            <w:r>
              <w:rPr/>
              <w:t> </w:t>
            </w:r>
          </w:p>
        </w:tc>
        <w:tc>
          <w:tcPr>
            <w:tcW w:w="106" w:type="dxa"/>
            <w:tcBorders/>
            <w:shd w:fill="CCEEFF" w:val="clear"/>
            <w:vAlign w:val="center"/>
          </w:tcPr>
          <w:p>
            <w:pPr>
              <w:pStyle w:val="TableContents"/>
              <w:bidi w:val="0"/>
              <w:spacing w:before="0" w:after="283"/>
              <w:jc w:val="left"/>
              <w:rPr/>
            </w:pPr>
            <w:r>
              <w:rPr/>
              <w:t> </w:t>
            </w:r>
          </w:p>
        </w:tc>
        <w:tc>
          <w:tcPr>
            <w:tcW w:w="288"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781"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130</w:t>
            </w:r>
          </w:p>
        </w:tc>
        <w:tc>
          <w:tcPr>
            <w:tcW w:w="75" w:type="dxa"/>
            <w:tcBorders/>
            <w:shd w:fill="CCEEFF" w:val="clear"/>
            <w:vAlign w:val="center"/>
          </w:tcPr>
          <w:p>
            <w:pPr>
              <w:pStyle w:val="TableContents"/>
              <w:bidi w:val="0"/>
              <w:spacing w:before="0" w:after="283"/>
              <w:ind w:left="0" w:right="0" w:hanging="180"/>
              <w:jc w:val="left"/>
              <w:rPr/>
            </w:pPr>
            <w:r>
              <w:rPr/>
              <w:t> </w:t>
            </w:r>
          </w:p>
        </w:tc>
      </w:tr>
      <w:tr>
        <w:trPr/>
        <w:tc>
          <w:tcPr>
            <w:tcW w:w="389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Total stock-based compensation expense</w:t>
            </w:r>
          </w:p>
        </w:tc>
        <w:tc>
          <w:tcPr>
            <w:tcW w:w="60" w:type="dxa"/>
            <w:tcBorders/>
            <w:shd w:fill="FFFFFF" w:val="clear"/>
            <w:vAlign w:val="center"/>
          </w:tcPr>
          <w:p>
            <w:pPr>
              <w:pStyle w:val="TableContents"/>
              <w:bidi w:val="0"/>
              <w:spacing w:before="0" w:after="283"/>
              <w:jc w:val="left"/>
              <w:rPr/>
            </w:pPr>
            <w:r>
              <w:rPr/>
              <w:t> </w:t>
            </w:r>
          </w:p>
        </w:tc>
        <w:tc>
          <w:tcPr>
            <w:tcW w:w="248" w:type="dxa"/>
            <w:tcBorders>
              <w:bottom w:val="double" w:sz="10"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92" w:type="dxa"/>
            <w:tcBorders>
              <w:bottom w:val="double" w:sz="10"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1,605</w:t>
            </w:r>
          </w:p>
        </w:tc>
        <w:tc>
          <w:tcPr>
            <w:tcW w:w="106" w:type="dxa"/>
            <w:tcBorders/>
            <w:shd w:fill="FFFFFF" w:val="clear"/>
            <w:vAlign w:val="center"/>
          </w:tcPr>
          <w:p>
            <w:pPr>
              <w:pStyle w:val="TableContents"/>
              <w:bidi w:val="0"/>
              <w:spacing w:before="0" w:after="283"/>
              <w:jc w:val="left"/>
              <w:rPr/>
            </w:pPr>
            <w:r>
              <w:rPr/>
              <w:t> </w:t>
            </w:r>
          </w:p>
        </w:tc>
        <w:tc>
          <w:tcPr>
            <w:tcW w:w="106" w:type="dxa"/>
            <w:tcBorders/>
            <w:shd w:fill="FFFFFF" w:val="clear"/>
            <w:vAlign w:val="center"/>
          </w:tcPr>
          <w:p>
            <w:pPr>
              <w:pStyle w:val="TableContents"/>
              <w:bidi w:val="0"/>
              <w:spacing w:before="0" w:after="283"/>
              <w:jc w:val="left"/>
              <w:rPr/>
            </w:pPr>
            <w:r>
              <w:rPr/>
              <w:t> </w:t>
            </w:r>
          </w:p>
        </w:tc>
        <w:tc>
          <w:tcPr>
            <w:tcW w:w="288" w:type="dxa"/>
            <w:tcBorders>
              <w:bottom w:val="double" w:sz="10"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781" w:type="dxa"/>
            <w:tcBorders>
              <w:bottom w:val="double" w:sz="10"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469</w:t>
            </w:r>
          </w:p>
        </w:tc>
        <w:tc>
          <w:tcPr>
            <w:tcW w:w="75"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sz w:val="20"/>
          <w:bdr w:val="single" w:sz="12" w:space="1" w:color="000000"/>
        </w:rPr>
      </w:pPr>
      <w:r>
        <w:rPr>
          <w:sz w:val="20"/>
          <w:bdr w:val="single" w:sz="12" w:space="1" w:color="000000"/>
        </w:rPr>
        <w:t>F-43</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(15) Basic and Diluted Net Income Per Share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uses the two-class method to calculate net income per share. No dividends were declared or paid in the thirteen week periods ended March 29, 2026 and March 30, 2025.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sets forth the computation of the Company’s basic and diluted net income per share attributable to common stockholders for the thirteen week periods ended March 29, 2026 and March 30, 2025 (</w:t>
      </w:r>
      <w:r>
        <w:rPr>
          <w:rFonts w:ascii="Times New Roman;Times;Serif" w:hAnsi="Times New Roman;Times;Serif"/>
          <w:b w:val="false"/>
          <w:i/>
          <w:caps w:val="false"/>
          <w:smallCaps w:val="false"/>
          <w:sz w:val="20"/>
        </w:rPr>
        <w:t>in thousands</w:t>
      </w:r>
      <w:r>
        <w:rPr>
          <w:rFonts w:ascii="Times New Roman;Times;Serif" w:hAnsi="Times New Roman;Times;Serif"/>
          <w:b w:val="false"/>
          <w:i w:val="false"/>
          <w:caps w:val="false"/>
          <w:smallCaps w:val="false"/>
          <w:sz w:val="20"/>
        </w:rPr>
        <w:t>, except share and per share amounts):</w:t>
      </w:r>
    </w:p>
    <w:p>
      <w:pPr>
        <w:pStyle w:val="TextBody"/>
        <w:bidi w:val="0"/>
        <w:spacing w:before="0" w:after="0"/>
        <w:ind w:left="0" w:right="0" w:hanging="0"/>
        <w:jc w:val="both"/>
        <w:rPr>
          <w:caps w:val="false"/>
          <w:smallCaps w:val="false"/>
        </w:rPr>
      </w:pPr>
      <w:r>
        <w:rPr>
          <w:caps w:val="false"/>
          <w:smallCaps w:val="false"/>
        </w:rPr>
        <w:t> </w:t>
      </w:r>
    </w:p>
    <w:tbl>
      <w:tblPr>
        <w:tblW w:w="9350" w:type="dxa"/>
        <w:jc w:val="left"/>
        <w:tblInd w:w="0" w:type="dxa"/>
        <w:tblLayout w:type="fixed"/>
        <w:tblCellMar>
          <w:top w:w="0" w:type="dxa"/>
          <w:left w:w="0" w:type="dxa"/>
          <w:bottom w:w="0" w:type="dxa"/>
          <w:right w:w="0" w:type="dxa"/>
        </w:tblCellMar>
      </w:tblPr>
      <w:tblGrid>
        <w:gridCol w:w="6305"/>
        <w:gridCol w:w="60"/>
        <w:gridCol w:w="140"/>
        <w:gridCol w:w="1220"/>
        <w:gridCol w:w="95"/>
        <w:gridCol w:w="60"/>
        <w:gridCol w:w="140"/>
        <w:gridCol w:w="1220"/>
        <w:gridCol w:w="110"/>
      </w:tblGrid>
      <w:tr>
        <w:trPr/>
        <w:tc>
          <w:tcPr>
            <w:tcW w:w="630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875"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Thirteen Weeks Ended</w:t>
            </w:r>
          </w:p>
        </w:tc>
        <w:tc>
          <w:tcPr>
            <w:tcW w:w="110" w:type="dxa"/>
            <w:tcBorders/>
            <w:vAlign w:val="center"/>
          </w:tcPr>
          <w:p>
            <w:pPr>
              <w:pStyle w:val="TableContents"/>
              <w:bidi w:val="0"/>
              <w:spacing w:before="0" w:after="283"/>
              <w:jc w:val="left"/>
              <w:rPr/>
            </w:pPr>
            <w:r>
              <w:rPr/>
              <w:t> </w:t>
            </w:r>
          </w:p>
        </w:tc>
      </w:tr>
      <w:tr>
        <w:trPr/>
        <w:tc>
          <w:tcPr>
            <w:tcW w:w="630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60" w:type="dxa"/>
            <w:gridSpan w:val="2"/>
            <w:tcBorders/>
            <w:vAlign w:val="center"/>
          </w:tcPr>
          <w:p>
            <w:pPr>
              <w:pStyle w:val="TableContents"/>
              <w:bidi w:val="0"/>
              <w:spacing w:before="0" w:after="283"/>
              <w:jc w:val="center"/>
              <w:rPr>
                <w:b/>
              </w:rPr>
            </w:pPr>
            <w:r>
              <w:rPr>
                <w:b/>
              </w:rPr>
              <w:t>March 29,</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60" w:type="dxa"/>
            <w:gridSpan w:val="2"/>
            <w:tcBorders/>
            <w:vAlign w:val="center"/>
          </w:tcPr>
          <w:p>
            <w:pPr>
              <w:pStyle w:val="TableContents"/>
              <w:bidi w:val="0"/>
              <w:spacing w:before="0" w:after="283"/>
              <w:jc w:val="center"/>
              <w:rPr>
                <w:b/>
              </w:rPr>
            </w:pPr>
            <w:r>
              <w:rPr>
                <w:b/>
              </w:rPr>
              <w:t>March 30,</w:t>
            </w:r>
          </w:p>
        </w:tc>
        <w:tc>
          <w:tcPr>
            <w:tcW w:w="110" w:type="dxa"/>
            <w:tcBorders/>
            <w:vAlign w:val="center"/>
          </w:tcPr>
          <w:p>
            <w:pPr>
              <w:pStyle w:val="TableContents"/>
              <w:bidi w:val="0"/>
              <w:spacing w:before="0" w:after="283"/>
              <w:jc w:val="left"/>
              <w:rPr/>
            </w:pPr>
            <w:r>
              <w:rPr/>
              <w:t> </w:t>
            </w:r>
          </w:p>
        </w:tc>
      </w:tr>
      <w:tr>
        <w:trPr/>
        <w:tc>
          <w:tcPr>
            <w:tcW w:w="630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6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2026</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6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2025</w:t>
            </w:r>
          </w:p>
        </w:tc>
        <w:tc>
          <w:tcPr>
            <w:tcW w:w="110" w:type="dxa"/>
            <w:tcBorders/>
            <w:vAlign w:val="center"/>
          </w:tcPr>
          <w:p>
            <w:pPr>
              <w:pStyle w:val="TableContents"/>
              <w:bidi w:val="0"/>
              <w:spacing w:before="0" w:after="283"/>
              <w:jc w:val="left"/>
              <w:rPr/>
            </w:pPr>
            <w:r>
              <w:rPr/>
              <w:t> </w:t>
            </w:r>
          </w:p>
        </w:tc>
      </w:tr>
      <w:tr>
        <w:trPr/>
        <w:tc>
          <w:tcPr>
            <w:tcW w:w="6305" w:type="dxa"/>
            <w:tcBorders/>
            <w:vAlign w:val="center"/>
          </w:tcPr>
          <w:p>
            <w:pPr>
              <w:pStyle w:val="TableContents"/>
              <w:bidi w:val="0"/>
              <w:spacing w:before="0" w:after="283"/>
              <w:jc w:val="both"/>
              <w:rPr>
                <w:b/>
              </w:rPr>
            </w:pPr>
            <w:r>
              <w:rPr>
                <w:b/>
              </w:rPr>
              <w:t>Numerator for basic income per share:</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220" w:type="dxa"/>
            <w:tcBorders/>
            <w:vAlign w:val="center"/>
          </w:tcPr>
          <w:p>
            <w:pPr>
              <w:pStyle w:val="TableContents"/>
              <w:bidi w:val="0"/>
              <w:spacing w:before="0" w:after="283"/>
              <w:jc w:val="righ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220" w:type="dxa"/>
            <w:tcBorders/>
            <w:vAlign w:val="center"/>
          </w:tcPr>
          <w:p>
            <w:pPr>
              <w:pStyle w:val="TableContents"/>
              <w:bidi w:val="0"/>
              <w:spacing w:before="0" w:after="283"/>
              <w:jc w:val="right"/>
              <w:rPr/>
            </w:pPr>
            <w:r>
              <w:rPr/>
              <w:t> </w:t>
            </w:r>
          </w:p>
        </w:tc>
        <w:tc>
          <w:tcPr>
            <w:tcW w:w="110" w:type="dxa"/>
            <w:tcBorders/>
            <w:vAlign w:val="center"/>
          </w:tcPr>
          <w:p>
            <w:pPr>
              <w:pStyle w:val="TableContents"/>
              <w:bidi w:val="0"/>
              <w:spacing w:before="0" w:after="283"/>
              <w:jc w:val="left"/>
              <w:rPr/>
            </w:pPr>
            <w:r>
              <w:rPr/>
              <w:t> </w:t>
            </w:r>
          </w:p>
        </w:tc>
      </w:tr>
      <w:tr>
        <w:trPr/>
        <w:tc>
          <w:tcPr>
            <w:tcW w:w="6305" w:type="dxa"/>
            <w:tcBorders/>
            <w:shd w:fill="CCEEFF" w:val="clear"/>
            <w:vAlign w:val="center"/>
          </w:tcPr>
          <w:p>
            <w:pPr>
              <w:pStyle w:val="TableContents"/>
              <w:bidi w:val="0"/>
              <w:spacing w:before="0" w:after="283"/>
              <w:jc w:val="both"/>
              <w:rPr/>
            </w:pPr>
            <w:r>
              <w:rPr/>
              <w:t>Net income - basic</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220" w:type="dxa"/>
            <w:tcBorders/>
            <w:shd w:fill="CCEEFF" w:val="clear"/>
            <w:vAlign w:val="center"/>
          </w:tcPr>
          <w:p>
            <w:pPr>
              <w:pStyle w:val="TableContents"/>
              <w:bidi w:val="0"/>
              <w:spacing w:before="0" w:after="283"/>
              <w:jc w:val="right"/>
              <w:rPr/>
            </w:pPr>
            <w:r>
              <w:rPr/>
              <w:t>5,250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220" w:type="dxa"/>
            <w:tcBorders/>
            <w:shd w:fill="CCEEFF" w:val="clear"/>
            <w:vAlign w:val="center"/>
          </w:tcPr>
          <w:p>
            <w:pPr>
              <w:pStyle w:val="TableContents"/>
              <w:bidi w:val="0"/>
              <w:spacing w:before="0" w:after="283"/>
              <w:jc w:val="right"/>
              <w:rPr/>
            </w:pPr>
            <w:r>
              <w:rPr/>
              <w:t>4,812</w:t>
            </w:r>
          </w:p>
        </w:tc>
        <w:tc>
          <w:tcPr>
            <w:tcW w:w="110" w:type="dxa"/>
            <w:tcBorders/>
            <w:shd w:fill="CCEEFF" w:val="clear"/>
            <w:vAlign w:val="center"/>
          </w:tcPr>
          <w:p>
            <w:pPr>
              <w:pStyle w:val="TableContents"/>
              <w:bidi w:val="0"/>
              <w:spacing w:before="0" w:after="283"/>
              <w:jc w:val="left"/>
              <w:rPr/>
            </w:pPr>
            <w:r>
              <w:rPr/>
              <w:t> </w:t>
            </w:r>
          </w:p>
        </w:tc>
      </w:tr>
      <w:tr>
        <w:trPr/>
        <w:tc>
          <w:tcPr>
            <w:tcW w:w="6305" w:type="dxa"/>
            <w:tcBorders/>
            <w:shd w:fill="FFFFFF" w:val="clear"/>
            <w:vAlign w:val="center"/>
          </w:tcPr>
          <w:p>
            <w:pPr>
              <w:pStyle w:val="TableContents"/>
              <w:bidi w:val="0"/>
              <w:spacing w:before="0" w:after="283"/>
              <w:jc w:val="both"/>
              <w:rPr>
                <w:b/>
              </w:rPr>
            </w:pPr>
            <w:r>
              <w:rPr>
                <w:b/>
              </w:rPr>
              <w:t>Numerator for diluted income per share</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6305" w:type="dxa"/>
            <w:tcBorders/>
            <w:shd w:fill="CCEEFF" w:val="clear"/>
            <w:vAlign w:val="center"/>
          </w:tcPr>
          <w:p>
            <w:pPr>
              <w:pStyle w:val="TableContents"/>
              <w:bidi w:val="0"/>
              <w:spacing w:before="0" w:after="283"/>
              <w:jc w:val="both"/>
              <w:rPr/>
            </w:pPr>
            <w:r>
              <w:rPr/>
              <w:t>Senior unsecured convertible notes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(4,882</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w:t>
            </w:r>
          </w:p>
        </w:tc>
        <w:tc>
          <w:tcPr>
            <w:tcW w:w="110" w:type="dxa"/>
            <w:tcBorders/>
            <w:shd w:fill="CCEEFF" w:val="clear"/>
            <w:vAlign w:val="center"/>
          </w:tcPr>
          <w:p>
            <w:pPr>
              <w:pStyle w:val="TableContents"/>
              <w:bidi w:val="0"/>
              <w:spacing w:before="0" w:after="283"/>
              <w:jc w:val="left"/>
              <w:rPr/>
            </w:pPr>
            <w:r>
              <w:rPr/>
              <w:t> </w:t>
            </w:r>
          </w:p>
        </w:tc>
      </w:tr>
      <w:tr>
        <w:trPr/>
        <w:tc>
          <w:tcPr>
            <w:tcW w:w="6305" w:type="dxa"/>
            <w:tcBorders/>
            <w:shd w:fill="FFFFFF" w:val="clear"/>
            <w:vAlign w:val="center"/>
          </w:tcPr>
          <w:p>
            <w:pPr>
              <w:pStyle w:val="TableContents"/>
              <w:bidi w:val="0"/>
              <w:spacing w:before="0" w:after="283"/>
              <w:jc w:val="both"/>
              <w:rPr/>
            </w:pPr>
            <w:r>
              <w:rPr/>
              <w:t>July 2024 Notes derivative liability and interest expense, net of tax</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(3,138</w:t>
            </w:r>
          </w:p>
        </w:tc>
        <w:tc>
          <w:tcPr>
            <w:tcW w:w="110" w:type="dxa"/>
            <w:tcBorders/>
            <w:shd w:fill="FFFFFF" w:val="clear"/>
            <w:vAlign w:val="center"/>
          </w:tcPr>
          <w:p>
            <w:pPr>
              <w:pStyle w:val="TableContents"/>
              <w:bidi w:val="0"/>
              <w:spacing w:before="0" w:after="283"/>
              <w:jc w:val="left"/>
              <w:rPr/>
            </w:pPr>
            <w:r>
              <w:rPr/>
              <w:t>)</w:t>
            </w:r>
          </w:p>
        </w:tc>
      </w:tr>
      <w:tr>
        <w:trPr/>
        <w:tc>
          <w:tcPr>
            <w:tcW w:w="6305" w:type="dxa"/>
            <w:tcBorders/>
            <w:shd w:fill="CCEEFF" w:val="clear"/>
            <w:vAlign w:val="center"/>
          </w:tcPr>
          <w:p>
            <w:pPr>
              <w:pStyle w:val="TableContents"/>
              <w:bidi w:val="0"/>
              <w:spacing w:before="0" w:after="283"/>
              <w:jc w:val="both"/>
              <w:rPr/>
            </w:pPr>
            <w:r>
              <w:rPr/>
              <w:t>Third SAFE</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20" w:type="dxa"/>
            <w:tcBorders>
              <w:bottom w:val="single" w:sz="12" w:space="0" w:color="000000"/>
            </w:tcBorders>
            <w:shd w:fill="CCEEFF" w:val="clear"/>
            <w:tcMar>
              <w:bottom w:w="28" w:type="dxa"/>
            </w:tcMar>
            <w:vAlign w:val="center"/>
          </w:tcPr>
          <w:p>
            <w:pPr>
              <w:pStyle w:val="TableContents"/>
              <w:bidi w:val="0"/>
              <w:spacing w:before="0" w:after="283"/>
              <w:jc w:val="right"/>
              <w:rPr/>
            </w:pPr>
            <w:r>
              <w:rPr/>
              <w:t>(49</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20" w:type="dxa"/>
            <w:tcBorders>
              <w:bottom w:val="single" w:sz="12" w:space="0" w:color="000000"/>
            </w:tcBorders>
            <w:shd w:fill="CCEEFF" w:val="clear"/>
            <w:tcMar>
              <w:bottom w:w="28" w:type="dxa"/>
            </w:tcMar>
            <w:vAlign w:val="center"/>
          </w:tcPr>
          <w:p>
            <w:pPr>
              <w:pStyle w:val="TableContents"/>
              <w:bidi w:val="0"/>
              <w:spacing w:before="0" w:after="283"/>
              <w:jc w:val="right"/>
              <w:rPr/>
            </w:pPr>
            <w:r>
              <w:rPr/>
              <w:t>20</w:t>
            </w:r>
          </w:p>
        </w:tc>
        <w:tc>
          <w:tcPr>
            <w:tcW w:w="110" w:type="dxa"/>
            <w:tcBorders/>
            <w:shd w:fill="CCEEFF" w:val="clear"/>
            <w:vAlign w:val="center"/>
          </w:tcPr>
          <w:p>
            <w:pPr>
              <w:pStyle w:val="TableContents"/>
              <w:bidi w:val="0"/>
              <w:spacing w:before="0" w:after="283"/>
              <w:jc w:val="left"/>
              <w:rPr/>
            </w:pPr>
            <w:r>
              <w:rPr/>
              <w:t> </w:t>
            </w:r>
          </w:p>
        </w:tc>
      </w:tr>
      <w:tr>
        <w:trPr/>
        <w:tc>
          <w:tcPr>
            <w:tcW w:w="6305" w:type="dxa"/>
            <w:tcBorders/>
            <w:shd w:fill="FFFFFF" w:val="clear"/>
            <w:vAlign w:val="center"/>
          </w:tcPr>
          <w:p>
            <w:pPr>
              <w:pStyle w:val="TableContents"/>
              <w:bidi w:val="0"/>
              <w:spacing w:before="0" w:after="283"/>
              <w:jc w:val="both"/>
              <w:rPr/>
            </w:pPr>
            <w:r>
              <w:rPr/>
              <w:t>Net income - diluted</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10" w:space="0" w:color="000000"/>
            </w:tcBorders>
            <w:shd w:fill="FFFFFF" w:val="clear"/>
            <w:tcMar>
              <w:bottom w:w="28" w:type="dxa"/>
            </w:tcMar>
            <w:vAlign w:val="center"/>
          </w:tcPr>
          <w:p>
            <w:pPr>
              <w:pStyle w:val="TableContents"/>
              <w:bidi w:val="0"/>
              <w:spacing w:before="0" w:after="283"/>
              <w:jc w:val="left"/>
              <w:rPr/>
            </w:pPr>
            <w:r>
              <w:rPr/>
              <w:t>$</w:t>
            </w:r>
          </w:p>
        </w:tc>
        <w:tc>
          <w:tcPr>
            <w:tcW w:w="1220" w:type="dxa"/>
            <w:tcBorders>
              <w:bottom w:val="double" w:sz="10" w:space="0" w:color="000000"/>
            </w:tcBorders>
            <w:shd w:fill="FFFFFF" w:val="clear"/>
            <w:tcMar>
              <w:bottom w:w="28" w:type="dxa"/>
            </w:tcMar>
            <w:vAlign w:val="center"/>
          </w:tcPr>
          <w:p>
            <w:pPr>
              <w:pStyle w:val="TableContents"/>
              <w:bidi w:val="0"/>
              <w:spacing w:before="0" w:after="283"/>
              <w:jc w:val="right"/>
              <w:rPr/>
            </w:pPr>
            <w:r>
              <w:rPr/>
              <w:t>319</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10" w:space="0" w:color="000000"/>
            </w:tcBorders>
            <w:shd w:fill="FFFFFF" w:val="clear"/>
            <w:tcMar>
              <w:bottom w:w="28" w:type="dxa"/>
            </w:tcMar>
            <w:vAlign w:val="center"/>
          </w:tcPr>
          <w:p>
            <w:pPr>
              <w:pStyle w:val="TableContents"/>
              <w:bidi w:val="0"/>
              <w:spacing w:before="0" w:after="283"/>
              <w:jc w:val="left"/>
              <w:rPr/>
            </w:pPr>
            <w:r>
              <w:rPr/>
              <w:t>$</w:t>
            </w:r>
          </w:p>
        </w:tc>
        <w:tc>
          <w:tcPr>
            <w:tcW w:w="1220" w:type="dxa"/>
            <w:tcBorders>
              <w:bottom w:val="double" w:sz="10" w:space="0" w:color="000000"/>
            </w:tcBorders>
            <w:shd w:fill="FFFFFF" w:val="clear"/>
            <w:tcMar>
              <w:bottom w:w="28" w:type="dxa"/>
            </w:tcMar>
            <w:vAlign w:val="center"/>
          </w:tcPr>
          <w:p>
            <w:pPr>
              <w:pStyle w:val="TableContents"/>
              <w:bidi w:val="0"/>
              <w:spacing w:before="0" w:after="283"/>
              <w:jc w:val="right"/>
              <w:rPr/>
            </w:pPr>
            <w:r>
              <w:rPr/>
              <w:t>1,694</w:t>
            </w:r>
          </w:p>
        </w:tc>
        <w:tc>
          <w:tcPr>
            <w:tcW w:w="110" w:type="dxa"/>
            <w:tcBorders/>
            <w:shd w:fill="FFFFFF" w:val="clear"/>
            <w:vAlign w:val="center"/>
          </w:tcPr>
          <w:p>
            <w:pPr>
              <w:pStyle w:val="TableContents"/>
              <w:bidi w:val="0"/>
              <w:spacing w:before="0" w:after="283"/>
              <w:jc w:val="left"/>
              <w:rPr/>
            </w:pPr>
            <w:r>
              <w:rPr/>
              <w:t> </w:t>
            </w:r>
          </w:p>
        </w:tc>
      </w:tr>
      <w:tr>
        <w:trPr/>
        <w:tc>
          <w:tcPr>
            <w:tcW w:w="6305" w:type="dxa"/>
            <w:tcBorders/>
            <w:shd w:fill="CCEEFF" w:val="clear"/>
            <w:vAlign w:val="center"/>
          </w:tcPr>
          <w:p>
            <w:pPr>
              <w:pStyle w:val="TableContents"/>
              <w:bidi w:val="0"/>
              <w:spacing w:before="0" w:after="283"/>
              <w:jc w:val="both"/>
              <w:rPr>
                <w:b/>
              </w:rPr>
            </w:pPr>
            <w:r>
              <w:rPr>
                <w:b/>
              </w:rPr>
              <w:t>Denominator:</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6305" w:type="dxa"/>
            <w:tcBorders/>
            <w:shd w:fill="FFFFFF" w:val="clear"/>
            <w:vAlign w:val="center"/>
          </w:tcPr>
          <w:p>
            <w:pPr>
              <w:pStyle w:val="TableContents"/>
              <w:bidi w:val="0"/>
              <w:spacing w:before="0" w:after="283"/>
              <w:jc w:val="both"/>
              <w:rPr/>
            </w:pPr>
            <w:r>
              <w:rPr/>
              <w:t>Weighted average shares: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6305" w:type="dxa"/>
            <w:tcBorders/>
            <w:shd w:fill="CCEEFF" w:val="clear"/>
            <w:vAlign w:val="center"/>
          </w:tcPr>
          <w:p>
            <w:pPr>
              <w:pStyle w:val="TableContents"/>
              <w:bidi w:val="0"/>
              <w:spacing w:before="0" w:after="283"/>
              <w:jc w:val="both"/>
              <w:rPr/>
            </w:pPr>
            <w:r>
              <w:rPr/>
              <w:t>Denominator for basic income per share</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124,279,055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80,209,585</w:t>
            </w:r>
          </w:p>
        </w:tc>
        <w:tc>
          <w:tcPr>
            <w:tcW w:w="110" w:type="dxa"/>
            <w:tcBorders/>
            <w:shd w:fill="CCEEFF" w:val="clear"/>
            <w:vAlign w:val="center"/>
          </w:tcPr>
          <w:p>
            <w:pPr>
              <w:pStyle w:val="TableContents"/>
              <w:bidi w:val="0"/>
              <w:spacing w:before="0" w:after="283"/>
              <w:jc w:val="left"/>
              <w:rPr/>
            </w:pPr>
            <w:r>
              <w:rPr/>
              <w:t> </w:t>
            </w:r>
          </w:p>
        </w:tc>
      </w:tr>
      <w:tr>
        <w:trPr/>
        <w:tc>
          <w:tcPr>
            <w:tcW w:w="6305" w:type="dxa"/>
            <w:tcBorders/>
            <w:shd w:fill="FFFFFF" w:val="clear"/>
            <w:vAlign w:val="center"/>
          </w:tcPr>
          <w:p>
            <w:pPr>
              <w:pStyle w:val="TableContents"/>
              <w:bidi w:val="0"/>
              <w:spacing w:before="0" w:after="283"/>
              <w:jc w:val="both"/>
              <w:rPr/>
            </w:pPr>
            <w:r>
              <w:rPr/>
              <w:t>Effect of dilutive securities: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6305" w:type="dxa"/>
            <w:tcBorders/>
            <w:shd w:fill="CCEEFF" w:val="clear"/>
            <w:vAlign w:val="center"/>
          </w:tcPr>
          <w:p>
            <w:pPr>
              <w:pStyle w:val="TableContents"/>
              <w:bidi w:val="0"/>
              <w:spacing w:before="0" w:after="283"/>
              <w:jc w:val="both"/>
              <w:rPr/>
            </w:pPr>
            <w:r>
              <w:rPr/>
              <w:t>Senior unsecured convertible notes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16,912,704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6305" w:type="dxa"/>
            <w:tcBorders/>
            <w:shd w:fill="FFFFFF" w:val="clear"/>
            <w:vAlign w:val="center"/>
          </w:tcPr>
          <w:p>
            <w:pPr>
              <w:pStyle w:val="TableContents"/>
              <w:bidi w:val="0"/>
              <w:spacing w:before="0" w:after="283"/>
              <w:jc w:val="both"/>
              <w:rPr/>
            </w:pPr>
            <w:r>
              <w:rPr/>
              <w:t>July 2024 Notes derivative liability</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27,364,717</w:t>
            </w:r>
          </w:p>
        </w:tc>
        <w:tc>
          <w:tcPr>
            <w:tcW w:w="110" w:type="dxa"/>
            <w:tcBorders/>
            <w:shd w:fill="FFFFFF" w:val="clear"/>
            <w:vAlign w:val="center"/>
          </w:tcPr>
          <w:p>
            <w:pPr>
              <w:pStyle w:val="TableContents"/>
              <w:bidi w:val="0"/>
              <w:spacing w:before="0" w:after="283"/>
              <w:jc w:val="left"/>
              <w:rPr/>
            </w:pPr>
            <w:r>
              <w:rPr/>
              <w:t> </w:t>
            </w:r>
          </w:p>
        </w:tc>
      </w:tr>
      <w:tr>
        <w:trPr/>
        <w:tc>
          <w:tcPr>
            <w:tcW w:w="6305" w:type="dxa"/>
            <w:tcBorders/>
            <w:shd w:fill="CCEEFF" w:val="clear"/>
            <w:vAlign w:val="center"/>
          </w:tcPr>
          <w:p>
            <w:pPr>
              <w:pStyle w:val="TableContents"/>
              <w:bidi w:val="0"/>
              <w:spacing w:before="0" w:after="283"/>
              <w:jc w:val="both"/>
              <w:rPr/>
            </w:pPr>
            <w:r>
              <w:rPr/>
              <w:t>Third SAFE</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2,750,000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2,750,000</w:t>
            </w:r>
          </w:p>
        </w:tc>
        <w:tc>
          <w:tcPr>
            <w:tcW w:w="110" w:type="dxa"/>
            <w:tcBorders/>
            <w:shd w:fill="CCEEFF" w:val="clear"/>
            <w:vAlign w:val="center"/>
          </w:tcPr>
          <w:p>
            <w:pPr>
              <w:pStyle w:val="TableContents"/>
              <w:bidi w:val="0"/>
              <w:spacing w:before="0" w:after="283"/>
              <w:jc w:val="left"/>
              <w:rPr/>
            </w:pPr>
            <w:r>
              <w:rPr/>
              <w:t> </w:t>
            </w:r>
          </w:p>
        </w:tc>
      </w:tr>
      <w:tr>
        <w:trPr/>
        <w:tc>
          <w:tcPr>
            <w:tcW w:w="6305" w:type="dxa"/>
            <w:tcBorders/>
            <w:shd w:fill="FFFFFF" w:val="clear"/>
            <w:vAlign w:val="center"/>
          </w:tcPr>
          <w:p>
            <w:pPr>
              <w:pStyle w:val="TableContents"/>
              <w:bidi w:val="0"/>
              <w:spacing w:before="0" w:after="283"/>
              <w:jc w:val="both"/>
              <w:rPr/>
            </w:pPr>
            <w:r>
              <w:rPr/>
              <w:t>Stock options and RSUs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14,705,403</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1,489,794</w:t>
            </w:r>
          </w:p>
        </w:tc>
        <w:tc>
          <w:tcPr>
            <w:tcW w:w="110" w:type="dxa"/>
            <w:tcBorders/>
            <w:shd w:fill="FFFFFF" w:val="clear"/>
            <w:vAlign w:val="center"/>
          </w:tcPr>
          <w:p>
            <w:pPr>
              <w:pStyle w:val="TableContents"/>
              <w:bidi w:val="0"/>
              <w:spacing w:before="0" w:after="283"/>
              <w:jc w:val="left"/>
              <w:rPr/>
            </w:pPr>
            <w:r>
              <w:rPr/>
              <w:t> </w:t>
            </w:r>
          </w:p>
        </w:tc>
      </w:tr>
      <w:tr>
        <w:trPr/>
        <w:tc>
          <w:tcPr>
            <w:tcW w:w="6305" w:type="dxa"/>
            <w:tcBorders/>
            <w:shd w:fill="CCEEFF" w:val="clear"/>
            <w:vAlign w:val="center"/>
          </w:tcPr>
          <w:p>
            <w:pPr>
              <w:pStyle w:val="TableContents"/>
              <w:bidi w:val="0"/>
              <w:spacing w:before="0" w:after="283"/>
              <w:jc w:val="both"/>
              <w:rPr/>
            </w:pPr>
            <w:r>
              <w:rPr/>
              <w:t>Warrants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166,460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487,794</w:t>
            </w:r>
          </w:p>
        </w:tc>
        <w:tc>
          <w:tcPr>
            <w:tcW w:w="110" w:type="dxa"/>
            <w:tcBorders/>
            <w:shd w:fill="CCEEFF" w:val="clear"/>
            <w:vAlign w:val="center"/>
          </w:tcPr>
          <w:p>
            <w:pPr>
              <w:pStyle w:val="TableContents"/>
              <w:bidi w:val="0"/>
              <w:spacing w:before="0" w:after="283"/>
              <w:jc w:val="left"/>
              <w:rPr/>
            </w:pPr>
            <w:r>
              <w:rPr/>
              <w:t> </w:t>
            </w:r>
          </w:p>
        </w:tc>
      </w:tr>
      <w:tr>
        <w:trPr/>
        <w:tc>
          <w:tcPr>
            <w:tcW w:w="6305" w:type="dxa"/>
            <w:tcBorders/>
            <w:shd w:fill="FFFFFF" w:val="clear"/>
            <w:vAlign w:val="center"/>
          </w:tcPr>
          <w:p>
            <w:pPr>
              <w:pStyle w:val="TableContents"/>
              <w:bidi w:val="0"/>
              <w:spacing w:before="0" w:after="283"/>
              <w:jc w:val="both"/>
              <w:rPr/>
            </w:pPr>
            <w:r>
              <w:rPr/>
              <w:t>Deferred consideration</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20" w:type="dxa"/>
            <w:tcBorders>
              <w:bottom w:val="single" w:sz="12" w:space="0" w:color="000000"/>
            </w:tcBorders>
            <w:shd w:fill="FFFFFF" w:val="clear"/>
            <w:tcMar>
              <w:bottom w:w="28" w:type="dxa"/>
            </w:tcMar>
            <w:vAlign w:val="center"/>
          </w:tcPr>
          <w:p>
            <w:pPr>
              <w:pStyle w:val="TableContents"/>
              <w:bidi w:val="0"/>
              <w:spacing w:before="0" w:after="283"/>
              <w:jc w:val="right"/>
              <w:rPr/>
            </w:pPr>
            <w:r>
              <w:rPr/>
              <w:t>4,973,840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20"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110" w:type="dxa"/>
            <w:tcBorders/>
            <w:shd w:fill="FFFFFF" w:val="clear"/>
            <w:vAlign w:val="center"/>
          </w:tcPr>
          <w:p>
            <w:pPr>
              <w:pStyle w:val="TableContents"/>
              <w:bidi w:val="0"/>
              <w:spacing w:before="0" w:after="283"/>
              <w:jc w:val="left"/>
              <w:rPr/>
            </w:pPr>
            <w:r>
              <w:rPr/>
              <w:t> </w:t>
            </w:r>
          </w:p>
        </w:tc>
      </w:tr>
      <w:tr>
        <w:trPr/>
        <w:tc>
          <w:tcPr>
            <w:tcW w:w="6305" w:type="dxa"/>
            <w:tcBorders/>
            <w:shd w:fill="CCEEFF" w:val="clear"/>
            <w:vAlign w:val="center"/>
          </w:tcPr>
          <w:p>
            <w:pPr>
              <w:pStyle w:val="TableContents"/>
              <w:bidi w:val="0"/>
              <w:spacing w:before="0" w:after="283"/>
              <w:jc w:val="both"/>
              <w:rPr/>
            </w:pPr>
            <w:r>
              <w:rPr/>
              <w:t>Denominator for diluted income per share</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1220" w:type="dxa"/>
            <w:tcBorders>
              <w:bottom w:val="double" w:sz="10" w:space="0" w:color="000000"/>
            </w:tcBorders>
            <w:shd w:fill="CCEEFF" w:val="clear"/>
            <w:tcMar>
              <w:bottom w:w="28" w:type="dxa"/>
            </w:tcMar>
            <w:vAlign w:val="center"/>
          </w:tcPr>
          <w:p>
            <w:pPr>
              <w:pStyle w:val="TableContents"/>
              <w:bidi w:val="0"/>
              <w:spacing w:before="0" w:after="283"/>
              <w:jc w:val="right"/>
              <w:rPr/>
            </w:pPr>
            <w:r>
              <w:rPr/>
              <w:t>163,787,462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1220" w:type="dxa"/>
            <w:tcBorders>
              <w:bottom w:val="double" w:sz="10" w:space="0" w:color="000000"/>
            </w:tcBorders>
            <w:shd w:fill="CCEEFF" w:val="clear"/>
            <w:tcMar>
              <w:bottom w:w="28" w:type="dxa"/>
            </w:tcMar>
            <w:vAlign w:val="center"/>
          </w:tcPr>
          <w:p>
            <w:pPr>
              <w:pStyle w:val="TableContents"/>
              <w:bidi w:val="0"/>
              <w:spacing w:before="0" w:after="283"/>
              <w:jc w:val="right"/>
              <w:rPr/>
            </w:pPr>
            <w:r>
              <w:rPr/>
              <w:t>112,302,063</w:t>
            </w:r>
          </w:p>
        </w:tc>
        <w:tc>
          <w:tcPr>
            <w:tcW w:w="110" w:type="dxa"/>
            <w:tcBorders/>
            <w:shd w:fill="CCEEFF" w:val="clear"/>
            <w:vAlign w:val="center"/>
          </w:tcPr>
          <w:p>
            <w:pPr>
              <w:pStyle w:val="TableContents"/>
              <w:bidi w:val="0"/>
              <w:spacing w:before="0" w:after="283"/>
              <w:jc w:val="left"/>
              <w:rPr/>
            </w:pPr>
            <w:r>
              <w:rPr/>
              <w:t> </w:t>
            </w:r>
          </w:p>
        </w:tc>
      </w:tr>
      <w:tr>
        <w:trPr/>
        <w:tc>
          <w:tcPr>
            <w:tcW w:w="6305" w:type="dxa"/>
            <w:tcBorders/>
            <w:shd w:fill="FFFFFF" w:val="clear"/>
            <w:vAlign w:val="center"/>
          </w:tcPr>
          <w:p>
            <w:pPr>
              <w:pStyle w:val="TableContents"/>
              <w:bidi w:val="0"/>
              <w:spacing w:before="0" w:after="283"/>
              <w:jc w:val="both"/>
              <w:rPr>
                <w:b/>
              </w:rPr>
            </w:pPr>
            <w:r>
              <w:rPr>
                <w:b/>
              </w:rPr>
              <w:t>Net income per share:</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6305" w:type="dxa"/>
            <w:tcBorders/>
            <w:shd w:fill="CCEEFF" w:val="clear"/>
            <w:vAlign w:val="center"/>
          </w:tcPr>
          <w:p>
            <w:pPr>
              <w:pStyle w:val="TableContents"/>
              <w:bidi w:val="0"/>
              <w:spacing w:before="0" w:after="283"/>
              <w:jc w:val="both"/>
              <w:rPr/>
            </w:pPr>
            <w:r>
              <w:rPr/>
              <w:t>Net income - basic</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220" w:type="dxa"/>
            <w:tcBorders>
              <w:bottom w:val="double" w:sz="10" w:space="0" w:color="000000"/>
            </w:tcBorders>
            <w:shd w:fill="CCEEFF" w:val="clear"/>
            <w:tcMar>
              <w:bottom w:w="28" w:type="dxa"/>
            </w:tcMar>
            <w:vAlign w:val="center"/>
          </w:tcPr>
          <w:p>
            <w:pPr>
              <w:pStyle w:val="TableContents"/>
              <w:bidi w:val="0"/>
              <w:spacing w:before="0" w:after="283"/>
              <w:jc w:val="right"/>
              <w:rPr/>
            </w:pPr>
            <w:r>
              <w:rPr/>
              <w:t>0.04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220" w:type="dxa"/>
            <w:tcBorders>
              <w:bottom w:val="double" w:sz="10" w:space="0" w:color="000000"/>
            </w:tcBorders>
            <w:shd w:fill="CCEEFF" w:val="clear"/>
            <w:tcMar>
              <w:bottom w:w="28" w:type="dxa"/>
            </w:tcMar>
            <w:vAlign w:val="center"/>
          </w:tcPr>
          <w:p>
            <w:pPr>
              <w:pStyle w:val="TableContents"/>
              <w:bidi w:val="0"/>
              <w:spacing w:before="0" w:after="283"/>
              <w:jc w:val="right"/>
              <w:rPr/>
            </w:pPr>
            <w:r>
              <w:rPr/>
              <w:t>0.06</w:t>
            </w:r>
          </w:p>
        </w:tc>
        <w:tc>
          <w:tcPr>
            <w:tcW w:w="110" w:type="dxa"/>
            <w:tcBorders/>
            <w:shd w:fill="CCEEFF" w:val="clear"/>
            <w:vAlign w:val="center"/>
          </w:tcPr>
          <w:p>
            <w:pPr>
              <w:pStyle w:val="TableContents"/>
              <w:bidi w:val="0"/>
              <w:spacing w:before="0" w:after="283"/>
              <w:jc w:val="left"/>
              <w:rPr/>
            </w:pPr>
            <w:r>
              <w:rPr/>
              <w:t> </w:t>
            </w:r>
          </w:p>
        </w:tc>
      </w:tr>
      <w:tr>
        <w:trPr/>
        <w:tc>
          <w:tcPr>
            <w:tcW w:w="6305" w:type="dxa"/>
            <w:tcBorders/>
            <w:shd w:fill="FFFFFF" w:val="clear"/>
            <w:vAlign w:val="center"/>
          </w:tcPr>
          <w:p>
            <w:pPr>
              <w:pStyle w:val="TableContents"/>
              <w:bidi w:val="0"/>
              <w:spacing w:before="0" w:after="283"/>
              <w:jc w:val="both"/>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6305" w:type="dxa"/>
            <w:tcBorders/>
            <w:shd w:fill="CCEEFF" w:val="clear"/>
            <w:vAlign w:val="center"/>
          </w:tcPr>
          <w:p>
            <w:pPr>
              <w:pStyle w:val="TableContents"/>
              <w:bidi w:val="0"/>
              <w:spacing w:before="0" w:after="283"/>
              <w:jc w:val="both"/>
              <w:rPr/>
            </w:pPr>
            <w:r>
              <w:rPr/>
              <w:t>Net income– diluted</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220" w:type="dxa"/>
            <w:tcBorders>
              <w:bottom w:val="double" w:sz="10" w:space="0" w:color="000000"/>
            </w:tcBorders>
            <w:shd w:fill="CCEEFF" w:val="clear"/>
            <w:tcMar>
              <w:bottom w:w="28" w:type="dxa"/>
            </w:tcMar>
            <w:vAlign w:val="center"/>
          </w:tcPr>
          <w:p>
            <w:pPr>
              <w:pStyle w:val="TableContents"/>
              <w:bidi w:val="0"/>
              <w:spacing w:before="0" w:after="283"/>
              <w:jc w:val="right"/>
              <w:rPr/>
            </w:pPr>
            <w:r>
              <w:rPr/>
              <w:t>0.00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220" w:type="dxa"/>
            <w:tcBorders>
              <w:bottom w:val="double" w:sz="10" w:space="0" w:color="000000"/>
            </w:tcBorders>
            <w:shd w:fill="CCEEFF" w:val="clear"/>
            <w:tcMar>
              <w:bottom w:w="28" w:type="dxa"/>
            </w:tcMar>
            <w:vAlign w:val="center"/>
          </w:tcPr>
          <w:p>
            <w:pPr>
              <w:pStyle w:val="TableContents"/>
              <w:bidi w:val="0"/>
              <w:spacing w:before="0" w:after="283"/>
              <w:jc w:val="right"/>
              <w:rPr/>
            </w:pPr>
            <w:r>
              <w:rPr/>
              <w:t>0.02</w:t>
            </w:r>
          </w:p>
        </w:tc>
        <w:tc>
          <w:tcPr>
            <w:tcW w:w="11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calculation of  the weighted average shares outstanding is inclusive of 234,610 warrants with an insignificant exercise price (which assumes that the warrants were outstanding as of the beginning of the period or the date of the grant, whichever is earlier) for the thirteen week period ended March 29, 2026, respectively.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presents the potential common shares outstanding that were excluded from the computation of diluted net loss per share of common stock as of the periods presented because including them would have been anti-dilutive:</w:t>
      </w:r>
    </w:p>
    <w:p>
      <w:pPr>
        <w:pStyle w:val="TextBody"/>
        <w:bidi w:val="0"/>
        <w:spacing w:before="0" w:after="0"/>
        <w:ind w:left="0" w:right="0" w:hanging="0"/>
        <w:jc w:val="both"/>
        <w:rPr>
          <w:caps w:val="false"/>
          <w:smallCaps w:val="false"/>
        </w:rPr>
      </w:pPr>
      <w:r>
        <w:rPr>
          <w:caps w:val="false"/>
          <w:smallCaps w:val="false"/>
        </w:rPr>
        <w:t> </w:t>
      </w:r>
    </w:p>
    <w:tbl>
      <w:tblPr>
        <w:tblW w:w="9315" w:type="dxa"/>
        <w:jc w:val="left"/>
        <w:tblInd w:w="0" w:type="dxa"/>
        <w:tblLayout w:type="fixed"/>
        <w:tblCellMar>
          <w:top w:w="0" w:type="dxa"/>
          <w:left w:w="0" w:type="dxa"/>
          <w:bottom w:w="0" w:type="dxa"/>
          <w:right w:w="0" w:type="dxa"/>
        </w:tblCellMar>
      </w:tblPr>
      <w:tblGrid>
        <w:gridCol w:w="6740"/>
        <w:gridCol w:w="60"/>
        <w:gridCol w:w="60"/>
        <w:gridCol w:w="1100"/>
        <w:gridCol w:w="60"/>
        <w:gridCol w:w="60"/>
        <w:gridCol w:w="60"/>
        <w:gridCol w:w="1100"/>
        <w:gridCol w:w="75"/>
      </w:tblGrid>
      <w:tr>
        <w:trPr/>
        <w:tc>
          <w:tcPr>
            <w:tcW w:w="674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2440"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Thirteen Weeks Ended</w:t>
            </w:r>
          </w:p>
        </w:tc>
        <w:tc>
          <w:tcPr>
            <w:tcW w:w="75" w:type="dxa"/>
            <w:tcBorders/>
            <w:vAlign w:val="center"/>
          </w:tcPr>
          <w:p>
            <w:pPr>
              <w:pStyle w:val="TableContents"/>
              <w:bidi w:val="0"/>
              <w:spacing w:before="0" w:after="283"/>
              <w:jc w:val="left"/>
              <w:rPr/>
            </w:pPr>
            <w:r>
              <w:rPr/>
              <w:t> </w:t>
            </w:r>
          </w:p>
        </w:tc>
      </w:tr>
      <w:tr>
        <w:trPr/>
        <w:tc>
          <w:tcPr>
            <w:tcW w:w="674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16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March 29,</w:t>
              <w:br/>
              <w:t>2026</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6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March 30,</w:t>
              <w:br/>
              <w:t>2025</w:t>
            </w:r>
          </w:p>
        </w:tc>
        <w:tc>
          <w:tcPr>
            <w:tcW w:w="75" w:type="dxa"/>
            <w:tcBorders/>
            <w:vAlign w:val="center"/>
          </w:tcPr>
          <w:p>
            <w:pPr>
              <w:pStyle w:val="TableContents"/>
              <w:bidi w:val="0"/>
              <w:spacing w:before="0" w:after="283"/>
              <w:jc w:val="left"/>
              <w:rPr/>
            </w:pPr>
            <w:r>
              <w:rPr/>
              <w:t> </w:t>
            </w:r>
          </w:p>
        </w:tc>
      </w:tr>
      <w:tr>
        <w:trPr/>
        <w:tc>
          <w:tcPr>
            <w:tcW w:w="6740" w:type="dxa"/>
            <w:tcBorders/>
            <w:shd w:fill="CCEEFF" w:val="clear"/>
            <w:vAlign w:val="center"/>
          </w:tcPr>
          <w:p>
            <w:pPr>
              <w:pStyle w:val="TableContents"/>
              <w:bidi w:val="0"/>
              <w:spacing w:before="0" w:after="283"/>
              <w:jc w:val="left"/>
              <w:rPr/>
            </w:pPr>
            <w:r>
              <w:rPr/>
              <w:t>Convertible notes</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single" w:sz="12" w:space="0" w:color="000000"/>
            </w:tcBorders>
            <w:shd w:fill="CCEEFF" w:val="clear"/>
            <w:tcMar>
              <w:bottom w:w="28" w:type="dxa"/>
            </w:tcMar>
            <w:vAlign w:val="center"/>
          </w:tcPr>
          <w:p>
            <w:pPr>
              <w:pStyle w:val="TableContents"/>
              <w:bidi w:val="0"/>
              <w:spacing w:before="0" w:after="283"/>
              <w:jc w:val="right"/>
              <w:rPr/>
            </w:pPr>
            <w:r>
              <w:rPr/>
              <w:t>65,722,738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single" w:sz="12" w:space="0" w:color="000000"/>
            </w:tcBorders>
            <w:shd w:fill="CCEEFF" w:val="clear"/>
            <w:tcMar>
              <w:bottom w:w="28" w:type="dxa"/>
            </w:tcMar>
            <w:vAlign w:val="center"/>
          </w:tcPr>
          <w:p>
            <w:pPr>
              <w:pStyle w:val="TableContents"/>
              <w:bidi w:val="0"/>
              <w:spacing w:before="0" w:after="283"/>
              <w:jc w:val="right"/>
              <w:rPr/>
            </w:pPr>
            <w:r>
              <w:rPr/>
              <w:t>37,333,318</w:t>
            </w:r>
          </w:p>
        </w:tc>
        <w:tc>
          <w:tcPr>
            <w:tcW w:w="75" w:type="dxa"/>
            <w:tcBorders/>
            <w:shd w:fill="CCEEFF" w:val="clear"/>
            <w:vAlign w:val="center"/>
          </w:tcPr>
          <w:p>
            <w:pPr>
              <w:pStyle w:val="TableContents"/>
              <w:bidi w:val="0"/>
              <w:spacing w:before="0" w:after="283"/>
              <w:ind w:left="0" w:right="0" w:hanging="180"/>
              <w:jc w:val="left"/>
              <w:rPr/>
            </w:pPr>
            <w:r>
              <w:rPr/>
              <w:t> </w:t>
            </w:r>
          </w:p>
        </w:tc>
      </w:tr>
      <w:tr>
        <w:trPr/>
        <w:tc>
          <w:tcPr>
            <w:tcW w:w="6740" w:type="dxa"/>
            <w:tcBorders/>
            <w:shd w:fill="FFFFFF" w:val="clear"/>
            <w:vAlign w:val="center"/>
          </w:tcPr>
          <w:p>
            <w:pPr>
              <w:pStyle w:val="TableContents"/>
              <w:bidi w:val="0"/>
              <w:spacing w:before="0" w:after="283"/>
              <w:jc w:val="left"/>
              <w:rPr/>
            </w:pPr>
            <w:r>
              <w:rPr/>
              <w:t>Total potential common shares excluded from diluted net loss per share</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10"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double" w:sz="10" w:space="0" w:color="000000"/>
            </w:tcBorders>
            <w:shd w:fill="FFFFFF" w:val="clear"/>
            <w:tcMar>
              <w:bottom w:w="28" w:type="dxa"/>
            </w:tcMar>
            <w:vAlign w:val="center"/>
          </w:tcPr>
          <w:p>
            <w:pPr>
              <w:pStyle w:val="TableContents"/>
              <w:bidi w:val="0"/>
              <w:spacing w:before="0" w:after="283"/>
              <w:jc w:val="right"/>
              <w:rPr/>
            </w:pPr>
            <w:r>
              <w:rPr/>
              <w:t>65,722,738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10"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double" w:sz="10" w:space="0" w:color="000000"/>
            </w:tcBorders>
            <w:shd w:fill="FFFFFF" w:val="clear"/>
            <w:tcMar>
              <w:bottom w:w="28" w:type="dxa"/>
            </w:tcMar>
            <w:vAlign w:val="center"/>
          </w:tcPr>
          <w:p>
            <w:pPr>
              <w:pStyle w:val="TableContents"/>
              <w:bidi w:val="0"/>
              <w:spacing w:before="0" w:after="283"/>
              <w:jc w:val="right"/>
              <w:rPr/>
            </w:pPr>
            <w:r>
              <w:rPr/>
              <w:t>37,333,318</w:t>
            </w:r>
          </w:p>
        </w:tc>
        <w:tc>
          <w:tcPr>
            <w:tcW w:w="75"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sz w:val="20"/>
          <w:bdr w:val="single" w:sz="12" w:space="1" w:color="000000"/>
        </w:rPr>
      </w:pPr>
      <w:r>
        <w:rPr>
          <w:sz w:val="20"/>
          <w:bdr w:val="single" w:sz="12" w:space="1" w:color="000000"/>
        </w:rPr>
        <w:t>F-44</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(16) Segment Information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table below presents information by segment (</w:t>
      </w:r>
      <w:r>
        <w:rPr>
          <w:rFonts w:ascii="Times New Roman;Times;Serif" w:hAnsi="Times New Roman;Times;Serif"/>
          <w:b w:val="false"/>
          <w:i/>
          <w:caps w:val="false"/>
          <w:smallCaps w:val="false"/>
          <w:sz w:val="20"/>
        </w:rPr>
        <w:t>in thousands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5776"/>
        <w:gridCol w:w="60"/>
        <w:gridCol w:w="181"/>
        <w:gridCol w:w="979"/>
        <w:gridCol w:w="97"/>
        <w:gridCol w:w="61"/>
        <w:gridCol w:w="151"/>
        <w:gridCol w:w="739"/>
        <w:gridCol w:w="97"/>
        <w:gridCol w:w="61"/>
        <w:gridCol w:w="143"/>
        <w:gridCol w:w="701"/>
        <w:gridCol w:w="61"/>
        <w:gridCol w:w="61"/>
        <w:gridCol w:w="143"/>
        <w:gridCol w:w="778"/>
        <w:gridCol w:w="116"/>
      </w:tblGrid>
      <w:tr>
        <w:trPr/>
        <w:tc>
          <w:tcPr>
            <w:tcW w:w="5776"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253" w:type="dxa"/>
            <w:gridSpan w:val="14"/>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Thirteen Weeks Ended March 29, 2026</w:t>
            </w:r>
          </w:p>
        </w:tc>
        <w:tc>
          <w:tcPr>
            <w:tcW w:w="116" w:type="dxa"/>
            <w:tcBorders/>
            <w:vAlign w:val="center"/>
          </w:tcPr>
          <w:p>
            <w:pPr>
              <w:pStyle w:val="TableContents"/>
              <w:bidi w:val="0"/>
              <w:spacing w:before="0" w:after="283"/>
              <w:jc w:val="left"/>
              <w:rPr/>
            </w:pPr>
            <w:r>
              <w:rPr/>
              <w:t> </w:t>
            </w:r>
          </w:p>
        </w:tc>
      </w:tr>
      <w:tr>
        <w:trPr/>
        <w:tc>
          <w:tcPr>
            <w:tcW w:w="5776" w:type="dxa"/>
            <w:tcBorders>
              <w:bottom w:val="single" w:sz="12" w:space="0" w:color="000000"/>
            </w:tcBorders>
            <w:tcMar>
              <w:bottom w:w="28" w:type="dxa"/>
            </w:tcMar>
            <w:vAlign w:val="center"/>
          </w:tcPr>
          <w:p>
            <w:pPr>
              <w:pStyle w:val="TableContents"/>
              <w:bidi w:val="0"/>
              <w:spacing w:before="0" w:after="283"/>
              <w:jc w:val="left"/>
              <w:rPr>
                <w:rFonts w:ascii="Times New Roman;Times;Serif" w:hAnsi="Times New Roman;Times;Serif"/>
                <w:b/>
                <w:i/>
              </w:rPr>
            </w:pPr>
            <w:r>
              <w:rPr>
                <w:rFonts w:ascii="Times New Roman;Times;Serif" w:hAnsi="Times New Roman;Times;Serif"/>
                <w:b/>
                <w:i/>
              </w:rPr>
              <w:t>(in thousands)</w:t>
            </w:r>
          </w:p>
        </w:tc>
        <w:tc>
          <w:tcPr>
            <w:tcW w:w="60" w:type="dxa"/>
            <w:tcBorders/>
            <w:vAlign w:val="center"/>
          </w:tcPr>
          <w:p>
            <w:pPr>
              <w:pStyle w:val="TableContents"/>
              <w:bidi w:val="0"/>
              <w:spacing w:before="0" w:after="283"/>
              <w:jc w:val="left"/>
              <w:rPr/>
            </w:pPr>
            <w:r>
              <w:rPr/>
              <w:t> </w:t>
            </w:r>
          </w:p>
        </w:tc>
        <w:tc>
          <w:tcPr>
            <w:tcW w:w="1160"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Residential</w:t>
              <w:br/>
              <w:t>Solar</w:t>
              <w:br/>
              <w:t>Installation</w:t>
            </w:r>
          </w:p>
        </w:tc>
        <w:tc>
          <w:tcPr>
            <w:tcW w:w="97" w:type="dxa"/>
            <w:tcBorders/>
            <w:vAlign w:val="center"/>
          </w:tcPr>
          <w:p>
            <w:pPr>
              <w:pStyle w:val="TableContents"/>
              <w:bidi w:val="0"/>
              <w:spacing w:before="0" w:after="283"/>
              <w:jc w:val="left"/>
              <w:rPr/>
            </w:pPr>
            <w:r>
              <w:rPr/>
              <w:t> </w:t>
            </w:r>
          </w:p>
        </w:tc>
        <w:tc>
          <w:tcPr>
            <w:tcW w:w="61" w:type="dxa"/>
            <w:tcBorders/>
            <w:vAlign w:val="center"/>
          </w:tcPr>
          <w:p>
            <w:pPr>
              <w:pStyle w:val="TableContents"/>
              <w:bidi w:val="0"/>
              <w:spacing w:before="0" w:after="283"/>
              <w:jc w:val="left"/>
              <w:rPr/>
            </w:pPr>
            <w:r>
              <w:rPr/>
              <w:t> </w:t>
            </w:r>
          </w:p>
        </w:tc>
        <w:tc>
          <w:tcPr>
            <w:tcW w:w="890"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 xml:space="preserve">New </w:t>
              <w:br/>
              <w:t xml:space="preserve">Homes </w:t>
              <w:br/>
              <w:t>Business</w:t>
            </w:r>
          </w:p>
        </w:tc>
        <w:tc>
          <w:tcPr>
            <w:tcW w:w="97" w:type="dxa"/>
            <w:tcBorders/>
            <w:vAlign w:val="center"/>
          </w:tcPr>
          <w:p>
            <w:pPr>
              <w:pStyle w:val="TableContents"/>
              <w:bidi w:val="0"/>
              <w:spacing w:before="0" w:after="283"/>
              <w:jc w:val="left"/>
              <w:rPr/>
            </w:pPr>
            <w:r>
              <w:rPr/>
              <w:t> </w:t>
            </w:r>
          </w:p>
        </w:tc>
        <w:tc>
          <w:tcPr>
            <w:tcW w:w="61" w:type="dxa"/>
            <w:tcBorders/>
            <w:vAlign w:val="center"/>
          </w:tcPr>
          <w:p>
            <w:pPr>
              <w:pStyle w:val="TableContents"/>
              <w:bidi w:val="0"/>
              <w:spacing w:before="0" w:after="283"/>
              <w:jc w:val="left"/>
              <w:rPr/>
            </w:pPr>
            <w:r>
              <w:rPr/>
              <w:t> </w:t>
            </w:r>
          </w:p>
        </w:tc>
        <w:tc>
          <w:tcPr>
            <w:tcW w:w="844"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Dealer</w:t>
            </w:r>
          </w:p>
        </w:tc>
        <w:tc>
          <w:tcPr>
            <w:tcW w:w="61" w:type="dxa"/>
            <w:tcBorders/>
            <w:vAlign w:val="center"/>
          </w:tcPr>
          <w:p>
            <w:pPr>
              <w:pStyle w:val="TableContents"/>
              <w:bidi w:val="0"/>
              <w:spacing w:before="0" w:after="283"/>
              <w:jc w:val="left"/>
              <w:rPr/>
            </w:pPr>
            <w:r>
              <w:rPr/>
              <w:t> </w:t>
            </w:r>
          </w:p>
        </w:tc>
        <w:tc>
          <w:tcPr>
            <w:tcW w:w="61" w:type="dxa"/>
            <w:tcBorders/>
            <w:vAlign w:val="center"/>
          </w:tcPr>
          <w:p>
            <w:pPr>
              <w:pStyle w:val="TableContents"/>
              <w:bidi w:val="0"/>
              <w:spacing w:before="0" w:after="283"/>
              <w:jc w:val="left"/>
              <w:rPr/>
            </w:pPr>
            <w:r>
              <w:rPr/>
              <w:t> </w:t>
            </w:r>
          </w:p>
        </w:tc>
        <w:tc>
          <w:tcPr>
            <w:tcW w:w="921"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Total</w:t>
            </w:r>
          </w:p>
        </w:tc>
        <w:tc>
          <w:tcPr>
            <w:tcW w:w="116" w:type="dxa"/>
            <w:tcBorders/>
            <w:vAlign w:val="center"/>
          </w:tcPr>
          <w:p>
            <w:pPr>
              <w:pStyle w:val="TableContents"/>
              <w:bidi w:val="0"/>
              <w:spacing w:before="0" w:after="283"/>
              <w:jc w:val="left"/>
              <w:rPr/>
            </w:pPr>
            <w:r>
              <w:rPr/>
              <w:t> </w:t>
            </w:r>
          </w:p>
        </w:tc>
      </w:tr>
      <w:tr>
        <w:trPr/>
        <w:tc>
          <w:tcPr>
            <w:tcW w:w="5776"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Operating revenues</w:t>
            </w:r>
          </w:p>
        </w:tc>
        <w:tc>
          <w:tcPr>
            <w:tcW w:w="60" w:type="dxa"/>
            <w:tcBorders/>
            <w:shd w:fill="CCEEFF" w:val="clear"/>
            <w:vAlign w:val="center"/>
          </w:tcPr>
          <w:p>
            <w:pPr>
              <w:pStyle w:val="TableContents"/>
              <w:bidi w:val="0"/>
              <w:spacing w:before="0" w:after="283"/>
              <w:jc w:val="left"/>
              <w:rPr/>
            </w:pPr>
            <w:r>
              <w:rPr/>
              <w:t> </w:t>
            </w:r>
          </w:p>
        </w:tc>
        <w:tc>
          <w:tcPr>
            <w:tcW w:w="181"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79"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31,541</w:t>
            </w:r>
          </w:p>
        </w:tc>
        <w:tc>
          <w:tcPr>
            <w:tcW w:w="97"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151"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739"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14,625</w:t>
            </w:r>
          </w:p>
        </w:tc>
        <w:tc>
          <w:tcPr>
            <w:tcW w:w="97"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143"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701"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26,627</w:t>
            </w:r>
          </w:p>
        </w:tc>
        <w:tc>
          <w:tcPr>
            <w:tcW w:w="61"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143"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778"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72,793</w:t>
            </w:r>
          </w:p>
        </w:tc>
        <w:tc>
          <w:tcPr>
            <w:tcW w:w="116" w:type="dxa"/>
            <w:tcBorders/>
            <w:shd w:fill="CCEEFF" w:val="clear"/>
            <w:vAlign w:val="center"/>
          </w:tcPr>
          <w:p>
            <w:pPr>
              <w:pStyle w:val="TableContents"/>
              <w:bidi w:val="0"/>
              <w:spacing w:before="0" w:after="283"/>
              <w:jc w:val="left"/>
              <w:rPr/>
            </w:pPr>
            <w:r>
              <w:rPr/>
              <w:t> </w:t>
            </w:r>
          </w:p>
        </w:tc>
      </w:tr>
      <w:tr>
        <w:trPr/>
        <w:tc>
          <w:tcPr>
            <w:tcW w:w="5776"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 </w:t>
            </w:r>
          </w:p>
        </w:tc>
        <w:tc>
          <w:tcPr>
            <w:tcW w:w="979" w:type="dxa"/>
            <w:tcBorders/>
            <w:shd w:fill="FFFFFF" w:val="clear"/>
            <w:vAlign w:val="center"/>
          </w:tcPr>
          <w:p>
            <w:pPr>
              <w:pStyle w:val="TableContents"/>
              <w:bidi w:val="0"/>
              <w:spacing w:before="0" w:after="283"/>
              <w:jc w:val="right"/>
              <w:rPr/>
            </w:pPr>
            <w:r>
              <w:rPr/>
              <w:t> </w:t>
            </w:r>
          </w:p>
        </w:tc>
        <w:tc>
          <w:tcPr>
            <w:tcW w:w="97"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jc w:val="left"/>
              <w:rPr/>
            </w:pPr>
            <w:r>
              <w:rPr/>
              <w:t> </w:t>
            </w:r>
          </w:p>
        </w:tc>
        <w:tc>
          <w:tcPr>
            <w:tcW w:w="151" w:type="dxa"/>
            <w:tcBorders/>
            <w:shd w:fill="FFFFFF" w:val="clear"/>
            <w:vAlign w:val="center"/>
          </w:tcPr>
          <w:p>
            <w:pPr>
              <w:pStyle w:val="TableContents"/>
              <w:bidi w:val="0"/>
              <w:spacing w:before="0" w:after="283"/>
              <w:jc w:val="left"/>
              <w:rPr/>
            </w:pPr>
            <w:r>
              <w:rPr/>
              <w:t> </w:t>
            </w:r>
          </w:p>
        </w:tc>
        <w:tc>
          <w:tcPr>
            <w:tcW w:w="739" w:type="dxa"/>
            <w:tcBorders/>
            <w:shd w:fill="FFFFFF" w:val="clear"/>
            <w:vAlign w:val="center"/>
          </w:tcPr>
          <w:p>
            <w:pPr>
              <w:pStyle w:val="TableContents"/>
              <w:bidi w:val="0"/>
              <w:spacing w:before="0" w:after="283"/>
              <w:jc w:val="right"/>
              <w:rPr/>
            </w:pPr>
            <w:r>
              <w:rPr/>
              <w:t> </w:t>
            </w:r>
          </w:p>
        </w:tc>
        <w:tc>
          <w:tcPr>
            <w:tcW w:w="97"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jc w:val="left"/>
              <w:rPr/>
            </w:pPr>
            <w:r>
              <w:rPr/>
              <w:t> </w:t>
            </w:r>
          </w:p>
        </w:tc>
        <w:tc>
          <w:tcPr>
            <w:tcW w:w="143" w:type="dxa"/>
            <w:tcBorders/>
            <w:shd w:fill="FFFFFF" w:val="clear"/>
            <w:vAlign w:val="center"/>
          </w:tcPr>
          <w:p>
            <w:pPr>
              <w:pStyle w:val="TableContents"/>
              <w:bidi w:val="0"/>
              <w:spacing w:before="0" w:after="283"/>
              <w:jc w:val="left"/>
              <w:rPr/>
            </w:pPr>
            <w:r>
              <w:rPr/>
              <w:t> </w:t>
            </w:r>
          </w:p>
        </w:tc>
        <w:tc>
          <w:tcPr>
            <w:tcW w:w="701" w:type="dxa"/>
            <w:tcBorders/>
            <w:shd w:fill="FFFFFF" w:val="clear"/>
            <w:vAlign w:val="center"/>
          </w:tcPr>
          <w:p>
            <w:pPr>
              <w:pStyle w:val="TableContents"/>
              <w:bidi w:val="0"/>
              <w:spacing w:before="0" w:after="283"/>
              <w:jc w:val="right"/>
              <w:rPr/>
            </w:pPr>
            <w:r>
              <w:rPr/>
              <w:t> </w:t>
            </w:r>
          </w:p>
        </w:tc>
        <w:tc>
          <w:tcPr>
            <w:tcW w:w="61"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jc w:val="left"/>
              <w:rPr/>
            </w:pPr>
            <w:r>
              <w:rPr/>
              <w:t> </w:t>
            </w:r>
          </w:p>
        </w:tc>
        <w:tc>
          <w:tcPr>
            <w:tcW w:w="143" w:type="dxa"/>
            <w:tcBorders/>
            <w:shd w:fill="FFFFFF" w:val="clear"/>
            <w:vAlign w:val="center"/>
          </w:tcPr>
          <w:p>
            <w:pPr>
              <w:pStyle w:val="TableContents"/>
              <w:bidi w:val="0"/>
              <w:spacing w:before="0" w:after="283"/>
              <w:jc w:val="left"/>
              <w:rPr/>
            </w:pPr>
            <w:r>
              <w:rPr/>
              <w:t> </w:t>
            </w:r>
          </w:p>
        </w:tc>
        <w:tc>
          <w:tcPr>
            <w:tcW w:w="778" w:type="dxa"/>
            <w:tcBorders/>
            <w:shd w:fill="FFFFFF" w:val="clear"/>
            <w:vAlign w:val="center"/>
          </w:tcPr>
          <w:p>
            <w:pPr>
              <w:pStyle w:val="TableContents"/>
              <w:bidi w:val="0"/>
              <w:spacing w:before="0" w:after="283"/>
              <w:jc w:val="right"/>
              <w:rPr/>
            </w:pPr>
            <w:r>
              <w:rPr/>
              <w:t> </w:t>
            </w:r>
          </w:p>
        </w:tc>
        <w:tc>
          <w:tcPr>
            <w:tcW w:w="116" w:type="dxa"/>
            <w:tcBorders/>
            <w:shd w:fill="FFFFFF" w:val="clear"/>
            <w:vAlign w:val="center"/>
          </w:tcPr>
          <w:p>
            <w:pPr>
              <w:pStyle w:val="TableContents"/>
              <w:bidi w:val="0"/>
              <w:spacing w:before="0" w:after="283"/>
              <w:jc w:val="left"/>
              <w:rPr/>
            </w:pPr>
            <w:r>
              <w:rPr/>
              <w:t> </w:t>
            </w:r>
          </w:p>
        </w:tc>
      </w:tr>
      <w:tr>
        <w:trPr/>
        <w:tc>
          <w:tcPr>
            <w:tcW w:w="5776"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Less:</w:t>
            </w:r>
          </w:p>
        </w:tc>
        <w:tc>
          <w:tcPr>
            <w:tcW w:w="60" w:type="dxa"/>
            <w:tcBorders/>
            <w:shd w:fill="CCEEFF" w:val="clear"/>
            <w:vAlign w:val="center"/>
          </w:tcPr>
          <w:p>
            <w:pPr>
              <w:pStyle w:val="TableContents"/>
              <w:bidi w:val="0"/>
              <w:spacing w:before="0" w:after="283"/>
              <w:jc w:val="left"/>
              <w:rPr/>
            </w:pPr>
            <w:r>
              <w:rPr/>
              <w:t> </w:t>
            </w:r>
          </w:p>
        </w:tc>
        <w:tc>
          <w:tcPr>
            <w:tcW w:w="181" w:type="dxa"/>
            <w:tcBorders/>
            <w:shd w:fill="CCEEFF" w:val="clear"/>
            <w:vAlign w:val="center"/>
          </w:tcPr>
          <w:p>
            <w:pPr>
              <w:pStyle w:val="TableContents"/>
              <w:bidi w:val="0"/>
              <w:spacing w:before="0" w:after="283"/>
              <w:jc w:val="left"/>
              <w:rPr/>
            </w:pPr>
            <w:r>
              <w:rPr/>
              <w:t> </w:t>
            </w:r>
          </w:p>
        </w:tc>
        <w:tc>
          <w:tcPr>
            <w:tcW w:w="979" w:type="dxa"/>
            <w:tcBorders/>
            <w:shd w:fill="CCEEFF" w:val="clear"/>
            <w:vAlign w:val="center"/>
          </w:tcPr>
          <w:p>
            <w:pPr>
              <w:pStyle w:val="TableContents"/>
              <w:bidi w:val="0"/>
              <w:spacing w:before="0" w:after="283"/>
              <w:jc w:val="right"/>
              <w:rPr/>
            </w:pPr>
            <w:r>
              <w:rPr/>
              <w:t> </w:t>
            </w:r>
          </w:p>
        </w:tc>
        <w:tc>
          <w:tcPr>
            <w:tcW w:w="97"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151" w:type="dxa"/>
            <w:tcBorders/>
            <w:shd w:fill="CCEEFF" w:val="clear"/>
            <w:vAlign w:val="center"/>
          </w:tcPr>
          <w:p>
            <w:pPr>
              <w:pStyle w:val="TableContents"/>
              <w:bidi w:val="0"/>
              <w:spacing w:before="0" w:after="283"/>
              <w:jc w:val="left"/>
              <w:rPr/>
            </w:pPr>
            <w:r>
              <w:rPr/>
              <w:t> </w:t>
            </w:r>
          </w:p>
        </w:tc>
        <w:tc>
          <w:tcPr>
            <w:tcW w:w="739" w:type="dxa"/>
            <w:tcBorders/>
            <w:shd w:fill="CCEEFF" w:val="clear"/>
            <w:vAlign w:val="center"/>
          </w:tcPr>
          <w:p>
            <w:pPr>
              <w:pStyle w:val="TableContents"/>
              <w:bidi w:val="0"/>
              <w:spacing w:before="0" w:after="283"/>
              <w:jc w:val="right"/>
              <w:rPr/>
            </w:pPr>
            <w:r>
              <w:rPr/>
              <w:t> </w:t>
            </w:r>
          </w:p>
        </w:tc>
        <w:tc>
          <w:tcPr>
            <w:tcW w:w="97"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143" w:type="dxa"/>
            <w:tcBorders/>
            <w:shd w:fill="CCEEFF" w:val="clear"/>
            <w:vAlign w:val="center"/>
          </w:tcPr>
          <w:p>
            <w:pPr>
              <w:pStyle w:val="TableContents"/>
              <w:bidi w:val="0"/>
              <w:spacing w:before="0" w:after="283"/>
              <w:jc w:val="left"/>
              <w:rPr/>
            </w:pPr>
            <w:r>
              <w:rPr/>
              <w:t> </w:t>
            </w:r>
          </w:p>
        </w:tc>
        <w:tc>
          <w:tcPr>
            <w:tcW w:w="701" w:type="dxa"/>
            <w:tcBorders/>
            <w:shd w:fill="CCEEFF" w:val="clear"/>
            <w:vAlign w:val="center"/>
          </w:tcPr>
          <w:p>
            <w:pPr>
              <w:pStyle w:val="TableContents"/>
              <w:bidi w:val="0"/>
              <w:spacing w:before="0" w:after="283"/>
              <w:jc w:val="right"/>
              <w:rPr/>
            </w:pPr>
            <w:r>
              <w:rPr/>
              <w:t> </w:t>
            </w:r>
          </w:p>
        </w:tc>
        <w:tc>
          <w:tcPr>
            <w:tcW w:w="61"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143" w:type="dxa"/>
            <w:tcBorders/>
            <w:shd w:fill="CCEEFF" w:val="clear"/>
            <w:vAlign w:val="center"/>
          </w:tcPr>
          <w:p>
            <w:pPr>
              <w:pStyle w:val="TableContents"/>
              <w:bidi w:val="0"/>
              <w:spacing w:before="0" w:after="283"/>
              <w:jc w:val="left"/>
              <w:rPr/>
            </w:pPr>
            <w:r>
              <w:rPr/>
              <w:t> </w:t>
            </w:r>
          </w:p>
        </w:tc>
        <w:tc>
          <w:tcPr>
            <w:tcW w:w="778" w:type="dxa"/>
            <w:tcBorders/>
            <w:shd w:fill="CCEEFF" w:val="clear"/>
            <w:vAlign w:val="center"/>
          </w:tcPr>
          <w:p>
            <w:pPr>
              <w:pStyle w:val="TableContents"/>
              <w:bidi w:val="0"/>
              <w:spacing w:before="0" w:after="283"/>
              <w:jc w:val="right"/>
              <w:rPr/>
            </w:pPr>
            <w:r>
              <w:rPr/>
              <w:t> </w:t>
            </w:r>
          </w:p>
        </w:tc>
        <w:tc>
          <w:tcPr>
            <w:tcW w:w="116" w:type="dxa"/>
            <w:tcBorders/>
            <w:shd w:fill="CCEEFF" w:val="clear"/>
            <w:vAlign w:val="center"/>
          </w:tcPr>
          <w:p>
            <w:pPr>
              <w:pStyle w:val="TableContents"/>
              <w:bidi w:val="0"/>
              <w:spacing w:before="0" w:after="283"/>
              <w:jc w:val="left"/>
              <w:rPr/>
            </w:pPr>
            <w:r>
              <w:rPr/>
              <w:t> </w:t>
            </w:r>
          </w:p>
        </w:tc>
      </w:tr>
      <w:tr>
        <w:trPr/>
        <w:tc>
          <w:tcPr>
            <w:tcW w:w="5776"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Cost of revenues </w:t>
            </w:r>
            <w:r>
              <w:rPr>
                <w:rFonts w:ascii="Times New Roman;Times;Serif" w:hAnsi="Times New Roman;Times;Serif"/>
                <w:position w:val="7"/>
                <w:sz w:val="16"/>
                <w:sz w:val="20"/>
              </w:rPr>
              <w:t>(1)</w:t>
            </w:r>
          </w:p>
        </w:tc>
        <w:tc>
          <w:tcPr>
            <w:tcW w:w="60"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 </w:t>
            </w:r>
          </w:p>
        </w:tc>
        <w:tc>
          <w:tcPr>
            <w:tcW w:w="979"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18,011</w:t>
            </w:r>
          </w:p>
        </w:tc>
        <w:tc>
          <w:tcPr>
            <w:tcW w:w="97"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jc w:val="left"/>
              <w:rPr/>
            </w:pPr>
            <w:r>
              <w:rPr/>
              <w:t> </w:t>
            </w:r>
          </w:p>
        </w:tc>
        <w:tc>
          <w:tcPr>
            <w:tcW w:w="151" w:type="dxa"/>
            <w:tcBorders/>
            <w:shd w:fill="FFFFFF" w:val="clear"/>
            <w:vAlign w:val="center"/>
          </w:tcPr>
          <w:p>
            <w:pPr>
              <w:pStyle w:val="TableContents"/>
              <w:bidi w:val="0"/>
              <w:spacing w:before="0" w:after="283"/>
              <w:jc w:val="left"/>
              <w:rPr/>
            </w:pPr>
            <w:r>
              <w:rPr/>
              <w:t> </w:t>
            </w:r>
          </w:p>
        </w:tc>
        <w:tc>
          <w:tcPr>
            <w:tcW w:w="739"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9,961</w:t>
            </w:r>
          </w:p>
        </w:tc>
        <w:tc>
          <w:tcPr>
            <w:tcW w:w="97"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jc w:val="left"/>
              <w:rPr/>
            </w:pPr>
            <w:r>
              <w:rPr/>
              <w:t> </w:t>
            </w:r>
          </w:p>
        </w:tc>
        <w:tc>
          <w:tcPr>
            <w:tcW w:w="143" w:type="dxa"/>
            <w:tcBorders/>
            <w:shd w:fill="FFFFFF" w:val="clear"/>
            <w:vAlign w:val="center"/>
          </w:tcPr>
          <w:p>
            <w:pPr>
              <w:pStyle w:val="TableContents"/>
              <w:bidi w:val="0"/>
              <w:spacing w:before="0" w:after="283"/>
              <w:jc w:val="left"/>
              <w:rPr/>
            </w:pPr>
            <w:r>
              <w:rPr/>
              <w:t> </w:t>
            </w:r>
          </w:p>
        </w:tc>
        <w:tc>
          <w:tcPr>
            <w:tcW w:w="701"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134</w:t>
            </w:r>
          </w:p>
        </w:tc>
        <w:tc>
          <w:tcPr>
            <w:tcW w:w="61"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jc w:val="left"/>
              <w:rPr/>
            </w:pPr>
            <w:r>
              <w:rPr/>
              <w:t> </w:t>
            </w:r>
          </w:p>
        </w:tc>
        <w:tc>
          <w:tcPr>
            <w:tcW w:w="143" w:type="dxa"/>
            <w:tcBorders/>
            <w:shd w:fill="FFFFFF" w:val="clear"/>
            <w:vAlign w:val="center"/>
          </w:tcPr>
          <w:p>
            <w:pPr>
              <w:pStyle w:val="TableContents"/>
              <w:bidi w:val="0"/>
              <w:spacing w:before="0" w:after="283"/>
              <w:jc w:val="left"/>
              <w:rPr/>
            </w:pPr>
            <w:r>
              <w:rPr/>
              <w:t> </w:t>
            </w:r>
          </w:p>
        </w:tc>
        <w:tc>
          <w:tcPr>
            <w:tcW w:w="778" w:type="dxa"/>
            <w:tcBorders/>
            <w:shd w:fill="FFFFFF" w:val="clear"/>
            <w:vAlign w:val="center"/>
          </w:tcPr>
          <w:p>
            <w:pPr>
              <w:pStyle w:val="TableContents"/>
              <w:bidi w:val="0"/>
              <w:spacing w:before="0" w:after="283"/>
              <w:jc w:val="right"/>
              <w:rPr/>
            </w:pPr>
            <w:r>
              <w:rPr/>
              <w:t> </w:t>
            </w:r>
          </w:p>
        </w:tc>
        <w:tc>
          <w:tcPr>
            <w:tcW w:w="116" w:type="dxa"/>
            <w:tcBorders/>
            <w:shd w:fill="FFFFFF" w:val="clear"/>
            <w:vAlign w:val="center"/>
          </w:tcPr>
          <w:p>
            <w:pPr>
              <w:pStyle w:val="TableContents"/>
              <w:bidi w:val="0"/>
              <w:spacing w:before="0" w:after="283"/>
              <w:jc w:val="left"/>
              <w:rPr/>
            </w:pPr>
            <w:r>
              <w:rPr/>
              <w:t> </w:t>
            </w:r>
          </w:p>
        </w:tc>
      </w:tr>
      <w:tr>
        <w:trPr/>
        <w:tc>
          <w:tcPr>
            <w:tcW w:w="5776"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Sales commissions</w:t>
            </w:r>
          </w:p>
        </w:tc>
        <w:tc>
          <w:tcPr>
            <w:tcW w:w="60" w:type="dxa"/>
            <w:tcBorders/>
            <w:shd w:fill="CCEEFF" w:val="clear"/>
            <w:vAlign w:val="center"/>
          </w:tcPr>
          <w:p>
            <w:pPr>
              <w:pStyle w:val="TableContents"/>
              <w:bidi w:val="0"/>
              <w:spacing w:before="0" w:after="283"/>
              <w:jc w:val="left"/>
              <w:rPr/>
            </w:pPr>
            <w:r>
              <w:rPr/>
              <w:t> </w:t>
            </w:r>
          </w:p>
        </w:tc>
        <w:tc>
          <w:tcPr>
            <w:tcW w:w="181" w:type="dxa"/>
            <w:tcBorders/>
            <w:shd w:fill="CCEEFF" w:val="clear"/>
            <w:vAlign w:val="center"/>
          </w:tcPr>
          <w:p>
            <w:pPr>
              <w:pStyle w:val="TableContents"/>
              <w:bidi w:val="0"/>
              <w:spacing w:before="0" w:after="283"/>
              <w:jc w:val="left"/>
              <w:rPr/>
            </w:pPr>
            <w:r>
              <w:rPr/>
              <w:t> </w:t>
            </w:r>
          </w:p>
        </w:tc>
        <w:tc>
          <w:tcPr>
            <w:tcW w:w="979"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6,553</w:t>
            </w:r>
          </w:p>
        </w:tc>
        <w:tc>
          <w:tcPr>
            <w:tcW w:w="97"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151" w:type="dxa"/>
            <w:tcBorders/>
            <w:shd w:fill="CCEEFF" w:val="clear"/>
            <w:vAlign w:val="center"/>
          </w:tcPr>
          <w:p>
            <w:pPr>
              <w:pStyle w:val="TableContents"/>
              <w:bidi w:val="0"/>
              <w:spacing w:before="0" w:after="283"/>
              <w:jc w:val="left"/>
              <w:rPr/>
            </w:pPr>
            <w:r>
              <w:rPr/>
              <w:t> </w:t>
            </w:r>
          </w:p>
        </w:tc>
        <w:tc>
          <w:tcPr>
            <w:tcW w:w="739"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1,166</w:t>
            </w:r>
          </w:p>
        </w:tc>
        <w:tc>
          <w:tcPr>
            <w:tcW w:w="97"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143" w:type="dxa"/>
            <w:tcBorders/>
            <w:shd w:fill="CCEEFF" w:val="clear"/>
            <w:vAlign w:val="center"/>
          </w:tcPr>
          <w:p>
            <w:pPr>
              <w:pStyle w:val="TableContents"/>
              <w:bidi w:val="0"/>
              <w:spacing w:before="0" w:after="283"/>
              <w:jc w:val="left"/>
              <w:rPr/>
            </w:pPr>
            <w:r>
              <w:rPr/>
              <w:t> </w:t>
            </w:r>
          </w:p>
        </w:tc>
        <w:tc>
          <w:tcPr>
            <w:tcW w:w="701"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20,845</w:t>
            </w:r>
          </w:p>
        </w:tc>
        <w:tc>
          <w:tcPr>
            <w:tcW w:w="61"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143" w:type="dxa"/>
            <w:tcBorders/>
            <w:shd w:fill="CCEEFF" w:val="clear"/>
            <w:vAlign w:val="center"/>
          </w:tcPr>
          <w:p>
            <w:pPr>
              <w:pStyle w:val="TableContents"/>
              <w:bidi w:val="0"/>
              <w:spacing w:before="0" w:after="283"/>
              <w:jc w:val="left"/>
              <w:rPr/>
            </w:pPr>
            <w:r>
              <w:rPr/>
              <w:t> </w:t>
            </w:r>
          </w:p>
        </w:tc>
        <w:tc>
          <w:tcPr>
            <w:tcW w:w="778" w:type="dxa"/>
            <w:tcBorders/>
            <w:shd w:fill="CCEEFF" w:val="clear"/>
            <w:vAlign w:val="center"/>
          </w:tcPr>
          <w:p>
            <w:pPr>
              <w:pStyle w:val="TableContents"/>
              <w:bidi w:val="0"/>
              <w:spacing w:before="0" w:after="283"/>
              <w:jc w:val="right"/>
              <w:rPr/>
            </w:pPr>
            <w:r>
              <w:rPr/>
              <w:t> </w:t>
            </w:r>
          </w:p>
        </w:tc>
        <w:tc>
          <w:tcPr>
            <w:tcW w:w="116" w:type="dxa"/>
            <w:tcBorders/>
            <w:shd w:fill="CCEEFF" w:val="clear"/>
            <w:vAlign w:val="center"/>
          </w:tcPr>
          <w:p>
            <w:pPr>
              <w:pStyle w:val="TableContents"/>
              <w:bidi w:val="0"/>
              <w:spacing w:before="0" w:after="283"/>
              <w:jc w:val="left"/>
              <w:rPr/>
            </w:pPr>
            <w:r>
              <w:rPr/>
              <w:t> </w:t>
            </w:r>
          </w:p>
        </w:tc>
      </w:tr>
      <w:tr>
        <w:trPr/>
        <w:tc>
          <w:tcPr>
            <w:tcW w:w="5776"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Sales and marketing</w:t>
            </w:r>
          </w:p>
        </w:tc>
        <w:tc>
          <w:tcPr>
            <w:tcW w:w="60"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 </w:t>
            </w:r>
          </w:p>
        </w:tc>
        <w:tc>
          <w:tcPr>
            <w:tcW w:w="979"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3,539</w:t>
            </w:r>
          </w:p>
        </w:tc>
        <w:tc>
          <w:tcPr>
            <w:tcW w:w="97"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jc w:val="left"/>
              <w:rPr/>
            </w:pPr>
            <w:r>
              <w:rPr/>
              <w:t> </w:t>
            </w:r>
          </w:p>
        </w:tc>
        <w:tc>
          <w:tcPr>
            <w:tcW w:w="151" w:type="dxa"/>
            <w:tcBorders/>
            <w:shd w:fill="FFFFFF" w:val="clear"/>
            <w:vAlign w:val="center"/>
          </w:tcPr>
          <w:p>
            <w:pPr>
              <w:pStyle w:val="TableContents"/>
              <w:bidi w:val="0"/>
              <w:spacing w:before="0" w:after="283"/>
              <w:jc w:val="left"/>
              <w:rPr/>
            </w:pPr>
            <w:r>
              <w:rPr/>
              <w:t> </w:t>
            </w:r>
          </w:p>
        </w:tc>
        <w:tc>
          <w:tcPr>
            <w:tcW w:w="739"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876</w:t>
            </w:r>
          </w:p>
        </w:tc>
        <w:tc>
          <w:tcPr>
            <w:tcW w:w="97"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jc w:val="left"/>
              <w:rPr/>
            </w:pPr>
            <w:r>
              <w:rPr/>
              <w:t> </w:t>
            </w:r>
          </w:p>
        </w:tc>
        <w:tc>
          <w:tcPr>
            <w:tcW w:w="143" w:type="dxa"/>
            <w:tcBorders/>
            <w:shd w:fill="FFFFFF" w:val="clear"/>
            <w:vAlign w:val="center"/>
          </w:tcPr>
          <w:p>
            <w:pPr>
              <w:pStyle w:val="TableContents"/>
              <w:bidi w:val="0"/>
              <w:spacing w:before="0" w:after="283"/>
              <w:jc w:val="left"/>
              <w:rPr/>
            </w:pPr>
            <w:r>
              <w:rPr/>
              <w:t> </w:t>
            </w:r>
          </w:p>
        </w:tc>
        <w:tc>
          <w:tcPr>
            <w:tcW w:w="701"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578</w:t>
            </w:r>
          </w:p>
        </w:tc>
        <w:tc>
          <w:tcPr>
            <w:tcW w:w="61"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jc w:val="left"/>
              <w:rPr/>
            </w:pPr>
            <w:r>
              <w:rPr/>
              <w:t> </w:t>
            </w:r>
          </w:p>
        </w:tc>
        <w:tc>
          <w:tcPr>
            <w:tcW w:w="143" w:type="dxa"/>
            <w:tcBorders/>
            <w:shd w:fill="FFFFFF" w:val="clear"/>
            <w:vAlign w:val="center"/>
          </w:tcPr>
          <w:p>
            <w:pPr>
              <w:pStyle w:val="TableContents"/>
              <w:bidi w:val="0"/>
              <w:spacing w:before="0" w:after="283"/>
              <w:jc w:val="left"/>
              <w:rPr/>
            </w:pPr>
            <w:r>
              <w:rPr/>
              <w:t> </w:t>
            </w:r>
          </w:p>
        </w:tc>
        <w:tc>
          <w:tcPr>
            <w:tcW w:w="778" w:type="dxa"/>
            <w:tcBorders/>
            <w:shd w:fill="FFFFFF" w:val="clear"/>
            <w:vAlign w:val="center"/>
          </w:tcPr>
          <w:p>
            <w:pPr>
              <w:pStyle w:val="TableContents"/>
              <w:bidi w:val="0"/>
              <w:spacing w:before="0" w:after="283"/>
              <w:jc w:val="right"/>
              <w:rPr/>
            </w:pPr>
            <w:r>
              <w:rPr/>
              <w:t> </w:t>
            </w:r>
          </w:p>
        </w:tc>
        <w:tc>
          <w:tcPr>
            <w:tcW w:w="116" w:type="dxa"/>
            <w:tcBorders/>
            <w:shd w:fill="FFFFFF" w:val="clear"/>
            <w:vAlign w:val="center"/>
          </w:tcPr>
          <w:p>
            <w:pPr>
              <w:pStyle w:val="TableContents"/>
              <w:bidi w:val="0"/>
              <w:spacing w:before="0" w:after="283"/>
              <w:jc w:val="left"/>
              <w:rPr/>
            </w:pPr>
            <w:r>
              <w:rPr/>
              <w:t> </w:t>
            </w:r>
          </w:p>
        </w:tc>
      </w:tr>
      <w:tr>
        <w:trPr/>
        <w:tc>
          <w:tcPr>
            <w:tcW w:w="5776"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General and administrative </w:t>
            </w:r>
            <w:r>
              <w:rPr>
                <w:rFonts w:ascii="Times New Roman;Times;Serif" w:hAnsi="Times New Roman;Times;Serif"/>
                <w:position w:val="7"/>
                <w:sz w:val="16"/>
                <w:sz w:val="20"/>
              </w:rPr>
              <w:t>(1)</w:t>
            </w:r>
          </w:p>
        </w:tc>
        <w:tc>
          <w:tcPr>
            <w:tcW w:w="60" w:type="dxa"/>
            <w:tcBorders/>
            <w:shd w:fill="CCEEFF" w:val="clear"/>
            <w:vAlign w:val="center"/>
          </w:tcPr>
          <w:p>
            <w:pPr>
              <w:pStyle w:val="TableContents"/>
              <w:bidi w:val="0"/>
              <w:spacing w:before="0" w:after="283"/>
              <w:jc w:val="left"/>
              <w:rPr/>
            </w:pPr>
            <w:r>
              <w:rPr/>
              <w:t> </w:t>
            </w:r>
          </w:p>
        </w:tc>
        <w:tc>
          <w:tcPr>
            <w:tcW w:w="181"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79"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15,833</w:t>
            </w:r>
          </w:p>
        </w:tc>
        <w:tc>
          <w:tcPr>
            <w:tcW w:w="97"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151"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739"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11,545</w:t>
            </w:r>
          </w:p>
        </w:tc>
        <w:tc>
          <w:tcPr>
            <w:tcW w:w="97"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143"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701"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2,947</w:t>
            </w:r>
          </w:p>
        </w:tc>
        <w:tc>
          <w:tcPr>
            <w:tcW w:w="61"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143"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778" w:type="dxa"/>
            <w:tcBorders>
              <w:bottom w:val="single" w:sz="12" w:space="0" w:color="000000"/>
            </w:tcBorders>
            <w:shd w:fill="CCEEFF" w:val="clear"/>
            <w:tcMar>
              <w:bottom w:w="28" w:type="dxa"/>
            </w:tcMar>
            <w:vAlign w:val="center"/>
          </w:tcPr>
          <w:p>
            <w:pPr>
              <w:pStyle w:val="TableContents"/>
              <w:bidi w:val="0"/>
              <w:spacing w:before="0" w:after="283"/>
              <w:jc w:val="right"/>
              <w:rPr/>
            </w:pPr>
            <w:r>
              <w:rPr/>
              <w:t> </w:t>
            </w:r>
          </w:p>
        </w:tc>
        <w:tc>
          <w:tcPr>
            <w:tcW w:w="116" w:type="dxa"/>
            <w:tcBorders/>
            <w:shd w:fill="CCEEFF" w:val="clear"/>
            <w:vAlign w:val="center"/>
          </w:tcPr>
          <w:p>
            <w:pPr>
              <w:pStyle w:val="TableContents"/>
              <w:bidi w:val="0"/>
              <w:spacing w:before="0" w:after="283"/>
              <w:jc w:val="left"/>
              <w:rPr/>
            </w:pPr>
            <w:r>
              <w:rPr/>
              <w:t> </w:t>
            </w:r>
          </w:p>
        </w:tc>
      </w:tr>
      <w:tr>
        <w:trPr/>
        <w:tc>
          <w:tcPr>
            <w:tcW w:w="5776"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Segment operating income (loss)</w:t>
            </w:r>
          </w:p>
        </w:tc>
        <w:tc>
          <w:tcPr>
            <w:tcW w:w="60" w:type="dxa"/>
            <w:tcBorders/>
            <w:shd w:fill="FFFFFF" w:val="clear"/>
            <w:vAlign w:val="center"/>
          </w:tcPr>
          <w:p>
            <w:pPr>
              <w:pStyle w:val="TableContents"/>
              <w:bidi w:val="0"/>
              <w:spacing w:before="0" w:after="283"/>
              <w:jc w:val="left"/>
              <w:rPr/>
            </w:pPr>
            <w:r>
              <w:rPr/>
              <w:t> </w:t>
            </w:r>
          </w:p>
        </w:tc>
        <w:tc>
          <w:tcPr>
            <w:tcW w:w="181"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979"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(12,395</w:t>
            </w:r>
          </w:p>
        </w:tc>
        <w:tc>
          <w:tcPr>
            <w:tcW w:w="97"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1" w:type="dxa"/>
            <w:tcBorders/>
            <w:shd w:fill="FFFFFF" w:val="clear"/>
            <w:vAlign w:val="center"/>
          </w:tcPr>
          <w:p>
            <w:pPr>
              <w:pStyle w:val="TableContents"/>
              <w:bidi w:val="0"/>
              <w:spacing w:before="0" w:after="283"/>
              <w:jc w:val="left"/>
              <w:rPr/>
            </w:pPr>
            <w:r>
              <w:rPr/>
              <w:t> </w:t>
            </w:r>
          </w:p>
        </w:tc>
        <w:tc>
          <w:tcPr>
            <w:tcW w:w="151"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739"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(8,923</w:t>
            </w:r>
          </w:p>
        </w:tc>
        <w:tc>
          <w:tcPr>
            <w:tcW w:w="97"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1" w:type="dxa"/>
            <w:tcBorders/>
            <w:shd w:fill="FFFFFF" w:val="clear"/>
            <w:vAlign w:val="center"/>
          </w:tcPr>
          <w:p>
            <w:pPr>
              <w:pStyle w:val="TableContents"/>
              <w:bidi w:val="0"/>
              <w:spacing w:before="0" w:after="283"/>
              <w:jc w:val="left"/>
              <w:rPr/>
            </w:pPr>
            <w:r>
              <w:rPr/>
              <w:t> </w:t>
            </w:r>
          </w:p>
        </w:tc>
        <w:tc>
          <w:tcPr>
            <w:tcW w:w="143"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701"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2,123</w:t>
            </w:r>
          </w:p>
        </w:tc>
        <w:tc>
          <w:tcPr>
            <w:tcW w:w="61"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jc w:val="left"/>
              <w:rPr/>
            </w:pPr>
            <w:r>
              <w:rPr/>
              <w:t> </w:t>
            </w:r>
          </w:p>
        </w:tc>
        <w:tc>
          <w:tcPr>
            <w:tcW w:w="143"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778"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(19,195</w:t>
            </w:r>
          </w:p>
        </w:tc>
        <w:tc>
          <w:tcPr>
            <w:tcW w:w="116"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5776"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1" w:type="dxa"/>
            <w:tcBorders/>
            <w:shd w:fill="CCEEFF" w:val="clear"/>
            <w:vAlign w:val="center"/>
          </w:tcPr>
          <w:p>
            <w:pPr>
              <w:pStyle w:val="TableContents"/>
              <w:bidi w:val="0"/>
              <w:spacing w:before="0" w:after="283"/>
              <w:jc w:val="left"/>
              <w:rPr/>
            </w:pPr>
            <w:r>
              <w:rPr/>
              <w:t> </w:t>
            </w:r>
          </w:p>
        </w:tc>
        <w:tc>
          <w:tcPr>
            <w:tcW w:w="979" w:type="dxa"/>
            <w:tcBorders/>
            <w:shd w:fill="CCEEFF" w:val="clear"/>
            <w:vAlign w:val="center"/>
          </w:tcPr>
          <w:p>
            <w:pPr>
              <w:pStyle w:val="TableContents"/>
              <w:bidi w:val="0"/>
              <w:spacing w:before="0" w:after="283"/>
              <w:jc w:val="right"/>
              <w:rPr/>
            </w:pPr>
            <w:r>
              <w:rPr/>
              <w:t> </w:t>
            </w:r>
          </w:p>
        </w:tc>
        <w:tc>
          <w:tcPr>
            <w:tcW w:w="97"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151" w:type="dxa"/>
            <w:tcBorders/>
            <w:shd w:fill="CCEEFF" w:val="clear"/>
            <w:vAlign w:val="center"/>
          </w:tcPr>
          <w:p>
            <w:pPr>
              <w:pStyle w:val="TableContents"/>
              <w:bidi w:val="0"/>
              <w:spacing w:before="0" w:after="283"/>
              <w:jc w:val="left"/>
              <w:rPr/>
            </w:pPr>
            <w:r>
              <w:rPr/>
              <w:t> </w:t>
            </w:r>
          </w:p>
        </w:tc>
        <w:tc>
          <w:tcPr>
            <w:tcW w:w="739" w:type="dxa"/>
            <w:tcBorders/>
            <w:shd w:fill="CCEEFF" w:val="clear"/>
            <w:vAlign w:val="center"/>
          </w:tcPr>
          <w:p>
            <w:pPr>
              <w:pStyle w:val="TableContents"/>
              <w:bidi w:val="0"/>
              <w:spacing w:before="0" w:after="283"/>
              <w:jc w:val="right"/>
              <w:rPr/>
            </w:pPr>
            <w:r>
              <w:rPr/>
              <w:t> </w:t>
            </w:r>
          </w:p>
        </w:tc>
        <w:tc>
          <w:tcPr>
            <w:tcW w:w="97"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143" w:type="dxa"/>
            <w:tcBorders/>
            <w:shd w:fill="CCEEFF" w:val="clear"/>
            <w:vAlign w:val="center"/>
          </w:tcPr>
          <w:p>
            <w:pPr>
              <w:pStyle w:val="TableContents"/>
              <w:bidi w:val="0"/>
              <w:spacing w:before="0" w:after="283"/>
              <w:jc w:val="left"/>
              <w:rPr/>
            </w:pPr>
            <w:r>
              <w:rPr/>
              <w:t> </w:t>
            </w:r>
          </w:p>
        </w:tc>
        <w:tc>
          <w:tcPr>
            <w:tcW w:w="701" w:type="dxa"/>
            <w:tcBorders/>
            <w:shd w:fill="CCEEFF" w:val="clear"/>
            <w:vAlign w:val="center"/>
          </w:tcPr>
          <w:p>
            <w:pPr>
              <w:pStyle w:val="TableContents"/>
              <w:bidi w:val="0"/>
              <w:spacing w:before="0" w:after="283"/>
              <w:jc w:val="right"/>
              <w:rPr/>
            </w:pPr>
            <w:r>
              <w:rPr/>
              <w:t> </w:t>
            </w:r>
          </w:p>
        </w:tc>
        <w:tc>
          <w:tcPr>
            <w:tcW w:w="61"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143" w:type="dxa"/>
            <w:tcBorders/>
            <w:shd w:fill="CCEEFF" w:val="clear"/>
            <w:vAlign w:val="center"/>
          </w:tcPr>
          <w:p>
            <w:pPr>
              <w:pStyle w:val="TableContents"/>
              <w:bidi w:val="0"/>
              <w:spacing w:before="0" w:after="283"/>
              <w:jc w:val="left"/>
              <w:rPr/>
            </w:pPr>
            <w:r>
              <w:rPr/>
              <w:t> </w:t>
            </w:r>
          </w:p>
        </w:tc>
        <w:tc>
          <w:tcPr>
            <w:tcW w:w="778" w:type="dxa"/>
            <w:tcBorders/>
            <w:shd w:fill="CCEEFF" w:val="clear"/>
            <w:vAlign w:val="center"/>
          </w:tcPr>
          <w:p>
            <w:pPr>
              <w:pStyle w:val="TableContents"/>
              <w:bidi w:val="0"/>
              <w:spacing w:before="0" w:after="283"/>
              <w:jc w:val="right"/>
              <w:rPr/>
            </w:pPr>
            <w:r>
              <w:rPr/>
              <w:t> </w:t>
            </w:r>
          </w:p>
        </w:tc>
        <w:tc>
          <w:tcPr>
            <w:tcW w:w="116" w:type="dxa"/>
            <w:tcBorders/>
            <w:shd w:fill="CCEEFF" w:val="clear"/>
            <w:vAlign w:val="center"/>
          </w:tcPr>
          <w:p>
            <w:pPr>
              <w:pStyle w:val="TableContents"/>
              <w:bidi w:val="0"/>
              <w:spacing w:before="0" w:after="283"/>
              <w:ind w:left="0" w:right="0" w:hanging="180"/>
              <w:jc w:val="left"/>
              <w:rPr/>
            </w:pPr>
            <w:r>
              <w:rPr/>
              <w:t> </w:t>
            </w:r>
          </w:p>
        </w:tc>
      </w:tr>
      <w:tr>
        <w:trPr/>
        <w:tc>
          <w:tcPr>
            <w:tcW w:w="5776" w:type="dxa"/>
            <w:tcBorders/>
            <w:shd w:fill="FFFFFF" w:val="clear"/>
            <w:vAlign w:val="center"/>
          </w:tcPr>
          <w:p>
            <w:pPr>
              <w:pStyle w:val="TableContents"/>
              <w:bidi w:val="0"/>
              <w:spacing w:before="0" w:after="283"/>
              <w:jc w:val="left"/>
              <w:rPr>
                <w:rFonts w:ascii="Times New Roman;Times;Serif" w:hAnsi="Times New Roman;Times;Serif"/>
                <w:i/>
              </w:rPr>
            </w:pPr>
            <w:r>
              <w:rPr>
                <w:rFonts w:ascii="Times New Roman;Times;Serif" w:hAnsi="Times New Roman;Times;Serif"/>
                <w:i/>
              </w:rPr>
              <w:t>Reconciliation of segment income (loss) from operations before income taxes:</w:t>
            </w:r>
          </w:p>
        </w:tc>
        <w:tc>
          <w:tcPr>
            <w:tcW w:w="60"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 </w:t>
            </w:r>
          </w:p>
        </w:tc>
        <w:tc>
          <w:tcPr>
            <w:tcW w:w="979" w:type="dxa"/>
            <w:tcBorders/>
            <w:shd w:fill="FFFFFF" w:val="clear"/>
            <w:vAlign w:val="center"/>
          </w:tcPr>
          <w:p>
            <w:pPr>
              <w:pStyle w:val="TableContents"/>
              <w:bidi w:val="0"/>
              <w:spacing w:before="0" w:after="283"/>
              <w:jc w:val="right"/>
              <w:rPr/>
            </w:pPr>
            <w:r>
              <w:rPr/>
              <w:t> </w:t>
            </w:r>
          </w:p>
        </w:tc>
        <w:tc>
          <w:tcPr>
            <w:tcW w:w="97"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jc w:val="left"/>
              <w:rPr/>
            </w:pPr>
            <w:r>
              <w:rPr/>
              <w:t> </w:t>
            </w:r>
          </w:p>
        </w:tc>
        <w:tc>
          <w:tcPr>
            <w:tcW w:w="151" w:type="dxa"/>
            <w:tcBorders/>
            <w:shd w:fill="FFFFFF" w:val="clear"/>
            <w:vAlign w:val="center"/>
          </w:tcPr>
          <w:p>
            <w:pPr>
              <w:pStyle w:val="TableContents"/>
              <w:bidi w:val="0"/>
              <w:spacing w:before="0" w:after="283"/>
              <w:jc w:val="left"/>
              <w:rPr/>
            </w:pPr>
            <w:r>
              <w:rPr/>
              <w:t> </w:t>
            </w:r>
          </w:p>
        </w:tc>
        <w:tc>
          <w:tcPr>
            <w:tcW w:w="739" w:type="dxa"/>
            <w:tcBorders/>
            <w:shd w:fill="FFFFFF" w:val="clear"/>
            <w:vAlign w:val="center"/>
          </w:tcPr>
          <w:p>
            <w:pPr>
              <w:pStyle w:val="TableContents"/>
              <w:bidi w:val="0"/>
              <w:spacing w:before="0" w:after="283"/>
              <w:jc w:val="right"/>
              <w:rPr/>
            </w:pPr>
            <w:r>
              <w:rPr/>
              <w:t> </w:t>
            </w:r>
          </w:p>
        </w:tc>
        <w:tc>
          <w:tcPr>
            <w:tcW w:w="97"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jc w:val="left"/>
              <w:rPr/>
            </w:pPr>
            <w:r>
              <w:rPr/>
              <w:t> </w:t>
            </w:r>
          </w:p>
        </w:tc>
        <w:tc>
          <w:tcPr>
            <w:tcW w:w="143" w:type="dxa"/>
            <w:tcBorders/>
            <w:shd w:fill="FFFFFF" w:val="clear"/>
            <w:vAlign w:val="center"/>
          </w:tcPr>
          <w:p>
            <w:pPr>
              <w:pStyle w:val="TableContents"/>
              <w:bidi w:val="0"/>
              <w:spacing w:before="0" w:after="283"/>
              <w:jc w:val="left"/>
              <w:rPr/>
            </w:pPr>
            <w:r>
              <w:rPr/>
              <w:t> </w:t>
            </w:r>
          </w:p>
        </w:tc>
        <w:tc>
          <w:tcPr>
            <w:tcW w:w="701" w:type="dxa"/>
            <w:tcBorders/>
            <w:shd w:fill="FFFFFF" w:val="clear"/>
            <w:vAlign w:val="center"/>
          </w:tcPr>
          <w:p>
            <w:pPr>
              <w:pStyle w:val="TableContents"/>
              <w:bidi w:val="0"/>
              <w:spacing w:before="0" w:after="283"/>
              <w:jc w:val="right"/>
              <w:rPr/>
            </w:pPr>
            <w:r>
              <w:rPr/>
              <w:t> </w:t>
            </w:r>
          </w:p>
        </w:tc>
        <w:tc>
          <w:tcPr>
            <w:tcW w:w="61"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jc w:val="left"/>
              <w:rPr/>
            </w:pPr>
            <w:r>
              <w:rPr/>
              <w:t> </w:t>
            </w:r>
          </w:p>
        </w:tc>
        <w:tc>
          <w:tcPr>
            <w:tcW w:w="143" w:type="dxa"/>
            <w:tcBorders/>
            <w:shd w:fill="FFFFFF" w:val="clear"/>
            <w:vAlign w:val="center"/>
          </w:tcPr>
          <w:p>
            <w:pPr>
              <w:pStyle w:val="TableContents"/>
              <w:bidi w:val="0"/>
              <w:spacing w:before="0" w:after="283"/>
              <w:jc w:val="left"/>
              <w:rPr/>
            </w:pPr>
            <w:r>
              <w:rPr/>
              <w:t> </w:t>
            </w:r>
          </w:p>
        </w:tc>
        <w:tc>
          <w:tcPr>
            <w:tcW w:w="778" w:type="dxa"/>
            <w:tcBorders/>
            <w:shd w:fill="FFFFFF" w:val="clear"/>
            <w:vAlign w:val="center"/>
          </w:tcPr>
          <w:p>
            <w:pPr>
              <w:pStyle w:val="TableContents"/>
              <w:bidi w:val="0"/>
              <w:spacing w:before="0" w:after="283"/>
              <w:jc w:val="right"/>
              <w:rPr/>
            </w:pPr>
            <w:r>
              <w:rPr/>
              <w:t> </w:t>
            </w:r>
          </w:p>
        </w:tc>
        <w:tc>
          <w:tcPr>
            <w:tcW w:w="116" w:type="dxa"/>
            <w:tcBorders/>
            <w:shd w:fill="FFFFFF" w:val="clear"/>
            <w:vAlign w:val="center"/>
          </w:tcPr>
          <w:p>
            <w:pPr>
              <w:pStyle w:val="TableContents"/>
              <w:bidi w:val="0"/>
              <w:spacing w:before="0" w:after="283"/>
              <w:ind w:left="0" w:right="0" w:hanging="180"/>
              <w:jc w:val="left"/>
              <w:rPr/>
            </w:pPr>
            <w:r>
              <w:rPr/>
              <w:t> </w:t>
            </w:r>
          </w:p>
        </w:tc>
      </w:tr>
      <w:tr>
        <w:trPr/>
        <w:tc>
          <w:tcPr>
            <w:tcW w:w="5776"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Unallocated amounts:</w:t>
            </w:r>
          </w:p>
        </w:tc>
        <w:tc>
          <w:tcPr>
            <w:tcW w:w="60" w:type="dxa"/>
            <w:tcBorders/>
            <w:shd w:fill="CCEEFF" w:val="clear"/>
            <w:vAlign w:val="center"/>
          </w:tcPr>
          <w:p>
            <w:pPr>
              <w:pStyle w:val="TableContents"/>
              <w:bidi w:val="0"/>
              <w:spacing w:before="0" w:after="283"/>
              <w:jc w:val="left"/>
              <w:rPr/>
            </w:pPr>
            <w:r>
              <w:rPr/>
              <w:t> </w:t>
            </w:r>
          </w:p>
        </w:tc>
        <w:tc>
          <w:tcPr>
            <w:tcW w:w="181" w:type="dxa"/>
            <w:tcBorders/>
            <w:shd w:fill="CCEEFF" w:val="clear"/>
            <w:vAlign w:val="center"/>
          </w:tcPr>
          <w:p>
            <w:pPr>
              <w:pStyle w:val="TableContents"/>
              <w:bidi w:val="0"/>
              <w:spacing w:before="0" w:after="283"/>
              <w:jc w:val="left"/>
              <w:rPr/>
            </w:pPr>
            <w:r>
              <w:rPr/>
              <w:t> </w:t>
            </w:r>
          </w:p>
        </w:tc>
        <w:tc>
          <w:tcPr>
            <w:tcW w:w="979" w:type="dxa"/>
            <w:tcBorders/>
            <w:shd w:fill="CCEEFF" w:val="clear"/>
            <w:vAlign w:val="center"/>
          </w:tcPr>
          <w:p>
            <w:pPr>
              <w:pStyle w:val="TableContents"/>
              <w:bidi w:val="0"/>
              <w:spacing w:before="0" w:after="283"/>
              <w:jc w:val="right"/>
              <w:rPr/>
            </w:pPr>
            <w:r>
              <w:rPr/>
              <w:t> </w:t>
            </w:r>
          </w:p>
        </w:tc>
        <w:tc>
          <w:tcPr>
            <w:tcW w:w="97"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151" w:type="dxa"/>
            <w:tcBorders/>
            <w:shd w:fill="CCEEFF" w:val="clear"/>
            <w:vAlign w:val="center"/>
          </w:tcPr>
          <w:p>
            <w:pPr>
              <w:pStyle w:val="TableContents"/>
              <w:bidi w:val="0"/>
              <w:spacing w:before="0" w:after="283"/>
              <w:jc w:val="left"/>
              <w:rPr/>
            </w:pPr>
            <w:r>
              <w:rPr/>
              <w:t> </w:t>
            </w:r>
          </w:p>
        </w:tc>
        <w:tc>
          <w:tcPr>
            <w:tcW w:w="739" w:type="dxa"/>
            <w:tcBorders/>
            <w:shd w:fill="CCEEFF" w:val="clear"/>
            <w:vAlign w:val="center"/>
          </w:tcPr>
          <w:p>
            <w:pPr>
              <w:pStyle w:val="TableContents"/>
              <w:bidi w:val="0"/>
              <w:spacing w:before="0" w:after="283"/>
              <w:jc w:val="right"/>
              <w:rPr/>
            </w:pPr>
            <w:r>
              <w:rPr/>
              <w:t> </w:t>
            </w:r>
          </w:p>
        </w:tc>
        <w:tc>
          <w:tcPr>
            <w:tcW w:w="97"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143" w:type="dxa"/>
            <w:tcBorders/>
            <w:shd w:fill="CCEEFF" w:val="clear"/>
            <w:vAlign w:val="center"/>
          </w:tcPr>
          <w:p>
            <w:pPr>
              <w:pStyle w:val="TableContents"/>
              <w:bidi w:val="0"/>
              <w:spacing w:before="0" w:after="283"/>
              <w:jc w:val="left"/>
              <w:rPr/>
            </w:pPr>
            <w:r>
              <w:rPr/>
              <w:t> </w:t>
            </w:r>
          </w:p>
        </w:tc>
        <w:tc>
          <w:tcPr>
            <w:tcW w:w="701" w:type="dxa"/>
            <w:tcBorders/>
            <w:shd w:fill="CCEEFF" w:val="clear"/>
            <w:vAlign w:val="center"/>
          </w:tcPr>
          <w:p>
            <w:pPr>
              <w:pStyle w:val="TableContents"/>
              <w:bidi w:val="0"/>
              <w:spacing w:before="0" w:after="283"/>
              <w:jc w:val="right"/>
              <w:rPr/>
            </w:pPr>
            <w:r>
              <w:rPr/>
              <w:t> </w:t>
            </w:r>
          </w:p>
        </w:tc>
        <w:tc>
          <w:tcPr>
            <w:tcW w:w="61"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143" w:type="dxa"/>
            <w:tcBorders/>
            <w:shd w:fill="CCEEFF" w:val="clear"/>
            <w:vAlign w:val="center"/>
          </w:tcPr>
          <w:p>
            <w:pPr>
              <w:pStyle w:val="TableContents"/>
              <w:bidi w:val="0"/>
              <w:spacing w:before="0" w:after="283"/>
              <w:jc w:val="left"/>
              <w:rPr/>
            </w:pPr>
            <w:r>
              <w:rPr/>
              <w:t> </w:t>
            </w:r>
          </w:p>
        </w:tc>
        <w:tc>
          <w:tcPr>
            <w:tcW w:w="778" w:type="dxa"/>
            <w:tcBorders/>
            <w:shd w:fill="CCEEFF" w:val="clear"/>
            <w:vAlign w:val="center"/>
          </w:tcPr>
          <w:p>
            <w:pPr>
              <w:pStyle w:val="TableContents"/>
              <w:bidi w:val="0"/>
              <w:spacing w:before="0" w:after="283"/>
              <w:jc w:val="right"/>
              <w:rPr/>
            </w:pPr>
            <w:r>
              <w:rPr/>
              <w:t> </w:t>
            </w:r>
          </w:p>
        </w:tc>
        <w:tc>
          <w:tcPr>
            <w:tcW w:w="116" w:type="dxa"/>
            <w:tcBorders/>
            <w:shd w:fill="CCEEFF" w:val="clear"/>
            <w:vAlign w:val="center"/>
          </w:tcPr>
          <w:p>
            <w:pPr>
              <w:pStyle w:val="TableContents"/>
              <w:bidi w:val="0"/>
              <w:spacing w:before="0" w:after="283"/>
              <w:jc w:val="left"/>
              <w:rPr/>
            </w:pPr>
            <w:r>
              <w:rPr/>
              <w:t> </w:t>
            </w:r>
          </w:p>
        </w:tc>
      </w:tr>
      <w:tr>
        <w:trPr/>
        <w:tc>
          <w:tcPr>
            <w:tcW w:w="5776"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Interest expense</w:t>
            </w:r>
          </w:p>
        </w:tc>
        <w:tc>
          <w:tcPr>
            <w:tcW w:w="60"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 </w:t>
            </w:r>
          </w:p>
        </w:tc>
        <w:tc>
          <w:tcPr>
            <w:tcW w:w="979" w:type="dxa"/>
            <w:tcBorders/>
            <w:shd w:fill="FFFFFF" w:val="clear"/>
            <w:vAlign w:val="center"/>
          </w:tcPr>
          <w:p>
            <w:pPr>
              <w:pStyle w:val="TableContents"/>
              <w:bidi w:val="0"/>
              <w:spacing w:before="0" w:after="283"/>
              <w:jc w:val="right"/>
              <w:rPr/>
            </w:pPr>
            <w:r>
              <w:rPr/>
              <w:t> </w:t>
            </w:r>
          </w:p>
        </w:tc>
        <w:tc>
          <w:tcPr>
            <w:tcW w:w="97"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jc w:val="left"/>
              <w:rPr/>
            </w:pPr>
            <w:r>
              <w:rPr/>
              <w:t> </w:t>
            </w:r>
          </w:p>
        </w:tc>
        <w:tc>
          <w:tcPr>
            <w:tcW w:w="151" w:type="dxa"/>
            <w:tcBorders/>
            <w:shd w:fill="FFFFFF" w:val="clear"/>
            <w:vAlign w:val="center"/>
          </w:tcPr>
          <w:p>
            <w:pPr>
              <w:pStyle w:val="TableContents"/>
              <w:bidi w:val="0"/>
              <w:spacing w:before="0" w:after="283"/>
              <w:jc w:val="left"/>
              <w:rPr/>
            </w:pPr>
            <w:r>
              <w:rPr/>
              <w:t> </w:t>
            </w:r>
          </w:p>
        </w:tc>
        <w:tc>
          <w:tcPr>
            <w:tcW w:w="739" w:type="dxa"/>
            <w:tcBorders/>
            <w:shd w:fill="FFFFFF" w:val="clear"/>
            <w:vAlign w:val="center"/>
          </w:tcPr>
          <w:p>
            <w:pPr>
              <w:pStyle w:val="TableContents"/>
              <w:bidi w:val="0"/>
              <w:spacing w:before="0" w:after="283"/>
              <w:jc w:val="right"/>
              <w:rPr/>
            </w:pPr>
            <w:r>
              <w:rPr/>
              <w:t> </w:t>
            </w:r>
          </w:p>
        </w:tc>
        <w:tc>
          <w:tcPr>
            <w:tcW w:w="97"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jc w:val="left"/>
              <w:rPr/>
            </w:pPr>
            <w:r>
              <w:rPr/>
              <w:t> </w:t>
            </w:r>
          </w:p>
        </w:tc>
        <w:tc>
          <w:tcPr>
            <w:tcW w:w="143" w:type="dxa"/>
            <w:tcBorders/>
            <w:shd w:fill="FFFFFF" w:val="clear"/>
            <w:vAlign w:val="center"/>
          </w:tcPr>
          <w:p>
            <w:pPr>
              <w:pStyle w:val="TableContents"/>
              <w:bidi w:val="0"/>
              <w:spacing w:before="0" w:after="283"/>
              <w:jc w:val="left"/>
              <w:rPr/>
            </w:pPr>
            <w:r>
              <w:rPr/>
              <w:t> </w:t>
            </w:r>
          </w:p>
        </w:tc>
        <w:tc>
          <w:tcPr>
            <w:tcW w:w="701" w:type="dxa"/>
            <w:tcBorders/>
            <w:shd w:fill="FFFFFF" w:val="clear"/>
            <w:vAlign w:val="center"/>
          </w:tcPr>
          <w:p>
            <w:pPr>
              <w:pStyle w:val="TableContents"/>
              <w:bidi w:val="0"/>
              <w:spacing w:before="0" w:after="283"/>
              <w:jc w:val="right"/>
              <w:rPr/>
            </w:pPr>
            <w:r>
              <w:rPr/>
              <w:t> </w:t>
            </w:r>
          </w:p>
        </w:tc>
        <w:tc>
          <w:tcPr>
            <w:tcW w:w="61"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jc w:val="left"/>
              <w:rPr/>
            </w:pPr>
            <w:r>
              <w:rPr/>
              <w:t> </w:t>
            </w:r>
          </w:p>
        </w:tc>
        <w:tc>
          <w:tcPr>
            <w:tcW w:w="143" w:type="dxa"/>
            <w:tcBorders/>
            <w:shd w:fill="FFFFFF" w:val="clear"/>
            <w:vAlign w:val="center"/>
          </w:tcPr>
          <w:p>
            <w:pPr>
              <w:pStyle w:val="TableContents"/>
              <w:bidi w:val="0"/>
              <w:spacing w:before="0" w:after="283"/>
              <w:jc w:val="left"/>
              <w:rPr/>
            </w:pPr>
            <w:r>
              <w:rPr/>
              <w:t> </w:t>
            </w:r>
          </w:p>
        </w:tc>
        <w:tc>
          <w:tcPr>
            <w:tcW w:w="778"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(6,924</w:t>
            </w:r>
          </w:p>
        </w:tc>
        <w:tc>
          <w:tcPr>
            <w:tcW w:w="116"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5776"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Other non-operating income, net</w:t>
            </w:r>
          </w:p>
        </w:tc>
        <w:tc>
          <w:tcPr>
            <w:tcW w:w="60" w:type="dxa"/>
            <w:tcBorders/>
            <w:shd w:fill="CCEEFF" w:val="clear"/>
            <w:vAlign w:val="center"/>
          </w:tcPr>
          <w:p>
            <w:pPr>
              <w:pStyle w:val="TableContents"/>
              <w:bidi w:val="0"/>
              <w:spacing w:before="0" w:after="283"/>
              <w:jc w:val="left"/>
              <w:rPr/>
            </w:pPr>
            <w:r>
              <w:rPr/>
              <w:t> </w:t>
            </w:r>
          </w:p>
        </w:tc>
        <w:tc>
          <w:tcPr>
            <w:tcW w:w="181" w:type="dxa"/>
            <w:tcBorders/>
            <w:shd w:fill="CCEEFF" w:val="clear"/>
            <w:vAlign w:val="center"/>
          </w:tcPr>
          <w:p>
            <w:pPr>
              <w:pStyle w:val="TableContents"/>
              <w:bidi w:val="0"/>
              <w:spacing w:before="0" w:after="283"/>
              <w:jc w:val="left"/>
              <w:rPr/>
            </w:pPr>
            <w:r>
              <w:rPr/>
              <w:t> </w:t>
            </w:r>
          </w:p>
        </w:tc>
        <w:tc>
          <w:tcPr>
            <w:tcW w:w="979" w:type="dxa"/>
            <w:tcBorders/>
            <w:shd w:fill="CCEEFF" w:val="clear"/>
            <w:vAlign w:val="center"/>
          </w:tcPr>
          <w:p>
            <w:pPr>
              <w:pStyle w:val="TableContents"/>
              <w:bidi w:val="0"/>
              <w:spacing w:before="0" w:after="283"/>
              <w:jc w:val="right"/>
              <w:rPr/>
            </w:pPr>
            <w:r>
              <w:rPr/>
              <w:t> </w:t>
            </w:r>
          </w:p>
        </w:tc>
        <w:tc>
          <w:tcPr>
            <w:tcW w:w="97"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151" w:type="dxa"/>
            <w:tcBorders/>
            <w:shd w:fill="CCEEFF" w:val="clear"/>
            <w:vAlign w:val="center"/>
          </w:tcPr>
          <w:p>
            <w:pPr>
              <w:pStyle w:val="TableContents"/>
              <w:bidi w:val="0"/>
              <w:spacing w:before="0" w:after="283"/>
              <w:jc w:val="left"/>
              <w:rPr/>
            </w:pPr>
            <w:r>
              <w:rPr/>
              <w:t> </w:t>
            </w:r>
          </w:p>
        </w:tc>
        <w:tc>
          <w:tcPr>
            <w:tcW w:w="739" w:type="dxa"/>
            <w:tcBorders/>
            <w:shd w:fill="CCEEFF" w:val="clear"/>
            <w:vAlign w:val="center"/>
          </w:tcPr>
          <w:p>
            <w:pPr>
              <w:pStyle w:val="TableContents"/>
              <w:bidi w:val="0"/>
              <w:spacing w:before="0" w:after="283"/>
              <w:jc w:val="right"/>
              <w:rPr/>
            </w:pPr>
            <w:r>
              <w:rPr/>
              <w:t> </w:t>
            </w:r>
          </w:p>
        </w:tc>
        <w:tc>
          <w:tcPr>
            <w:tcW w:w="97"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143" w:type="dxa"/>
            <w:tcBorders/>
            <w:shd w:fill="CCEEFF" w:val="clear"/>
            <w:vAlign w:val="center"/>
          </w:tcPr>
          <w:p>
            <w:pPr>
              <w:pStyle w:val="TableContents"/>
              <w:bidi w:val="0"/>
              <w:spacing w:before="0" w:after="283"/>
              <w:jc w:val="left"/>
              <w:rPr/>
            </w:pPr>
            <w:r>
              <w:rPr/>
              <w:t> </w:t>
            </w:r>
          </w:p>
        </w:tc>
        <w:tc>
          <w:tcPr>
            <w:tcW w:w="701" w:type="dxa"/>
            <w:tcBorders/>
            <w:shd w:fill="CCEEFF" w:val="clear"/>
            <w:vAlign w:val="center"/>
          </w:tcPr>
          <w:p>
            <w:pPr>
              <w:pStyle w:val="TableContents"/>
              <w:bidi w:val="0"/>
              <w:spacing w:before="0" w:after="283"/>
              <w:jc w:val="right"/>
              <w:rPr/>
            </w:pPr>
            <w:r>
              <w:rPr/>
              <w:t> </w:t>
            </w:r>
          </w:p>
        </w:tc>
        <w:tc>
          <w:tcPr>
            <w:tcW w:w="61"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143"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778"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30,761</w:t>
            </w:r>
          </w:p>
        </w:tc>
        <w:tc>
          <w:tcPr>
            <w:tcW w:w="116" w:type="dxa"/>
            <w:tcBorders/>
            <w:shd w:fill="CCEEFF" w:val="clear"/>
            <w:vAlign w:val="center"/>
          </w:tcPr>
          <w:p>
            <w:pPr>
              <w:pStyle w:val="TableContents"/>
              <w:bidi w:val="0"/>
              <w:spacing w:before="0" w:after="283"/>
              <w:ind w:left="0" w:right="0" w:hanging="180"/>
              <w:jc w:val="left"/>
              <w:rPr/>
            </w:pPr>
            <w:r>
              <w:rPr/>
              <w:t> </w:t>
            </w:r>
          </w:p>
        </w:tc>
      </w:tr>
      <w:tr>
        <w:trPr/>
        <w:tc>
          <w:tcPr>
            <w:tcW w:w="5776"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Loss from operations before taxes</w:t>
            </w:r>
          </w:p>
        </w:tc>
        <w:tc>
          <w:tcPr>
            <w:tcW w:w="60"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 </w:t>
            </w:r>
          </w:p>
        </w:tc>
        <w:tc>
          <w:tcPr>
            <w:tcW w:w="979" w:type="dxa"/>
            <w:tcBorders/>
            <w:shd w:fill="FFFFFF" w:val="clear"/>
            <w:vAlign w:val="center"/>
          </w:tcPr>
          <w:p>
            <w:pPr>
              <w:pStyle w:val="TableContents"/>
              <w:bidi w:val="0"/>
              <w:spacing w:before="0" w:after="283"/>
              <w:jc w:val="right"/>
              <w:rPr/>
            </w:pPr>
            <w:r>
              <w:rPr/>
              <w:t> </w:t>
            </w:r>
          </w:p>
        </w:tc>
        <w:tc>
          <w:tcPr>
            <w:tcW w:w="97"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jc w:val="left"/>
              <w:rPr/>
            </w:pPr>
            <w:r>
              <w:rPr/>
              <w:t> </w:t>
            </w:r>
          </w:p>
        </w:tc>
        <w:tc>
          <w:tcPr>
            <w:tcW w:w="151" w:type="dxa"/>
            <w:tcBorders/>
            <w:shd w:fill="FFFFFF" w:val="clear"/>
            <w:vAlign w:val="center"/>
          </w:tcPr>
          <w:p>
            <w:pPr>
              <w:pStyle w:val="TableContents"/>
              <w:bidi w:val="0"/>
              <w:spacing w:before="0" w:after="283"/>
              <w:jc w:val="left"/>
              <w:rPr/>
            </w:pPr>
            <w:r>
              <w:rPr/>
              <w:t> </w:t>
            </w:r>
          </w:p>
        </w:tc>
        <w:tc>
          <w:tcPr>
            <w:tcW w:w="739" w:type="dxa"/>
            <w:tcBorders/>
            <w:shd w:fill="FFFFFF" w:val="clear"/>
            <w:vAlign w:val="center"/>
          </w:tcPr>
          <w:p>
            <w:pPr>
              <w:pStyle w:val="TableContents"/>
              <w:bidi w:val="0"/>
              <w:spacing w:before="0" w:after="283"/>
              <w:jc w:val="right"/>
              <w:rPr/>
            </w:pPr>
            <w:r>
              <w:rPr/>
              <w:t> </w:t>
            </w:r>
          </w:p>
        </w:tc>
        <w:tc>
          <w:tcPr>
            <w:tcW w:w="97"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jc w:val="left"/>
              <w:rPr/>
            </w:pPr>
            <w:r>
              <w:rPr/>
              <w:t> </w:t>
            </w:r>
          </w:p>
        </w:tc>
        <w:tc>
          <w:tcPr>
            <w:tcW w:w="143" w:type="dxa"/>
            <w:tcBorders/>
            <w:shd w:fill="FFFFFF" w:val="clear"/>
            <w:vAlign w:val="center"/>
          </w:tcPr>
          <w:p>
            <w:pPr>
              <w:pStyle w:val="TableContents"/>
              <w:bidi w:val="0"/>
              <w:spacing w:before="0" w:after="283"/>
              <w:jc w:val="left"/>
              <w:rPr/>
            </w:pPr>
            <w:r>
              <w:rPr/>
              <w:t> </w:t>
            </w:r>
          </w:p>
        </w:tc>
        <w:tc>
          <w:tcPr>
            <w:tcW w:w="701" w:type="dxa"/>
            <w:tcBorders/>
            <w:shd w:fill="FFFFFF" w:val="clear"/>
            <w:vAlign w:val="center"/>
          </w:tcPr>
          <w:p>
            <w:pPr>
              <w:pStyle w:val="TableContents"/>
              <w:bidi w:val="0"/>
              <w:spacing w:before="0" w:after="283"/>
              <w:jc w:val="right"/>
              <w:rPr/>
            </w:pPr>
            <w:r>
              <w:rPr/>
              <w:t> </w:t>
            </w:r>
          </w:p>
        </w:tc>
        <w:tc>
          <w:tcPr>
            <w:tcW w:w="61"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jc w:val="left"/>
              <w:rPr/>
            </w:pPr>
            <w:r>
              <w:rPr/>
              <w:t> </w:t>
            </w:r>
          </w:p>
        </w:tc>
        <w:tc>
          <w:tcPr>
            <w:tcW w:w="143" w:type="dxa"/>
            <w:tcBorders>
              <w:bottom w:val="double" w:sz="10"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778" w:type="dxa"/>
            <w:tcBorders>
              <w:bottom w:val="double" w:sz="10"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4,642</w:t>
            </w:r>
          </w:p>
        </w:tc>
        <w:tc>
          <w:tcPr>
            <w:tcW w:w="116"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tbl>
      <w:tblPr>
        <w:tblW w:w="9850" w:type="dxa"/>
        <w:jc w:val="left"/>
        <w:tblInd w:w="0" w:type="dxa"/>
        <w:tblLayout w:type="fixed"/>
        <w:tblCellMar>
          <w:top w:w="0" w:type="dxa"/>
          <w:left w:w="0" w:type="dxa"/>
          <w:bottom w:w="0" w:type="dxa"/>
          <w:right w:w="0" w:type="dxa"/>
        </w:tblCellMar>
      </w:tblPr>
      <w:tblGrid>
        <w:gridCol w:w="245"/>
        <w:gridCol w:w="9605"/>
      </w:tblGrid>
      <w:tr>
        <w:trPr/>
        <w:tc>
          <w:tcPr>
            <w:tcW w:w="245" w:type="dxa"/>
            <w:tcBorders/>
            <w:vAlign w:val="center"/>
          </w:tcPr>
          <w:p>
            <w:pPr>
              <w:pStyle w:val="TableContents"/>
              <w:bidi w:val="0"/>
              <w:spacing w:before="0" w:after="283"/>
              <w:jc w:val="left"/>
              <w:rPr>
                <w:rFonts w:ascii="Times New Roman;Times;Serif" w:hAnsi="Times New Roman;Times;Serif"/>
                <w:position w:val="7"/>
                <w:sz w:val="16"/>
                <w:sz w:val="20"/>
              </w:rPr>
            </w:pPr>
            <w:r>
              <w:rPr>
                <w:rFonts w:ascii="Times New Roman;Times;Serif" w:hAnsi="Times New Roman;Times;Serif"/>
                <w:position w:val="7"/>
                <w:sz w:val="16"/>
                <w:sz w:val="20"/>
              </w:rPr>
              <w:t>(1)</w:t>
            </w:r>
          </w:p>
        </w:tc>
        <w:tc>
          <w:tcPr>
            <w:tcW w:w="960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Depreciation and amortization expense in the thirteen week period ended March 29, 2026 was as follows (</w:t>
            </w:r>
            <w:r>
              <w:rPr>
                <w:rFonts w:ascii="Times New Roman;Times;Serif" w:hAnsi="Times New Roman;Times;Serif"/>
                <w:i/>
                <w:sz w:val="20"/>
              </w:rPr>
              <w:t>in millions</w:t>
            </w:r>
            <w:r>
              <w:rPr>
                <w:rFonts w:ascii="Times New Roman;Times;Serif" w:hAnsi="Times New Roman;Times;Serif"/>
                <w:sz w:val="20"/>
              </w:rPr>
              <w:t>):</w:t>
            </w:r>
          </w:p>
        </w:tc>
      </w:tr>
    </w:tbl>
    <w:p>
      <w:pPr>
        <w:pStyle w:val="TextBody"/>
        <w:bidi w:val="0"/>
        <w:spacing w:before="0" w:after="0"/>
        <w:ind w:left="0" w:right="0" w:hanging="0"/>
        <w:jc w:val="both"/>
        <w:rPr>
          <w:caps w:val="false"/>
          <w:smallCaps w:val="false"/>
        </w:rPr>
      </w:pPr>
      <w:r>
        <w:rPr>
          <w:caps w:val="false"/>
          <w:smallCaps w:val="false"/>
        </w:rPr>
        <w:t> </w:t>
      </w:r>
    </w:p>
    <w:tbl>
      <w:tblPr>
        <w:tblW w:w="7915" w:type="dxa"/>
        <w:jc w:val="left"/>
        <w:tblInd w:w="0" w:type="dxa"/>
        <w:tblLayout w:type="fixed"/>
        <w:tblCellMar>
          <w:top w:w="0" w:type="dxa"/>
          <w:left w:w="0" w:type="dxa"/>
          <w:bottom w:w="28" w:type="dxa"/>
          <w:right w:w="0" w:type="dxa"/>
        </w:tblCellMar>
      </w:tblPr>
      <w:tblGrid>
        <w:gridCol w:w="4115"/>
        <w:gridCol w:w="60"/>
        <w:gridCol w:w="353"/>
        <w:gridCol w:w="807"/>
        <w:gridCol w:w="60"/>
        <w:gridCol w:w="60"/>
        <w:gridCol w:w="270"/>
        <w:gridCol w:w="620"/>
        <w:gridCol w:w="60"/>
        <w:gridCol w:w="60"/>
        <w:gridCol w:w="211"/>
        <w:gridCol w:w="484"/>
        <w:gridCol w:w="60"/>
        <w:gridCol w:w="60"/>
        <w:gridCol w:w="170"/>
        <w:gridCol w:w="390"/>
        <w:gridCol w:w="75"/>
      </w:tblGrid>
      <w:tr>
        <w:trPr/>
        <w:tc>
          <w:tcPr>
            <w:tcW w:w="4115" w:type="dxa"/>
            <w:tcBorders>
              <w:bottom w:val="single" w:sz="12" w:space="0" w:color="000000"/>
            </w:tcBorders>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160" w:type="dxa"/>
            <w:gridSpan w:val="2"/>
            <w:tcBorders>
              <w:bottom w:val="single" w:sz="12" w:space="0" w:color="000000"/>
            </w:tcBorders>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Residential</w:t>
              <w:br/>
              <w:t>Solar</w:t>
              <w:br/>
              <w:t>Installation</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890" w:type="dxa"/>
            <w:gridSpan w:val="2"/>
            <w:tcBorders>
              <w:bottom w:val="single" w:sz="12" w:space="0" w:color="000000"/>
            </w:tcBorders>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New</w:t>
              <w:br/>
              <w:t>Homes</w:t>
              <w:br/>
              <w:t>Business</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695" w:type="dxa"/>
            <w:gridSpan w:val="2"/>
            <w:tcBorders>
              <w:bottom w:val="single" w:sz="12" w:space="0" w:color="000000"/>
            </w:tcBorders>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Dealer</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560" w:type="dxa"/>
            <w:gridSpan w:val="2"/>
            <w:tcBorders>
              <w:bottom w:val="single" w:sz="12" w:space="0" w:color="000000"/>
            </w:tcBorders>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Total</w:t>
            </w:r>
          </w:p>
        </w:tc>
        <w:tc>
          <w:tcPr>
            <w:tcW w:w="75" w:type="dxa"/>
            <w:tcBorders/>
            <w:tcMar>
              <w:bottom w:w="0" w:type="dxa"/>
            </w:tcMar>
            <w:vAlign w:val="center"/>
          </w:tcPr>
          <w:p>
            <w:pPr>
              <w:pStyle w:val="TableContents"/>
              <w:bidi w:val="0"/>
              <w:spacing w:before="0" w:after="283"/>
              <w:jc w:val="left"/>
              <w:rPr/>
            </w:pPr>
            <w:r>
              <w:rPr/>
              <w:t> </w:t>
            </w:r>
          </w:p>
        </w:tc>
      </w:tr>
      <w:tr>
        <w:trPr/>
        <w:tc>
          <w:tcPr>
            <w:tcW w:w="4115" w:type="dxa"/>
            <w:tcBorders/>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Depreciation and amortization classified in:</w:t>
            </w:r>
          </w:p>
        </w:tc>
        <w:tc>
          <w:tcPr>
            <w:tcW w:w="60" w:type="dxa"/>
            <w:tcBorders/>
            <w:tcMar>
              <w:bottom w:w="0" w:type="dxa"/>
            </w:tcMar>
            <w:vAlign w:val="center"/>
          </w:tcPr>
          <w:p>
            <w:pPr>
              <w:pStyle w:val="TableContents"/>
              <w:bidi w:val="0"/>
              <w:spacing w:before="0" w:after="283"/>
              <w:jc w:val="left"/>
              <w:rPr/>
            </w:pPr>
            <w:r>
              <w:rPr/>
              <w:t> </w:t>
            </w:r>
          </w:p>
        </w:tc>
        <w:tc>
          <w:tcPr>
            <w:tcW w:w="1160" w:type="dxa"/>
            <w:gridSpan w:val="2"/>
            <w:tcBorders/>
            <w:tcMar>
              <w:bottom w:w="0" w:type="dxa"/>
            </w:tcMar>
            <w:vAlign w:val="center"/>
          </w:tcPr>
          <w:p>
            <w:pPr>
              <w:pStyle w:val="TableContents"/>
              <w:bidi w:val="0"/>
              <w:spacing w:before="0" w:after="283"/>
              <w:jc w:val="right"/>
              <w:rPr/>
            </w:pPr>
            <w:r>
              <w:rPr/>
              <w:t> </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890" w:type="dxa"/>
            <w:gridSpan w:val="2"/>
            <w:tcBorders/>
            <w:tcMar>
              <w:bottom w:w="0" w:type="dxa"/>
            </w:tcMar>
            <w:vAlign w:val="center"/>
          </w:tcPr>
          <w:p>
            <w:pPr>
              <w:pStyle w:val="TableContents"/>
              <w:bidi w:val="0"/>
              <w:spacing w:before="0" w:after="283"/>
              <w:jc w:val="right"/>
              <w:rPr/>
            </w:pPr>
            <w:r>
              <w:rPr/>
              <w:t> </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695" w:type="dxa"/>
            <w:gridSpan w:val="2"/>
            <w:tcBorders/>
            <w:tcMar>
              <w:bottom w:w="0" w:type="dxa"/>
            </w:tcMar>
            <w:vAlign w:val="center"/>
          </w:tcPr>
          <w:p>
            <w:pPr>
              <w:pStyle w:val="TableContents"/>
              <w:bidi w:val="0"/>
              <w:spacing w:before="0" w:after="283"/>
              <w:jc w:val="right"/>
              <w:rPr/>
            </w:pPr>
            <w:r>
              <w:rPr/>
              <w:t> </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560" w:type="dxa"/>
            <w:gridSpan w:val="2"/>
            <w:tcBorders/>
            <w:tcMar>
              <w:bottom w:w="0" w:type="dxa"/>
            </w:tcMar>
            <w:vAlign w:val="center"/>
          </w:tcPr>
          <w:p>
            <w:pPr>
              <w:pStyle w:val="TableContents"/>
              <w:bidi w:val="0"/>
              <w:spacing w:before="0" w:after="283"/>
              <w:jc w:val="right"/>
              <w:rPr/>
            </w:pPr>
            <w:r>
              <w:rPr/>
              <w:t> </w:t>
            </w:r>
          </w:p>
        </w:tc>
        <w:tc>
          <w:tcPr>
            <w:tcW w:w="75" w:type="dxa"/>
            <w:tcBorders/>
            <w:tcMar>
              <w:bottom w:w="0" w:type="dxa"/>
            </w:tcMar>
            <w:vAlign w:val="center"/>
          </w:tcPr>
          <w:p>
            <w:pPr>
              <w:pStyle w:val="TableContents"/>
              <w:bidi w:val="0"/>
              <w:spacing w:before="0" w:after="283"/>
              <w:jc w:val="left"/>
              <w:rPr/>
            </w:pPr>
            <w:r>
              <w:rPr/>
              <w:t> </w:t>
            </w:r>
          </w:p>
        </w:tc>
      </w:tr>
      <w:tr>
        <w:trPr/>
        <w:tc>
          <w:tcPr>
            <w:tcW w:w="4115"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Cost of revenues</w:t>
            </w:r>
          </w:p>
        </w:tc>
        <w:tc>
          <w:tcPr>
            <w:tcW w:w="60" w:type="dxa"/>
            <w:tcBorders/>
            <w:shd w:fill="CCEEFF" w:val="clear"/>
            <w:tcMar>
              <w:bottom w:w="0" w:type="dxa"/>
            </w:tcMar>
            <w:vAlign w:val="center"/>
          </w:tcPr>
          <w:p>
            <w:pPr>
              <w:pStyle w:val="TableContents"/>
              <w:bidi w:val="0"/>
              <w:spacing w:before="0" w:after="283"/>
              <w:jc w:val="left"/>
              <w:rPr/>
            </w:pPr>
            <w:r>
              <w:rPr/>
              <w:t> </w:t>
            </w:r>
          </w:p>
        </w:tc>
        <w:tc>
          <w:tcPr>
            <w:tcW w:w="353"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807"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0.5</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70"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20"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11"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484"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0.1</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70"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390"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0.6</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4115" w:type="dxa"/>
            <w:tcBorders/>
            <w:shd w:fill="FFFF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General and administrative</w:t>
            </w:r>
          </w:p>
        </w:tc>
        <w:tc>
          <w:tcPr>
            <w:tcW w:w="60" w:type="dxa"/>
            <w:tcBorders/>
            <w:shd w:fill="FFFFFF" w:val="clear"/>
            <w:tcMar>
              <w:bottom w:w="0" w:type="dxa"/>
            </w:tcMar>
            <w:vAlign w:val="center"/>
          </w:tcPr>
          <w:p>
            <w:pPr>
              <w:pStyle w:val="TableContents"/>
              <w:bidi w:val="0"/>
              <w:spacing w:before="0" w:after="283"/>
              <w:jc w:val="left"/>
              <w:rPr/>
            </w:pPr>
            <w:r>
              <w:rPr/>
              <w:t> </w:t>
            </w:r>
          </w:p>
        </w:tc>
        <w:tc>
          <w:tcPr>
            <w:tcW w:w="353" w:type="dxa"/>
            <w:tcBorders>
              <w:bottom w:val="single" w:sz="12" w:space="0" w:color="000000"/>
            </w:tcBorders>
            <w:shd w:fill="FFFFFF" w:val="clear"/>
            <w:vAlign w:val="center"/>
          </w:tcPr>
          <w:p>
            <w:pPr>
              <w:pStyle w:val="TableContents"/>
              <w:bidi w:val="0"/>
              <w:spacing w:before="0" w:after="283"/>
              <w:jc w:val="left"/>
              <w:rPr/>
            </w:pPr>
            <w:r>
              <w:rPr/>
              <w:t> </w:t>
            </w:r>
          </w:p>
        </w:tc>
        <w:tc>
          <w:tcPr>
            <w:tcW w:w="807" w:type="dxa"/>
            <w:tcBorders>
              <w:bottom w:val="single" w:sz="12" w:space="0" w:color="000000"/>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1.8</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70" w:type="dxa"/>
            <w:tcBorders>
              <w:bottom w:val="single" w:sz="12" w:space="0" w:color="000000"/>
            </w:tcBorders>
            <w:shd w:fill="FFFFFF" w:val="clear"/>
            <w:vAlign w:val="center"/>
          </w:tcPr>
          <w:p>
            <w:pPr>
              <w:pStyle w:val="TableContents"/>
              <w:bidi w:val="0"/>
              <w:spacing w:before="0" w:after="283"/>
              <w:jc w:val="left"/>
              <w:rPr/>
            </w:pPr>
            <w:r>
              <w:rPr/>
              <w:t> </w:t>
            </w:r>
          </w:p>
        </w:tc>
        <w:tc>
          <w:tcPr>
            <w:tcW w:w="620" w:type="dxa"/>
            <w:tcBorders>
              <w:bottom w:val="single" w:sz="12" w:space="0" w:color="000000"/>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0.3</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11" w:type="dxa"/>
            <w:tcBorders>
              <w:bottom w:val="single" w:sz="12" w:space="0" w:color="000000"/>
            </w:tcBorders>
            <w:shd w:fill="FFFFFF" w:val="clear"/>
            <w:vAlign w:val="center"/>
          </w:tcPr>
          <w:p>
            <w:pPr>
              <w:pStyle w:val="TableContents"/>
              <w:bidi w:val="0"/>
              <w:spacing w:before="0" w:after="283"/>
              <w:jc w:val="left"/>
              <w:rPr/>
            </w:pPr>
            <w:r>
              <w:rPr/>
              <w:t> </w:t>
            </w:r>
          </w:p>
        </w:tc>
        <w:tc>
          <w:tcPr>
            <w:tcW w:w="484" w:type="dxa"/>
            <w:tcBorders>
              <w:bottom w:val="single" w:sz="12" w:space="0" w:color="000000"/>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0.9</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70" w:type="dxa"/>
            <w:tcBorders>
              <w:bottom w:val="single" w:sz="12" w:space="0" w:color="000000"/>
            </w:tcBorders>
            <w:shd w:fill="FFFFFF" w:val="clear"/>
            <w:vAlign w:val="center"/>
          </w:tcPr>
          <w:p>
            <w:pPr>
              <w:pStyle w:val="TableContents"/>
              <w:bidi w:val="0"/>
              <w:spacing w:before="0" w:after="283"/>
              <w:jc w:val="left"/>
              <w:rPr/>
            </w:pPr>
            <w:r>
              <w:rPr/>
              <w:t> </w:t>
            </w:r>
          </w:p>
        </w:tc>
        <w:tc>
          <w:tcPr>
            <w:tcW w:w="390" w:type="dxa"/>
            <w:tcBorders>
              <w:bottom w:val="single" w:sz="12" w:space="0" w:color="000000"/>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3.0</w:t>
            </w:r>
          </w:p>
        </w:tc>
        <w:tc>
          <w:tcPr>
            <w:tcW w:w="75" w:type="dxa"/>
            <w:tcBorders/>
            <w:shd w:fill="FFFFFF" w:val="clear"/>
            <w:tcMar>
              <w:bottom w:w="0" w:type="dxa"/>
            </w:tcMar>
            <w:vAlign w:val="center"/>
          </w:tcPr>
          <w:p>
            <w:pPr>
              <w:pStyle w:val="TableContents"/>
              <w:bidi w:val="0"/>
              <w:spacing w:before="0" w:after="283"/>
              <w:jc w:val="left"/>
              <w:rPr/>
            </w:pPr>
            <w:r>
              <w:rPr/>
              <w:t> </w:t>
            </w:r>
          </w:p>
        </w:tc>
      </w:tr>
      <w:tr>
        <w:trPr/>
        <w:tc>
          <w:tcPr>
            <w:tcW w:w="4115"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Total</w:t>
            </w:r>
          </w:p>
        </w:tc>
        <w:tc>
          <w:tcPr>
            <w:tcW w:w="60" w:type="dxa"/>
            <w:tcBorders/>
            <w:shd w:fill="CCEEFF" w:val="clear"/>
            <w:tcMar>
              <w:bottom w:w="0" w:type="dxa"/>
            </w:tcMar>
            <w:vAlign w:val="center"/>
          </w:tcPr>
          <w:p>
            <w:pPr>
              <w:pStyle w:val="TableContents"/>
              <w:bidi w:val="0"/>
              <w:spacing w:before="0" w:after="283"/>
              <w:jc w:val="left"/>
              <w:rPr/>
            </w:pPr>
            <w:r>
              <w:rPr/>
              <w:t> </w:t>
            </w:r>
          </w:p>
        </w:tc>
        <w:tc>
          <w:tcPr>
            <w:tcW w:w="353" w:type="dxa"/>
            <w:tcBorders>
              <w:bottom w:val="double" w:sz="10" w:space="0" w:color="000000"/>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807" w:type="dxa"/>
            <w:tcBorders>
              <w:bottom w:val="double" w:sz="10" w:space="0" w:color="000000"/>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2.3</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70" w:type="dxa"/>
            <w:tcBorders>
              <w:bottom w:val="double" w:sz="10" w:space="0" w:color="000000"/>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20" w:type="dxa"/>
            <w:tcBorders>
              <w:bottom w:val="double" w:sz="10" w:space="0" w:color="000000"/>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0.3</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11" w:type="dxa"/>
            <w:tcBorders>
              <w:bottom w:val="double" w:sz="10" w:space="0" w:color="000000"/>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484" w:type="dxa"/>
            <w:tcBorders>
              <w:bottom w:val="double" w:sz="10" w:space="0" w:color="000000"/>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70" w:type="dxa"/>
            <w:tcBorders>
              <w:bottom w:val="double" w:sz="10" w:space="0" w:color="000000"/>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390" w:type="dxa"/>
            <w:tcBorders>
              <w:bottom w:val="double" w:sz="10" w:space="0" w:color="000000"/>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3.6</w:t>
            </w:r>
          </w:p>
        </w:tc>
        <w:tc>
          <w:tcPr>
            <w:tcW w:w="75" w:type="dxa"/>
            <w:tcBorders/>
            <w:shd w:fill="CCEEFF" w:val="clear"/>
            <w:tcMar>
              <w:bottom w:w="0"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sz w:val="20"/>
          <w:bdr w:val="single" w:sz="12" w:space="1" w:color="000000"/>
        </w:rPr>
      </w:pPr>
      <w:r>
        <w:rPr>
          <w:sz w:val="20"/>
          <w:bdr w:val="single" w:sz="12" w:space="1" w:color="000000"/>
        </w:rPr>
        <w:t>F-45</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5818"/>
        <w:gridCol w:w="60"/>
        <w:gridCol w:w="181"/>
        <w:gridCol w:w="979"/>
        <w:gridCol w:w="108"/>
        <w:gridCol w:w="68"/>
        <w:gridCol w:w="169"/>
        <w:gridCol w:w="794"/>
        <w:gridCol w:w="68"/>
        <w:gridCol w:w="68"/>
        <w:gridCol w:w="243"/>
        <w:gridCol w:w="452"/>
        <w:gridCol w:w="68"/>
        <w:gridCol w:w="68"/>
        <w:gridCol w:w="161"/>
        <w:gridCol w:w="783"/>
        <w:gridCol w:w="117"/>
      </w:tblGrid>
      <w:tr>
        <w:trPr/>
        <w:tc>
          <w:tcPr>
            <w:tcW w:w="5818"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210" w:type="dxa"/>
            <w:gridSpan w:val="14"/>
            <w:tcBorders>
              <w:bottom w:val="single" w:sz="12" w:space="0" w:color="000000"/>
            </w:tcBorders>
            <w:tcMar>
              <w:bottom w:w="28" w:type="dxa"/>
            </w:tcMar>
            <w:vAlign w:val="center"/>
          </w:tcPr>
          <w:p>
            <w:pPr>
              <w:pStyle w:val="TableContents"/>
              <w:bidi w:val="0"/>
              <w:spacing w:before="0" w:after="283"/>
              <w:jc w:val="center"/>
              <w:rPr>
                <w:b/>
              </w:rPr>
            </w:pPr>
            <w:r>
              <w:rPr>
                <w:b/>
              </w:rPr>
              <w:t>Thirteen Weeks Ended March 30, 2025</w:t>
            </w:r>
          </w:p>
        </w:tc>
        <w:tc>
          <w:tcPr>
            <w:tcW w:w="117" w:type="dxa"/>
            <w:tcBorders/>
            <w:vAlign w:val="center"/>
          </w:tcPr>
          <w:p>
            <w:pPr>
              <w:pStyle w:val="TableContents"/>
              <w:bidi w:val="0"/>
              <w:spacing w:before="0" w:after="283"/>
              <w:jc w:val="left"/>
              <w:rPr/>
            </w:pPr>
            <w:r>
              <w:rPr/>
              <w:t> </w:t>
            </w:r>
          </w:p>
        </w:tc>
      </w:tr>
      <w:tr>
        <w:trPr/>
        <w:tc>
          <w:tcPr>
            <w:tcW w:w="5818" w:type="dxa"/>
            <w:tcBorders>
              <w:bottom w:val="single" w:sz="12" w:space="0" w:color="000000"/>
            </w:tcBorders>
            <w:tcMar>
              <w:bottom w:w="28" w:type="dxa"/>
            </w:tcMar>
            <w:vAlign w:val="center"/>
          </w:tcPr>
          <w:p>
            <w:pPr>
              <w:pStyle w:val="TableContents"/>
              <w:bidi w:val="0"/>
              <w:spacing w:before="0" w:after="283"/>
              <w:jc w:val="left"/>
              <w:rPr>
                <w:b/>
                <w:i/>
              </w:rPr>
            </w:pPr>
            <w:r>
              <w:rPr>
                <w:b/>
                <w:i/>
              </w:rPr>
              <w:t>(in thousands)</w:t>
            </w:r>
          </w:p>
        </w:tc>
        <w:tc>
          <w:tcPr>
            <w:tcW w:w="60" w:type="dxa"/>
            <w:tcBorders/>
            <w:vAlign w:val="center"/>
          </w:tcPr>
          <w:p>
            <w:pPr>
              <w:pStyle w:val="TableContents"/>
              <w:bidi w:val="0"/>
              <w:spacing w:before="0" w:after="283"/>
              <w:jc w:val="left"/>
              <w:rPr/>
            </w:pPr>
            <w:r>
              <w:rPr/>
              <w:t> </w:t>
            </w:r>
          </w:p>
        </w:tc>
        <w:tc>
          <w:tcPr>
            <w:tcW w:w="116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Residential</w:t>
              <w:br/>
              <w:t>Solar</w:t>
              <w:br/>
              <w:t>Installation</w:t>
            </w:r>
          </w:p>
        </w:tc>
        <w:tc>
          <w:tcPr>
            <w:tcW w:w="108" w:type="dxa"/>
            <w:tcBorders/>
            <w:vAlign w:val="center"/>
          </w:tcPr>
          <w:p>
            <w:pPr>
              <w:pStyle w:val="TableContents"/>
              <w:bidi w:val="0"/>
              <w:spacing w:before="0" w:after="283"/>
              <w:jc w:val="left"/>
              <w:rPr/>
            </w:pPr>
            <w:r>
              <w:rPr/>
              <w:t> </w:t>
            </w:r>
          </w:p>
        </w:tc>
        <w:tc>
          <w:tcPr>
            <w:tcW w:w="68" w:type="dxa"/>
            <w:tcBorders/>
            <w:vAlign w:val="center"/>
          </w:tcPr>
          <w:p>
            <w:pPr>
              <w:pStyle w:val="TableContents"/>
              <w:bidi w:val="0"/>
              <w:spacing w:before="0" w:after="283"/>
              <w:jc w:val="left"/>
              <w:rPr/>
            </w:pPr>
            <w:r>
              <w:rPr/>
              <w:t> </w:t>
            </w:r>
          </w:p>
        </w:tc>
        <w:tc>
          <w:tcPr>
            <w:tcW w:w="963"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 xml:space="preserve">New </w:t>
              <w:br/>
              <w:t xml:space="preserve">Homes </w:t>
              <w:br/>
              <w:t>Business</w:t>
            </w:r>
          </w:p>
        </w:tc>
        <w:tc>
          <w:tcPr>
            <w:tcW w:w="68" w:type="dxa"/>
            <w:tcBorders/>
            <w:vAlign w:val="center"/>
          </w:tcPr>
          <w:p>
            <w:pPr>
              <w:pStyle w:val="TableContents"/>
              <w:bidi w:val="0"/>
              <w:spacing w:before="0" w:after="283"/>
              <w:jc w:val="left"/>
              <w:rPr/>
            </w:pPr>
            <w:r>
              <w:rPr/>
              <w:t> </w:t>
            </w:r>
          </w:p>
        </w:tc>
        <w:tc>
          <w:tcPr>
            <w:tcW w:w="68" w:type="dxa"/>
            <w:tcBorders/>
            <w:vAlign w:val="center"/>
          </w:tcPr>
          <w:p>
            <w:pPr>
              <w:pStyle w:val="TableContents"/>
              <w:bidi w:val="0"/>
              <w:spacing w:before="0" w:after="283"/>
              <w:jc w:val="left"/>
              <w:rPr/>
            </w:pPr>
            <w:r>
              <w:rPr/>
              <w:t> </w:t>
            </w:r>
          </w:p>
        </w:tc>
        <w:tc>
          <w:tcPr>
            <w:tcW w:w="69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Dealer</w:t>
            </w:r>
          </w:p>
        </w:tc>
        <w:tc>
          <w:tcPr>
            <w:tcW w:w="68" w:type="dxa"/>
            <w:tcBorders/>
            <w:vAlign w:val="center"/>
          </w:tcPr>
          <w:p>
            <w:pPr>
              <w:pStyle w:val="TableContents"/>
              <w:bidi w:val="0"/>
              <w:spacing w:before="0" w:after="283"/>
              <w:jc w:val="left"/>
              <w:rPr/>
            </w:pPr>
            <w:r>
              <w:rPr/>
              <w:t> </w:t>
            </w:r>
          </w:p>
        </w:tc>
        <w:tc>
          <w:tcPr>
            <w:tcW w:w="68" w:type="dxa"/>
            <w:tcBorders/>
            <w:vAlign w:val="center"/>
          </w:tcPr>
          <w:p>
            <w:pPr>
              <w:pStyle w:val="TableContents"/>
              <w:bidi w:val="0"/>
              <w:spacing w:before="0" w:after="283"/>
              <w:jc w:val="left"/>
              <w:rPr/>
            </w:pPr>
            <w:r>
              <w:rPr/>
              <w:t> </w:t>
            </w:r>
          </w:p>
        </w:tc>
        <w:tc>
          <w:tcPr>
            <w:tcW w:w="944"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Total</w:t>
            </w:r>
          </w:p>
        </w:tc>
        <w:tc>
          <w:tcPr>
            <w:tcW w:w="117" w:type="dxa"/>
            <w:tcBorders/>
            <w:vAlign w:val="center"/>
          </w:tcPr>
          <w:p>
            <w:pPr>
              <w:pStyle w:val="TableContents"/>
              <w:bidi w:val="0"/>
              <w:spacing w:before="0" w:after="283"/>
              <w:jc w:val="left"/>
              <w:rPr/>
            </w:pPr>
            <w:r>
              <w:rPr/>
              <w:t> </w:t>
            </w:r>
          </w:p>
        </w:tc>
      </w:tr>
      <w:tr>
        <w:trPr/>
        <w:tc>
          <w:tcPr>
            <w:tcW w:w="5818" w:type="dxa"/>
            <w:tcBorders/>
            <w:shd w:fill="CCEEFF" w:val="clear"/>
            <w:vAlign w:val="center"/>
          </w:tcPr>
          <w:p>
            <w:pPr>
              <w:pStyle w:val="TableContents"/>
              <w:bidi w:val="0"/>
              <w:spacing w:before="0" w:after="283"/>
              <w:jc w:val="left"/>
              <w:rPr/>
            </w:pPr>
            <w:r>
              <w:rPr/>
              <w:t>Operating revenues</w:t>
            </w:r>
          </w:p>
        </w:tc>
        <w:tc>
          <w:tcPr>
            <w:tcW w:w="60" w:type="dxa"/>
            <w:tcBorders/>
            <w:shd w:fill="CCEEFF" w:val="clear"/>
            <w:vAlign w:val="center"/>
          </w:tcPr>
          <w:p>
            <w:pPr>
              <w:pStyle w:val="TableContents"/>
              <w:bidi w:val="0"/>
              <w:spacing w:before="0" w:after="283"/>
              <w:jc w:val="left"/>
              <w:rPr/>
            </w:pPr>
            <w:r>
              <w:rPr/>
              <w:t> </w:t>
            </w:r>
          </w:p>
        </w:tc>
        <w:tc>
          <w:tcPr>
            <w:tcW w:w="181" w:type="dxa"/>
            <w:tcBorders/>
            <w:shd w:fill="CCEEFF" w:val="clear"/>
            <w:vAlign w:val="center"/>
          </w:tcPr>
          <w:p>
            <w:pPr>
              <w:pStyle w:val="TableContents"/>
              <w:bidi w:val="0"/>
              <w:spacing w:before="0" w:after="283"/>
              <w:jc w:val="left"/>
              <w:rPr/>
            </w:pPr>
            <w:r>
              <w:rPr/>
              <w:t>$</w:t>
            </w:r>
          </w:p>
        </w:tc>
        <w:tc>
          <w:tcPr>
            <w:tcW w:w="979" w:type="dxa"/>
            <w:tcBorders/>
            <w:shd w:fill="CCEEFF" w:val="clear"/>
            <w:vAlign w:val="center"/>
          </w:tcPr>
          <w:p>
            <w:pPr>
              <w:pStyle w:val="TableContents"/>
              <w:bidi w:val="0"/>
              <w:spacing w:before="0" w:after="283"/>
              <w:jc w:val="right"/>
              <w:rPr/>
            </w:pPr>
            <w:r>
              <w:rPr/>
              <w:t>36,504</w:t>
            </w:r>
          </w:p>
        </w:tc>
        <w:tc>
          <w:tcPr>
            <w:tcW w:w="108" w:type="dxa"/>
            <w:tcBorders/>
            <w:shd w:fill="CCEEFF" w:val="clear"/>
            <w:vAlign w:val="center"/>
          </w:tcPr>
          <w:p>
            <w:pPr>
              <w:pStyle w:val="TableContents"/>
              <w:bidi w:val="0"/>
              <w:spacing w:before="0" w:after="283"/>
              <w:jc w:val="left"/>
              <w:rPr/>
            </w:pPr>
            <w:r>
              <w:rPr/>
              <w:t> </w:t>
            </w:r>
          </w:p>
        </w:tc>
        <w:tc>
          <w:tcPr>
            <w:tcW w:w="68" w:type="dxa"/>
            <w:tcBorders/>
            <w:shd w:fill="CCEEFF" w:val="clear"/>
            <w:vAlign w:val="center"/>
          </w:tcPr>
          <w:p>
            <w:pPr>
              <w:pStyle w:val="TableContents"/>
              <w:bidi w:val="0"/>
              <w:spacing w:before="0" w:after="283"/>
              <w:jc w:val="left"/>
              <w:rPr/>
            </w:pPr>
            <w:r>
              <w:rPr/>
              <w:t> </w:t>
            </w:r>
          </w:p>
        </w:tc>
        <w:tc>
          <w:tcPr>
            <w:tcW w:w="169" w:type="dxa"/>
            <w:tcBorders/>
            <w:shd w:fill="CCEEFF" w:val="clear"/>
            <w:vAlign w:val="center"/>
          </w:tcPr>
          <w:p>
            <w:pPr>
              <w:pStyle w:val="TableContents"/>
              <w:bidi w:val="0"/>
              <w:spacing w:before="0" w:after="283"/>
              <w:jc w:val="left"/>
              <w:rPr/>
            </w:pPr>
            <w:r>
              <w:rPr/>
              <w:t>$</w:t>
            </w:r>
          </w:p>
        </w:tc>
        <w:tc>
          <w:tcPr>
            <w:tcW w:w="794" w:type="dxa"/>
            <w:tcBorders/>
            <w:shd w:fill="CCEEFF" w:val="clear"/>
            <w:vAlign w:val="center"/>
          </w:tcPr>
          <w:p>
            <w:pPr>
              <w:pStyle w:val="TableContents"/>
              <w:bidi w:val="0"/>
              <w:spacing w:before="0" w:after="283"/>
              <w:jc w:val="right"/>
              <w:rPr/>
            </w:pPr>
            <w:r>
              <w:rPr/>
              <w:t>41,909</w:t>
            </w:r>
          </w:p>
        </w:tc>
        <w:tc>
          <w:tcPr>
            <w:tcW w:w="68" w:type="dxa"/>
            <w:tcBorders/>
            <w:shd w:fill="CCEEFF" w:val="clear"/>
            <w:vAlign w:val="center"/>
          </w:tcPr>
          <w:p>
            <w:pPr>
              <w:pStyle w:val="TableContents"/>
              <w:bidi w:val="0"/>
              <w:spacing w:before="0" w:after="283"/>
              <w:jc w:val="left"/>
              <w:rPr/>
            </w:pPr>
            <w:r>
              <w:rPr/>
              <w:t> </w:t>
            </w:r>
          </w:p>
        </w:tc>
        <w:tc>
          <w:tcPr>
            <w:tcW w:w="68" w:type="dxa"/>
            <w:tcBorders/>
            <w:shd w:fill="CCEEFF" w:val="clear"/>
            <w:vAlign w:val="center"/>
          </w:tcPr>
          <w:p>
            <w:pPr>
              <w:pStyle w:val="TableContents"/>
              <w:bidi w:val="0"/>
              <w:spacing w:before="0" w:after="283"/>
              <w:jc w:val="left"/>
              <w:rPr/>
            </w:pPr>
            <w:r>
              <w:rPr/>
              <w:t> </w:t>
            </w:r>
          </w:p>
        </w:tc>
        <w:tc>
          <w:tcPr>
            <w:tcW w:w="243" w:type="dxa"/>
            <w:tcBorders/>
            <w:shd w:fill="CCEEFF" w:val="clear"/>
            <w:vAlign w:val="center"/>
          </w:tcPr>
          <w:p>
            <w:pPr>
              <w:pStyle w:val="TableContents"/>
              <w:bidi w:val="0"/>
              <w:spacing w:before="0" w:after="283"/>
              <w:jc w:val="left"/>
              <w:rPr/>
            </w:pPr>
            <w:r>
              <w:rPr/>
              <w:t>$</w:t>
            </w:r>
          </w:p>
        </w:tc>
        <w:tc>
          <w:tcPr>
            <w:tcW w:w="452" w:type="dxa"/>
            <w:tcBorders/>
            <w:shd w:fill="CCEEFF" w:val="clear"/>
            <w:vAlign w:val="center"/>
          </w:tcPr>
          <w:p>
            <w:pPr>
              <w:pStyle w:val="TableContents"/>
              <w:bidi w:val="0"/>
              <w:spacing w:before="0" w:after="283"/>
              <w:jc w:val="right"/>
              <w:rPr/>
            </w:pPr>
            <w:r>
              <w:rPr/>
              <w:t>—</w:t>
            </w:r>
          </w:p>
        </w:tc>
        <w:tc>
          <w:tcPr>
            <w:tcW w:w="68" w:type="dxa"/>
            <w:tcBorders/>
            <w:shd w:fill="CCEEFF" w:val="clear"/>
            <w:vAlign w:val="center"/>
          </w:tcPr>
          <w:p>
            <w:pPr>
              <w:pStyle w:val="TableContents"/>
              <w:bidi w:val="0"/>
              <w:spacing w:before="0" w:after="283"/>
              <w:jc w:val="left"/>
              <w:rPr/>
            </w:pPr>
            <w:r>
              <w:rPr/>
              <w:t> </w:t>
            </w:r>
          </w:p>
        </w:tc>
        <w:tc>
          <w:tcPr>
            <w:tcW w:w="68" w:type="dxa"/>
            <w:tcBorders/>
            <w:shd w:fill="CCEEFF" w:val="clear"/>
            <w:vAlign w:val="center"/>
          </w:tcPr>
          <w:p>
            <w:pPr>
              <w:pStyle w:val="TableContents"/>
              <w:bidi w:val="0"/>
              <w:spacing w:before="0" w:after="283"/>
              <w:jc w:val="left"/>
              <w:rPr/>
            </w:pPr>
            <w:r>
              <w:rPr/>
              <w:t> </w:t>
            </w:r>
          </w:p>
        </w:tc>
        <w:tc>
          <w:tcPr>
            <w:tcW w:w="161" w:type="dxa"/>
            <w:tcBorders/>
            <w:shd w:fill="CCEEFF" w:val="clear"/>
            <w:vAlign w:val="center"/>
          </w:tcPr>
          <w:p>
            <w:pPr>
              <w:pStyle w:val="TableContents"/>
              <w:bidi w:val="0"/>
              <w:spacing w:before="0" w:after="283"/>
              <w:jc w:val="left"/>
              <w:rPr/>
            </w:pPr>
            <w:r>
              <w:rPr/>
              <w:t>$</w:t>
            </w:r>
          </w:p>
        </w:tc>
        <w:tc>
          <w:tcPr>
            <w:tcW w:w="783" w:type="dxa"/>
            <w:tcBorders/>
            <w:shd w:fill="CCEEFF" w:val="clear"/>
            <w:vAlign w:val="center"/>
          </w:tcPr>
          <w:p>
            <w:pPr>
              <w:pStyle w:val="TableContents"/>
              <w:bidi w:val="0"/>
              <w:spacing w:before="0" w:after="283"/>
              <w:jc w:val="right"/>
              <w:rPr/>
            </w:pPr>
            <w:r>
              <w:rPr/>
              <w:t>78,413</w:t>
            </w:r>
          </w:p>
        </w:tc>
        <w:tc>
          <w:tcPr>
            <w:tcW w:w="117" w:type="dxa"/>
            <w:tcBorders/>
            <w:shd w:fill="CCEEFF" w:val="clear"/>
            <w:vAlign w:val="center"/>
          </w:tcPr>
          <w:p>
            <w:pPr>
              <w:pStyle w:val="TableContents"/>
              <w:bidi w:val="0"/>
              <w:spacing w:before="0" w:after="283"/>
              <w:jc w:val="left"/>
              <w:rPr/>
            </w:pPr>
            <w:r>
              <w:rPr/>
              <w:t> </w:t>
            </w:r>
          </w:p>
        </w:tc>
      </w:tr>
      <w:tr>
        <w:trPr/>
        <w:tc>
          <w:tcPr>
            <w:tcW w:w="5818"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 </w:t>
            </w:r>
          </w:p>
        </w:tc>
        <w:tc>
          <w:tcPr>
            <w:tcW w:w="979" w:type="dxa"/>
            <w:tcBorders/>
            <w:shd w:fill="FFFFFF" w:val="clear"/>
            <w:vAlign w:val="center"/>
          </w:tcPr>
          <w:p>
            <w:pPr>
              <w:pStyle w:val="TableContents"/>
              <w:bidi w:val="0"/>
              <w:spacing w:before="0" w:after="283"/>
              <w:jc w:val="right"/>
              <w:rPr/>
            </w:pPr>
            <w:r>
              <w:rPr/>
              <w:t> </w:t>
            </w:r>
          </w:p>
        </w:tc>
        <w:tc>
          <w:tcPr>
            <w:tcW w:w="108" w:type="dxa"/>
            <w:tcBorders/>
            <w:shd w:fill="FFFFFF" w:val="clear"/>
            <w:vAlign w:val="center"/>
          </w:tcPr>
          <w:p>
            <w:pPr>
              <w:pStyle w:val="TableContents"/>
              <w:bidi w:val="0"/>
              <w:spacing w:before="0" w:after="283"/>
              <w:jc w:val="left"/>
              <w:rPr/>
            </w:pPr>
            <w:r>
              <w:rPr/>
              <w:t> </w:t>
            </w:r>
          </w:p>
        </w:tc>
        <w:tc>
          <w:tcPr>
            <w:tcW w:w="68" w:type="dxa"/>
            <w:tcBorders/>
            <w:shd w:fill="FFFFFF" w:val="clear"/>
            <w:vAlign w:val="center"/>
          </w:tcPr>
          <w:p>
            <w:pPr>
              <w:pStyle w:val="TableContents"/>
              <w:bidi w:val="0"/>
              <w:spacing w:before="0" w:after="283"/>
              <w:jc w:val="left"/>
              <w:rPr/>
            </w:pPr>
            <w:r>
              <w:rPr/>
              <w:t> </w:t>
            </w:r>
          </w:p>
        </w:tc>
        <w:tc>
          <w:tcPr>
            <w:tcW w:w="169" w:type="dxa"/>
            <w:tcBorders/>
            <w:shd w:fill="FFFFFF" w:val="clear"/>
            <w:vAlign w:val="center"/>
          </w:tcPr>
          <w:p>
            <w:pPr>
              <w:pStyle w:val="TableContents"/>
              <w:bidi w:val="0"/>
              <w:spacing w:before="0" w:after="283"/>
              <w:jc w:val="left"/>
              <w:rPr/>
            </w:pPr>
            <w:r>
              <w:rPr/>
              <w:t> </w:t>
            </w:r>
          </w:p>
        </w:tc>
        <w:tc>
          <w:tcPr>
            <w:tcW w:w="794" w:type="dxa"/>
            <w:tcBorders/>
            <w:shd w:fill="FFFFFF" w:val="clear"/>
            <w:vAlign w:val="center"/>
          </w:tcPr>
          <w:p>
            <w:pPr>
              <w:pStyle w:val="TableContents"/>
              <w:bidi w:val="0"/>
              <w:spacing w:before="0" w:after="283"/>
              <w:jc w:val="right"/>
              <w:rPr/>
            </w:pPr>
            <w:r>
              <w:rPr/>
              <w:t> </w:t>
            </w:r>
          </w:p>
        </w:tc>
        <w:tc>
          <w:tcPr>
            <w:tcW w:w="68" w:type="dxa"/>
            <w:tcBorders/>
            <w:shd w:fill="FFFFFF" w:val="clear"/>
            <w:vAlign w:val="center"/>
          </w:tcPr>
          <w:p>
            <w:pPr>
              <w:pStyle w:val="TableContents"/>
              <w:bidi w:val="0"/>
              <w:spacing w:before="0" w:after="283"/>
              <w:jc w:val="left"/>
              <w:rPr/>
            </w:pPr>
            <w:r>
              <w:rPr/>
              <w:t> </w:t>
            </w:r>
          </w:p>
        </w:tc>
        <w:tc>
          <w:tcPr>
            <w:tcW w:w="68" w:type="dxa"/>
            <w:tcBorders/>
            <w:shd w:fill="FFFFFF" w:val="clear"/>
            <w:vAlign w:val="center"/>
          </w:tcPr>
          <w:p>
            <w:pPr>
              <w:pStyle w:val="TableContents"/>
              <w:bidi w:val="0"/>
              <w:spacing w:before="0" w:after="283"/>
              <w:jc w:val="left"/>
              <w:rPr/>
            </w:pPr>
            <w:r>
              <w:rPr/>
              <w:t> </w:t>
            </w:r>
          </w:p>
        </w:tc>
        <w:tc>
          <w:tcPr>
            <w:tcW w:w="243" w:type="dxa"/>
            <w:tcBorders/>
            <w:shd w:fill="FFFFFF" w:val="clear"/>
            <w:vAlign w:val="center"/>
          </w:tcPr>
          <w:p>
            <w:pPr>
              <w:pStyle w:val="TableContents"/>
              <w:bidi w:val="0"/>
              <w:spacing w:before="0" w:after="283"/>
              <w:jc w:val="left"/>
              <w:rPr/>
            </w:pPr>
            <w:r>
              <w:rPr/>
              <w:t> </w:t>
            </w:r>
          </w:p>
        </w:tc>
        <w:tc>
          <w:tcPr>
            <w:tcW w:w="452" w:type="dxa"/>
            <w:tcBorders/>
            <w:shd w:fill="FFFFFF" w:val="clear"/>
            <w:vAlign w:val="center"/>
          </w:tcPr>
          <w:p>
            <w:pPr>
              <w:pStyle w:val="TableContents"/>
              <w:bidi w:val="0"/>
              <w:spacing w:before="0" w:after="283"/>
              <w:jc w:val="right"/>
              <w:rPr/>
            </w:pPr>
            <w:r>
              <w:rPr/>
              <w:t> </w:t>
            </w:r>
          </w:p>
        </w:tc>
        <w:tc>
          <w:tcPr>
            <w:tcW w:w="68" w:type="dxa"/>
            <w:tcBorders/>
            <w:shd w:fill="FFFFFF" w:val="clear"/>
            <w:vAlign w:val="center"/>
          </w:tcPr>
          <w:p>
            <w:pPr>
              <w:pStyle w:val="TableContents"/>
              <w:bidi w:val="0"/>
              <w:spacing w:before="0" w:after="283"/>
              <w:jc w:val="left"/>
              <w:rPr/>
            </w:pPr>
            <w:r>
              <w:rPr/>
              <w:t> </w:t>
            </w:r>
          </w:p>
        </w:tc>
        <w:tc>
          <w:tcPr>
            <w:tcW w:w="68" w:type="dxa"/>
            <w:tcBorders/>
            <w:shd w:fill="FFFFFF" w:val="clear"/>
            <w:vAlign w:val="center"/>
          </w:tcPr>
          <w:p>
            <w:pPr>
              <w:pStyle w:val="TableContents"/>
              <w:bidi w:val="0"/>
              <w:spacing w:before="0" w:after="283"/>
              <w:jc w:val="left"/>
              <w:rPr/>
            </w:pPr>
            <w:r>
              <w:rPr/>
              <w:t> </w:t>
            </w:r>
          </w:p>
        </w:tc>
        <w:tc>
          <w:tcPr>
            <w:tcW w:w="161" w:type="dxa"/>
            <w:tcBorders/>
            <w:shd w:fill="FFFFFF" w:val="clear"/>
            <w:vAlign w:val="center"/>
          </w:tcPr>
          <w:p>
            <w:pPr>
              <w:pStyle w:val="TableContents"/>
              <w:bidi w:val="0"/>
              <w:spacing w:before="0" w:after="283"/>
              <w:jc w:val="left"/>
              <w:rPr/>
            </w:pPr>
            <w:r>
              <w:rPr/>
              <w:t> </w:t>
            </w:r>
          </w:p>
        </w:tc>
        <w:tc>
          <w:tcPr>
            <w:tcW w:w="783" w:type="dxa"/>
            <w:tcBorders/>
            <w:shd w:fill="FFFFFF" w:val="clear"/>
            <w:vAlign w:val="center"/>
          </w:tcPr>
          <w:p>
            <w:pPr>
              <w:pStyle w:val="TableContents"/>
              <w:bidi w:val="0"/>
              <w:spacing w:before="0" w:after="283"/>
              <w:jc w:val="right"/>
              <w:rPr/>
            </w:pPr>
            <w:r>
              <w:rPr/>
              <w:t> </w:t>
            </w:r>
          </w:p>
        </w:tc>
        <w:tc>
          <w:tcPr>
            <w:tcW w:w="117" w:type="dxa"/>
            <w:tcBorders/>
            <w:shd w:fill="FFFFFF" w:val="clear"/>
            <w:vAlign w:val="center"/>
          </w:tcPr>
          <w:p>
            <w:pPr>
              <w:pStyle w:val="TableContents"/>
              <w:bidi w:val="0"/>
              <w:spacing w:before="0" w:after="283"/>
              <w:jc w:val="left"/>
              <w:rPr/>
            </w:pPr>
            <w:r>
              <w:rPr/>
              <w:t> </w:t>
            </w:r>
          </w:p>
        </w:tc>
      </w:tr>
      <w:tr>
        <w:trPr/>
        <w:tc>
          <w:tcPr>
            <w:tcW w:w="5818" w:type="dxa"/>
            <w:tcBorders/>
            <w:shd w:fill="CCEEFF" w:val="clear"/>
            <w:vAlign w:val="center"/>
          </w:tcPr>
          <w:p>
            <w:pPr>
              <w:pStyle w:val="TableContents"/>
              <w:bidi w:val="0"/>
              <w:spacing w:before="0" w:after="283"/>
              <w:jc w:val="left"/>
              <w:rPr/>
            </w:pPr>
            <w:r>
              <w:rPr/>
              <w:t>Less:</w:t>
            </w:r>
          </w:p>
        </w:tc>
        <w:tc>
          <w:tcPr>
            <w:tcW w:w="60" w:type="dxa"/>
            <w:tcBorders/>
            <w:shd w:fill="CCEEFF" w:val="clear"/>
            <w:vAlign w:val="center"/>
          </w:tcPr>
          <w:p>
            <w:pPr>
              <w:pStyle w:val="TableContents"/>
              <w:bidi w:val="0"/>
              <w:spacing w:before="0" w:after="283"/>
              <w:jc w:val="left"/>
              <w:rPr/>
            </w:pPr>
            <w:r>
              <w:rPr/>
              <w:t> </w:t>
            </w:r>
          </w:p>
        </w:tc>
        <w:tc>
          <w:tcPr>
            <w:tcW w:w="181" w:type="dxa"/>
            <w:tcBorders/>
            <w:shd w:fill="CCEEFF" w:val="clear"/>
            <w:vAlign w:val="center"/>
          </w:tcPr>
          <w:p>
            <w:pPr>
              <w:pStyle w:val="TableContents"/>
              <w:bidi w:val="0"/>
              <w:spacing w:before="0" w:after="283"/>
              <w:jc w:val="left"/>
              <w:rPr/>
            </w:pPr>
            <w:r>
              <w:rPr/>
              <w:t> </w:t>
            </w:r>
          </w:p>
        </w:tc>
        <w:tc>
          <w:tcPr>
            <w:tcW w:w="979" w:type="dxa"/>
            <w:tcBorders/>
            <w:shd w:fill="CCEEFF" w:val="clear"/>
            <w:vAlign w:val="center"/>
          </w:tcPr>
          <w:p>
            <w:pPr>
              <w:pStyle w:val="TableContents"/>
              <w:bidi w:val="0"/>
              <w:spacing w:before="0" w:after="283"/>
              <w:jc w:val="right"/>
              <w:rPr/>
            </w:pPr>
            <w:r>
              <w:rPr/>
              <w:t> </w:t>
            </w:r>
          </w:p>
        </w:tc>
        <w:tc>
          <w:tcPr>
            <w:tcW w:w="108" w:type="dxa"/>
            <w:tcBorders/>
            <w:shd w:fill="CCEEFF" w:val="clear"/>
            <w:vAlign w:val="center"/>
          </w:tcPr>
          <w:p>
            <w:pPr>
              <w:pStyle w:val="TableContents"/>
              <w:bidi w:val="0"/>
              <w:spacing w:before="0" w:after="283"/>
              <w:jc w:val="left"/>
              <w:rPr/>
            </w:pPr>
            <w:r>
              <w:rPr/>
              <w:t> </w:t>
            </w:r>
          </w:p>
        </w:tc>
        <w:tc>
          <w:tcPr>
            <w:tcW w:w="68" w:type="dxa"/>
            <w:tcBorders/>
            <w:shd w:fill="CCEEFF" w:val="clear"/>
            <w:vAlign w:val="center"/>
          </w:tcPr>
          <w:p>
            <w:pPr>
              <w:pStyle w:val="TableContents"/>
              <w:bidi w:val="0"/>
              <w:spacing w:before="0" w:after="283"/>
              <w:jc w:val="left"/>
              <w:rPr/>
            </w:pPr>
            <w:r>
              <w:rPr/>
              <w:t> </w:t>
            </w:r>
          </w:p>
        </w:tc>
        <w:tc>
          <w:tcPr>
            <w:tcW w:w="169" w:type="dxa"/>
            <w:tcBorders/>
            <w:shd w:fill="CCEEFF" w:val="clear"/>
            <w:vAlign w:val="center"/>
          </w:tcPr>
          <w:p>
            <w:pPr>
              <w:pStyle w:val="TableContents"/>
              <w:bidi w:val="0"/>
              <w:spacing w:before="0" w:after="283"/>
              <w:jc w:val="left"/>
              <w:rPr/>
            </w:pPr>
            <w:r>
              <w:rPr/>
              <w:t> </w:t>
            </w:r>
          </w:p>
        </w:tc>
        <w:tc>
          <w:tcPr>
            <w:tcW w:w="794" w:type="dxa"/>
            <w:tcBorders/>
            <w:shd w:fill="CCEEFF" w:val="clear"/>
            <w:vAlign w:val="center"/>
          </w:tcPr>
          <w:p>
            <w:pPr>
              <w:pStyle w:val="TableContents"/>
              <w:bidi w:val="0"/>
              <w:spacing w:before="0" w:after="283"/>
              <w:jc w:val="right"/>
              <w:rPr/>
            </w:pPr>
            <w:r>
              <w:rPr/>
              <w:t> </w:t>
            </w:r>
          </w:p>
        </w:tc>
        <w:tc>
          <w:tcPr>
            <w:tcW w:w="68" w:type="dxa"/>
            <w:tcBorders/>
            <w:shd w:fill="CCEEFF" w:val="clear"/>
            <w:vAlign w:val="center"/>
          </w:tcPr>
          <w:p>
            <w:pPr>
              <w:pStyle w:val="TableContents"/>
              <w:bidi w:val="0"/>
              <w:spacing w:before="0" w:after="283"/>
              <w:jc w:val="left"/>
              <w:rPr/>
            </w:pPr>
            <w:r>
              <w:rPr/>
              <w:t> </w:t>
            </w:r>
          </w:p>
        </w:tc>
        <w:tc>
          <w:tcPr>
            <w:tcW w:w="68" w:type="dxa"/>
            <w:tcBorders/>
            <w:shd w:fill="CCEEFF" w:val="clear"/>
            <w:vAlign w:val="center"/>
          </w:tcPr>
          <w:p>
            <w:pPr>
              <w:pStyle w:val="TableContents"/>
              <w:bidi w:val="0"/>
              <w:spacing w:before="0" w:after="283"/>
              <w:jc w:val="left"/>
              <w:rPr/>
            </w:pPr>
            <w:r>
              <w:rPr/>
              <w:t> </w:t>
            </w:r>
          </w:p>
        </w:tc>
        <w:tc>
          <w:tcPr>
            <w:tcW w:w="243" w:type="dxa"/>
            <w:tcBorders/>
            <w:shd w:fill="CCEEFF" w:val="clear"/>
            <w:vAlign w:val="center"/>
          </w:tcPr>
          <w:p>
            <w:pPr>
              <w:pStyle w:val="TableContents"/>
              <w:bidi w:val="0"/>
              <w:spacing w:before="0" w:after="283"/>
              <w:jc w:val="left"/>
              <w:rPr/>
            </w:pPr>
            <w:r>
              <w:rPr/>
              <w:t> </w:t>
            </w:r>
          </w:p>
        </w:tc>
        <w:tc>
          <w:tcPr>
            <w:tcW w:w="452" w:type="dxa"/>
            <w:tcBorders/>
            <w:shd w:fill="CCEEFF" w:val="clear"/>
            <w:vAlign w:val="center"/>
          </w:tcPr>
          <w:p>
            <w:pPr>
              <w:pStyle w:val="TableContents"/>
              <w:bidi w:val="0"/>
              <w:spacing w:before="0" w:after="283"/>
              <w:jc w:val="right"/>
              <w:rPr/>
            </w:pPr>
            <w:r>
              <w:rPr/>
              <w:t> </w:t>
            </w:r>
          </w:p>
        </w:tc>
        <w:tc>
          <w:tcPr>
            <w:tcW w:w="68" w:type="dxa"/>
            <w:tcBorders/>
            <w:shd w:fill="CCEEFF" w:val="clear"/>
            <w:vAlign w:val="center"/>
          </w:tcPr>
          <w:p>
            <w:pPr>
              <w:pStyle w:val="TableContents"/>
              <w:bidi w:val="0"/>
              <w:spacing w:before="0" w:after="283"/>
              <w:jc w:val="left"/>
              <w:rPr/>
            </w:pPr>
            <w:r>
              <w:rPr/>
              <w:t> </w:t>
            </w:r>
          </w:p>
        </w:tc>
        <w:tc>
          <w:tcPr>
            <w:tcW w:w="68" w:type="dxa"/>
            <w:tcBorders/>
            <w:shd w:fill="CCEEFF" w:val="clear"/>
            <w:vAlign w:val="center"/>
          </w:tcPr>
          <w:p>
            <w:pPr>
              <w:pStyle w:val="TableContents"/>
              <w:bidi w:val="0"/>
              <w:spacing w:before="0" w:after="283"/>
              <w:jc w:val="left"/>
              <w:rPr/>
            </w:pPr>
            <w:r>
              <w:rPr/>
              <w:t> </w:t>
            </w:r>
          </w:p>
        </w:tc>
        <w:tc>
          <w:tcPr>
            <w:tcW w:w="161" w:type="dxa"/>
            <w:tcBorders/>
            <w:shd w:fill="CCEEFF" w:val="clear"/>
            <w:vAlign w:val="center"/>
          </w:tcPr>
          <w:p>
            <w:pPr>
              <w:pStyle w:val="TableContents"/>
              <w:bidi w:val="0"/>
              <w:spacing w:before="0" w:after="283"/>
              <w:jc w:val="left"/>
              <w:rPr/>
            </w:pPr>
            <w:r>
              <w:rPr/>
              <w:t> </w:t>
            </w:r>
          </w:p>
        </w:tc>
        <w:tc>
          <w:tcPr>
            <w:tcW w:w="783" w:type="dxa"/>
            <w:tcBorders/>
            <w:shd w:fill="CCEEFF" w:val="clear"/>
            <w:vAlign w:val="center"/>
          </w:tcPr>
          <w:p>
            <w:pPr>
              <w:pStyle w:val="TableContents"/>
              <w:bidi w:val="0"/>
              <w:spacing w:before="0" w:after="283"/>
              <w:jc w:val="right"/>
              <w:rPr/>
            </w:pPr>
            <w:r>
              <w:rPr/>
              <w:t> </w:t>
            </w:r>
          </w:p>
        </w:tc>
        <w:tc>
          <w:tcPr>
            <w:tcW w:w="117" w:type="dxa"/>
            <w:tcBorders/>
            <w:shd w:fill="CCEEFF" w:val="clear"/>
            <w:vAlign w:val="center"/>
          </w:tcPr>
          <w:p>
            <w:pPr>
              <w:pStyle w:val="TableContents"/>
              <w:bidi w:val="0"/>
              <w:spacing w:before="0" w:after="283"/>
              <w:jc w:val="left"/>
              <w:rPr/>
            </w:pPr>
            <w:r>
              <w:rPr/>
              <w:t> </w:t>
            </w:r>
          </w:p>
        </w:tc>
      </w:tr>
      <w:tr>
        <w:trPr/>
        <w:tc>
          <w:tcPr>
            <w:tcW w:w="5818"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Cost of revenues </w:t>
            </w:r>
            <w:r>
              <w:rPr>
                <w:rFonts w:ascii="Times New Roman;Times;Serif" w:hAnsi="Times New Roman;Times;Serif"/>
                <w:position w:val="7"/>
                <w:sz w:val="16"/>
                <w:sz w:val="20"/>
              </w:rPr>
              <w:t>(1)</w:t>
            </w:r>
          </w:p>
        </w:tc>
        <w:tc>
          <w:tcPr>
            <w:tcW w:w="60"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 </w:t>
            </w:r>
          </w:p>
        </w:tc>
        <w:tc>
          <w:tcPr>
            <w:tcW w:w="979" w:type="dxa"/>
            <w:tcBorders/>
            <w:shd w:fill="FFFFFF" w:val="clear"/>
            <w:vAlign w:val="center"/>
          </w:tcPr>
          <w:p>
            <w:pPr>
              <w:pStyle w:val="TableContents"/>
              <w:bidi w:val="0"/>
              <w:spacing w:before="0" w:after="283"/>
              <w:jc w:val="right"/>
              <w:rPr/>
            </w:pPr>
            <w:r>
              <w:rPr/>
              <w:t>22,615</w:t>
            </w:r>
          </w:p>
        </w:tc>
        <w:tc>
          <w:tcPr>
            <w:tcW w:w="108" w:type="dxa"/>
            <w:tcBorders/>
            <w:shd w:fill="FFFFFF" w:val="clear"/>
            <w:vAlign w:val="center"/>
          </w:tcPr>
          <w:p>
            <w:pPr>
              <w:pStyle w:val="TableContents"/>
              <w:bidi w:val="0"/>
              <w:spacing w:before="0" w:after="283"/>
              <w:jc w:val="left"/>
              <w:rPr/>
            </w:pPr>
            <w:r>
              <w:rPr/>
              <w:t> </w:t>
            </w:r>
          </w:p>
        </w:tc>
        <w:tc>
          <w:tcPr>
            <w:tcW w:w="68" w:type="dxa"/>
            <w:tcBorders/>
            <w:shd w:fill="FFFFFF" w:val="clear"/>
            <w:vAlign w:val="center"/>
          </w:tcPr>
          <w:p>
            <w:pPr>
              <w:pStyle w:val="TableContents"/>
              <w:bidi w:val="0"/>
              <w:spacing w:before="0" w:after="283"/>
              <w:jc w:val="left"/>
              <w:rPr/>
            </w:pPr>
            <w:r>
              <w:rPr/>
              <w:t> </w:t>
            </w:r>
          </w:p>
        </w:tc>
        <w:tc>
          <w:tcPr>
            <w:tcW w:w="169" w:type="dxa"/>
            <w:tcBorders/>
            <w:shd w:fill="FFFFFF" w:val="clear"/>
            <w:vAlign w:val="center"/>
          </w:tcPr>
          <w:p>
            <w:pPr>
              <w:pStyle w:val="TableContents"/>
              <w:bidi w:val="0"/>
              <w:spacing w:before="0" w:after="283"/>
              <w:jc w:val="left"/>
              <w:rPr/>
            </w:pPr>
            <w:r>
              <w:rPr/>
              <w:t> </w:t>
            </w:r>
          </w:p>
        </w:tc>
        <w:tc>
          <w:tcPr>
            <w:tcW w:w="794" w:type="dxa"/>
            <w:tcBorders/>
            <w:shd w:fill="FFFFFF" w:val="clear"/>
            <w:vAlign w:val="center"/>
          </w:tcPr>
          <w:p>
            <w:pPr>
              <w:pStyle w:val="TableContents"/>
              <w:bidi w:val="0"/>
              <w:spacing w:before="0" w:after="283"/>
              <w:jc w:val="right"/>
              <w:rPr/>
            </w:pPr>
            <w:r>
              <w:rPr/>
              <w:t>28,422</w:t>
            </w:r>
          </w:p>
        </w:tc>
        <w:tc>
          <w:tcPr>
            <w:tcW w:w="68" w:type="dxa"/>
            <w:tcBorders/>
            <w:shd w:fill="FFFFFF" w:val="clear"/>
            <w:vAlign w:val="center"/>
          </w:tcPr>
          <w:p>
            <w:pPr>
              <w:pStyle w:val="TableContents"/>
              <w:bidi w:val="0"/>
              <w:spacing w:before="0" w:after="283"/>
              <w:jc w:val="left"/>
              <w:rPr/>
            </w:pPr>
            <w:r>
              <w:rPr/>
              <w:t> </w:t>
            </w:r>
          </w:p>
        </w:tc>
        <w:tc>
          <w:tcPr>
            <w:tcW w:w="68" w:type="dxa"/>
            <w:tcBorders/>
            <w:shd w:fill="FFFFFF" w:val="clear"/>
            <w:vAlign w:val="center"/>
          </w:tcPr>
          <w:p>
            <w:pPr>
              <w:pStyle w:val="TableContents"/>
              <w:bidi w:val="0"/>
              <w:spacing w:before="0" w:after="283"/>
              <w:jc w:val="left"/>
              <w:rPr/>
            </w:pPr>
            <w:r>
              <w:rPr/>
              <w:t> </w:t>
            </w:r>
          </w:p>
        </w:tc>
        <w:tc>
          <w:tcPr>
            <w:tcW w:w="243" w:type="dxa"/>
            <w:tcBorders/>
            <w:shd w:fill="FFFFFF" w:val="clear"/>
            <w:vAlign w:val="center"/>
          </w:tcPr>
          <w:p>
            <w:pPr>
              <w:pStyle w:val="TableContents"/>
              <w:bidi w:val="0"/>
              <w:spacing w:before="0" w:after="283"/>
              <w:jc w:val="left"/>
              <w:rPr/>
            </w:pPr>
            <w:r>
              <w:rPr/>
              <w:t> </w:t>
            </w:r>
          </w:p>
        </w:tc>
        <w:tc>
          <w:tcPr>
            <w:tcW w:w="452" w:type="dxa"/>
            <w:tcBorders/>
            <w:shd w:fill="FFFFFF" w:val="clear"/>
            <w:vAlign w:val="center"/>
          </w:tcPr>
          <w:p>
            <w:pPr>
              <w:pStyle w:val="TableContents"/>
              <w:bidi w:val="0"/>
              <w:spacing w:before="0" w:after="283"/>
              <w:jc w:val="right"/>
              <w:rPr/>
            </w:pPr>
            <w:r>
              <w:rPr/>
              <w:t>—</w:t>
            </w:r>
          </w:p>
        </w:tc>
        <w:tc>
          <w:tcPr>
            <w:tcW w:w="68" w:type="dxa"/>
            <w:tcBorders/>
            <w:shd w:fill="FFFFFF" w:val="clear"/>
            <w:vAlign w:val="center"/>
          </w:tcPr>
          <w:p>
            <w:pPr>
              <w:pStyle w:val="TableContents"/>
              <w:bidi w:val="0"/>
              <w:spacing w:before="0" w:after="283"/>
              <w:jc w:val="left"/>
              <w:rPr/>
            </w:pPr>
            <w:r>
              <w:rPr/>
              <w:t> </w:t>
            </w:r>
          </w:p>
        </w:tc>
        <w:tc>
          <w:tcPr>
            <w:tcW w:w="68" w:type="dxa"/>
            <w:tcBorders/>
            <w:shd w:fill="FFFFFF" w:val="clear"/>
            <w:vAlign w:val="center"/>
          </w:tcPr>
          <w:p>
            <w:pPr>
              <w:pStyle w:val="TableContents"/>
              <w:bidi w:val="0"/>
              <w:spacing w:before="0" w:after="283"/>
              <w:jc w:val="left"/>
              <w:rPr/>
            </w:pPr>
            <w:r>
              <w:rPr/>
              <w:t> </w:t>
            </w:r>
          </w:p>
        </w:tc>
        <w:tc>
          <w:tcPr>
            <w:tcW w:w="161" w:type="dxa"/>
            <w:tcBorders/>
            <w:shd w:fill="FFFFFF" w:val="clear"/>
            <w:vAlign w:val="center"/>
          </w:tcPr>
          <w:p>
            <w:pPr>
              <w:pStyle w:val="TableContents"/>
              <w:bidi w:val="0"/>
              <w:spacing w:before="0" w:after="283"/>
              <w:jc w:val="left"/>
              <w:rPr/>
            </w:pPr>
            <w:r>
              <w:rPr/>
              <w:t> </w:t>
            </w:r>
          </w:p>
        </w:tc>
        <w:tc>
          <w:tcPr>
            <w:tcW w:w="783" w:type="dxa"/>
            <w:tcBorders/>
            <w:shd w:fill="FFFFFF" w:val="clear"/>
            <w:vAlign w:val="center"/>
          </w:tcPr>
          <w:p>
            <w:pPr>
              <w:pStyle w:val="TableContents"/>
              <w:bidi w:val="0"/>
              <w:spacing w:before="0" w:after="283"/>
              <w:jc w:val="right"/>
              <w:rPr/>
            </w:pPr>
            <w:r>
              <w:rPr/>
              <w:t> </w:t>
            </w:r>
          </w:p>
        </w:tc>
        <w:tc>
          <w:tcPr>
            <w:tcW w:w="117" w:type="dxa"/>
            <w:tcBorders/>
            <w:shd w:fill="FFFFFF" w:val="clear"/>
            <w:vAlign w:val="center"/>
          </w:tcPr>
          <w:p>
            <w:pPr>
              <w:pStyle w:val="TableContents"/>
              <w:bidi w:val="0"/>
              <w:spacing w:before="0" w:after="283"/>
              <w:jc w:val="left"/>
              <w:rPr/>
            </w:pPr>
            <w:r>
              <w:rPr/>
              <w:t> </w:t>
            </w:r>
          </w:p>
        </w:tc>
      </w:tr>
      <w:tr>
        <w:trPr/>
        <w:tc>
          <w:tcPr>
            <w:tcW w:w="5818" w:type="dxa"/>
            <w:tcBorders/>
            <w:shd w:fill="CCEEFF" w:val="clear"/>
            <w:vAlign w:val="center"/>
          </w:tcPr>
          <w:p>
            <w:pPr>
              <w:pStyle w:val="TableContents"/>
              <w:bidi w:val="0"/>
              <w:spacing w:before="0" w:after="283"/>
              <w:jc w:val="left"/>
              <w:rPr/>
            </w:pPr>
            <w:r>
              <w:rPr/>
              <w:t>Sales commissions</w:t>
            </w:r>
          </w:p>
        </w:tc>
        <w:tc>
          <w:tcPr>
            <w:tcW w:w="60" w:type="dxa"/>
            <w:tcBorders/>
            <w:shd w:fill="CCEEFF" w:val="clear"/>
            <w:vAlign w:val="center"/>
          </w:tcPr>
          <w:p>
            <w:pPr>
              <w:pStyle w:val="TableContents"/>
              <w:bidi w:val="0"/>
              <w:spacing w:before="0" w:after="283"/>
              <w:jc w:val="left"/>
              <w:rPr/>
            </w:pPr>
            <w:r>
              <w:rPr/>
              <w:t> </w:t>
            </w:r>
          </w:p>
        </w:tc>
        <w:tc>
          <w:tcPr>
            <w:tcW w:w="181" w:type="dxa"/>
            <w:tcBorders/>
            <w:shd w:fill="CCEEFF" w:val="clear"/>
            <w:vAlign w:val="center"/>
          </w:tcPr>
          <w:p>
            <w:pPr>
              <w:pStyle w:val="TableContents"/>
              <w:bidi w:val="0"/>
              <w:spacing w:before="0" w:after="283"/>
              <w:jc w:val="left"/>
              <w:rPr/>
            </w:pPr>
            <w:r>
              <w:rPr/>
              <w:t> </w:t>
            </w:r>
          </w:p>
        </w:tc>
        <w:tc>
          <w:tcPr>
            <w:tcW w:w="979" w:type="dxa"/>
            <w:tcBorders/>
            <w:shd w:fill="CCEEFF" w:val="clear"/>
            <w:vAlign w:val="center"/>
          </w:tcPr>
          <w:p>
            <w:pPr>
              <w:pStyle w:val="TableContents"/>
              <w:bidi w:val="0"/>
              <w:spacing w:before="0" w:after="283"/>
              <w:jc w:val="right"/>
              <w:rPr/>
            </w:pPr>
            <w:r>
              <w:rPr/>
              <w:t>6,667</w:t>
            </w:r>
          </w:p>
        </w:tc>
        <w:tc>
          <w:tcPr>
            <w:tcW w:w="108" w:type="dxa"/>
            <w:tcBorders/>
            <w:shd w:fill="CCEEFF" w:val="clear"/>
            <w:vAlign w:val="center"/>
          </w:tcPr>
          <w:p>
            <w:pPr>
              <w:pStyle w:val="TableContents"/>
              <w:bidi w:val="0"/>
              <w:spacing w:before="0" w:after="283"/>
              <w:jc w:val="left"/>
              <w:rPr/>
            </w:pPr>
            <w:r>
              <w:rPr/>
              <w:t> </w:t>
            </w:r>
          </w:p>
        </w:tc>
        <w:tc>
          <w:tcPr>
            <w:tcW w:w="68" w:type="dxa"/>
            <w:tcBorders/>
            <w:shd w:fill="CCEEFF" w:val="clear"/>
            <w:vAlign w:val="center"/>
          </w:tcPr>
          <w:p>
            <w:pPr>
              <w:pStyle w:val="TableContents"/>
              <w:bidi w:val="0"/>
              <w:spacing w:before="0" w:after="283"/>
              <w:jc w:val="left"/>
              <w:rPr/>
            </w:pPr>
            <w:r>
              <w:rPr/>
              <w:t> </w:t>
            </w:r>
          </w:p>
        </w:tc>
        <w:tc>
          <w:tcPr>
            <w:tcW w:w="169" w:type="dxa"/>
            <w:tcBorders/>
            <w:shd w:fill="CCEEFF" w:val="clear"/>
            <w:vAlign w:val="center"/>
          </w:tcPr>
          <w:p>
            <w:pPr>
              <w:pStyle w:val="TableContents"/>
              <w:bidi w:val="0"/>
              <w:spacing w:before="0" w:after="283"/>
              <w:jc w:val="left"/>
              <w:rPr/>
            </w:pPr>
            <w:r>
              <w:rPr/>
              <w:t> </w:t>
            </w:r>
          </w:p>
        </w:tc>
        <w:tc>
          <w:tcPr>
            <w:tcW w:w="794" w:type="dxa"/>
            <w:tcBorders/>
            <w:shd w:fill="CCEEFF" w:val="clear"/>
            <w:vAlign w:val="center"/>
          </w:tcPr>
          <w:p>
            <w:pPr>
              <w:pStyle w:val="TableContents"/>
              <w:bidi w:val="0"/>
              <w:spacing w:before="0" w:after="283"/>
              <w:jc w:val="right"/>
              <w:rPr/>
            </w:pPr>
            <w:r>
              <w:rPr/>
              <w:t>1,017</w:t>
            </w:r>
          </w:p>
        </w:tc>
        <w:tc>
          <w:tcPr>
            <w:tcW w:w="68" w:type="dxa"/>
            <w:tcBorders/>
            <w:shd w:fill="CCEEFF" w:val="clear"/>
            <w:vAlign w:val="center"/>
          </w:tcPr>
          <w:p>
            <w:pPr>
              <w:pStyle w:val="TableContents"/>
              <w:bidi w:val="0"/>
              <w:spacing w:before="0" w:after="283"/>
              <w:jc w:val="left"/>
              <w:rPr/>
            </w:pPr>
            <w:r>
              <w:rPr/>
              <w:t> </w:t>
            </w:r>
          </w:p>
        </w:tc>
        <w:tc>
          <w:tcPr>
            <w:tcW w:w="68" w:type="dxa"/>
            <w:tcBorders/>
            <w:shd w:fill="CCEEFF" w:val="clear"/>
            <w:vAlign w:val="center"/>
          </w:tcPr>
          <w:p>
            <w:pPr>
              <w:pStyle w:val="TableContents"/>
              <w:bidi w:val="0"/>
              <w:spacing w:before="0" w:after="283"/>
              <w:jc w:val="left"/>
              <w:rPr/>
            </w:pPr>
            <w:r>
              <w:rPr/>
              <w:t> </w:t>
            </w:r>
          </w:p>
        </w:tc>
        <w:tc>
          <w:tcPr>
            <w:tcW w:w="243" w:type="dxa"/>
            <w:tcBorders/>
            <w:shd w:fill="CCEEFF" w:val="clear"/>
            <w:vAlign w:val="center"/>
          </w:tcPr>
          <w:p>
            <w:pPr>
              <w:pStyle w:val="TableContents"/>
              <w:bidi w:val="0"/>
              <w:spacing w:before="0" w:after="283"/>
              <w:jc w:val="left"/>
              <w:rPr/>
            </w:pPr>
            <w:r>
              <w:rPr/>
              <w:t> </w:t>
            </w:r>
          </w:p>
        </w:tc>
        <w:tc>
          <w:tcPr>
            <w:tcW w:w="452" w:type="dxa"/>
            <w:tcBorders/>
            <w:shd w:fill="CCEEFF" w:val="clear"/>
            <w:vAlign w:val="center"/>
          </w:tcPr>
          <w:p>
            <w:pPr>
              <w:pStyle w:val="TableContents"/>
              <w:bidi w:val="0"/>
              <w:spacing w:before="0" w:after="283"/>
              <w:jc w:val="right"/>
              <w:rPr/>
            </w:pPr>
            <w:r>
              <w:rPr/>
              <w:t>—</w:t>
            </w:r>
          </w:p>
        </w:tc>
        <w:tc>
          <w:tcPr>
            <w:tcW w:w="68" w:type="dxa"/>
            <w:tcBorders/>
            <w:shd w:fill="CCEEFF" w:val="clear"/>
            <w:vAlign w:val="center"/>
          </w:tcPr>
          <w:p>
            <w:pPr>
              <w:pStyle w:val="TableContents"/>
              <w:bidi w:val="0"/>
              <w:spacing w:before="0" w:after="283"/>
              <w:jc w:val="left"/>
              <w:rPr/>
            </w:pPr>
            <w:r>
              <w:rPr/>
              <w:t> </w:t>
            </w:r>
          </w:p>
        </w:tc>
        <w:tc>
          <w:tcPr>
            <w:tcW w:w="68" w:type="dxa"/>
            <w:tcBorders/>
            <w:shd w:fill="CCEEFF" w:val="clear"/>
            <w:vAlign w:val="center"/>
          </w:tcPr>
          <w:p>
            <w:pPr>
              <w:pStyle w:val="TableContents"/>
              <w:bidi w:val="0"/>
              <w:spacing w:before="0" w:after="283"/>
              <w:jc w:val="left"/>
              <w:rPr/>
            </w:pPr>
            <w:r>
              <w:rPr/>
              <w:t> </w:t>
            </w:r>
          </w:p>
        </w:tc>
        <w:tc>
          <w:tcPr>
            <w:tcW w:w="161" w:type="dxa"/>
            <w:tcBorders/>
            <w:shd w:fill="CCEEFF" w:val="clear"/>
            <w:vAlign w:val="center"/>
          </w:tcPr>
          <w:p>
            <w:pPr>
              <w:pStyle w:val="TableContents"/>
              <w:bidi w:val="0"/>
              <w:spacing w:before="0" w:after="283"/>
              <w:jc w:val="left"/>
              <w:rPr/>
            </w:pPr>
            <w:r>
              <w:rPr/>
              <w:t> </w:t>
            </w:r>
          </w:p>
        </w:tc>
        <w:tc>
          <w:tcPr>
            <w:tcW w:w="783" w:type="dxa"/>
            <w:tcBorders/>
            <w:shd w:fill="CCEEFF" w:val="clear"/>
            <w:vAlign w:val="center"/>
          </w:tcPr>
          <w:p>
            <w:pPr>
              <w:pStyle w:val="TableContents"/>
              <w:bidi w:val="0"/>
              <w:spacing w:before="0" w:after="283"/>
              <w:jc w:val="right"/>
              <w:rPr/>
            </w:pPr>
            <w:r>
              <w:rPr/>
              <w:t> </w:t>
            </w:r>
          </w:p>
        </w:tc>
        <w:tc>
          <w:tcPr>
            <w:tcW w:w="117" w:type="dxa"/>
            <w:tcBorders/>
            <w:shd w:fill="CCEEFF" w:val="clear"/>
            <w:vAlign w:val="center"/>
          </w:tcPr>
          <w:p>
            <w:pPr>
              <w:pStyle w:val="TableContents"/>
              <w:bidi w:val="0"/>
              <w:spacing w:before="0" w:after="283"/>
              <w:jc w:val="left"/>
              <w:rPr/>
            </w:pPr>
            <w:r>
              <w:rPr/>
              <w:t> </w:t>
            </w:r>
          </w:p>
        </w:tc>
      </w:tr>
      <w:tr>
        <w:trPr/>
        <w:tc>
          <w:tcPr>
            <w:tcW w:w="5818" w:type="dxa"/>
            <w:tcBorders/>
            <w:shd w:fill="FFFFFF" w:val="clear"/>
            <w:vAlign w:val="center"/>
          </w:tcPr>
          <w:p>
            <w:pPr>
              <w:pStyle w:val="TableContents"/>
              <w:bidi w:val="0"/>
              <w:spacing w:before="0" w:after="283"/>
              <w:jc w:val="left"/>
              <w:rPr/>
            </w:pPr>
            <w:r>
              <w:rPr/>
              <w:t>Sales and marketing</w:t>
            </w:r>
          </w:p>
        </w:tc>
        <w:tc>
          <w:tcPr>
            <w:tcW w:w="60"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 </w:t>
            </w:r>
          </w:p>
        </w:tc>
        <w:tc>
          <w:tcPr>
            <w:tcW w:w="979" w:type="dxa"/>
            <w:tcBorders/>
            <w:shd w:fill="FFFFFF" w:val="clear"/>
            <w:vAlign w:val="center"/>
          </w:tcPr>
          <w:p>
            <w:pPr>
              <w:pStyle w:val="TableContents"/>
              <w:bidi w:val="0"/>
              <w:spacing w:before="0" w:after="283"/>
              <w:jc w:val="right"/>
              <w:rPr/>
            </w:pPr>
            <w:r>
              <w:rPr/>
              <w:t>8,522</w:t>
            </w:r>
          </w:p>
        </w:tc>
        <w:tc>
          <w:tcPr>
            <w:tcW w:w="108" w:type="dxa"/>
            <w:tcBorders/>
            <w:shd w:fill="FFFFFF" w:val="clear"/>
            <w:vAlign w:val="center"/>
          </w:tcPr>
          <w:p>
            <w:pPr>
              <w:pStyle w:val="TableContents"/>
              <w:bidi w:val="0"/>
              <w:spacing w:before="0" w:after="283"/>
              <w:jc w:val="left"/>
              <w:rPr/>
            </w:pPr>
            <w:r>
              <w:rPr/>
              <w:t> </w:t>
            </w:r>
          </w:p>
        </w:tc>
        <w:tc>
          <w:tcPr>
            <w:tcW w:w="68" w:type="dxa"/>
            <w:tcBorders/>
            <w:shd w:fill="FFFFFF" w:val="clear"/>
            <w:vAlign w:val="center"/>
          </w:tcPr>
          <w:p>
            <w:pPr>
              <w:pStyle w:val="TableContents"/>
              <w:bidi w:val="0"/>
              <w:spacing w:before="0" w:after="283"/>
              <w:jc w:val="left"/>
              <w:rPr/>
            </w:pPr>
            <w:r>
              <w:rPr/>
              <w:t> </w:t>
            </w:r>
          </w:p>
        </w:tc>
        <w:tc>
          <w:tcPr>
            <w:tcW w:w="169" w:type="dxa"/>
            <w:tcBorders/>
            <w:shd w:fill="FFFFFF" w:val="clear"/>
            <w:vAlign w:val="center"/>
          </w:tcPr>
          <w:p>
            <w:pPr>
              <w:pStyle w:val="TableContents"/>
              <w:bidi w:val="0"/>
              <w:spacing w:before="0" w:after="283"/>
              <w:jc w:val="left"/>
              <w:rPr/>
            </w:pPr>
            <w:r>
              <w:rPr/>
              <w:t> </w:t>
            </w:r>
          </w:p>
        </w:tc>
        <w:tc>
          <w:tcPr>
            <w:tcW w:w="794" w:type="dxa"/>
            <w:tcBorders/>
            <w:shd w:fill="FFFFFF" w:val="clear"/>
            <w:vAlign w:val="center"/>
          </w:tcPr>
          <w:p>
            <w:pPr>
              <w:pStyle w:val="TableContents"/>
              <w:bidi w:val="0"/>
              <w:spacing w:before="0" w:after="283"/>
              <w:jc w:val="right"/>
              <w:rPr/>
            </w:pPr>
            <w:r>
              <w:rPr/>
              <w:t>—</w:t>
            </w:r>
          </w:p>
        </w:tc>
        <w:tc>
          <w:tcPr>
            <w:tcW w:w="68" w:type="dxa"/>
            <w:tcBorders/>
            <w:shd w:fill="FFFFFF" w:val="clear"/>
            <w:vAlign w:val="center"/>
          </w:tcPr>
          <w:p>
            <w:pPr>
              <w:pStyle w:val="TableContents"/>
              <w:bidi w:val="0"/>
              <w:spacing w:before="0" w:after="283"/>
              <w:jc w:val="left"/>
              <w:rPr/>
            </w:pPr>
            <w:r>
              <w:rPr/>
              <w:t> </w:t>
            </w:r>
          </w:p>
        </w:tc>
        <w:tc>
          <w:tcPr>
            <w:tcW w:w="68" w:type="dxa"/>
            <w:tcBorders/>
            <w:shd w:fill="FFFFFF" w:val="clear"/>
            <w:vAlign w:val="center"/>
          </w:tcPr>
          <w:p>
            <w:pPr>
              <w:pStyle w:val="TableContents"/>
              <w:bidi w:val="0"/>
              <w:spacing w:before="0" w:after="283"/>
              <w:jc w:val="left"/>
              <w:rPr/>
            </w:pPr>
            <w:r>
              <w:rPr/>
              <w:t> </w:t>
            </w:r>
          </w:p>
        </w:tc>
        <w:tc>
          <w:tcPr>
            <w:tcW w:w="243" w:type="dxa"/>
            <w:tcBorders/>
            <w:shd w:fill="FFFFFF" w:val="clear"/>
            <w:vAlign w:val="center"/>
          </w:tcPr>
          <w:p>
            <w:pPr>
              <w:pStyle w:val="TableContents"/>
              <w:bidi w:val="0"/>
              <w:spacing w:before="0" w:after="283"/>
              <w:jc w:val="left"/>
              <w:rPr/>
            </w:pPr>
            <w:r>
              <w:rPr/>
              <w:t> </w:t>
            </w:r>
          </w:p>
        </w:tc>
        <w:tc>
          <w:tcPr>
            <w:tcW w:w="452" w:type="dxa"/>
            <w:tcBorders/>
            <w:shd w:fill="FFFFFF" w:val="clear"/>
            <w:vAlign w:val="center"/>
          </w:tcPr>
          <w:p>
            <w:pPr>
              <w:pStyle w:val="TableContents"/>
              <w:bidi w:val="0"/>
              <w:spacing w:before="0" w:after="283"/>
              <w:jc w:val="right"/>
              <w:rPr/>
            </w:pPr>
            <w:r>
              <w:rPr/>
              <w:t>—</w:t>
            </w:r>
          </w:p>
        </w:tc>
        <w:tc>
          <w:tcPr>
            <w:tcW w:w="68" w:type="dxa"/>
            <w:tcBorders/>
            <w:shd w:fill="FFFFFF" w:val="clear"/>
            <w:vAlign w:val="center"/>
          </w:tcPr>
          <w:p>
            <w:pPr>
              <w:pStyle w:val="TableContents"/>
              <w:bidi w:val="0"/>
              <w:spacing w:before="0" w:after="283"/>
              <w:jc w:val="left"/>
              <w:rPr/>
            </w:pPr>
            <w:r>
              <w:rPr/>
              <w:t> </w:t>
            </w:r>
          </w:p>
        </w:tc>
        <w:tc>
          <w:tcPr>
            <w:tcW w:w="68" w:type="dxa"/>
            <w:tcBorders/>
            <w:shd w:fill="FFFFFF" w:val="clear"/>
            <w:vAlign w:val="center"/>
          </w:tcPr>
          <w:p>
            <w:pPr>
              <w:pStyle w:val="TableContents"/>
              <w:bidi w:val="0"/>
              <w:spacing w:before="0" w:after="283"/>
              <w:jc w:val="left"/>
              <w:rPr/>
            </w:pPr>
            <w:r>
              <w:rPr/>
              <w:t> </w:t>
            </w:r>
          </w:p>
        </w:tc>
        <w:tc>
          <w:tcPr>
            <w:tcW w:w="161" w:type="dxa"/>
            <w:tcBorders/>
            <w:shd w:fill="FFFFFF" w:val="clear"/>
            <w:vAlign w:val="center"/>
          </w:tcPr>
          <w:p>
            <w:pPr>
              <w:pStyle w:val="TableContents"/>
              <w:bidi w:val="0"/>
              <w:spacing w:before="0" w:after="283"/>
              <w:jc w:val="left"/>
              <w:rPr/>
            </w:pPr>
            <w:r>
              <w:rPr/>
              <w:t> </w:t>
            </w:r>
          </w:p>
        </w:tc>
        <w:tc>
          <w:tcPr>
            <w:tcW w:w="783" w:type="dxa"/>
            <w:tcBorders/>
            <w:shd w:fill="FFFFFF" w:val="clear"/>
            <w:vAlign w:val="center"/>
          </w:tcPr>
          <w:p>
            <w:pPr>
              <w:pStyle w:val="TableContents"/>
              <w:bidi w:val="0"/>
              <w:spacing w:before="0" w:after="283"/>
              <w:jc w:val="right"/>
              <w:rPr/>
            </w:pPr>
            <w:r>
              <w:rPr/>
              <w:t> </w:t>
            </w:r>
          </w:p>
        </w:tc>
        <w:tc>
          <w:tcPr>
            <w:tcW w:w="117" w:type="dxa"/>
            <w:tcBorders/>
            <w:shd w:fill="FFFFFF" w:val="clear"/>
            <w:vAlign w:val="center"/>
          </w:tcPr>
          <w:p>
            <w:pPr>
              <w:pStyle w:val="TableContents"/>
              <w:bidi w:val="0"/>
              <w:spacing w:before="0" w:after="283"/>
              <w:jc w:val="left"/>
              <w:rPr/>
            </w:pPr>
            <w:r>
              <w:rPr/>
              <w:t> </w:t>
            </w:r>
          </w:p>
        </w:tc>
      </w:tr>
      <w:tr>
        <w:trPr/>
        <w:tc>
          <w:tcPr>
            <w:tcW w:w="5818"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General and administrative </w:t>
            </w:r>
            <w:r>
              <w:rPr>
                <w:rFonts w:ascii="Times New Roman;Times;Serif" w:hAnsi="Times New Roman;Times;Serif"/>
                <w:position w:val="7"/>
                <w:sz w:val="16"/>
                <w:sz w:val="20"/>
              </w:rPr>
              <w:t>(1)</w:t>
            </w:r>
          </w:p>
        </w:tc>
        <w:tc>
          <w:tcPr>
            <w:tcW w:w="60" w:type="dxa"/>
            <w:tcBorders/>
            <w:shd w:fill="CCEEFF" w:val="clear"/>
            <w:vAlign w:val="center"/>
          </w:tcPr>
          <w:p>
            <w:pPr>
              <w:pStyle w:val="TableContents"/>
              <w:bidi w:val="0"/>
              <w:spacing w:before="0" w:after="283"/>
              <w:jc w:val="left"/>
              <w:rPr/>
            </w:pPr>
            <w:r>
              <w:rPr/>
              <w:t> </w:t>
            </w:r>
          </w:p>
        </w:tc>
        <w:tc>
          <w:tcPr>
            <w:tcW w:w="181"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79" w:type="dxa"/>
            <w:tcBorders>
              <w:bottom w:val="single" w:sz="12" w:space="0" w:color="000000"/>
            </w:tcBorders>
            <w:shd w:fill="CCEEFF" w:val="clear"/>
            <w:tcMar>
              <w:bottom w:w="28" w:type="dxa"/>
            </w:tcMar>
            <w:vAlign w:val="center"/>
          </w:tcPr>
          <w:p>
            <w:pPr>
              <w:pStyle w:val="TableContents"/>
              <w:bidi w:val="0"/>
              <w:spacing w:before="0" w:after="283"/>
              <w:jc w:val="right"/>
              <w:rPr/>
            </w:pPr>
            <w:r>
              <w:rPr/>
              <w:t>10,440</w:t>
            </w:r>
          </w:p>
        </w:tc>
        <w:tc>
          <w:tcPr>
            <w:tcW w:w="108" w:type="dxa"/>
            <w:tcBorders/>
            <w:shd w:fill="CCEEFF" w:val="clear"/>
            <w:vAlign w:val="center"/>
          </w:tcPr>
          <w:p>
            <w:pPr>
              <w:pStyle w:val="TableContents"/>
              <w:bidi w:val="0"/>
              <w:spacing w:before="0" w:after="283"/>
              <w:jc w:val="left"/>
              <w:rPr/>
            </w:pPr>
            <w:r>
              <w:rPr/>
              <w:t> </w:t>
            </w:r>
          </w:p>
        </w:tc>
        <w:tc>
          <w:tcPr>
            <w:tcW w:w="68" w:type="dxa"/>
            <w:tcBorders/>
            <w:shd w:fill="CCEEFF" w:val="clear"/>
            <w:vAlign w:val="center"/>
          </w:tcPr>
          <w:p>
            <w:pPr>
              <w:pStyle w:val="TableContents"/>
              <w:bidi w:val="0"/>
              <w:spacing w:before="0" w:after="283"/>
              <w:jc w:val="left"/>
              <w:rPr/>
            </w:pPr>
            <w:r>
              <w:rPr/>
              <w:t> </w:t>
            </w:r>
          </w:p>
        </w:tc>
        <w:tc>
          <w:tcPr>
            <w:tcW w:w="169"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794" w:type="dxa"/>
            <w:tcBorders>
              <w:bottom w:val="single" w:sz="12" w:space="0" w:color="000000"/>
            </w:tcBorders>
            <w:shd w:fill="CCEEFF" w:val="clear"/>
            <w:tcMar>
              <w:bottom w:w="28" w:type="dxa"/>
            </w:tcMar>
            <w:vAlign w:val="center"/>
          </w:tcPr>
          <w:p>
            <w:pPr>
              <w:pStyle w:val="TableContents"/>
              <w:bidi w:val="0"/>
              <w:spacing w:before="0" w:after="283"/>
              <w:jc w:val="right"/>
              <w:rPr/>
            </w:pPr>
            <w:r>
              <w:rPr/>
              <w:t>4,456</w:t>
            </w:r>
          </w:p>
        </w:tc>
        <w:tc>
          <w:tcPr>
            <w:tcW w:w="68" w:type="dxa"/>
            <w:tcBorders/>
            <w:shd w:fill="CCEEFF" w:val="clear"/>
            <w:vAlign w:val="center"/>
          </w:tcPr>
          <w:p>
            <w:pPr>
              <w:pStyle w:val="TableContents"/>
              <w:bidi w:val="0"/>
              <w:spacing w:before="0" w:after="283"/>
              <w:jc w:val="left"/>
              <w:rPr/>
            </w:pPr>
            <w:r>
              <w:rPr/>
              <w:t> </w:t>
            </w:r>
          </w:p>
        </w:tc>
        <w:tc>
          <w:tcPr>
            <w:tcW w:w="68" w:type="dxa"/>
            <w:tcBorders/>
            <w:shd w:fill="CCEEFF" w:val="clear"/>
            <w:vAlign w:val="center"/>
          </w:tcPr>
          <w:p>
            <w:pPr>
              <w:pStyle w:val="TableContents"/>
              <w:bidi w:val="0"/>
              <w:spacing w:before="0" w:after="283"/>
              <w:jc w:val="left"/>
              <w:rPr/>
            </w:pPr>
            <w:r>
              <w:rPr/>
              <w:t> </w:t>
            </w:r>
          </w:p>
        </w:tc>
        <w:tc>
          <w:tcPr>
            <w:tcW w:w="243"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452"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68" w:type="dxa"/>
            <w:tcBorders/>
            <w:shd w:fill="CCEEFF" w:val="clear"/>
            <w:vAlign w:val="center"/>
          </w:tcPr>
          <w:p>
            <w:pPr>
              <w:pStyle w:val="TableContents"/>
              <w:bidi w:val="0"/>
              <w:spacing w:before="0" w:after="283"/>
              <w:jc w:val="left"/>
              <w:rPr/>
            </w:pPr>
            <w:r>
              <w:rPr/>
              <w:t> </w:t>
            </w:r>
          </w:p>
        </w:tc>
        <w:tc>
          <w:tcPr>
            <w:tcW w:w="68" w:type="dxa"/>
            <w:tcBorders/>
            <w:shd w:fill="CCEEFF" w:val="clear"/>
            <w:vAlign w:val="center"/>
          </w:tcPr>
          <w:p>
            <w:pPr>
              <w:pStyle w:val="TableContents"/>
              <w:bidi w:val="0"/>
              <w:spacing w:before="0" w:after="283"/>
              <w:jc w:val="left"/>
              <w:rPr/>
            </w:pPr>
            <w:r>
              <w:rPr/>
              <w:t> </w:t>
            </w:r>
          </w:p>
        </w:tc>
        <w:tc>
          <w:tcPr>
            <w:tcW w:w="161"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783" w:type="dxa"/>
            <w:tcBorders>
              <w:bottom w:val="single" w:sz="12" w:space="0" w:color="000000"/>
            </w:tcBorders>
            <w:shd w:fill="CCEEFF" w:val="clear"/>
            <w:tcMar>
              <w:bottom w:w="28" w:type="dxa"/>
            </w:tcMar>
            <w:vAlign w:val="center"/>
          </w:tcPr>
          <w:p>
            <w:pPr>
              <w:pStyle w:val="TableContents"/>
              <w:bidi w:val="0"/>
              <w:spacing w:before="0" w:after="283"/>
              <w:jc w:val="right"/>
              <w:rPr/>
            </w:pPr>
            <w:r>
              <w:rPr/>
              <w:t> </w:t>
            </w:r>
          </w:p>
        </w:tc>
        <w:tc>
          <w:tcPr>
            <w:tcW w:w="117" w:type="dxa"/>
            <w:tcBorders/>
            <w:shd w:fill="CCEEFF" w:val="clear"/>
            <w:vAlign w:val="center"/>
          </w:tcPr>
          <w:p>
            <w:pPr>
              <w:pStyle w:val="TableContents"/>
              <w:bidi w:val="0"/>
              <w:spacing w:before="0" w:after="283"/>
              <w:jc w:val="left"/>
              <w:rPr/>
            </w:pPr>
            <w:r>
              <w:rPr/>
              <w:t> </w:t>
            </w:r>
          </w:p>
        </w:tc>
      </w:tr>
      <w:tr>
        <w:trPr/>
        <w:tc>
          <w:tcPr>
            <w:tcW w:w="5818" w:type="dxa"/>
            <w:tcBorders/>
            <w:shd w:fill="FFFFFF" w:val="clear"/>
            <w:vAlign w:val="center"/>
          </w:tcPr>
          <w:p>
            <w:pPr>
              <w:pStyle w:val="TableContents"/>
              <w:bidi w:val="0"/>
              <w:spacing w:before="0" w:after="283"/>
              <w:jc w:val="left"/>
              <w:rPr/>
            </w:pPr>
            <w:r>
              <w:rPr/>
              <w:t>Segment operating income (loss)</w:t>
            </w:r>
          </w:p>
        </w:tc>
        <w:tc>
          <w:tcPr>
            <w:tcW w:w="60" w:type="dxa"/>
            <w:tcBorders/>
            <w:shd w:fill="FFFFFF" w:val="clear"/>
            <w:vAlign w:val="center"/>
          </w:tcPr>
          <w:p>
            <w:pPr>
              <w:pStyle w:val="TableContents"/>
              <w:bidi w:val="0"/>
              <w:spacing w:before="0" w:after="283"/>
              <w:jc w:val="left"/>
              <w:rPr/>
            </w:pPr>
            <w:r>
              <w:rPr/>
              <w:t> </w:t>
            </w:r>
          </w:p>
        </w:tc>
        <w:tc>
          <w:tcPr>
            <w:tcW w:w="181"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979" w:type="dxa"/>
            <w:tcBorders>
              <w:bottom w:val="single" w:sz="12" w:space="0" w:color="000000"/>
            </w:tcBorders>
            <w:shd w:fill="FFFFFF" w:val="clear"/>
            <w:tcMar>
              <w:bottom w:w="28" w:type="dxa"/>
            </w:tcMar>
            <w:vAlign w:val="center"/>
          </w:tcPr>
          <w:p>
            <w:pPr>
              <w:pStyle w:val="TableContents"/>
              <w:bidi w:val="0"/>
              <w:spacing w:before="0" w:after="283"/>
              <w:jc w:val="right"/>
              <w:rPr/>
            </w:pPr>
            <w:r>
              <w:rPr/>
              <w:t>(11,740</w:t>
            </w:r>
          </w:p>
        </w:tc>
        <w:tc>
          <w:tcPr>
            <w:tcW w:w="108" w:type="dxa"/>
            <w:tcBorders/>
            <w:shd w:fill="FFFFFF" w:val="clear"/>
            <w:vAlign w:val="center"/>
          </w:tcPr>
          <w:p>
            <w:pPr>
              <w:pStyle w:val="TableContents"/>
              <w:bidi w:val="0"/>
              <w:spacing w:before="0" w:after="283"/>
              <w:jc w:val="left"/>
              <w:rPr/>
            </w:pPr>
            <w:r>
              <w:rPr/>
              <w:t>)</w:t>
            </w:r>
          </w:p>
        </w:tc>
        <w:tc>
          <w:tcPr>
            <w:tcW w:w="68" w:type="dxa"/>
            <w:tcBorders/>
            <w:shd w:fill="FFFFFF" w:val="clear"/>
            <w:vAlign w:val="center"/>
          </w:tcPr>
          <w:p>
            <w:pPr>
              <w:pStyle w:val="TableContents"/>
              <w:bidi w:val="0"/>
              <w:spacing w:before="0" w:after="283"/>
              <w:jc w:val="left"/>
              <w:rPr/>
            </w:pPr>
            <w:r>
              <w:rPr/>
              <w:t> </w:t>
            </w:r>
          </w:p>
        </w:tc>
        <w:tc>
          <w:tcPr>
            <w:tcW w:w="169"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794" w:type="dxa"/>
            <w:tcBorders>
              <w:bottom w:val="single" w:sz="12" w:space="0" w:color="000000"/>
            </w:tcBorders>
            <w:shd w:fill="FFFFFF" w:val="clear"/>
            <w:tcMar>
              <w:bottom w:w="28" w:type="dxa"/>
            </w:tcMar>
            <w:vAlign w:val="center"/>
          </w:tcPr>
          <w:p>
            <w:pPr>
              <w:pStyle w:val="TableContents"/>
              <w:bidi w:val="0"/>
              <w:spacing w:before="0" w:after="283"/>
              <w:jc w:val="right"/>
              <w:rPr/>
            </w:pPr>
            <w:r>
              <w:rPr/>
              <w:t>8,014</w:t>
            </w:r>
          </w:p>
        </w:tc>
        <w:tc>
          <w:tcPr>
            <w:tcW w:w="68" w:type="dxa"/>
            <w:tcBorders/>
            <w:shd w:fill="FFFFFF" w:val="clear"/>
            <w:vAlign w:val="center"/>
          </w:tcPr>
          <w:p>
            <w:pPr>
              <w:pStyle w:val="TableContents"/>
              <w:bidi w:val="0"/>
              <w:spacing w:before="0" w:after="283"/>
              <w:jc w:val="left"/>
              <w:rPr/>
            </w:pPr>
            <w:r>
              <w:rPr/>
              <w:t> </w:t>
            </w:r>
          </w:p>
        </w:tc>
        <w:tc>
          <w:tcPr>
            <w:tcW w:w="68" w:type="dxa"/>
            <w:tcBorders/>
            <w:shd w:fill="FFFFFF" w:val="clear"/>
            <w:vAlign w:val="center"/>
          </w:tcPr>
          <w:p>
            <w:pPr>
              <w:pStyle w:val="TableContents"/>
              <w:bidi w:val="0"/>
              <w:spacing w:before="0" w:after="283"/>
              <w:jc w:val="left"/>
              <w:rPr/>
            </w:pPr>
            <w:r>
              <w:rPr/>
              <w:t> </w:t>
            </w:r>
          </w:p>
        </w:tc>
        <w:tc>
          <w:tcPr>
            <w:tcW w:w="243"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452"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68" w:type="dxa"/>
            <w:tcBorders/>
            <w:shd w:fill="FFFFFF" w:val="clear"/>
            <w:vAlign w:val="center"/>
          </w:tcPr>
          <w:p>
            <w:pPr>
              <w:pStyle w:val="TableContents"/>
              <w:bidi w:val="0"/>
              <w:spacing w:before="0" w:after="283"/>
              <w:jc w:val="left"/>
              <w:rPr/>
            </w:pPr>
            <w:r>
              <w:rPr/>
              <w:t> </w:t>
            </w:r>
          </w:p>
        </w:tc>
        <w:tc>
          <w:tcPr>
            <w:tcW w:w="68" w:type="dxa"/>
            <w:tcBorders/>
            <w:shd w:fill="FFFFFF" w:val="clear"/>
            <w:vAlign w:val="center"/>
          </w:tcPr>
          <w:p>
            <w:pPr>
              <w:pStyle w:val="TableContents"/>
              <w:bidi w:val="0"/>
              <w:spacing w:before="0" w:after="283"/>
              <w:jc w:val="left"/>
              <w:rPr/>
            </w:pPr>
            <w:r>
              <w:rPr/>
              <w:t> </w:t>
            </w:r>
          </w:p>
        </w:tc>
        <w:tc>
          <w:tcPr>
            <w:tcW w:w="161"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783" w:type="dxa"/>
            <w:tcBorders>
              <w:bottom w:val="single" w:sz="12" w:space="0" w:color="000000"/>
            </w:tcBorders>
            <w:shd w:fill="FFFFFF" w:val="clear"/>
            <w:tcMar>
              <w:bottom w:w="28" w:type="dxa"/>
            </w:tcMar>
            <w:vAlign w:val="center"/>
          </w:tcPr>
          <w:p>
            <w:pPr>
              <w:pStyle w:val="TableContents"/>
              <w:bidi w:val="0"/>
              <w:spacing w:before="0" w:after="283"/>
              <w:jc w:val="right"/>
              <w:rPr/>
            </w:pPr>
            <w:r>
              <w:rPr/>
              <w:t>(3,726</w:t>
            </w:r>
          </w:p>
        </w:tc>
        <w:tc>
          <w:tcPr>
            <w:tcW w:w="117" w:type="dxa"/>
            <w:tcBorders/>
            <w:shd w:fill="FFFFFF" w:val="clear"/>
            <w:vAlign w:val="center"/>
          </w:tcPr>
          <w:p>
            <w:pPr>
              <w:pStyle w:val="TableContents"/>
              <w:bidi w:val="0"/>
              <w:spacing w:before="0" w:after="283"/>
              <w:jc w:val="left"/>
              <w:rPr/>
            </w:pPr>
            <w:r>
              <w:rPr/>
              <w:t>)</w:t>
            </w:r>
          </w:p>
        </w:tc>
      </w:tr>
      <w:tr>
        <w:trPr/>
        <w:tc>
          <w:tcPr>
            <w:tcW w:w="5818"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1" w:type="dxa"/>
            <w:tcBorders/>
            <w:shd w:fill="CCEEFF" w:val="clear"/>
            <w:vAlign w:val="center"/>
          </w:tcPr>
          <w:p>
            <w:pPr>
              <w:pStyle w:val="TableContents"/>
              <w:bidi w:val="0"/>
              <w:spacing w:before="0" w:after="283"/>
              <w:jc w:val="left"/>
              <w:rPr/>
            </w:pPr>
            <w:r>
              <w:rPr/>
              <w:t> </w:t>
            </w:r>
          </w:p>
        </w:tc>
        <w:tc>
          <w:tcPr>
            <w:tcW w:w="979" w:type="dxa"/>
            <w:tcBorders/>
            <w:shd w:fill="CCEEFF" w:val="clear"/>
            <w:vAlign w:val="center"/>
          </w:tcPr>
          <w:p>
            <w:pPr>
              <w:pStyle w:val="TableContents"/>
              <w:bidi w:val="0"/>
              <w:spacing w:before="0" w:after="283"/>
              <w:jc w:val="right"/>
              <w:rPr/>
            </w:pPr>
            <w:r>
              <w:rPr/>
              <w:t> </w:t>
            </w:r>
          </w:p>
        </w:tc>
        <w:tc>
          <w:tcPr>
            <w:tcW w:w="108" w:type="dxa"/>
            <w:tcBorders/>
            <w:shd w:fill="CCEEFF" w:val="clear"/>
            <w:vAlign w:val="center"/>
          </w:tcPr>
          <w:p>
            <w:pPr>
              <w:pStyle w:val="TableContents"/>
              <w:bidi w:val="0"/>
              <w:spacing w:before="0" w:after="283"/>
              <w:jc w:val="left"/>
              <w:rPr/>
            </w:pPr>
            <w:r>
              <w:rPr/>
              <w:t> </w:t>
            </w:r>
          </w:p>
        </w:tc>
        <w:tc>
          <w:tcPr>
            <w:tcW w:w="68" w:type="dxa"/>
            <w:tcBorders/>
            <w:shd w:fill="CCEEFF" w:val="clear"/>
            <w:vAlign w:val="center"/>
          </w:tcPr>
          <w:p>
            <w:pPr>
              <w:pStyle w:val="TableContents"/>
              <w:bidi w:val="0"/>
              <w:spacing w:before="0" w:after="283"/>
              <w:jc w:val="left"/>
              <w:rPr/>
            </w:pPr>
            <w:r>
              <w:rPr/>
              <w:t> </w:t>
            </w:r>
          </w:p>
        </w:tc>
        <w:tc>
          <w:tcPr>
            <w:tcW w:w="169" w:type="dxa"/>
            <w:tcBorders/>
            <w:shd w:fill="CCEEFF" w:val="clear"/>
            <w:vAlign w:val="center"/>
          </w:tcPr>
          <w:p>
            <w:pPr>
              <w:pStyle w:val="TableContents"/>
              <w:bidi w:val="0"/>
              <w:spacing w:before="0" w:after="283"/>
              <w:jc w:val="left"/>
              <w:rPr/>
            </w:pPr>
            <w:r>
              <w:rPr/>
              <w:t> </w:t>
            </w:r>
          </w:p>
        </w:tc>
        <w:tc>
          <w:tcPr>
            <w:tcW w:w="794" w:type="dxa"/>
            <w:tcBorders/>
            <w:shd w:fill="CCEEFF" w:val="clear"/>
            <w:vAlign w:val="center"/>
          </w:tcPr>
          <w:p>
            <w:pPr>
              <w:pStyle w:val="TableContents"/>
              <w:bidi w:val="0"/>
              <w:spacing w:before="0" w:after="283"/>
              <w:jc w:val="right"/>
              <w:rPr/>
            </w:pPr>
            <w:r>
              <w:rPr/>
              <w:t> </w:t>
            </w:r>
          </w:p>
        </w:tc>
        <w:tc>
          <w:tcPr>
            <w:tcW w:w="68" w:type="dxa"/>
            <w:tcBorders/>
            <w:shd w:fill="CCEEFF" w:val="clear"/>
            <w:vAlign w:val="center"/>
          </w:tcPr>
          <w:p>
            <w:pPr>
              <w:pStyle w:val="TableContents"/>
              <w:bidi w:val="0"/>
              <w:spacing w:before="0" w:after="283"/>
              <w:jc w:val="left"/>
              <w:rPr/>
            </w:pPr>
            <w:r>
              <w:rPr/>
              <w:t> </w:t>
            </w:r>
          </w:p>
        </w:tc>
        <w:tc>
          <w:tcPr>
            <w:tcW w:w="68" w:type="dxa"/>
            <w:tcBorders/>
            <w:shd w:fill="CCEEFF" w:val="clear"/>
            <w:vAlign w:val="center"/>
          </w:tcPr>
          <w:p>
            <w:pPr>
              <w:pStyle w:val="TableContents"/>
              <w:bidi w:val="0"/>
              <w:spacing w:before="0" w:after="283"/>
              <w:jc w:val="left"/>
              <w:rPr/>
            </w:pPr>
            <w:r>
              <w:rPr/>
              <w:t> </w:t>
            </w:r>
          </w:p>
        </w:tc>
        <w:tc>
          <w:tcPr>
            <w:tcW w:w="243" w:type="dxa"/>
            <w:tcBorders/>
            <w:shd w:fill="CCEEFF" w:val="clear"/>
            <w:vAlign w:val="center"/>
          </w:tcPr>
          <w:p>
            <w:pPr>
              <w:pStyle w:val="TableContents"/>
              <w:bidi w:val="0"/>
              <w:spacing w:before="0" w:after="283"/>
              <w:jc w:val="left"/>
              <w:rPr/>
            </w:pPr>
            <w:r>
              <w:rPr/>
              <w:t> </w:t>
            </w:r>
          </w:p>
        </w:tc>
        <w:tc>
          <w:tcPr>
            <w:tcW w:w="452" w:type="dxa"/>
            <w:tcBorders/>
            <w:shd w:fill="CCEEFF" w:val="clear"/>
            <w:vAlign w:val="center"/>
          </w:tcPr>
          <w:p>
            <w:pPr>
              <w:pStyle w:val="TableContents"/>
              <w:bidi w:val="0"/>
              <w:spacing w:before="0" w:after="283"/>
              <w:jc w:val="right"/>
              <w:rPr/>
            </w:pPr>
            <w:r>
              <w:rPr/>
              <w:t> </w:t>
            </w:r>
          </w:p>
        </w:tc>
        <w:tc>
          <w:tcPr>
            <w:tcW w:w="68" w:type="dxa"/>
            <w:tcBorders/>
            <w:shd w:fill="CCEEFF" w:val="clear"/>
            <w:vAlign w:val="center"/>
          </w:tcPr>
          <w:p>
            <w:pPr>
              <w:pStyle w:val="TableContents"/>
              <w:bidi w:val="0"/>
              <w:spacing w:before="0" w:after="283"/>
              <w:jc w:val="left"/>
              <w:rPr/>
            </w:pPr>
            <w:r>
              <w:rPr/>
              <w:t> </w:t>
            </w:r>
          </w:p>
        </w:tc>
        <w:tc>
          <w:tcPr>
            <w:tcW w:w="68" w:type="dxa"/>
            <w:tcBorders/>
            <w:shd w:fill="CCEEFF" w:val="clear"/>
            <w:vAlign w:val="center"/>
          </w:tcPr>
          <w:p>
            <w:pPr>
              <w:pStyle w:val="TableContents"/>
              <w:bidi w:val="0"/>
              <w:spacing w:before="0" w:after="283"/>
              <w:jc w:val="left"/>
              <w:rPr/>
            </w:pPr>
            <w:r>
              <w:rPr/>
              <w:t> </w:t>
            </w:r>
          </w:p>
        </w:tc>
        <w:tc>
          <w:tcPr>
            <w:tcW w:w="161" w:type="dxa"/>
            <w:tcBorders/>
            <w:shd w:fill="CCEEFF" w:val="clear"/>
            <w:vAlign w:val="center"/>
          </w:tcPr>
          <w:p>
            <w:pPr>
              <w:pStyle w:val="TableContents"/>
              <w:bidi w:val="0"/>
              <w:spacing w:before="0" w:after="283"/>
              <w:jc w:val="left"/>
              <w:rPr/>
            </w:pPr>
            <w:r>
              <w:rPr/>
              <w:t> </w:t>
            </w:r>
          </w:p>
        </w:tc>
        <w:tc>
          <w:tcPr>
            <w:tcW w:w="783" w:type="dxa"/>
            <w:tcBorders/>
            <w:shd w:fill="CCEEFF" w:val="clear"/>
            <w:vAlign w:val="center"/>
          </w:tcPr>
          <w:p>
            <w:pPr>
              <w:pStyle w:val="TableContents"/>
              <w:bidi w:val="0"/>
              <w:spacing w:before="0" w:after="283"/>
              <w:jc w:val="right"/>
              <w:rPr/>
            </w:pPr>
            <w:r>
              <w:rPr/>
              <w:t> </w:t>
            </w:r>
          </w:p>
        </w:tc>
        <w:tc>
          <w:tcPr>
            <w:tcW w:w="117" w:type="dxa"/>
            <w:tcBorders/>
            <w:shd w:fill="CCEEFF" w:val="clear"/>
            <w:vAlign w:val="center"/>
          </w:tcPr>
          <w:p>
            <w:pPr>
              <w:pStyle w:val="TableContents"/>
              <w:bidi w:val="0"/>
              <w:spacing w:before="0" w:after="283"/>
              <w:ind w:left="0" w:right="0" w:hanging="180"/>
              <w:jc w:val="left"/>
              <w:rPr/>
            </w:pPr>
            <w:r>
              <w:rPr/>
              <w:t> </w:t>
            </w:r>
          </w:p>
        </w:tc>
      </w:tr>
      <w:tr>
        <w:trPr/>
        <w:tc>
          <w:tcPr>
            <w:tcW w:w="5818" w:type="dxa"/>
            <w:tcBorders/>
            <w:shd w:fill="FFFFFF" w:val="clear"/>
            <w:vAlign w:val="center"/>
          </w:tcPr>
          <w:p>
            <w:pPr>
              <w:pStyle w:val="TableContents"/>
              <w:bidi w:val="0"/>
              <w:spacing w:before="0" w:after="283"/>
              <w:jc w:val="left"/>
              <w:rPr>
                <w:i/>
              </w:rPr>
            </w:pPr>
            <w:r>
              <w:rPr>
                <w:i/>
              </w:rPr>
              <w:t>Reconciliation of segment income (loss) from operations before income taxes:</w:t>
            </w:r>
          </w:p>
        </w:tc>
        <w:tc>
          <w:tcPr>
            <w:tcW w:w="60"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 </w:t>
            </w:r>
          </w:p>
        </w:tc>
        <w:tc>
          <w:tcPr>
            <w:tcW w:w="979" w:type="dxa"/>
            <w:tcBorders/>
            <w:shd w:fill="FFFFFF" w:val="clear"/>
            <w:vAlign w:val="center"/>
          </w:tcPr>
          <w:p>
            <w:pPr>
              <w:pStyle w:val="TableContents"/>
              <w:bidi w:val="0"/>
              <w:spacing w:before="0" w:after="283"/>
              <w:jc w:val="right"/>
              <w:rPr/>
            </w:pPr>
            <w:r>
              <w:rPr/>
              <w:t> </w:t>
            </w:r>
          </w:p>
        </w:tc>
        <w:tc>
          <w:tcPr>
            <w:tcW w:w="108" w:type="dxa"/>
            <w:tcBorders/>
            <w:shd w:fill="FFFFFF" w:val="clear"/>
            <w:vAlign w:val="center"/>
          </w:tcPr>
          <w:p>
            <w:pPr>
              <w:pStyle w:val="TableContents"/>
              <w:bidi w:val="0"/>
              <w:spacing w:before="0" w:after="283"/>
              <w:jc w:val="left"/>
              <w:rPr/>
            </w:pPr>
            <w:r>
              <w:rPr/>
              <w:t> </w:t>
            </w:r>
          </w:p>
        </w:tc>
        <w:tc>
          <w:tcPr>
            <w:tcW w:w="68" w:type="dxa"/>
            <w:tcBorders/>
            <w:shd w:fill="FFFFFF" w:val="clear"/>
            <w:vAlign w:val="center"/>
          </w:tcPr>
          <w:p>
            <w:pPr>
              <w:pStyle w:val="TableContents"/>
              <w:bidi w:val="0"/>
              <w:spacing w:before="0" w:after="283"/>
              <w:jc w:val="left"/>
              <w:rPr/>
            </w:pPr>
            <w:r>
              <w:rPr/>
              <w:t> </w:t>
            </w:r>
          </w:p>
        </w:tc>
        <w:tc>
          <w:tcPr>
            <w:tcW w:w="169" w:type="dxa"/>
            <w:tcBorders/>
            <w:shd w:fill="FFFFFF" w:val="clear"/>
            <w:vAlign w:val="center"/>
          </w:tcPr>
          <w:p>
            <w:pPr>
              <w:pStyle w:val="TableContents"/>
              <w:bidi w:val="0"/>
              <w:spacing w:before="0" w:after="283"/>
              <w:jc w:val="left"/>
              <w:rPr/>
            </w:pPr>
            <w:r>
              <w:rPr/>
              <w:t> </w:t>
            </w:r>
          </w:p>
        </w:tc>
        <w:tc>
          <w:tcPr>
            <w:tcW w:w="794" w:type="dxa"/>
            <w:tcBorders/>
            <w:shd w:fill="FFFFFF" w:val="clear"/>
            <w:vAlign w:val="center"/>
          </w:tcPr>
          <w:p>
            <w:pPr>
              <w:pStyle w:val="TableContents"/>
              <w:bidi w:val="0"/>
              <w:spacing w:before="0" w:after="283"/>
              <w:jc w:val="right"/>
              <w:rPr/>
            </w:pPr>
            <w:r>
              <w:rPr/>
              <w:t> </w:t>
            </w:r>
          </w:p>
        </w:tc>
        <w:tc>
          <w:tcPr>
            <w:tcW w:w="68" w:type="dxa"/>
            <w:tcBorders/>
            <w:shd w:fill="FFFFFF" w:val="clear"/>
            <w:vAlign w:val="center"/>
          </w:tcPr>
          <w:p>
            <w:pPr>
              <w:pStyle w:val="TableContents"/>
              <w:bidi w:val="0"/>
              <w:spacing w:before="0" w:after="283"/>
              <w:jc w:val="left"/>
              <w:rPr/>
            </w:pPr>
            <w:r>
              <w:rPr/>
              <w:t> </w:t>
            </w:r>
          </w:p>
        </w:tc>
        <w:tc>
          <w:tcPr>
            <w:tcW w:w="68" w:type="dxa"/>
            <w:tcBorders/>
            <w:shd w:fill="FFFFFF" w:val="clear"/>
            <w:vAlign w:val="center"/>
          </w:tcPr>
          <w:p>
            <w:pPr>
              <w:pStyle w:val="TableContents"/>
              <w:bidi w:val="0"/>
              <w:spacing w:before="0" w:after="283"/>
              <w:jc w:val="left"/>
              <w:rPr/>
            </w:pPr>
            <w:r>
              <w:rPr/>
              <w:t> </w:t>
            </w:r>
          </w:p>
        </w:tc>
        <w:tc>
          <w:tcPr>
            <w:tcW w:w="243" w:type="dxa"/>
            <w:tcBorders/>
            <w:shd w:fill="FFFFFF" w:val="clear"/>
            <w:vAlign w:val="center"/>
          </w:tcPr>
          <w:p>
            <w:pPr>
              <w:pStyle w:val="TableContents"/>
              <w:bidi w:val="0"/>
              <w:spacing w:before="0" w:after="283"/>
              <w:jc w:val="left"/>
              <w:rPr/>
            </w:pPr>
            <w:r>
              <w:rPr/>
              <w:t> </w:t>
            </w:r>
          </w:p>
        </w:tc>
        <w:tc>
          <w:tcPr>
            <w:tcW w:w="452" w:type="dxa"/>
            <w:tcBorders/>
            <w:shd w:fill="FFFFFF" w:val="clear"/>
            <w:vAlign w:val="center"/>
          </w:tcPr>
          <w:p>
            <w:pPr>
              <w:pStyle w:val="TableContents"/>
              <w:bidi w:val="0"/>
              <w:spacing w:before="0" w:after="283"/>
              <w:jc w:val="right"/>
              <w:rPr/>
            </w:pPr>
            <w:r>
              <w:rPr/>
              <w:t> </w:t>
            </w:r>
          </w:p>
        </w:tc>
        <w:tc>
          <w:tcPr>
            <w:tcW w:w="68" w:type="dxa"/>
            <w:tcBorders/>
            <w:shd w:fill="FFFFFF" w:val="clear"/>
            <w:vAlign w:val="center"/>
          </w:tcPr>
          <w:p>
            <w:pPr>
              <w:pStyle w:val="TableContents"/>
              <w:bidi w:val="0"/>
              <w:spacing w:before="0" w:after="283"/>
              <w:jc w:val="left"/>
              <w:rPr/>
            </w:pPr>
            <w:r>
              <w:rPr/>
              <w:t> </w:t>
            </w:r>
          </w:p>
        </w:tc>
        <w:tc>
          <w:tcPr>
            <w:tcW w:w="68" w:type="dxa"/>
            <w:tcBorders/>
            <w:shd w:fill="FFFFFF" w:val="clear"/>
            <w:vAlign w:val="center"/>
          </w:tcPr>
          <w:p>
            <w:pPr>
              <w:pStyle w:val="TableContents"/>
              <w:bidi w:val="0"/>
              <w:spacing w:before="0" w:after="283"/>
              <w:jc w:val="left"/>
              <w:rPr/>
            </w:pPr>
            <w:r>
              <w:rPr/>
              <w:t> </w:t>
            </w:r>
          </w:p>
        </w:tc>
        <w:tc>
          <w:tcPr>
            <w:tcW w:w="161" w:type="dxa"/>
            <w:tcBorders/>
            <w:shd w:fill="FFFFFF" w:val="clear"/>
            <w:vAlign w:val="center"/>
          </w:tcPr>
          <w:p>
            <w:pPr>
              <w:pStyle w:val="TableContents"/>
              <w:bidi w:val="0"/>
              <w:spacing w:before="0" w:after="283"/>
              <w:jc w:val="left"/>
              <w:rPr/>
            </w:pPr>
            <w:r>
              <w:rPr/>
              <w:t> </w:t>
            </w:r>
          </w:p>
        </w:tc>
        <w:tc>
          <w:tcPr>
            <w:tcW w:w="783" w:type="dxa"/>
            <w:tcBorders/>
            <w:shd w:fill="FFFFFF" w:val="clear"/>
            <w:vAlign w:val="center"/>
          </w:tcPr>
          <w:p>
            <w:pPr>
              <w:pStyle w:val="TableContents"/>
              <w:bidi w:val="0"/>
              <w:spacing w:before="0" w:after="283"/>
              <w:jc w:val="right"/>
              <w:rPr/>
            </w:pPr>
            <w:r>
              <w:rPr/>
              <w:t> </w:t>
            </w:r>
          </w:p>
        </w:tc>
        <w:tc>
          <w:tcPr>
            <w:tcW w:w="117" w:type="dxa"/>
            <w:tcBorders/>
            <w:shd w:fill="FFFFFF" w:val="clear"/>
            <w:vAlign w:val="center"/>
          </w:tcPr>
          <w:p>
            <w:pPr>
              <w:pStyle w:val="TableContents"/>
              <w:bidi w:val="0"/>
              <w:spacing w:before="0" w:after="283"/>
              <w:ind w:left="0" w:right="0" w:hanging="180"/>
              <w:jc w:val="left"/>
              <w:rPr/>
            </w:pPr>
            <w:r>
              <w:rPr/>
              <w:t> </w:t>
            </w:r>
          </w:p>
        </w:tc>
      </w:tr>
      <w:tr>
        <w:trPr/>
        <w:tc>
          <w:tcPr>
            <w:tcW w:w="5818" w:type="dxa"/>
            <w:tcBorders/>
            <w:shd w:fill="CCEEFF" w:val="clear"/>
            <w:vAlign w:val="center"/>
          </w:tcPr>
          <w:p>
            <w:pPr>
              <w:pStyle w:val="TableContents"/>
              <w:bidi w:val="0"/>
              <w:spacing w:before="0" w:after="283"/>
              <w:jc w:val="left"/>
              <w:rPr/>
            </w:pPr>
            <w:r>
              <w:rPr/>
              <w:t>Unallocated amounts:</w:t>
            </w:r>
          </w:p>
        </w:tc>
        <w:tc>
          <w:tcPr>
            <w:tcW w:w="60" w:type="dxa"/>
            <w:tcBorders/>
            <w:shd w:fill="CCEEFF" w:val="clear"/>
            <w:vAlign w:val="center"/>
          </w:tcPr>
          <w:p>
            <w:pPr>
              <w:pStyle w:val="TableContents"/>
              <w:bidi w:val="0"/>
              <w:spacing w:before="0" w:after="283"/>
              <w:jc w:val="left"/>
              <w:rPr/>
            </w:pPr>
            <w:r>
              <w:rPr/>
              <w:t> </w:t>
            </w:r>
          </w:p>
        </w:tc>
        <w:tc>
          <w:tcPr>
            <w:tcW w:w="181" w:type="dxa"/>
            <w:tcBorders/>
            <w:shd w:fill="CCEEFF" w:val="clear"/>
            <w:vAlign w:val="center"/>
          </w:tcPr>
          <w:p>
            <w:pPr>
              <w:pStyle w:val="TableContents"/>
              <w:bidi w:val="0"/>
              <w:spacing w:before="0" w:after="283"/>
              <w:jc w:val="left"/>
              <w:rPr/>
            </w:pPr>
            <w:r>
              <w:rPr/>
              <w:t> </w:t>
            </w:r>
          </w:p>
        </w:tc>
        <w:tc>
          <w:tcPr>
            <w:tcW w:w="979" w:type="dxa"/>
            <w:tcBorders/>
            <w:shd w:fill="CCEEFF" w:val="clear"/>
            <w:vAlign w:val="center"/>
          </w:tcPr>
          <w:p>
            <w:pPr>
              <w:pStyle w:val="TableContents"/>
              <w:bidi w:val="0"/>
              <w:spacing w:before="0" w:after="283"/>
              <w:jc w:val="right"/>
              <w:rPr/>
            </w:pPr>
            <w:r>
              <w:rPr/>
              <w:t> </w:t>
            </w:r>
          </w:p>
        </w:tc>
        <w:tc>
          <w:tcPr>
            <w:tcW w:w="108" w:type="dxa"/>
            <w:tcBorders/>
            <w:shd w:fill="CCEEFF" w:val="clear"/>
            <w:vAlign w:val="center"/>
          </w:tcPr>
          <w:p>
            <w:pPr>
              <w:pStyle w:val="TableContents"/>
              <w:bidi w:val="0"/>
              <w:spacing w:before="0" w:after="283"/>
              <w:jc w:val="left"/>
              <w:rPr/>
            </w:pPr>
            <w:r>
              <w:rPr/>
              <w:t> </w:t>
            </w:r>
          </w:p>
        </w:tc>
        <w:tc>
          <w:tcPr>
            <w:tcW w:w="68" w:type="dxa"/>
            <w:tcBorders/>
            <w:shd w:fill="CCEEFF" w:val="clear"/>
            <w:vAlign w:val="center"/>
          </w:tcPr>
          <w:p>
            <w:pPr>
              <w:pStyle w:val="TableContents"/>
              <w:bidi w:val="0"/>
              <w:spacing w:before="0" w:after="283"/>
              <w:jc w:val="left"/>
              <w:rPr/>
            </w:pPr>
            <w:r>
              <w:rPr/>
              <w:t> </w:t>
            </w:r>
          </w:p>
        </w:tc>
        <w:tc>
          <w:tcPr>
            <w:tcW w:w="169" w:type="dxa"/>
            <w:tcBorders/>
            <w:shd w:fill="CCEEFF" w:val="clear"/>
            <w:vAlign w:val="center"/>
          </w:tcPr>
          <w:p>
            <w:pPr>
              <w:pStyle w:val="TableContents"/>
              <w:bidi w:val="0"/>
              <w:spacing w:before="0" w:after="283"/>
              <w:jc w:val="left"/>
              <w:rPr/>
            </w:pPr>
            <w:r>
              <w:rPr/>
              <w:t> </w:t>
            </w:r>
          </w:p>
        </w:tc>
        <w:tc>
          <w:tcPr>
            <w:tcW w:w="794" w:type="dxa"/>
            <w:tcBorders/>
            <w:shd w:fill="CCEEFF" w:val="clear"/>
            <w:vAlign w:val="center"/>
          </w:tcPr>
          <w:p>
            <w:pPr>
              <w:pStyle w:val="TableContents"/>
              <w:bidi w:val="0"/>
              <w:spacing w:before="0" w:after="283"/>
              <w:jc w:val="right"/>
              <w:rPr/>
            </w:pPr>
            <w:r>
              <w:rPr/>
              <w:t> </w:t>
            </w:r>
          </w:p>
        </w:tc>
        <w:tc>
          <w:tcPr>
            <w:tcW w:w="68" w:type="dxa"/>
            <w:tcBorders/>
            <w:shd w:fill="CCEEFF" w:val="clear"/>
            <w:vAlign w:val="center"/>
          </w:tcPr>
          <w:p>
            <w:pPr>
              <w:pStyle w:val="TableContents"/>
              <w:bidi w:val="0"/>
              <w:spacing w:before="0" w:after="283"/>
              <w:jc w:val="left"/>
              <w:rPr/>
            </w:pPr>
            <w:r>
              <w:rPr/>
              <w:t> </w:t>
            </w:r>
          </w:p>
        </w:tc>
        <w:tc>
          <w:tcPr>
            <w:tcW w:w="68" w:type="dxa"/>
            <w:tcBorders/>
            <w:shd w:fill="CCEEFF" w:val="clear"/>
            <w:vAlign w:val="center"/>
          </w:tcPr>
          <w:p>
            <w:pPr>
              <w:pStyle w:val="TableContents"/>
              <w:bidi w:val="0"/>
              <w:spacing w:before="0" w:after="283"/>
              <w:jc w:val="left"/>
              <w:rPr/>
            </w:pPr>
            <w:r>
              <w:rPr/>
              <w:t> </w:t>
            </w:r>
          </w:p>
        </w:tc>
        <w:tc>
          <w:tcPr>
            <w:tcW w:w="243" w:type="dxa"/>
            <w:tcBorders/>
            <w:shd w:fill="CCEEFF" w:val="clear"/>
            <w:vAlign w:val="center"/>
          </w:tcPr>
          <w:p>
            <w:pPr>
              <w:pStyle w:val="TableContents"/>
              <w:bidi w:val="0"/>
              <w:spacing w:before="0" w:after="283"/>
              <w:jc w:val="left"/>
              <w:rPr/>
            </w:pPr>
            <w:r>
              <w:rPr/>
              <w:t> </w:t>
            </w:r>
          </w:p>
        </w:tc>
        <w:tc>
          <w:tcPr>
            <w:tcW w:w="452" w:type="dxa"/>
            <w:tcBorders/>
            <w:shd w:fill="CCEEFF" w:val="clear"/>
            <w:vAlign w:val="center"/>
          </w:tcPr>
          <w:p>
            <w:pPr>
              <w:pStyle w:val="TableContents"/>
              <w:bidi w:val="0"/>
              <w:spacing w:before="0" w:after="283"/>
              <w:jc w:val="right"/>
              <w:rPr/>
            </w:pPr>
            <w:r>
              <w:rPr/>
              <w:t> </w:t>
            </w:r>
          </w:p>
        </w:tc>
        <w:tc>
          <w:tcPr>
            <w:tcW w:w="68" w:type="dxa"/>
            <w:tcBorders/>
            <w:shd w:fill="CCEEFF" w:val="clear"/>
            <w:vAlign w:val="center"/>
          </w:tcPr>
          <w:p>
            <w:pPr>
              <w:pStyle w:val="TableContents"/>
              <w:bidi w:val="0"/>
              <w:spacing w:before="0" w:after="283"/>
              <w:jc w:val="left"/>
              <w:rPr/>
            </w:pPr>
            <w:r>
              <w:rPr/>
              <w:t> </w:t>
            </w:r>
          </w:p>
        </w:tc>
        <w:tc>
          <w:tcPr>
            <w:tcW w:w="68" w:type="dxa"/>
            <w:tcBorders/>
            <w:shd w:fill="CCEEFF" w:val="clear"/>
            <w:vAlign w:val="center"/>
          </w:tcPr>
          <w:p>
            <w:pPr>
              <w:pStyle w:val="TableContents"/>
              <w:bidi w:val="0"/>
              <w:spacing w:before="0" w:after="283"/>
              <w:jc w:val="left"/>
              <w:rPr/>
            </w:pPr>
            <w:r>
              <w:rPr/>
              <w:t> </w:t>
            </w:r>
          </w:p>
        </w:tc>
        <w:tc>
          <w:tcPr>
            <w:tcW w:w="161" w:type="dxa"/>
            <w:tcBorders/>
            <w:shd w:fill="CCEEFF" w:val="clear"/>
            <w:vAlign w:val="center"/>
          </w:tcPr>
          <w:p>
            <w:pPr>
              <w:pStyle w:val="TableContents"/>
              <w:bidi w:val="0"/>
              <w:spacing w:before="0" w:after="283"/>
              <w:jc w:val="left"/>
              <w:rPr/>
            </w:pPr>
            <w:r>
              <w:rPr/>
              <w:t> </w:t>
            </w:r>
          </w:p>
        </w:tc>
        <w:tc>
          <w:tcPr>
            <w:tcW w:w="783" w:type="dxa"/>
            <w:tcBorders/>
            <w:shd w:fill="CCEEFF" w:val="clear"/>
            <w:vAlign w:val="center"/>
          </w:tcPr>
          <w:p>
            <w:pPr>
              <w:pStyle w:val="TableContents"/>
              <w:bidi w:val="0"/>
              <w:spacing w:before="0" w:after="283"/>
              <w:jc w:val="right"/>
              <w:rPr/>
            </w:pPr>
            <w:r>
              <w:rPr/>
              <w:t> </w:t>
            </w:r>
          </w:p>
        </w:tc>
        <w:tc>
          <w:tcPr>
            <w:tcW w:w="117" w:type="dxa"/>
            <w:tcBorders/>
            <w:shd w:fill="CCEEFF" w:val="clear"/>
            <w:vAlign w:val="center"/>
          </w:tcPr>
          <w:p>
            <w:pPr>
              <w:pStyle w:val="TableContents"/>
              <w:bidi w:val="0"/>
              <w:spacing w:before="0" w:after="283"/>
              <w:jc w:val="left"/>
              <w:rPr/>
            </w:pPr>
            <w:r>
              <w:rPr/>
              <w:t> </w:t>
            </w:r>
          </w:p>
        </w:tc>
      </w:tr>
      <w:tr>
        <w:trPr/>
        <w:tc>
          <w:tcPr>
            <w:tcW w:w="5818" w:type="dxa"/>
            <w:tcBorders/>
            <w:shd w:fill="FFFFFF" w:val="clear"/>
            <w:vAlign w:val="center"/>
          </w:tcPr>
          <w:p>
            <w:pPr>
              <w:pStyle w:val="TableContents"/>
              <w:bidi w:val="0"/>
              <w:spacing w:before="0" w:after="283"/>
              <w:jc w:val="left"/>
              <w:rPr/>
            </w:pPr>
            <w:r>
              <w:rPr/>
              <w:t>Interest expense</w:t>
            </w:r>
          </w:p>
        </w:tc>
        <w:tc>
          <w:tcPr>
            <w:tcW w:w="60"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 </w:t>
            </w:r>
          </w:p>
        </w:tc>
        <w:tc>
          <w:tcPr>
            <w:tcW w:w="979" w:type="dxa"/>
            <w:tcBorders/>
            <w:shd w:fill="FFFFFF" w:val="clear"/>
            <w:vAlign w:val="center"/>
          </w:tcPr>
          <w:p>
            <w:pPr>
              <w:pStyle w:val="TableContents"/>
              <w:bidi w:val="0"/>
              <w:spacing w:before="0" w:after="283"/>
              <w:jc w:val="right"/>
              <w:rPr/>
            </w:pPr>
            <w:r>
              <w:rPr/>
              <w:t> </w:t>
            </w:r>
          </w:p>
        </w:tc>
        <w:tc>
          <w:tcPr>
            <w:tcW w:w="108" w:type="dxa"/>
            <w:tcBorders/>
            <w:shd w:fill="FFFFFF" w:val="clear"/>
            <w:vAlign w:val="center"/>
          </w:tcPr>
          <w:p>
            <w:pPr>
              <w:pStyle w:val="TableContents"/>
              <w:bidi w:val="0"/>
              <w:spacing w:before="0" w:after="283"/>
              <w:jc w:val="left"/>
              <w:rPr/>
            </w:pPr>
            <w:r>
              <w:rPr/>
              <w:t> </w:t>
            </w:r>
          </w:p>
        </w:tc>
        <w:tc>
          <w:tcPr>
            <w:tcW w:w="68" w:type="dxa"/>
            <w:tcBorders/>
            <w:shd w:fill="FFFFFF" w:val="clear"/>
            <w:vAlign w:val="center"/>
          </w:tcPr>
          <w:p>
            <w:pPr>
              <w:pStyle w:val="TableContents"/>
              <w:bidi w:val="0"/>
              <w:spacing w:before="0" w:after="283"/>
              <w:jc w:val="left"/>
              <w:rPr/>
            </w:pPr>
            <w:r>
              <w:rPr/>
              <w:t> </w:t>
            </w:r>
          </w:p>
        </w:tc>
        <w:tc>
          <w:tcPr>
            <w:tcW w:w="169" w:type="dxa"/>
            <w:tcBorders/>
            <w:shd w:fill="FFFFFF" w:val="clear"/>
            <w:vAlign w:val="center"/>
          </w:tcPr>
          <w:p>
            <w:pPr>
              <w:pStyle w:val="TableContents"/>
              <w:bidi w:val="0"/>
              <w:spacing w:before="0" w:after="283"/>
              <w:jc w:val="left"/>
              <w:rPr/>
            </w:pPr>
            <w:r>
              <w:rPr/>
              <w:t> </w:t>
            </w:r>
          </w:p>
        </w:tc>
        <w:tc>
          <w:tcPr>
            <w:tcW w:w="794" w:type="dxa"/>
            <w:tcBorders/>
            <w:shd w:fill="FFFFFF" w:val="clear"/>
            <w:vAlign w:val="center"/>
          </w:tcPr>
          <w:p>
            <w:pPr>
              <w:pStyle w:val="TableContents"/>
              <w:bidi w:val="0"/>
              <w:spacing w:before="0" w:after="283"/>
              <w:jc w:val="right"/>
              <w:rPr/>
            </w:pPr>
            <w:r>
              <w:rPr/>
              <w:t> </w:t>
            </w:r>
          </w:p>
        </w:tc>
        <w:tc>
          <w:tcPr>
            <w:tcW w:w="68" w:type="dxa"/>
            <w:tcBorders/>
            <w:shd w:fill="FFFFFF" w:val="clear"/>
            <w:vAlign w:val="center"/>
          </w:tcPr>
          <w:p>
            <w:pPr>
              <w:pStyle w:val="TableContents"/>
              <w:bidi w:val="0"/>
              <w:spacing w:before="0" w:after="283"/>
              <w:jc w:val="left"/>
              <w:rPr/>
            </w:pPr>
            <w:r>
              <w:rPr/>
              <w:t> </w:t>
            </w:r>
          </w:p>
        </w:tc>
        <w:tc>
          <w:tcPr>
            <w:tcW w:w="68" w:type="dxa"/>
            <w:tcBorders/>
            <w:shd w:fill="FFFFFF" w:val="clear"/>
            <w:vAlign w:val="center"/>
          </w:tcPr>
          <w:p>
            <w:pPr>
              <w:pStyle w:val="TableContents"/>
              <w:bidi w:val="0"/>
              <w:spacing w:before="0" w:after="283"/>
              <w:jc w:val="left"/>
              <w:rPr/>
            </w:pPr>
            <w:r>
              <w:rPr/>
              <w:t> </w:t>
            </w:r>
          </w:p>
        </w:tc>
        <w:tc>
          <w:tcPr>
            <w:tcW w:w="243" w:type="dxa"/>
            <w:tcBorders/>
            <w:shd w:fill="FFFFFF" w:val="clear"/>
            <w:vAlign w:val="center"/>
          </w:tcPr>
          <w:p>
            <w:pPr>
              <w:pStyle w:val="TableContents"/>
              <w:bidi w:val="0"/>
              <w:spacing w:before="0" w:after="283"/>
              <w:jc w:val="left"/>
              <w:rPr/>
            </w:pPr>
            <w:r>
              <w:rPr/>
              <w:t> </w:t>
            </w:r>
          </w:p>
        </w:tc>
        <w:tc>
          <w:tcPr>
            <w:tcW w:w="452" w:type="dxa"/>
            <w:tcBorders/>
            <w:shd w:fill="FFFFFF" w:val="clear"/>
            <w:vAlign w:val="center"/>
          </w:tcPr>
          <w:p>
            <w:pPr>
              <w:pStyle w:val="TableContents"/>
              <w:bidi w:val="0"/>
              <w:spacing w:before="0" w:after="283"/>
              <w:jc w:val="right"/>
              <w:rPr/>
            </w:pPr>
            <w:r>
              <w:rPr/>
              <w:t> </w:t>
            </w:r>
          </w:p>
        </w:tc>
        <w:tc>
          <w:tcPr>
            <w:tcW w:w="68" w:type="dxa"/>
            <w:tcBorders/>
            <w:shd w:fill="FFFFFF" w:val="clear"/>
            <w:vAlign w:val="center"/>
          </w:tcPr>
          <w:p>
            <w:pPr>
              <w:pStyle w:val="TableContents"/>
              <w:bidi w:val="0"/>
              <w:spacing w:before="0" w:after="283"/>
              <w:jc w:val="left"/>
              <w:rPr/>
            </w:pPr>
            <w:r>
              <w:rPr/>
              <w:t> </w:t>
            </w:r>
          </w:p>
        </w:tc>
        <w:tc>
          <w:tcPr>
            <w:tcW w:w="68" w:type="dxa"/>
            <w:tcBorders/>
            <w:shd w:fill="FFFFFF" w:val="clear"/>
            <w:vAlign w:val="center"/>
          </w:tcPr>
          <w:p>
            <w:pPr>
              <w:pStyle w:val="TableContents"/>
              <w:bidi w:val="0"/>
              <w:spacing w:before="0" w:after="283"/>
              <w:jc w:val="left"/>
              <w:rPr/>
            </w:pPr>
            <w:r>
              <w:rPr/>
              <w:t> </w:t>
            </w:r>
          </w:p>
        </w:tc>
        <w:tc>
          <w:tcPr>
            <w:tcW w:w="161" w:type="dxa"/>
            <w:tcBorders/>
            <w:shd w:fill="FFFFFF" w:val="clear"/>
            <w:vAlign w:val="center"/>
          </w:tcPr>
          <w:p>
            <w:pPr>
              <w:pStyle w:val="TableContents"/>
              <w:bidi w:val="0"/>
              <w:spacing w:before="0" w:after="283"/>
              <w:jc w:val="left"/>
              <w:rPr/>
            </w:pPr>
            <w:r>
              <w:rPr/>
              <w:t> </w:t>
            </w:r>
          </w:p>
        </w:tc>
        <w:tc>
          <w:tcPr>
            <w:tcW w:w="783" w:type="dxa"/>
            <w:tcBorders/>
            <w:shd w:fill="FFFFFF" w:val="clear"/>
            <w:vAlign w:val="center"/>
          </w:tcPr>
          <w:p>
            <w:pPr>
              <w:pStyle w:val="TableContents"/>
              <w:bidi w:val="0"/>
              <w:spacing w:before="0" w:after="283"/>
              <w:jc w:val="right"/>
              <w:rPr/>
            </w:pPr>
            <w:r>
              <w:rPr/>
              <w:t>(6,041</w:t>
            </w:r>
          </w:p>
        </w:tc>
        <w:tc>
          <w:tcPr>
            <w:tcW w:w="117" w:type="dxa"/>
            <w:tcBorders/>
            <w:shd w:fill="FFFFFF" w:val="clear"/>
            <w:vAlign w:val="center"/>
          </w:tcPr>
          <w:p>
            <w:pPr>
              <w:pStyle w:val="TableContents"/>
              <w:bidi w:val="0"/>
              <w:spacing w:before="0" w:after="283"/>
              <w:jc w:val="left"/>
              <w:rPr/>
            </w:pPr>
            <w:r>
              <w:rPr/>
              <w:t>)</w:t>
            </w:r>
          </w:p>
        </w:tc>
      </w:tr>
      <w:tr>
        <w:trPr/>
        <w:tc>
          <w:tcPr>
            <w:tcW w:w="5818" w:type="dxa"/>
            <w:tcBorders/>
            <w:shd w:fill="CCEEFF" w:val="clear"/>
            <w:vAlign w:val="center"/>
          </w:tcPr>
          <w:p>
            <w:pPr>
              <w:pStyle w:val="TableContents"/>
              <w:bidi w:val="0"/>
              <w:spacing w:before="0" w:after="283"/>
              <w:jc w:val="left"/>
              <w:rPr/>
            </w:pPr>
            <w:r>
              <w:rPr/>
              <w:t>Interest income</w:t>
            </w:r>
          </w:p>
        </w:tc>
        <w:tc>
          <w:tcPr>
            <w:tcW w:w="60" w:type="dxa"/>
            <w:tcBorders/>
            <w:shd w:fill="CCEEFF" w:val="clear"/>
            <w:vAlign w:val="center"/>
          </w:tcPr>
          <w:p>
            <w:pPr>
              <w:pStyle w:val="TableContents"/>
              <w:bidi w:val="0"/>
              <w:spacing w:before="0" w:after="283"/>
              <w:jc w:val="left"/>
              <w:rPr/>
            </w:pPr>
            <w:r>
              <w:rPr/>
              <w:t> </w:t>
            </w:r>
          </w:p>
        </w:tc>
        <w:tc>
          <w:tcPr>
            <w:tcW w:w="181" w:type="dxa"/>
            <w:tcBorders/>
            <w:shd w:fill="CCEEFF" w:val="clear"/>
            <w:vAlign w:val="center"/>
          </w:tcPr>
          <w:p>
            <w:pPr>
              <w:pStyle w:val="TableContents"/>
              <w:bidi w:val="0"/>
              <w:spacing w:before="0" w:after="283"/>
              <w:jc w:val="left"/>
              <w:rPr/>
            </w:pPr>
            <w:r>
              <w:rPr/>
              <w:t> </w:t>
            </w:r>
          </w:p>
        </w:tc>
        <w:tc>
          <w:tcPr>
            <w:tcW w:w="979" w:type="dxa"/>
            <w:tcBorders/>
            <w:shd w:fill="CCEEFF" w:val="clear"/>
            <w:vAlign w:val="center"/>
          </w:tcPr>
          <w:p>
            <w:pPr>
              <w:pStyle w:val="TableContents"/>
              <w:bidi w:val="0"/>
              <w:spacing w:before="0" w:after="283"/>
              <w:jc w:val="right"/>
              <w:rPr/>
            </w:pPr>
            <w:r>
              <w:rPr/>
              <w:t> </w:t>
            </w:r>
          </w:p>
        </w:tc>
        <w:tc>
          <w:tcPr>
            <w:tcW w:w="108" w:type="dxa"/>
            <w:tcBorders/>
            <w:shd w:fill="CCEEFF" w:val="clear"/>
            <w:vAlign w:val="center"/>
          </w:tcPr>
          <w:p>
            <w:pPr>
              <w:pStyle w:val="TableContents"/>
              <w:bidi w:val="0"/>
              <w:spacing w:before="0" w:after="283"/>
              <w:jc w:val="left"/>
              <w:rPr/>
            </w:pPr>
            <w:r>
              <w:rPr/>
              <w:t> </w:t>
            </w:r>
          </w:p>
        </w:tc>
        <w:tc>
          <w:tcPr>
            <w:tcW w:w="68" w:type="dxa"/>
            <w:tcBorders/>
            <w:shd w:fill="CCEEFF" w:val="clear"/>
            <w:vAlign w:val="center"/>
          </w:tcPr>
          <w:p>
            <w:pPr>
              <w:pStyle w:val="TableContents"/>
              <w:bidi w:val="0"/>
              <w:spacing w:before="0" w:after="283"/>
              <w:jc w:val="left"/>
              <w:rPr/>
            </w:pPr>
            <w:r>
              <w:rPr/>
              <w:t> </w:t>
            </w:r>
          </w:p>
        </w:tc>
        <w:tc>
          <w:tcPr>
            <w:tcW w:w="169" w:type="dxa"/>
            <w:tcBorders/>
            <w:shd w:fill="CCEEFF" w:val="clear"/>
            <w:vAlign w:val="center"/>
          </w:tcPr>
          <w:p>
            <w:pPr>
              <w:pStyle w:val="TableContents"/>
              <w:bidi w:val="0"/>
              <w:spacing w:before="0" w:after="283"/>
              <w:jc w:val="left"/>
              <w:rPr/>
            </w:pPr>
            <w:r>
              <w:rPr/>
              <w:t> </w:t>
            </w:r>
          </w:p>
        </w:tc>
        <w:tc>
          <w:tcPr>
            <w:tcW w:w="794" w:type="dxa"/>
            <w:tcBorders/>
            <w:shd w:fill="CCEEFF" w:val="clear"/>
            <w:vAlign w:val="center"/>
          </w:tcPr>
          <w:p>
            <w:pPr>
              <w:pStyle w:val="TableContents"/>
              <w:bidi w:val="0"/>
              <w:spacing w:before="0" w:after="283"/>
              <w:jc w:val="right"/>
              <w:rPr/>
            </w:pPr>
            <w:r>
              <w:rPr/>
              <w:t> </w:t>
            </w:r>
          </w:p>
        </w:tc>
        <w:tc>
          <w:tcPr>
            <w:tcW w:w="68" w:type="dxa"/>
            <w:tcBorders/>
            <w:shd w:fill="CCEEFF" w:val="clear"/>
            <w:vAlign w:val="center"/>
          </w:tcPr>
          <w:p>
            <w:pPr>
              <w:pStyle w:val="TableContents"/>
              <w:bidi w:val="0"/>
              <w:spacing w:before="0" w:after="283"/>
              <w:jc w:val="left"/>
              <w:rPr/>
            </w:pPr>
            <w:r>
              <w:rPr/>
              <w:t> </w:t>
            </w:r>
          </w:p>
        </w:tc>
        <w:tc>
          <w:tcPr>
            <w:tcW w:w="68" w:type="dxa"/>
            <w:tcBorders/>
            <w:shd w:fill="CCEEFF" w:val="clear"/>
            <w:vAlign w:val="center"/>
          </w:tcPr>
          <w:p>
            <w:pPr>
              <w:pStyle w:val="TableContents"/>
              <w:bidi w:val="0"/>
              <w:spacing w:before="0" w:after="283"/>
              <w:jc w:val="left"/>
              <w:rPr/>
            </w:pPr>
            <w:r>
              <w:rPr/>
              <w:t> </w:t>
            </w:r>
          </w:p>
        </w:tc>
        <w:tc>
          <w:tcPr>
            <w:tcW w:w="243" w:type="dxa"/>
            <w:tcBorders/>
            <w:shd w:fill="CCEEFF" w:val="clear"/>
            <w:vAlign w:val="center"/>
          </w:tcPr>
          <w:p>
            <w:pPr>
              <w:pStyle w:val="TableContents"/>
              <w:bidi w:val="0"/>
              <w:spacing w:before="0" w:after="283"/>
              <w:jc w:val="left"/>
              <w:rPr/>
            </w:pPr>
            <w:r>
              <w:rPr/>
              <w:t> </w:t>
            </w:r>
          </w:p>
        </w:tc>
        <w:tc>
          <w:tcPr>
            <w:tcW w:w="452" w:type="dxa"/>
            <w:tcBorders/>
            <w:shd w:fill="CCEEFF" w:val="clear"/>
            <w:vAlign w:val="center"/>
          </w:tcPr>
          <w:p>
            <w:pPr>
              <w:pStyle w:val="TableContents"/>
              <w:bidi w:val="0"/>
              <w:spacing w:before="0" w:after="283"/>
              <w:jc w:val="right"/>
              <w:rPr/>
            </w:pPr>
            <w:r>
              <w:rPr/>
              <w:t> </w:t>
            </w:r>
          </w:p>
        </w:tc>
        <w:tc>
          <w:tcPr>
            <w:tcW w:w="68" w:type="dxa"/>
            <w:tcBorders/>
            <w:shd w:fill="CCEEFF" w:val="clear"/>
            <w:vAlign w:val="center"/>
          </w:tcPr>
          <w:p>
            <w:pPr>
              <w:pStyle w:val="TableContents"/>
              <w:bidi w:val="0"/>
              <w:spacing w:before="0" w:after="283"/>
              <w:jc w:val="left"/>
              <w:rPr/>
            </w:pPr>
            <w:r>
              <w:rPr/>
              <w:t> </w:t>
            </w:r>
          </w:p>
        </w:tc>
        <w:tc>
          <w:tcPr>
            <w:tcW w:w="68" w:type="dxa"/>
            <w:tcBorders/>
            <w:shd w:fill="CCEEFF" w:val="clear"/>
            <w:vAlign w:val="center"/>
          </w:tcPr>
          <w:p>
            <w:pPr>
              <w:pStyle w:val="TableContents"/>
              <w:bidi w:val="0"/>
              <w:spacing w:before="0" w:after="283"/>
              <w:jc w:val="left"/>
              <w:rPr/>
            </w:pPr>
            <w:r>
              <w:rPr/>
              <w:t> </w:t>
            </w:r>
          </w:p>
        </w:tc>
        <w:tc>
          <w:tcPr>
            <w:tcW w:w="161" w:type="dxa"/>
            <w:tcBorders/>
            <w:shd w:fill="CCEEFF" w:val="clear"/>
            <w:vAlign w:val="center"/>
          </w:tcPr>
          <w:p>
            <w:pPr>
              <w:pStyle w:val="TableContents"/>
              <w:bidi w:val="0"/>
              <w:spacing w:before="0" w:after="283"/>
              <w:jc w:val="left"/>
              <w:rPr/>
            </w:pPr>
            <w:r>
              <w:rPr/>
              <w:t> </w:t>
            </w:r>
          </w:p>
        </w:tc>
        <w:tc>
          <w:tcPr>
            <w:tcW w:w="783" w:type="dxa"/>
            <w:tcBorders/>
            <w:shd w:fill="CCEEFF" w:val="clear"/>
            <w:vAlign w:val="center"/>
          </w:tcPr>
          <w:p>
            <w:pPr>
              <w:pStyle w:val="TableContents"/>
              <w:bidi w:val="0"/>
              <w:spacing w:before="0" w:after="283"/>
              <w:jc w:val="right"/>
              <w:rPr/>
            </w:pPr>
            <w:r>
              <w:rPr/>
              <w:t>3</w:t>
            </w:r>
          </w:p>
        </w:tc>
        <w:tc>
          <w:tcPr>
            <w:tcW w:w="117" w:type="dxa"/>
            <w:tcBorders/>
            <w:shd w:fill="CCEEFF" w:val="clear"/>
            <w:vAlign w:val="center"/>
          </w:tcPr>
          <w:p>
            <w:pPr>
              <w:pStyle w:val="TableContents"/>
              <w:bidi w:val="0"/>
              <w:spacing w:before="0" w:after="283"/>
              <w:jc w:val="left"/>
              <w:rPr/>
            </w:pPr>
            <w:r>
              <w:rPr/>
              <w:t> </w:t>
            </w:r>
          </w:p>
        </w:tc>
      </w:tr>
      <w:tr>
        <w:trPr/>
        <w:tc>
          <w:tcPr>
            <w:tcW w:w="5818" w:type="dxa"/>
            <w:tcBorders/>
            <w:shd w:fill="FFFFFF" w:val="clear"/>
            <w:vAlign w:val="center"/>
          </w:tcPr>
          <w:p>
            <w:pPr>
              <w:pStyle w:val="TableContents"/>
              <w:bidi w:val="0"/>
              <w:spacing w:before="0" w:after="283"/>
              <w:jc w:val="left"/>
              <w:rPr/>
            </w:pPr>
            <w:r>
              <w:rPr/>
              <w:t>Other non-operating income, net</w:t>
            </w:r>
          </w:p>
        </w:tc>
        <w:tc>
          <w:tcPr>
            <w:tcW w:w="60"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 </w:t>
            </w:r>
          </w:p>
        </w:tc>
        <w:tc>
          <w:tcPr>
            <w:tcW w:w="979" w:type="dxa"/>
            <w:tcBorders/>
            <w:shd w:fill="FFFFFF" w:val="clear"/>
            <w:vAlign w:val="center"/>
          </w:tcPr>
          <w:p>
            <w:pPr>
              <w:pStyle w:val="TableContents"/>
              <w:bidi w:val="0"/>
              <w:spacing w:before="0" w:after="283"/>
              <w:jc w:val="right"/>
              <w:rPr/>
            </w:pPr>
            <w:r>
              <w:rPr/>
              <w:t> </w:t>
            </w:r>
          </w:p>
        </w:tc>
        <w:tc>
          <w:tcPr>
            <w:tcW w:w="108" w:type="dxa"/>
            <w:tcBorders/>
            <w:shd w:fill="FFFFFF" w:val="clear"/>
            <w:vAlign w:val="center"/>
          </w:tcPr>
          <w:p>
            <w:pPr>
              <w:pStyle w:val="TableContents"/>
              <w:bidi w:val="0"/>
              <w:spacing w:before="0" w:after="283"/>
              <w:jc w:val="left"/>
              <w:rPr/>
            </w:pPr>
            <w:r>
              <w:rPr/>
              <w:t> </w:t>
            </w:r>
          </w:p>
        </w:tc>
        <w:tc>
          <w:tcPr>
            <w:tcW w:w="68" w:type="dxa"/>
            <w:tcBorders/>
            <w:shd w:fill="FFFFFF" w:val="clear"/>
            <w:vAlign w:val="center"/>
          </w:tcPr>
          <w:p>
            <w:pPr>
              <w:pStyle w:val="TableContents"/>
              <w:bidi w:val="0"/>
              <w:spacing w:before="0" w:after="283"/>
              <w:jc w:val="left"/>
              <w:rPr/>
            </w:pPr>
            <w:r>
              <w:rPr/>
              <w:t> </w:t>
            </w:r>
          </w:p>
        </w:tc>
        <w:tc>
          <w:tcPr>
            <w:tcW w:w="169" w:type="dxa"/>
            <w:tcBorders/>
            <w:shd w:fill="FFFFFF" w:val="clear"/>
            <w:vAlign w:val="center"/>
          </w:tcPr>
          <w:p>
            <w:pPr>
              <w:pStyle w:val="TableContents"/>
              <w:bidi w:val="0"/>
              <w:spacing w:before="0" w:after="283"/>
              <w:jc w:val="left"/>
              <w:rPr/>
            </w:pPr>
            <w:r>
              <w:rPr/>
              <w:t> </w:t>
            </w:r>
          </w:p>
        </w:tc>
        <w:tc>
          <w:tcPr>
            <w:tcW w:w="794" w:type="dxa"/>
            <w:tcBorders/>
            <w:shd w:fill="FFFFFF" w:val="clear"/>
            <w:vAlign w:val="center"/>
          </w:tcPr>
          <w:p>
            <w:pPr>
              <w:pStyle w:val="TableContents"/>
              <w:bidi w:val="0"/>
              <w:spacing w:before="0" w:after="283"/>
              <w:jc w:val="right"/>
              <w:rPr/>
            </w:pPr>
            <w:r>
              <w:rPr/>
              <w:t> </w:t>
            </w:r>
          </w:p>
        </w:tc>
        <w:tc>
          <w:tcPr>
            <w:tcW w:w="68" w:type="dxa"/>
            <w:tcBorders/>
            <w:shd w:fill="FFFFFF" w:val="clear"/>
            <w:vAlign w:val="center"/>
          </w:tcPr>
          <w:p>
            <w:pPr>
              <w:pStyle w:val="TableContents"/>
              <w:bidi w:val="0"/>
              <w:spacing w:before="0" w:after="283"/>
              <w:jc w:val="left"/>
              <w:rPr/>
            </w:pPr>
            <w:r>
              <w:rPr/>
              <w:t> </w:t>
            </w:r>
          </w:p>
        </w:tc>
        <w:tc>
          <w:tcPr>
            <w:tcW w:w="68" w:type="dxa"/>
            <w:tcBorders/>
            <w:shd w:fill="FFFFFF" w:val="clear"/>
            <w:vAlign w:val="center"/>
          </w:tcPr>
          <w:p>
            <w:pPr>
              <w:pStyle w:val="TableContents"/>
              <w:bidi w:val="0"/>
              <w:spacing w:before="0" w:after="283"/>
              <w:jc w:val="left"/>
              <w:rPr/>
            </w:pPr>
            <w:r>
              <w:rPr/>
              <w:t> </w:t>
            </w:r>
          </w:p>
        </w:tc>
        <w:tc>
          <w:tcPr>
            <w:tcW w:w="243" w:type="dxa"/>
            <w:tcBorders/>
            <w:shd w:fill="FFFFFF" w:val="clear"/>
            <w:vAlign w:val="center"/>
          </w:tcPr>
          <w:p>
            <w:pPr>
              <w:pStyle w:val="TableContents"/>
              <w:bidi w:val="0"/>
              <w:spacing w:before="0" w:after="283"/>
              <w:jc w:val="left"/>
              <w:rPr/>
            </w:pPr>
            <w:r>
              <w:rPr/>
              <w:t> </w:t>
            </w:r>
          </w:p>
        </w:tc>
        <w:tc>
          <w:tcPr>
            <w:tcW w:w="452" w:type="dxa"/>
            <w:tcBorders/>
            <w:shd w:fill="FFFFFF" w:val="clear"/>
            <w:vAlign w:val="center"/>
          </w:tcPr>
          <w:p>
            <w:pPr>
              <w:pStyle w:val="TableContents"/>
              <w:bidi w:val="0"/>
              <w:spacing w:before="0" w:after="283"/>
              <w:jc w:val="right"/>
              <w:rPr/>
            </w:pPr>
            <w:r>
              <w:rPr/>
              <w:t> </w:t>
            </w:r>
          </w:p>
        </w:tc>
        <w:tc>
          <w:tcPr>
            <w:tcW w:w="68" w:type="dxa"/>
            <w:tcBorders/>
            <w:shd w:fill="FFFFFF" w:val="clear"/>
            <w:vAlign w:val="center"/>
          </w:tcPr>
          <w:p>
            <w:pPr>
              <w:pStyle w:val="TableContents"/>
              <w:bidi w:val="0"/>
              <w:spacing w:before="0" w:after="283"/>
              <w:jc w:val="left"/>
              <w:rPr/>
            </w:pPr>
            <w:r>
              <w:rPr/>
              <w:t> </w:t>
            </w:r>
          </w:p>
        </w:tc>
        <w:tc>
          <w:tcPr>
            <w:tcW w:w="68" w:type="dxa"/>
            <w:tcBorders/>
            <w:shd w:fill="FFFFFF" w:val="clear"/>
            <w:vAlign w:val="center"/>
          </w:tcPr>
          <w:p>
            <w:pPr>
              <w:pStyle w:val="TableContents"/>
              <w:bidi w:val="0"/>
              <w:spacing w:before="0" w:after="283"/>
              <w:jc w:val="left"/>
              <w:rPr/>
            </w:pPr>
            <w:r>
              <w:rPr/>
              <w:t> </w:t>
            </w:r>
          </w:p>
        </w:tc>
        <w:tc>
          <w:tcPr>
            <w:tcW w:w="161"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783" w:type="dxa"/>
            <w:tcBorders>
              <w:bottom w:val="single" w:sz="12" w:space="0" w:color="000000"/>
            </w:tcBorders>
            <w:shd w:fill="FFFFFF" w:val="clear"/>
            <w:tcMar>
              <w:bottom w:w="28" w:type="dxa"/>
            </w:tcMar>
            <w:vAlign w:val="center"/>
          </w:tcPr>
          <w:p>
            <w:pPr>
              <w:pStyle w:val="TableContents"/>
              <w:bidi w:val="0"/>
              <w:spacing w:before="0" w:after="283"/>
              <w:jc w:val="right"/>
              <w:rPr/>
            </w:pPr>
            <w:r>
              <w:rPr/>
              <w:t>14,576</w:t>
            </w:r>
          </w:p>
        </w:tc>
        <w:tc>
          <w:tcPr>
            <w:tcW w:w="117" w:type="dxa"/>
            <w:tcBorders/>
            <w:shd w:fill="FFFFFF" w:val="clear"/>
            <w:vAlign w:val="center"/>
          </w:tcPr>
          <w:p>
            <w:pPr>
              <w:pStyle w:val="TableContents"/>
              <w:bidi w:val="0"/>
              <w:spacing w:before="0" w:after="283"/>
              <w:ind w:left="0" w:right="0" w:hanging="180"/>
              <w:jc w:val="left"/>
              <w:rPr/>
            </w:pPr>
            <w:r>
              <w:rPr/>
              <w:t> </w:t>
            </w:r>
          </w:p>
        </w:tc>
      </w:tr>
      <w:tr>
        <w:trPr/>
        <w:tc>
          <w:tcPr>
            <w:tcW w:w="5818" w:type="dxa"/>
            <w:tcBorders/>
            <w:shd w:fill="CCEEFF" w:val="clear"/>
            <w:vAlign w:val="center"/>
          </w:tcPr>
          <w:p>
            <w:pPr>
              <w:pStyle w:val="TableContents"/>
              <w:bidi w:val="0"/>
              <w:spacing w:before="0" w:after="283"/>
              <w:jc w:val="left"/>
              <w:rPr/>
            </w:pPr>
            <w:r>
              <w:rPr/>
              <w:t>Loss from operations before taxes</w:t>
            </w:r>
          </w:p>
        </w:tc>
        <w:tc>
          <w:tcPr>
            <w:tcW w:w="60" w:type="dxa"/>
            <w:tcBorders/>
            <w:shd w:fill="CCEEFF" w:val="clear"/>
            <w:vAlign w:val="center"/>
          </w:tcPr>
          <w:p>
            <w:pPr>
              <w:pStyle w:val="TableContents"/>
              <w:bidi w:val="0"/>
              <w:spacing w:before="0" w:after="283"/>
              <w:jc w:val="left"/>
              <w:rPr/>
            </w:pPr>
            <w:r>
              <w:rPr/>
              <w:t> </w:t>
            </w:r>
          </w:p>
        </w:tc>
        <w:tc>
          <w:tcPr>
            <w:tcW w:w="181" w:type="dxa"/>
            <w:tcBorders/>
            <w:shd w:fill="CCEEFF" w:val="clear"/>
            <w:vAlign w:val="center"/>
          </w:tcPr>
          <w:p>
            <w:pPr>
              <w:pStyle w:val="TableContents"/>
              <w:bidi w:val="0"/>
              <w:spacing w:before="0" w:after="283"/>
              <w:jc w:val="left"/>
              <w:rPr/>
            </w:pPr>
            <w:r>
              <w:rPr/>
              <w:t> </w:t>
            </w:r>
          </w:p>
        </w:tc>
        <w:tc>
          <w:tcPr>
            <w:tcW w:w="979" w:type="dxa"/>
            <w:tcBorders/>
            <w:shd w:fill="CCEEFF" w:val="clear"/>
            <w:vAlign w:val="center"/>
          </w:tcPr>
          <w:p>
            <w:pPr>
              <w:pStyle w:val="TableContents"/>
              <w:bidi w:val="0"/>
              <w:spacing w:before="0" w:after="283"/>
              <w:jc w:val="right"/>
              <w:rPr/>
            </w:pPr>
            <w:r>
              <w:rPr/>
              <w:t> </w:t>
            </w:r>
          </w:p>
        </w:tc>
        <w:tc>
          <w:tcPr>
            <w:tcW w:w="108" w:type="dxa"/>
            <w:tcBorders/>
            <w:shd w:fill="CCEEFF" w:val="clear"/>
            <w:vAlign w:val="center"/>
          </w:tcPr>
          <w:p>
            <w:pPr>
              <w:pStyle w:val="TableContents"/>
              <w:bidi w:val="0"/>
              <w:spacing w:before="0" w:after="283"/>
              <w:jc w:val="left"/>
              <w:rPr/>
            </w:pPr>
            <w:r>
              <w:rPr/>
              <w:t> </w:t>
            </w:r>
          </w:p>
        </w:tc>
        <w:tc>
          <w:tcPr>
            <w:tcW w:w="68" w:type="dxa"/>
            <w:tcBorders/>
            <w:shd w:fill="CCEEFF" w:val="clear"/>
            <w:vAlign w:val="center"/>
          </w:tcPr>
          <w:p>
            <w:pPr>
              <w:pStyle w:val="TableContents"/>
              <w:bidi w:val="0"/>
              <w:spacing w:before="0" w:after="283"/>
              <w:jc w:val="left"/>
              <w:rPr/>
            </w:pPr>
            <w:r>
              <w:rPr/>
              <w:t> </w:t>
            </w:r>
          </w:p>
        </w:tc>
        <w:tc>
          <w:tcPr>
            <w:tcW w:w="169" w:type="dxa"/>
            <w:tcBorders/>
            <w:shd w:fill="CCEEFF" w:val="clear"/>
            <w:vAlign w:val="center"/>
          </w:tcPr>
          <w:p>
            <w:pPr>
              <w:pStyle w:val="TableContents"/>
              <w:bidi w:val="0"/>
              <w:spacing w:before="0" w:after="283"/>
              <w:jc w:val="left"/>
              <w:rPr/>
            </w:pPr>
            <w:r>
              <w:rPr/>
              <w:t> </w:t>
            </w:r>
          </w:p>
        </w:tc>
        <w:tc>
          <w:tcPr>
            <w:tcW w:w="794" w:type="dxa"/>
            <w:tcBorders/>
            <w:shd w:fill="CCEEFF" w:val="clear"/>
            <w:vAlign w:val="center"/>
          </w:tcPr>
          <w:p>
            <w:pPr>
              <w:pStyle w:val="TableContents"/>
              <w:bidi w:val="0"/>
              <w:spacing w:before="0" w:after="283"/>
              <w:jc w:val="right"/>
              <w:rPr/>
            </w:pPr>
            <w:r>
              <w:rPr/>
              <w:t> </w:t>
            </w:r>
          </w:p>
        </w:tc>
        <w:tc>
          <w:tcPr>
            <w:tcW w:w="68" w:type="dxa"/>
            <w:tcBorders/>
            <w:shd w:fill="CCEEFF" w:val="clear"/>
            <w:vAlign w:val="center"/>
          </w:tcPr>
          <w:p>
            <w:pPr>
              <w:pStyle w:val="TableContents"/>
              <w:bidi w:val="0"/>
              <w:spacing w:before="0" w:after="283"/>
              <w:jc w:val="left"/>
              <w:rPr/>
            </w:pPr>
            <w:r>
              <w:rPr/>
              <w:t> </w:t>
            </w:r>
          </w:p>
        </w:tc>
        <w:tc>
          <w:tcPr>
            <w:tcW w:w="68" w:type="dxa"/>
            <w:tcBorders/>
            <w:shd w:fill="CCEEFF" w:val="clear"/>
            <w:vAlign w:val="center"/>
          </w:tcPr>
          <w:p>
            <w:pPr>
              <w:pStyle w:val="TableContents"/>
              <w:bidi w:val="0"/>
              <w:spacing w:before="0" w:after="283"/>
              <w:jc w:val="left"/>
              <w:rPr/>
            </w:pPr>
            <w:r>
              <w:rPr/>
              <w:t> </w:t>
            </w:r>
          </w:p>
        </w:tc>
        <w:tc>
          <w:tcPr>
            <w:tcW w:w="243" w:type="dxa"/>
            <w:tcBorders/>
            <w:shd w:fill="CCEEFF" w:val="clear"/>
            <w:vAlign w:val="center"/>
          </w:tcPr>
          <w:p>
            <w:pPr>
              <w:pStyle w:val="TableContents"/>
              <w:bidi w:val="0"/>
              <w:spacing w:before="0" w:after="283"/>
              <w:jc w:val="left"/>
              <w:rPr/>
            </w:pPr>
            <w:r>
              <w:rPr/>
              <w:t> </w:t>
            </w:r>
          </w:p>
        </w:tc>
        <w:tc>
          <w:tcPr>
            <w:tcW w:w="452" w:type="dxa"/>
            <w:tcBorders/>
            <w:shd w:fill="CCEEFF" w:val="clear"/>
            <w:vAlign w:val="center"/>
          </w:tcPr>
          <w:p>
            <w:pPr>
              <w:pStyle w:val="TableContents"/>
              <w:bidi w:val="0"/>
              <w:spacing w:before="0" w:after="283"/>
              <w:jc w:val="right"/>
              <w:rPr/>
            </w:pPr>
            <w:r>
              <w:rPr/>
              <w:t> </w:t>
            </w:r>
          </w:p>
        </w:tc>
        <w:tc>
          <w:tcPr>
            <w:tcW w:w="68" w:type="dxa"/>
            <w:tcBorders/>
            <w:shd w:fill="CCEEFF" w:val="clear"/>
            <w:vAlign w:val="center"/>
          </w:tcPr>
          <w:p>
            <w:pPr>
              <w:pStyle w:val="TableContents"/>
              <w:bidi w:val="0"/>
              <w:spacing w:before="0" w:after="283"/>
              <w:jc w:val="left"/>
              <w:rPr/>
            </w:pPr>
            <w:r>
              <w:rPr/>
              <w:t> </w:t>
            </w:r>
          </w:p>
        </w:tc>
        <w:tc>
          <w:tcPr>
            <w:tcW w:w="68" w:type="dxa"/>
            <w:tcBorders/>
            <w:shd w:fill="CCEEFF" w:val="clear"/>
            <w:vAlign w:val="center"/>
          </w:tcPr>
          <w:p>
            <w:pPr>
              <w:pStyle w:val="TableContents"/>
              <w:bidi w:val="0"/>
              <w:spacing w:before="0" w:after="283"/>
              <w:jc w:val="left"/>
              <w:rPr/>
            </w:pPr>
            <w:r>
              <w:rPr/>
              <w:t> </w:t>
            </w:r>
          </w:p>
        </w:tc>
        <w:tc>
          <w:tcPr>
            <w:tcW w:w="161"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783" w:type="dxa"/>
            <w:tcBorders>
              <w:bottom w:val="double" w:sz="10" w:space="0" w:color="000000"/>
            </w:tcBorders>
            <w:shd w:fill="CCEEFF" w:val="clear"/>
            <w:tcMar>
              <w:bottom w:w="28" w:type="dxa"/>
            </w:tcMar>
            <w:vAlign w:val="center"/>
          </w:tcPr>
          <w:p>
            <w:pPr>
              <w:pStyle w:val="TableContents"/>
              <w:bidi w:val="0"/>
              <w:spacing w:before="0" w:after="283"/>
              <w:jc w:val="right"/>
              <w:rPr/>
            </w:pPr>
            <w:r>
              <w:rPr/>
              <w:t>4,812</w:t>
            </w:r>
          </w:p>
        </w:tc>
        <w:tc>
          <w:tcPr>
            <w:tcW w:w="117"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tbl>
      <w:tblPr>
        <w:tblW w:w="9895" w:type="dxa"/>
        <w:jc w:val="left"/>
        <w:tblInd w:w="0" w:type="dxa"/>
        <w:tblLayout w:type="fixed"/>
        <w:tblCellMar>
          <w:top w:w="0" w:type="dxa"/>
          <w:left w:w="0" w:type="dxa"/>
          <w:bottom w:w="0" w:type="dxa"/>
          <w:right w:w="0" w:type="dxa"/>
        </w:tblCellMar>
      </w:tblPr>
      <w:tblGrid>
        <w:gridCol w:w="245"/>
        <w:gridCol w:w="9650"/>
      </w:tblGrid>
      <w:tr>
        <w:trPr/>
        <w:tc>
          <w:tcPr>
            <w:tcW w:w="245" w:type="dxa"/>
            <w:tcBorders/>
            <w:vAlign w:val="center"/>
          </w:tcPr>
          <w:p>
            <w:pPr>
              <w:pStyle w:val="TableContents"/>
              <w:bidi w:val="0"/>
              <w:spacing w:before="0" w:after="283"/>
              <w:jc w:val="left"/>
              <w:rPr>
                <w:rFonts w:ascii="Times New Roman;Times;Serif" w:hAnsi="Times New Roman;Times;Serif"/>
                <w:position w:val="7"/>
                <w:sz w:val="16"/>
                <w:sz w:val="20"/>
              </w:rPr>
            </w:pPr>
            <w:r>
              <w:rPr>
                <w:rFonts w:ascii="Times New Roman;Times;Serif" w:hAnsi="Times New Roman;Times;Serif"/>
                <w:position w:val="7"/>
                <w:sz w:val="16"/>
                <w:sz w:val="20"/>
              </w:rPr>
              <w:t>(1)</w:t>
            </w:r>
          </w:p>
        </w:tc>
        <w:tc>
          <w:tcPr>
            <w:tcW w:w="965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Depreciation and amortization expense in the thirteen week period ended March 30, 2025 was as follows (</w:t>
            </w:r>
            <w:r>
              <w:rPr>
                <w:rFonts w:ascii="Times New Roman;Times;Serif" w:hAnsi="Times New Roman;Times;Serif"/>
                <w:i/>
                <w:sz w:val="20"/>
              </w:rPr>
              <w:t>in millions</w:t>
            </w:r>
            <w:r>
              <w:rPr>
                <w:rFonts w:ascii="Times New Roman;Times;Serif" w:hAnsi="Times New Roman;Times;Serif"/>
                <w:sz w:val="20"/>
              </w:rPr>
              <w:t xml:space="preserve">): </w:t>
            </w:r>
          </w:p>
        </w:tc>
      </w:tr>
    </w:tbl>
    <w:p>
      <w:pPr>
        <w:pStyle w:val="TextBody"/>
        <w:bidi w:val="0"/>
        <w:spacing w:before="0" w:after="0"/>
        <w:ind w:left="0" w:right="0" w:hanging="0"/>
        <w:jc w:val="both"/>
        <w:rPr>
          <w:caps w:val="false"/>
          <w:smallCaps w:val="false"/>
        </w:rPr>
      </w:pPr>
      <w:r>
        <w:rPr>
          <w:caps w:val="false"/>
          <w:smallCaps w:val="false"/>
        </w:rPr>
        <w:t> </w:t>
      </w:r>
    </w:p>
    <w:tbl>
      <w:tblPr>
        <w:tblW w:w="7915" w:type="dxa"/>
        <w:jc w:val="left"/>
        <w:tblInd w:w="0" w:type="dxa"/>
        <w:tblLayout w:type="fixed"/>
        <w:tblCellMar>
          <w:top w:w="0" w:type="dxa"/>
          <w:left w:w="0" w:type="dxa"/>
          <w:bottom w:w="28" w:type="dxa"/>
          <w:right w:w="0" w:type="dxa"/>
        </w:tblCellMar>
      </w:tblPr>
      <w:tblGrid>
        <w:gridCol w:w="4115"/>
        <w:gridCol w:w="60"/>
        <w:gridCol w:w="353"/>
        <w:gridCol w:w="807"/>
        <w:gridCol w:w="60"/>
        <w:gridCol w:w="60"/>
        <w:gridCol w:w="270"/>
        <w:gridCol w:w="620"/>
        <w:gridCol w:w="60"/>
        <w:gridCol w:w="60"/>
        <w:gridCol w:w="243"/>
        <w:gridCol w:w="452"/>
        <w:gridCol w:w="60"/>
        <w:gridCol w:w="60"/>
        <w:gridCol w:w="170"/>
        <w:gridCol w:w="390"/>
        <w:gridCol w:w="75"/>
      </w:tblGrid>
      <w:tr>
        <w:trPr/>
        <w:tc>
          <w:tcPr>
            <w:tcW w:w="4115" w:type="dxa"/>
            <w:tcBorders>
              <w:bottom w:val="single" w:sz="12" w:space="0" w:color="000000"/>
            </w:tcBorders>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160" w:type="dxa"/>
            <w:gridSpan w:val="2"/>
            <w:tcBorders>
              <w:bottom w:val="single" w:sz="12" w:space="0" w:color="000000"/>
            </w:tcBorders>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Residential</w:t>
              <w:br/>
              <w:t>Solar</w:t>
              <w:br/>
              <w:t>Installation</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890" w:type="dxa"/>
            <w:gridSpan w:val="2"/>
            <w:tcBorders>
              <w:bottom w:val="single" w:sz="12" w:space="0" w:color="000000"/>
            </w:tcBorders>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New</w:t>
              <w:br/>
              <w:t>Homes</w:t>
              <w:br/>
              <w:t>Business</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695" w:type="dxa"/>
            <w:gridSpan w:val="2"/>
            <w:tcBorders>
              <w:bottom w:val="single" w:sz="12" w:space="0" w:color="000000"/>
            </w:tcBorders>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Dealer</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560" w:type="dxa"/>
            <w:gridSpan w:val="2"/>
            <w:tcBorders>
              <w:bottom w:val="single" w:sz="12" w:space="0" w:color="000000"/>
            </w:tcBorders>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Total</w:t>
            </w:r>
          </w:p>
        </w:tc>
        <w:tc>
          <w:tcPr>
            <w:tcW w:w="75" w:type="dxa"/>
            <w:tcBorders/>
            <w:tcMar>
              <w:bottom w:w="0" w:type="dxa"/>
            </w:tcMar>
            <w:vAlign w:val="center"/>
          </w:tcPr>
          <w:p>
            <w:pPr>
              <w:pStyle w:val="TableContents"/>
              <w:bidi w:val="0"/>
              <w:spacing w:before="0" w:after="283"/>
              <w:jc w:val="left"/>
              <w:rPr/>
            </w:pPr>
            <w:r>
              <w:rPr/>
              <w:t> </w:t>
            </w:r>
          </w:p>
        </w:tc>
      </w:tr>
      <w:tr>
        <w:trPr/>
        <w:tc>
          <w:tcPr>
            <w:tcW w:w="4115" w:type="dxa"/>
            <w:tcBorders/>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Depreciation and amortization classified in:</w:t>
            </w:r>
          </w:p>
        </w:tc>
        <w:tc>
          <w:tcPr>
            <w:tcW w:w="60" w:type="dxa"/>
            <w:tcBorders/>
            <w:tcMar>
              <w:bottom w:w="0" w:type="dxa"/>
            </w:tcMar>
            <w:vAlign w:val="center"/>
          </w:tcPr>
          <w:p>
            <w:pPr>
              <w:pStyle w:val="TableContents"/>
              <w:bidi w:val="0"/>
              <w:spacing w:before="0" w:after="283"/>
              <w:jc w:val="left"/>
              <w:rPr/>
            </w:pPr>
            <w:r>
              <w:rPr/>
              <w:t> </w:t>
            </w:r>
          </w:p>
        </w:tc>
        <w:tc>
          <w:tcPr>
            <w:tcW w:w="1160" w:type="dxa"/>
            <w:gridSpan w:val="2"/>
            <w:tcBorders/>
            <w:tcMar>
              <w:bottom w:w="0" w:type="dxa"/>
            </w:tcMar>
            <w:vAlign w:val="center"/>
          </w:tcPr>
          <w:p>
            <w:pPr>
              <w:pStyle w:val="TableContents"/>
              <w:bidi w:val="0"/>
              <w:spacing w:before="0" w:after="283"/>
              <w:jc w:val="right"/>
              <w:rPr/>
            </w:pPr>
            <w:r>
              <w:rPr/>
              <w:t> </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890" w:type="dxa"/>
            <w:gridSpan w:val="2"/>
            <w:tcBorders/>
            <w:tcMar>
              <w:bottom w:w="0" w:type="dxa"/>
            </w:tcMar>
            <w:vAlign w:val="center"/>
          </w:tcPr>
          <w:p>
            <w:pPr>
              <w:pStyle w:val="TableContents"/>
              <w:bidi w:val="0"/>
              <w:spacing w:before="0" w:after="283"/>
              <w:jc w:val="right"/>
              <w:rPr/>
            </w:pPr>
            <w:r>
              <w:rPr/>
              <w:t> </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695" w:type="dxa"/>
            <w:gridSpan w:val="2"/>
            <w:tcBorders/>
            <w:tcMar>
              <w:bottom w:w="0" w:type="dxa"/>
            </w:tcMar>
            <w:vAlign w:val="center"/>
          </w:tcPr>
          <w:p>
            <w:pPr>
              <w:pStyle w:val="TableContents"/>
              <w:bidi w:val="0"/>
              <w:spacing w:before="0" w:after="283"/>
              <w:jc w:val="right"/>
              <w:rPr/>
            </w:pPr>
            <w:r>
              <w:rPr/>
              <w:t> </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560" w:type="dxa"/>
            <w:gridSpan w:val="2"/>
            <w:tcBorders/>
            <w:tcMar>
              <w:bottom w:w="0" w:type="dxa"/>
            </w:tcMar>
            <w:vAlign w:val="center"/>
          </w:tcPr>
          <w:p>
            <w:pPr>
              <w:pStyle w:val="TableContents"/>
              <w:bidi w:val="0"/>
              <w:spacing w:before="0" w:after="283"/>
              <w:jc w:val="right"/>
              <w:rPr/>
            </w:pPr>
            <w:r>
              <w:rPr/>
              <w:t> </w:t>
            </w:r>
          </w:p>
        </w:tc>
        <w:tc>
          <w:tcPr>
            <w:tcW w:w="75" w:type="dxa"/>
            <w:tcBorders/>
            <w:tcMar>
              <w:bottom w:w="0" w:type="dxa"/>
            </w:tcMar>
            <w:vAlign w:val="center"/>
          </w:tcPr>
          <w:p>
            <w:pPr>
              <w:pStyle w:val="TableContents"/>
              <w:bidi w:val="0"/>
              <w:spacing w:before="0" w:after="283"/>
              <w:jc w:val="left"/>
              <w:rPr/>
            </w:pPr>
            <w:r>
              <w:rPr/>
              <w:t> </w:t>
            </w:r>
          </w:p>
        </w:tc>
      </w:tr>
      <w:tr>
        <w:trPr/>
        <w:tc>
          <w:tcPr>
            <w:tcW w:w="4115"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Cost of revenues</w:t>
            </w:r>
          </w:p>
        </w:tc>
        <w:tc>
          <w:tcPr>
            <w:tcW w:w="60" w:type="dxa"/>
            <w:tcBorders/>
            <w:shd w:fill="CCEEFF" w:val="clear"/>
            <w:tcMar>
              <w:bottom w:w="0" w:type="dxa"/>
            </w:tcMar>
            <w:vAlign w:val="center"/>
          </w:tcPr>
          <w:p>
            <w:pPr>
              <w:pStyle w:val="TableContents"/>
              <w:bidi w:val="0"/>
              <w:spacing w:before="0" w:after="283"/>
              <w:jc w:val="left"/>
              <w:rPr/>
            </w:pPr>
            <w:r>
              <w:rPr/>
              <w:t> </w:t>
            </w:r>
          </w:p>
        </w:tc>
        <w:tc>
          <w:tcPr>
            <w:tcW w:w="353"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807"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0.4</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70"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20"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43"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452"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70"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390"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0.4</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4115" w:type="dxa"/>
            <w:tcBorders/>
            <w:shd w:fill="FFFF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General and administrative</w:t>
            </w:r>
          </w:p>
        </w:tc>
        <w:tc>
          <w:tcPr>
            <w:tcW w:w="60" w:type="dxa"/>
            <w:tcBorders/>
            <w:shd w:fill="FFFFFF" w:val="clear"/>
            <w:tcMar>
              <w:bottom w:w="0" w:type="dxa"/>
            </w:tcMar>
            <w:vAlign w:val="center"/>
          </w:tcPr>
          <w:p>
            <w:pPr>
              <w:pStyle w:val="TableContents"/>
              <w:bidi w:val="0"/>
              <w:spacing w:before="0" w:after="283"/>
              <w:jc w:val="left"/>
              <w:rPr/>
            </w:pPr>
            <w:r>
              <w:rPr/>
              <w:t> </w:t>
            </w:r>
          </w:p>
        </w:tc>
        <w:tc>
          <w:tcPr>
            <w:tcW w:w="353" w:type="dxa"/>
            <w:tcBorders>
              <w:bottom w:val="single" w:sz="12" w:space="0" w:color="000000"/>
            </w:tcBorders>
            <w:shd w:fill="FFFFFF" w:val="clear"/>
            <w:vAlign w:val="center"/>
          </w:tcPr>
          <w:p>
            <w:pPr>
              <w:pStyle w:val="TableContents"/>
              <w:bidi w:val="0"/>
              <w:spacing w:before="0" w:after="283"/>
              <w:jc w:val="left"/>
              <w:rPr/>
            </w:pPr>
            <w:r>
              <w:rPr/>
              <w:t> </w:t>
            </w:r>
          </w:p>
        </w:tc>
        <w:tc>
          <w:tcPr>
            <w:tcW w:w="807" w:type="dxa"/>
            <w:tcBorders>
              <w:bottom w:val="single" w:sz="12" w:space="0" w:color="000000"/>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70" w:type="dxa"/>
            <w:tcBorders>
              <w:bottom w:val="single" w:sz="12" w:space="0" w:color="000000"/>
            </w:tcBorders>
            <w:shd w:fill="FFFFFF" w:val="clear"/>
            <w:vAlign w:val="center"/>
          </w:tcPr>
          <w:p>
            <w:pPr>
              <w:pStyle w:val="TableContents"/>
              <w:bidi w:val="0"/>
              <w:spacing w:before="0" w:after="283"/>
              <w:jc w:val="left"/>
              <w:rPr/>
            </w:pPr>
            <w:r>
              <w:rPr/>
              <w:t> </w:t>
            </w:r>
          </w:p>
        </w:tc>
        <w:tc>
          <w:tcPr>
            <w:tcW w:w="620" w:type="dxa"/>
            <w:tcBorders>
              <w:bottom w:val="single" w:sz="12" w:space="0" w:color="000000"/>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0.2</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43" w:type="dxa"/>
            <w:tcBorders>
              <w:bottom w:val="single" w:sz="12" w:space="0" w:color="000000"/>
            </w:tcBorders>
            <w:shd w:fill="FFFFFF" w:val="clear"/>
            <w:vAlign w:val="center"/>
          </w:tcPr>
          <w:p>
            <w:pPr>
              <w:pStyle w:val="TableContents"/>
              <w:bidi w:val="0"/>
              <w:spacing w:before="0" w:after="283"/>
              <w:jc w:val="left"/>
              <w:rPr/>
            </w:pPr>
            <w:r>
              <w:rPr/>
              <w:t> </w:t>
            </w:r>
          </w:p>
        </w:tc>
        <w:tc>
          <w:tcPr>
            <w:tcW w:w="452" w:type="dxa"/>
            <w:tcBorders>
              <w:bottom w:val="single" w:sz="12" w:space="0" w:color="000000"/>
            </w:tcBorders>
            <w:shd w:fill="FFFFFF" w:val="clear"/>
            <w:vAlign w:val="center"/>
          </w:tcPr>
          <w:p>
            <w:pPr>
              <w:pStyle w:val="TableContents"/>
              <w:bidi w:val="0"/>
              <w:spacing w:before="0" w:after="283"/>
              <w:jc w:val="righ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70" w:type="dxa"/>
            <w:tcBorders>
              <w:bottom w:val="single" w:sz="12" w:space="0" w:color="000000"/>
            </w:tcBorders>
            <w:shd w:fill="FFFFFF" w:val="clear"/>
            <w:vAlign w:val="center"/>
          </w:tcPr>
          <w:p>
            <w:pPr>
              <w:pStyle w:val="TableContents"/>
              <w:bidi w:val="0"/>
              <w:spacing w:before="0" w:after="283"/>
              <w:jc w:val="left"/>
              <w:rPr/>
            </w:pPr>
            <w:r>
              <w:rPr/>
              <w:t> </w:t>
            </w:r>
          </w:p>
        </w:tc>
        <w:tc>
          <w:tcPr>
            <w:tcW w:w="390" w:type="dxa"/>
            <w:tcBorders>
              <w:bottom w:val="single" w:sz="12" w:space="0" w:color="000000"/>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1.2</w:t>
            </w:r>
          </w:p>
        </w:tc>
        <w:tc>
          <w:tcPr>
            <w:tcW w:w="75" w:type="dxa"/>
            <w:tcBorders/>
            <w:shd w:fill="FFFFFF" w:val="clear"/>
            <w:tcMar>
              <w:bottom w:w="0" w:type="dxa"/>
            </w:tcMar>
            <w:vAlign w:val="center"/>
          </w:tcPr>
          <w:p>
            <w:pPr>
              <w:pStyle w:val="TableContents"/>
              <w:bidi w:val="0"/>
              <w:spacing w:before="0" w:after="283"/>
              <w:jc w:val="left"/>
              <w:rPr/>
            </w:pPr>
            <w:r>
              <w:rPr/>
              <w:t> </w:t>
            </w:r>
          </w:p>
        </w:tc>
      </w:tr>
      <w:tr>
        <w:trPr/>
        <w:tc>
          <w:tcPr>
            <w:tcW w:w="4115"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Total</w:t>
            </w:r>
          </w:p>
        </w:tc>
        <w:tc>
          <w:tcPr>
            <w:tcW w:w="60" w:type="dxa"/>
            <w:tcBorders/>
            <w:shd w:fill="CCEEFF" w:val="clear"/>
            <w:tcMar>
              <w:bottom w:w="0" w:type="dxa"/>
            </w:tcMar>
            <w:vAlign w:val="center"/>
          </w:tcPr>
          <w:p>
            <w:pPr>
              <w:pStyle w:val="TableContents"/>
              <w:bidi w:val="0"/>
              <w:spacing w:before="0" w:after="283"/>
              <w:jc w:val="left"/>
              <w:rPr/>
            </w:pPr>
            <w:r>
              <w:rPr/>
              <w:t> </w:t>
            </w:r>
          </w:p>
        </w:tc>
        <w:tc>
          <w:tcPr>
            <w:tcW w:w="353" w:type="dxa"/>
            <w:tcBorders>
              <w:bottom w:val="double" w:sz="10" w:space="0" w:color="000000"/>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807" w:type="dxa"/>
            <w:tcBorders>
              <w:bottom w:val="double" w:sz="10" w:space="0" w:color="000000"/>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1.4</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70" w:type="dxa"/>
            <w:tcBorders>
              <w:bottom w:val="double" w:sz="10" w:space="0" w:color="000000"/>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20" w:type="dxa"/>
            <w:tcBorders>
              <w:bottom w:val="double" w:sz="10" w:space="0" w:color="000000"/>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0.2</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43" w:type="dxa"/>
            <w:tcBorders>
              <w:bottom w:val="double" w:sz="10" w:space="0" w:color="000000"/>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452" w:type="dxa"/>
            <w:tcBorders>
              <w:bottom w:val="double" w:sz="10" w:space="0" w:color="000000"/>
            </w:tcBorders>
            <w:shd w:fill="CCEEFF" w:val="cle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70" w:type="dxa"/>
            <w:tcBorders>
              <w:bottom w:val="double" w:sz="10" w:space="0" w:color="000000"/>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390" w:type="dxa"/>
            <w:tcBorders>
              <w:bottom w:val="double" w:sz="10" w:space="0" w:color="000000"/>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1.6</w:t>
            </w:r>
          </w:p>
        </w:tc>
        <w:tc>
          <w:tcPr>
            <w:tcW w:w="75" w:type="dxa"/>
            <w:tcBorders/>
            <w:shd w:fill="CCEEFF" w:val="clear"/>
            <w:tcMar>
              <w:bottom w:w="0"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12" w:space="1" w:color="000000"/>
        </w:rPr>
      </w:pPr>
      <w:r>
        <w:rPr>
          <w:sz w:val="20"/>
          <w:bdr w:val="single" w:sz="12" w:space="1" w:color="000000"/>
        </w:rPr>
        <w:t>F-46</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(17) Related Party Transactions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Refer to the following notes to the Company’s unaudited condensed consolidated financial statements for details regarding the related party transactions entered into by the Company; </w:t>
      </w:r>
      <w:r>
        <w:rPr>
          <w:rFonts w:ascii="Times New Roman;Times;Serif" w:hAnsi="Times New Roman;Times;Serif"/>
          <w:b/>
          <w:i w:val="false"/>
          <w:caps w:val="false"/>
          <w:smallCaps w:val="false"/>
          <w:sz w:val="20"/>
        </w:rPr>
        <w:t>Note 2 – Basis of Presentation and Summary of Significant Accounting Policies</w:t>
      </w:r>
      <w:r>
        <w:rPr>
          <w:rFonts w:ascii="Times New Roman;Times;Serif" w:hAnsi="Times New Roman;Times;Serif"/>
          <w:b w:val="false"/>
          <w:i w:val="false"/>
          <w:caps w:val="false"/>
          <w:smallCaps w:val="false"/>
          <w:sz w:val="20"/>
        </w:rPr>
        <w:t xml:space="preserve">; </w:t>
      </w:r>
      <w:r>
        <w:rPr>
          <w:rFonts w:ascii="Times New Roman;Times;Serif" w:hAnsi="Times New Roman;Times;Serif"/>
          <w:b/>
          <w:i w:val="false"/>
          <w:caps w:val="false"/>
          <w:smallCaps w:val="false"/>
          <w:sz w:val="20"/>
        </w:rPr>
        <w:t>Note 5 – Fair Value Measurements</w:t>
      </w:r>
      <w:r>
        <w:rPr>
          <w:rFonts w:ascii="Times New Roman;Times;Serif" w:hAnsi="Times New Roman;Times;Serif"/>
          <w:b w:val="false"/>
          <w:i w:val="false"/>
          <w:caps w:val="false"/>
          <w:smallCaps w:val="false"/>
          <w:sz w:val="20"/>
        </w:rPr>
        <w:t xml:space="preserve">; </w:t>
      </w:r>
      <w:r>
        <w:rPr>
          <w:rFonts w:ascii="Times New Roman;Times;Serif" w:hAnsi="Times New Roman;Times;Serif"/>
          <w:b/>
          <w:i w:val="false"/>
          <w:caps w:val="false"/>
          <w:smallCaps w:val="false"/>
          <w:sz w:val="20"/>
        </w:rPr>
        <w:t>Note 6 Supplemental Balance Sheet Information; Note 8 – SAFE Agreements</w:t>
      </w:r>
      <w:r>
        <w:rPr>
          <w:rFonts w:ascii="Times New Roman;Times;Serif" w:hAnsi="Times New Roman;Times;Serif"/>
          <w:b w:val="false"/>
          <w:i w:val="false"/>
          <w:caps w:val="false"/>
          <w:smallCaps w:val="false"/>
          <w:sz w:val="20"/>
        </w:rPr>
        <w:t xml:space="preserve">; and </w:t>
      </w:r>
      <w:r>
        <w:rPr>
          <w:rFonts w:ascii="Times New Roman;Times;Serif" w:hAnsi="Times New Roman;Times;Serif"/>
          <w:b/>
          <w:i w:val="false"/>
          <w:caps w:val="false"/>
          <w:smallCaps w:val="false"/>
          <w:sz w:val="20"/>
        </w:rPr>
        <w:t>Note 9 – Borrowings and Derivative Liabilities</w:t>
      </w:r>
      <w:r>
        <w:rPr>
          <w:rFonts w:ascii="Times New Roman;Times;Serif" w:hAnsi="Times New Roman;Times;Serif"/>
          <w:b w:val="false"/>
          <w:i w:val="false"/>
          <w:caps w:val="false"/>
          <w:smallCaps w:val="false"/>
          <w:sz w:val="20"/>
        </w:rPr>
        <w:t>. All other related party transactions are described herein.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Cost of revenue with SameDay Solar was $0.5 million and $0.2 million in the thirteen week periods ended March 29, 2026 and March 30, 2025, respectively.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(18) Subsequent Events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Cost Control Measures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May 12, 2026, the Company announced that it has taken the following steps in connection with its efforts to reduce its operating expenses: the Company implemented a reduction in force relating to 115 employees; the Company implemented an across-the-board, four-day workweek until September 2026, the Company reduced its inside sales group from 90 to 15 people, and the Company reduced finance function costs. The Company estimates that the charges related to the reduction in force will approximate $0.3 million, consisting principally of compensation related costs.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Wendell Laidley Resignation</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May 7, 2026, Wendell Laidley resigned from his position as Chief Financial Officer of the Company.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Investor Deposit by a Related Party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received a deposit of $5.0 million (“Purchase Amount”) from the Rodgers Revocable Trust on March 27, 2026. On April 8, 2026, the Company entered into a SAFE (“Fourth SAFE”) with the Rodgers Revocable Trust in exchange for the $5.0 million received. The Fourth SAFE is automatically convertible into equity securities of the Company in an amount equal to the Purchase Amount divided by the applicable price per share, unit or other increment of the equity securities issued by the Company in its next equity financing transaction.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Amendment to Seller Note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As discussed in </w:t>
      </w:r>
      <w:r>
        <w:rPr>
          <w:rFonts w:ascii="Times New Roman;Times;Serif" w:hAnsi="Times New Roman;Times;Serif"/>
          <w:b/>
          <w:i w:val="false"/>
          <w:caps w:val="false"/>
          <w:smallCaps w:val="false"/>
          <w:sz w:val="20"/>
        </w:rPr>
        <w:t>Note 9 – Borrowings and Derivative Liabilities,</w:t>
      </w:r>
      <w:r>
        <w:rPr>
          <w:rFonts w:ascii="Times New Roman;Times;Serif" w:hAnsi="Times New Roman;Times;Serif"/>
          <w:b w:val="false"/>
          <w:i w:val="false"/>
          <w:caps w:val="false"/>
          <w:smallCaps w:val="false"/>
          <w:sz w:val="20"/>
        </w:rPr>
        <w:t xml:space="preserve"> as an inducement to the Member’s agreement to the Amendment of the Seller Note, the Amendment also provides that, within two business days following approval by the Company’s stockholders of the issuance of shares under the Sunder MIPA in accordance with applicable Nasdaq rules, the Company will issue the remaining shares of common stock otherwise issuable to the Member pursuant to the Sunder MIPA. On April 8, 2026, the Company issued the remaining shares due under the Seller Note, 6.7 million shares of its common stock.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Subsequent Convertible Senior Secured Notes Offering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Subsequent to the quarter ended March 29, 2026, on April 21, 2026, the Company entered into note purchase agreements in connection with a private offering of $41.0 million aggregate principal amount of 10.0% Convertible Senior Secured Notes due 2029 (the “10% Senior Secured Notes”). The offering included (i) $25.0 million of 10.0% Senior Secured Notes issued to institutional investors, (ii) $6.0 million of 10% Senior Secured Notes issued to an affiliate of the Company’s Chief Executive Officer in exchange for amounts previously advanced under the Third SAFE and Fourth SAFE, and (iii) $10.0 million of 10.0% Senior Secured Notes issued in connection with the exchange of the Seller Note and execution of the A&amp;R Seller Note.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10% Senior Secured Notes mature on May 1, 2029 and bear interest at 10.00% per annum, payable quarterly in arrears beginning July 1, 2026. The 10% Senior Secured Notes are senior secured obligations of the Company and are fully and unconditionally guaranteed by a wholly owned subsidiary. The notes and guarantees are secured by first-priority liens on substantially all of the assets of the Company and the guarantor, subject to permitted liens and specified exceptions.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10% Senior Secured Notes are convertible at the option of the holders into shares of the Company’s common stock at an initial conversion price of approximately $1.64 per share (610.3143 shares of common stock per $1,000 principal amount of the 10% Senior Secured Notes). In addition, following certain corporate events that occur prior to the maturity date of the 10% Senior Secured Notes, the Company will, under certain circumstances, increase the conversion rate of the 10% Senior Secured Notes for a holder who elects to convert its 10% Senior Secured Notes in connection with such a corporate event, subject to a maximum conversion rate of $1.13 per share (884.9557 shares of the Company’s common stock per $1,000 principal amount of 10% Senior Secured Notes). The 10% Senior Secured Notes are not redeemable by the Company and include customary covenants, events of default, and change-of-control repurchase provisions.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sz w:val="20"/>
          <w:bdr w:val="single" w:sz="12" w:space="1" w:color="000000"/>
        </w:rPr>
      </w:pPr>
      <w:r>
        <w:rPr>
          <w:sz w:val="20"/>
          <w:bdr w:val="single" w:sz="12" w:space="1" w:color="000000"/>
        </w:rPr>
        <w:t>F-47</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proceeds of the offering of the 10% Senior Secured Notes were used to: (i) prepay $5.0 million principal amount of the March 2026 Bridge Note; (ii) pay $4.75 million pursuant to the Company’s settlement agreement with Siemens (as amended, the “Siemens Settlement”); (iii) pay $4.0 million to CPP in connection with the transactions under the CPP Note Purchase Agreement (as defined below); and (iv) pay approximately $1.5 million of fees and expenses incurred in connection with the Offering. The net proceeds of the Offering, after making the foregoing payments, were approximately $9.75 million. The Company intends to use the net proceeds of the Offering for working capital and general corporate purposes, including the payoff of the remaining outstanding balance of the YA Debenture.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YA Letter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April 21, 2026, in connection with the offering of the 10% Senior Secured Notes, the Company and YA entered into a letter agreement (the “YA Letter”). Pursuant to the YA Letter, the Company agreed to voluntary prepay $5.0 million of the outstanding principal amount of March 2026 Bridge Note, resulting in a revised outstanding principal balance under the March 2026 Bridge Note of $5.0 million. The Company further agreed to repay the remaining principal balance and accrued interest under the YA Debenture in four equal monthly installments of $1.287 million, with the first payment due on May 5, 2026. Pursuant to the YA Letter, YA further consented to the issuance of the 10% Senior Secured Notes and the grant of the liens to secure the obligations under the 10% Senior Secured Notes.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CPP Note Purchase Agreement and A&amp;R Seller Note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Also on April 21, 2026, the Company entered into a Note Purchase Agreement with CPP (the “CPP Note Purchase Agreement”) that provides for the following in exchange for the outstanding Seller Note (in addition to the issuance of $10.0 million principal amount of 10% Senior Secured Notes to CPP as summarized above): (i) the Company’s payment of $4.0 million in cash to CPP at the closing under the CPP Note Purchase Agreement and (ii) delivery of the A&amp;R Seller Note. The A&amp;R Seller Note has a revised principal balance of $7.0 million and bears interest at 7.0% per annum, compounded quarterly, increasing to 10.0% per annum beginning May 15, 2026. The A&amp;R Seller Note is payable in four installments between October 2026 and January 2027, subject to extension if payment is restricted under the 10% Senior Secured Notes. The A&amp;R Seller Note is unsecured and contains customary events of default and change-of-control provisions.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Amendment to Siemens Settlement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April 9, 2026, Siemens and the Company amended the Settlement Agreement. Among other changes, the key terms of the amendment included (i) SunPower’s commitment to pay $4.75 million of the $9.5 million settlement amount by the end of April 2026, (ii) changing the threshold of the Fundraise Provision from $1.0 million to $5.0 million; (iii) putting Siemens’ first-priority continuing security interest pari pasu with the similarly secured interests of the note holders of the 10% Senior Secured Notes; and (iv) changing the acceleration amount in the Fundraise Provision from an acceleration of one remaining quarter to an acceleration of both remaining quarters. The Company made the $4.75 million April payment on April 23, 2026.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Exchange of 7% Notes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Also on April 21, 2026, the Company entered into privately negotiated exchange agreements with certain holders of its outstanding 7.0% Notes due 2029. Pursuant to these agreements, $21.25 million principal amount of such notes was exchanged for an aggregate of 18.8 million shares of the Company’s common stock and approximately $0.46 million of cash for accrued interest. The exchanges are expected to reduce outstanding indebtedness and future cash interest obligations, but will increase the number of shares outstanding.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Conversion of September 2024 Notes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Subsequent to March 29, 2026 $1.0 million of the September 2024 Notes were converted by holders into approximately 0.6 million shares of the Company’s common stock.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Delay in Filing of Form 10Q as of and for the thirteen week period ended March 29, 2025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 result of not filing the March 29, 2026 Form 10-Q within the timeframe by May 18, 2026 as required by the SEC, an event of default occurred under the Yorkville Notes, which results in an increase in the applicable interest rate to 18% (for so long as such event of default remains uncured). Upon filing this Form 10-Q on May 19, 2026 , the event of default was cured.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sz w:val="20"/>
          <w:bdr w:val="single" w:sz="12" w:space="1" w:color="000000"/>
        </w:rPr>
      </w:pPr>
      <w:r>
        <w:rPr>
          <w:sz w:val="20"/>
          <w:bdr w:val="single" w:sz="12" w:space="1" w:color="000000"/>
        </w:rPr>
        <w:t>F-48</w:t>
      </w:r>
    </w:p>
    <w:p>
      <w:pPr>
        <w:pStyle w:val="TextBody"/>
        <w:bidi w:val="0"/>
        <w:spacing w:before="0" w:after="0"/>
        <w:ind w:left="0" w:right="0" w:hanging="0"/>
        <w:jc w:val="left"/>
        <w:rPr/>
      </w:pPr>
      <w:r>
        <w:rPr/>
        <w:t> </w:t>
      </w:r>
    </w:p>
    <w:p>
      <w:pPr>
        <w:pStyle w:val="TextBody"/>
        <w:bidi w:val="0"/>
        <w:ind w:left="0" w:right="0" w:hanging="0"/>
        <w:jc w:val="center"/>
        <w:rPr/>
      </w:pPr>
      <w:r>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INDEX TO CONSOLIDATED FINANCIAL STATEMENTS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SUNPOWER INC.</w:t>
      </w:r>
    </w:p>
    <w:p>
      <w:pPr>
        <w:pStyle w:val="TextBody"/>
        <w:bidi w:val="0"/>
        <w:spacing w:before="0" w:after="0"/>
        <w:ind w:left="0" w:right="0" w:hanging="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9690"/>
        <w:gridCol w:w="60"/>
        <w:gridCol w:w="455"/>
      </w:tblGrid>
      <w:tr>
        <w:trPr/>
        <w:tc>
          <w:tcPr>
            <w:tcW w:w="969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55" w:type="dxa"/>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Page</w:t>
            </w:r>
          </w:p>
        </w:tc>
      </w:tr>
      <w:tr>
        <w:trPr/>
        <w:tc>
          <w:tcPr>
            <w:tcW w:w="969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55" w:type="dxa"/>
            <w:tcBorders/>
            <w:vAlign w:val="center"/>
          </w:tcPr>
          <w:p>
            <w:pPr>
              <w:pStyle w:val="TableContents"/>
              <w:bidi w:val="0"/>
              <w:spacing w:before="0" w:after="283"/>
              <w:jc w:val="center"/>
              <w:rPr/>
            </w:pPr>
            <w:r>
              <w:rPr/>
              <w:t> </w:t>
            </w:r>
          </w:p>
        </w:tc>
      </w:tr>
      <w:tr>
        <w:trPr/>
        <w:tc>
          <w:tcPr>
            <w:tcW w:w="9690" w:type="dxa"/>
            <w:tcBorders/>
            <w:shd w:fill="CCEEFF" w:val="cle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Consolidated Financial Statements</w:t>
            </w:r>
          </w:p>
        </w:tc>
        <w:tc>
          <w:tcPr>
            <w:tcW w:w="60" w:type="dxa"/>
            <w:tcBorders/>
            <w:shd w:fill="CCEEFF" w:val="clear"/>
            <w:vAlign w:val="center"/>
          </w:tcPr>
          <w:p>
            <w:pPr>
              <w:pStyle w:val="TableContents"/>
              <w:bidi w:val="0"/>
              <w:spacing w:before="0" w:after="283"/>
              <w:jc w:val="left"/>
              <w:rPr/>
            </w:pPr>
            <w:r>
              <w:rPr/>
              <w:t> </w:t>
            </w:r>
          </w:p>
        </w:tc>
        <w:tc>
          <w:tcPr>
            <w:tcW w:w="455" w:type="dxa"/>
            <w:tcBorders/>
            <w:shd w:fill="CCEEFF" w:val="clear"/>
            <w:vAlign w:val="center"/>
          </w:tcPr>
          <w:p>
            <w:pPr>
              <w:pStyle w:val="TableContents"/>
              <w:bidi w:val="0"/>
              <w:spacing w:before="0" w:after="283"/>
              <w:jc w:val="center"/>
              <w:rPr/>
            </w:pPr>
            <w:r>
              <w:rPr/>
              <w:t> </w:t>
            </w:r>
          </w:p>
        </w:tc>
      </w:tr>
      <w:tr>
        <w:trPr/>
        <w:tc>
          <w:tcPr>
            <w:tcW w:w="969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55" w:type="dxa"/>
            <w:tcBorders/>
            <w:shd w:fill="FFFFFF" w:val="clear"/>
            <w:vAlign w:val="center"/>
          </w:tcPr>
          <w:p>
            <w:pPr>
              <w:pStyle w:val="TableContents"/>
              <w:bidi w:val="0"/>
              <w:spacing w:before="0" w:after="283"/>
              <w:jc w:val="center"/>
              <w:rPr/>
            </w:pPr>
            <w:r>
              <w:rPr/>
              <w:t> </w:t>
            </w:r>
          </w:p>
        </w:tc>
      </w:tr>
      <w:tr>
        <w:trPr/>
        <w:tc>
          <w:tcPr>
            <w:tcW w:w="9690" w:type="dxa"/>
            <w:tcBorders/>
            <w:shd w:fill="CCEEFF" w:val="clear"/>
            <w:vAlign w:val="center"/>
          </w:tcPr>
          <w:p>
            <w:pPr>
              <w:pStyle w:val="TableContents"/>
              <w:bidi w:val="0"/>
              <w:spacing w:before="0" w:after="283"/>
              <w:jc w:val="left"/>
              <w:rPr/>
            </w:pPr>
            <w:hyperlink w:anchor="C_001">
              <w:r>
                <w:rPr>
                  <w:rStyle w:val="InternetLink"/>
                  <w:rFonts w:ascii="Times New Roman;Times;Serif" w:hAnsi="Times New Roman;Times;Serif"/>
                  <w:sz w:val="20"/>
                </w:rPr>
                <w:t xml:space="preserve">Report of Independent Registered Public Accounting Firm </w:t>
              </w:r>
            </w:hyperlink>
            <w:hyperlink w:anchor="C_001">
              <w:r>
                <w:rPr>
                  <w:rStyle w:val="InternetLink"/>
                  <w:rFonts w:ascii="Times New Roman;Times;Serif" w:hAnsi="Times New Roman;Times;Serif"/>
                  <w:i/>
                  <w:sz w:val="20"/>
                </w:rPr>
                <w:t>(PCAOB ID 243)</w:t>
              </w:r>
            </w:hyperlink>
          </w:p>
        </w:tc>
        <w:tc>
          <w:tcPr>
            <w:tcW w:w="60" w:type="dxa"/>
            <w:tcBorders/>
            <w:shd w:fill="CCEEFF" w:val="clear"/>
            <w:vAlign w:val="center"/>
          </w:tcPr>
          <w:p>
            <w:pPr>
              <w:pStyle w:val="TableContents"/>
              <w:bidi w:val="0"/>
              <w:spacing w:before="0" w:after="283"/>
              <w:jc w:val="left"/>
              <w:rPr/>
            </w:pPr>
            <w:r>
              <w:rPr/>
              <w:t> </w:t>
            </w:r>
          </w:p>
        </w:tc>
        <w:tc>
          <w:tcPr>
            <w:tcW w:w="455"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F-50</w:t>
            </w:r>
          </w:p>
        </w:tc>
      </w:tr>
      <w:tr>
        <w:trPr/>
        <w:tc>
          <w:tcPr>
            <w:tcW w:w="969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55" w:type="dxa"/>
            <w:tcBorders/>
            <w:shd w:fill="FFFFFF" w:val="clear"/>
            <w:vAlign w:val="center"/>
          </w:tcPr>
          <w:p>
            <w:pPr>
              <w:pStyle w:val="TableContents"/>
              <w:bidi w:val="0"/>
              <w:spacing w:before="0" w:after="283"/>
              <w:jc w:val="center"/>
              <w:rPr/>
            </w:pPr>
            <w:r>
              <w:rPr/>
              <w:t> </w:t>
            </w:r>
          </w:p>
        </w:tc>
      </w:tr>
      <w:tr>
        <w:trPr/>
        <w:tc>
          <w:tcPr>
            <w:tcW w:w="9690" w:type="dxa"/>
            <w:tcBorders/>
            <w:shd w:fill="CCEEFF" w:val="clear"/>
            <w:vAlign w:val="center"/>
          </w:tcPr>
          <w:p>
            <w:pPr>
              <w:pStyle w:val="TableContents"/>
              <w:bidi w:val="0"/>
              <w:spacing w:before="0" w:after="283"/>
              <w:jc w:val="left"/>
              <w:rPr/>
            </w:pPr>
            <w:hyperlink w:anchor="C_002">
              <w:r>
                <w:rPr>
                  <w:rStyle w:val="InternetLink"/>
                  <w:rFonts w:ascii="Times New Roman;Times;Serif" w:hAnsi="Times New Roman;Times;Serif"/>
                  <w:sz w:val="20"/>
                </w:rPr>
                <w:t>Consolidated Balance Sheets as of December 28, 2025 and December 29, 2024</w:t>
              </w:r>
            </w:hyperlink>
          </w:p>
        </w:tc>
        <w:tc>
          <w:tcPr>
            <w:tcW w:w="60" w:type="dxa"/>
            <w:tcBorders/>
            <w:shd w:fill="CCEEFF" w:val="clear"/>
            <w:vAlign w:val="center"/>
          </w:tcPr>
          <w:p>
            <w:pPr>
              <w:pStyle w:val="TableContents"/>
              <w:bidi w:val="0"/>
              <w:spacing w:before="0" w:after="283"/>
              <w:jc w:val="left"/>
              <w:rPr/>
            </w:pPr>
            <w:r>
              <w:rPr/>
              <w:t> </w:t>
            </w:r>
          </w:p>
        </w:tc>
        <w:tc>
          <w:tcPr>
            <w:tcW w:w="455"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F-51</w:t>
            </w:r>
          </w:p>
        </w:tc>
      </w:tr>
      <w:tr>
        <w:trPr/>
        <w:tc>
          <w:tcPr>
            <w:tcW w:w="969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55" w:type="dxa"/>
            <w:tcBorders/>
            <w:shd w:fill="FFFFFF" w:val="clear"/>
            <w:vAlign w:val="center"/>
          </w:tcPr>
          <w:p>
            <w:pPr>
              <w:pStyle w:val="TableContents"/>
              <w:bidi w:val="0"/>
              <w:spacing w:before="0" w:after="283"/>
              <w:ind w:left="0" w:right="0" w:hanging="180"/>
              <w:jc w:val="center"/>
              <w:rPr/>
            </w:pPr>
            <w:r>
              <w:rPr/>
              <w:t> </w:t>
            </w:r>
          </w:p>
        </w:tc>
      </w:tr>
      <w:tr>
        <w:trPr/>
        <w:tc>
          <w:tcPr>
            <w:tcW w:w="9690" w:type="dxa"/>
            <w:tcBorders/>
            <w:shd w:fill="CCEEFF" w:val="clear"/>
            <w:vAlign w:val="center"/>
          </w:tcPr>
          <w:p>
            <w:pPr>
              <w:pStyle w:val="TableContents"/>
              <w:bidi w:val="0"/>
              <w:spacing w:before="0" w:after="283"/>
              <w:jc w:val="left"/>
              <w:rPr/>
            </w:pPr>
            <w:hyperlink w:anchor="C_003">
              <w:r>
                <w:rPr>
                  <w:rStyle w:val="InternetLink"/>
                  <w:rFonts w:ascii="Times New Roman;Times;Serif" w:hAnsi="Times New Roman;Times;Serif"/>
                  <w:sz w:val="20"/>
                </w:rPr>
                <w:t>Consolidated Statements of Operations and Comprehensive Loss for the Fiscal Years Ended December 28, 2025 and December 29, 2024</w:t>
              </w:r>
            </w:hyperlink>
          </w:p>
        </w:tc>
        <w:tc>
          <w:tcPr>
            <w:tcW w:w="60" w:type="dxa"/>
            <w:tcBorders/>
            <w:shd w:fill="CCEEFF" w:val="clear"/>
            <w:vAlign w:val="center"/>
          </w:tcPr>
          <w:p>
            <w:pPr>
              <w:pStyle w:val="TableContents"/>
              <w:bidi w:val="0"/>
              <w:spacing w:before="0" w:after="283"/>
              <w:jc w:val="left"/>
              <w:rPr/>
            </w:pPr>
            <w:r>
              <w:rPr/>
              <w:t> </w:t>
            </w:r>
          </w:p>
        </w:tc>
        <w:tc>
          <w:tcPr>
            <w:tcW w:w="455"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F-52</w:t>
            </w:r>
          </w:p>
        </w:tc>
      </w:tr>
      <w:tr>
        <w:trPr/>
        <w:tc>
          <w:tcPr>
            <w:tcW w:w="969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55" w:type="dxa"/>
            <w:tcBorders/>
            <w:shd w:fill="FFFFFF" w:val="clear"/>
            <w:vAlign w:val="center"/>
          </w:tcPr>
          <w:p>
            <w:pPr>
              <w:pStyle w:val="TableContents"/>
              <w:bidi w:val="0"/>
              <w:spacing w:before="0" w:after="283"/>
              <w:ind w:left="0" w:right="0" w:hanging="180"/>
              <w:jc w:val="center"/>
              <w:rPr/>
            </w:pPr>
            <w:r>
              <w:rPr/>
              <w:t> </w:t>
            </w:r>
          </w:p>
        </w:tc>
      </w:tr>
      <w:tr>
        <w:trPr/>
        <w:tc>
          <w:tcPr>
            <w:tcW w:w="9690" w:type="dxa"/>
            <w:tcBorders/>
            <w:shd w:fill="CCEEFF" w:val="clear"/>
            <w:vAlign w:val="center"/>
          </w:tcPr>
          <w:p>
            <w:pPr>
              <w:pStyle w:val="TableContents"/>
              <w:bidi w:val="0"/>
              <w:spacing w:before="0" w:after="283"/>
              <w:jc w:val="left"/>
              <w:rPr/>
            </w:pPr>
            <w:hyperlink w:anchor="C_004">
              <w:r>
                <w:rPr>
                  <w:rStyle w:val="InternetLink"/>
                  <w:rFonts w:ascii="Times New Roman;Times;Serif" w:hAnsi="Times New Roman;Times;Serif"/>
                  <w:sz w:val="20"/>
                </w:rPr>
                <w:t>Consolidated Statements of Stockholders’ Deficit for the Fiscal Years Ended December 28, 2025 and December 29, 2024</w:t>
              </w:r>
            </w:hyperlink>
          </w:p>
        </w:tc>
        <w:tc>
          <w:tcPr>
            <w:tcW w:w="60" w:type="dxa"/>
            <w:tcBorders/>
            <w:shd w:fill="CCEEFF" w:val="clear"/>
            <w:vAlign w:val="center"/>
          </w:tcPr>
          <w:p>
            <w:pPr>
              <w:pStyle w:val="TableContents"/>
              <w:bidi w:val="0"/>
              <w:spacing w:before="0" w:after="283"/>
              <w:jc w:val="left"/>
              <w:rPr/>
            </w:pPr>
            <w:r>
              <w:rPr/>
              <w:t> </w:t>
            </w:r>
          </w:p>
        </w:tc>
        <w:tc>
          <w:tcPr>
            <w:tcW w:w="455"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F-53</w:t>
            </w:r>
          </w:p>
        </w:tc>
      </w:tr>
      <w:tr>
        <w:trPr/>
        <w:tc>
          <w:tcPr>
            <w:tcW w:w="969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55" w:type="dxa"/>
            <w:tcBorders/>
            <w:shd w:fill="FFFFFF" w:val="clear"/>
            <w:vAlign w:val="center"/>
          </w:tcPr>
          <w:p>
            <w:pPr>
              <w:pStyle w:val="TableContents"/>
              <w:bidi w:val="0"/>
              <w:spacing w:before="0" w:after="283"/>
              <w:ind w:left="0" w:right="0" w:hanging="180"/>
              <w:jc w:val="center"/>
              <w:rPr/>
            </w:pPr>
            <w:r>
              <w:rPr/>
              <w:t> </w:t>
            </w:r>
          </w:p>
        </w:tc>
      </w:tr>
      <w:tr>
        <w:trPr/>
        <w:tc>
          <w:tcPr>
            <w:tcW w:w="9690" w:type="dxa"/>
            <w:tcBorders/>
            <w:shd w:fill="CCEEFF" w:val="clear"/>
            <w:vAlign w:val="center"/>
          </w:tcPr>
          <w:p>
            <w:pPr>
              <w:pStyle w:val="TableContents"/>
              <w:bidi w:val="0"/>
              <w:spacing w:before="0" w:after="283"/>
              <w:jc w:val="left"/>
              <w:rPr/>
            </w:pPr>
            <w:hyperlink w:anchor="C_005">
              <w:r>
                <w:rPr>
                  <w:rStyle w:val="InternetLink"/>
                  <w:rFonts w:ascii="Times New Roman;Times;Serif" w:hAnsi="Times New Roman;Times;Serif"/>
                  <w:sz w:val="20"/>
                </w:rPr>
                <w:t>Consolidated Statements of Cash Flows for the for the Fiscal Years Ended December 28, 2025 and December 29, 2024</w:t>
              </w:r>
            </w:hyperlink>
          </w:p>
        </w:tc>
        <w:tc>
          <w:tcPr>
            <w:tcW w:w="60" w:type="dxa"/>
            <w:tcBorders/>
            <w:shd w:fill="CCEEFF" w:val="clear"/>
            <w:vAlign w:val="center"/>
          </w:tcPr>
          <w:p>
            <w:pPr>
              <w:pStyle w:val="TableContents"/>
              <w:bidi w:val="0"/>
              <w:spacing w:before="0" w:after="283"/>
              <w:jc w:val="left"/>
              <w:rPr/>
            </w:pPr>
            <w:r>
              <w:rPr/>
              <w:t> </w:t>
            </w:r>
          </w:p>
        </w:tc>
        <w:tc>
          <w:tcPr>
            <w:tcW w:w="455"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F-54</w:t>
            </w:r>
          </w:p>
        </w:tc>
      </w:tr>
      <w:tr>
        <w:trPr/>
        <w:tc>
          <w:tcPr>
            <w:tcW w:w="969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55" w:type="dxa"/>
            <w:tcBorders/>
            <w:shd w:fill="FFFFFF" w:val="clear"/>
            <w:vAlign w:val="center"/>
          </w:tcPr>
          <w:p>
            <w:pPr>
              <w:pStyle w:val="TableContents"/>
              <w:bidi w:val="0"/>
              <w:spacing w:before="0" w:after="283"/>
              <w:jc w:val="center"/>
              <w:rPr/>
            </w:pPr>
            <w:r>
              <w:rPr/>
              <w:t> </w:t>
            </w:r>
          </w:p>
        </w:tc>
      </w:tr>
      <w:tr>
        <w:trPr/>
        <w:tc>
          <w:tcPr>
            <w:tcW w:w="9690" w:type="dxa"/>
            <w:tcBorders/>
            <w:shd w:fill="CCEEFF" w:val="clear"/>
            <w:vAlign w:val="center"/>
          </w:tcPr>
          <w:p>
            <w:pPr>
              <w:pStyle w:val="TableContents"/>
              <w:bidi w:val="0"/>
              <w:spacing w:before="0" w:after="283"/>
              <w:jc w:val="left"/>
              <w:rPr/>
            </w:pPr>
            <w:hyperlink w:anchor="C_006">
              <w:r>
                <w:rPr>
                  <w:rStyle w:val="InternetLink"/>
                  <w:rFonts w:ascii="Times New Roman;Times;Serif" w:hAnsi="Times New Roman;Times;Serif"/>
                  <w:sz w:val="20"/>
                </w:rPr>
                <w:t>Notes to Consolidated Financial Statements</w:t>
              </w:r>
            </w:hyperlink>
          </w:p>
        </w:tc>
        <w:tc>
          <w:tcPr>
            <w:tcW w:w="60" w:type="dxa"/>
            <w:tcBorders/>
            <w:shd w:fill="CCEEFF" w:val="clear"/>
            <w:vAlign w:val="center"/>
          </w:tcPr>
          <w:p>
            <w:pPr>
              <w:pStyle w:val="TableContents"/>
              <w:bidi w:val="0"/>
              <w:spacing w:before="0" w:after="283"/>
              <w:jc w:val="left"/>
              <w:rPr/>
            </w:pPr>
            <w:r>
              <w:rPr/>
              <w:t> </w:t>
            </w:r>
          </w:p>
        </w:tc>
        <w:tc>
          <w:tcPr>
            <w:tcW w:w="455"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F-55</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center"/>
        <w:rPr>
          <w:sz w:val="20"/>
          <w:bdr w:val="single" w:sz="12" w:space="1" w:color="000000"/>
        </w:rPr>
      </w:pPr>
      <w:r>
        <w:rPr>
          <w:sz w:val="20"/>
          <w:bdr w:val="single" w:sz="12" w:space="1" w:color="000000"/>
        </w:rPr>
        <w:t>F-49</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27" w:name="C_001"/>
      <w:bookmarkEnd w:id="27"/>
      <w:r>
        <w:rPr>
          <w:rFonts w:ascii="Times New Roman;Times;Serif" w:hAnsi="Times New Roman;Times;Serif"/>
          <w:b/>
          <w:i w:val="false"/>
          <w:caps w:val="false"/>
          <w:smallCaps w:val="false"/>
          <w:sz w:val="20"/>
        </w:rPr>
        <w:t>Report of Independent Registered Public Accounting Firm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Shareholders and Board of Directors</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SunPower Inc.</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Orem, Utah</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Opinion on the Consolidated Financial Statements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audited the accompanying consolidated balance sheet of SunPower Inc. (the “Company”) as of December 28, 2025 and December 29, 2024, the related consolidated statements of operations and comprehensive loss, stockholders’ deficit, and cash flows for the fiscal years then ended, and the related notes collectively referred to as the “consolidated financial statements.” In our opinion, the consolidated financial statements present fairly, in all material respects, the financial position of the Company at December 28, 2025 and December 29, 2024, and the results of its operations and its cash flows for the fiscal years then ended</w:t>
      </w:r>
      <w:r>
        <w:rPr>
          <w:rFonts w:ascii="Times New Roman;Times;Serif" w:hAnsi="Times New Roman;Times;Serif"/>
          <w:b/>
          <w:i w:val="false"/>
          <w:caps w:val="false"/>
          <w:smallCaps w:val="false"/>
          <w:sz w:val="20"/>
        </w:rPr>
        <w:t>,</w:t>
      </w:r>
      <w:r>
        <w:rPr>
          <w:rFonts w:ascii="Times New Roman;Times;Serif" w:hAnsi="Times New Roman;Times;Serif"/>
          <w:b w:val="false"/>
          <w:i w:val="false"/>
          <w:caps w:val="false"/>
          <w:smallCaps w:val="false"/>
          <w:sz w:val="20"/>
        </w:rPr>
        <w:t xml:space="preserve"> in conformity with accounting principles generally accepted in the United States of America.</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Going Concern Uncertainty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accompanying consolidated financial statements have been prepared assuming that the Company will continue as a going concern. As discussed in Note 1 to the consolidated financial statements, the Company has suffered recurring losses, and has negative cash flows that raise substantial doubt about its ability to continue as a going concern. Management’s plans in regard to these matters are also described in Note 1. The consolidated financial statements do not include any adjustments that might result from the outcome of this uncertainty.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Basis for Opinion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These consolidated financial statements are the responsibility of the Company’s management. Our responsibility is to express an opinion on the Company’s consolidated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conducted our audits in accordance with the standards of the PCAOB. Those standards require that we plan and perform the audit to obtain reasonable assurance about whether the consolidated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audits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We believe that our audits provide a reasonable basis for our opinion.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BDO USA, P.C.</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served as the Company’s auditor since 2024.</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Atlanta, Georgia</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April 14,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sz w:val="20"/>
          <w:bdr w:val="single" w:sz="12" w:space="1" w:color="000000"/>
        </w:rPr>
      </w:pPr>
      <w:r>
        <w:rPr>
          <w:sz w:val="20"/>
          <w:bdr w:val="single" w:sz="12" w:space="1" w:color="000000"/>
        </w:rPr>
        <w:t>F-50</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28" w:name="C_002"/>
      <w:bookmarkEnd w:id="28"/>
      <w:r>
        <w:rPr>
          <w:rFonts w:ascii="Times New Roman;Times;Serif" w:hAnsi="Times New Roman;Times;Serif"/>
          <w:b/>
          <w:i w:val="false"/>
          <w:caps w:val="false"/>
          <w:smallCaps w:val="false"/>
          <w:sz w:val="20"/>
        </w:rPr>
        <w:t>SUNPOWER INC.</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Consolidated Balance Sheets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r>
        <w:rPr>
          <w:rFonts w:ascii="Times New Roman;Times;Serif" w:hAnsi="Times New Roman;Times;Serif"/>
          <w:b/>
          <w:i/>
          <w:caps w:val="false"/>
          <w:smallCaps w:val="false"/>
          <w:sz w:val="20"/>
        </w:rPr>
        <w:t>in thousands, except share and per share amounts</w:t>
      </w:r>
      <w:r>
        <w:rPr>
          <w:rFonts w:ascii="Times New Roman;Times;Serif" w:hAnsi="Times New Roman;Times;Serif"/>
          <w:b/>
          <w:i w:val="false"/>
          <w:caps w:val="false"/>
          <w:smallCaps w:val="false"/>
          <w:sz w:val="20"/>
        </w:rPr>
        <w:t>)</w:t>
      </w:r>
    </w:p>
    <w:p>
      <w:pPr>
        <w:pStyle w:val="TextBody"/>
        <w:bidi w:val="0"/>
        <w:spacing w:before="0" w:after="0"/>
        <w:ind w:left="0" w:right="0" w:hanging="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997"/>
        <w:gridCol w:w="60"/>
        <w:gridCol w:w="187"/>
        <w:gridCol w:w="1180"/>
        <w:gridCol w:w="95"/>
        <w:gridCol w:w="60"/>
        <w:gridCol w:w="187"/>
        <w:gridCol w:w="1180"/>
        <w:gridCol w:w="259"/>
      </w:tblGrid>
      <w:tr>
        <w:trPr/>
        <w:tc>
          <w:tcPr>
            <w:tcW w:w="6997"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367" w:type="dxa"/>
            <w:gridSpan w:val="2"/>
            <w:tcBorders/>
            <w:vAlign w:val="center"/>
          </w:tcPr>
          <w:p>
            <w:pPr>
              <w:pStyle w:val="TableContents"/>
              <w:bidi w:val="0"/>
              <w:spacing w:before="0" w:after="283"/>
              <w:jc w:val="center"/>
              <w:rPr>
                <w:b/>
              </w:rPr>
            </w:pPr>
            <w:r>
              <w:rPr>
                <w:b/>
              </w:rPr>
              <w:t>December 28,</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67" w:type="dxa"/>
            <w:gridSpan w:val="2"/>
            <w:tcBorders/>
            <w:vAlign w:val="center"/>
          </w:tcPr>
          <w:p>
            <w:pPr>
              <w:pStyle w:val="TableContents"/>
              <w:bidi w:val="0"/>
              <w:spacing w:before="0" w:after="283"/>
              <w:jc w:val="center"/>
              <w:rPr>
                <w:b/>
              </w:rPr>
            </w:pPr>
            <w:r>
              <w:rPr>
                <w:b/>
              </w:rPr>
              <w:t>December 29,</w:t>
            </w:r>
          </w:p>
        </w:tc>
        <w:tc>
          <w:tcPr>
            <w:tcW w:w="259" w:type="dxa"/>
            <w:tcBorders/>
            <w:vAlign w:val="center"/>
          </w:tcPr>
          <w:p>
            <w:pPr>
              <w:pStyle w:val="TableContents"/>
              <w:bidi w:val="0"/>
              <w:spacing w:before="0" w:after="283"/>
              <w:jc w:val="left"/>
              <w:rPr/>
            </w:pPr>
            <w:r>
              <w:rPr/>
              <w:t> </w:t>
            </w:r>
          </w:p>
        </w:tc>
      </w:tr>
      <w:tr>
        <w:trPr/>
        <w:tc>
          <w:tcPr>
            <w:tcW w:w="6997"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367"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2025</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67"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2024</w:t>
            </w:r>
          </w:p>
        </w:tc>
        <w:tc>
          <w:tcPr>
            <w:tcW w:w="259" w:type="dxa"/>
            <w:tcBorders/>
            <w:vAlign w:val="center"/>
          </w:tcPr>
          <w:p>
            <w:pPr>
              <w:pStyle w:val="TableContents"/>
              <w:bidi w:val="0"/>
              <w:spacing w:before="0" w:after="283"/>
              <w:jc w:val="left"/>
              <w:rPr/>
            </w:pPr>
            <w:r>
              <w:rPr/>
              <w:t> </w:t>
            </w:r>
          </w:p>
        </w:tc>
      </w:tr>
      <w:tr>
        <w:trPr/>
        <w:tc>
          <w:tcPr>
            <w:tcW w:w="6997" w:type="dxa"/>
            <w:tcBorders/>
            <w:vAlign w:val="center"/>
          </w:tcPr>
          <w:p>
            <w:pPr>
              <w:pStyle w:val="TableContents"/>
              <w:bidi w:val="0"/>
              <w:spacing w:before="0" w:after="283"/>
              <w:jc w:val="left"/>
              <w:rPr>
                <w:b/>
              </w:rPr>
            </w:pPr>
            <w:r>
              <w:rPr>
                <w:b/>
              </w:rPr>
              <w:t>ASSETS</w:t>
            </w:r>
          </w:p>
        </w:tc>
        <w:tc>
          <w:tcPr>
            <w:tcW w:w="60" w:type="dxa"/>
            <w:tcBorders/>
            <w:vAlign w:val="center"/>
          </w:tcPr>
          <w:p>
            <w:pPr>
              <w:pStyle w:val="TableContents"/>
              <w:bidi w:val="0"/>
              <w:spacing w:before="0" w:after="283"/>
              <w:jc w:val="left"/>
              <w:rPr/>
            </w:pPr>
            <w:r>
              <w:rPr/>
              <w:t> </w:t>
            </w:r>
          </w:p>
        </w:tc>
        <w:tc>
          <w:tcPr>
            <w:tcW w:w="1367" w:type="dxa"/>
            <w:gridSpan w:val="2"/>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67" w:type="dxa"/>
            <w:gridSpan w:val="2"/>
            <w:tcBorders/>
            <w:vAlign w:val="center"/>
          </w:tcPr>
          <w:p>
            <w:pPr>
              <w:pStyle w:val="TableContents"/>
              <w:bidi w:val="0"/>
              <w:spacing w:before="0" w:after="283"/>
              <w:jc w:val="left"/>
              <w:rPr/>
            </w:pPr>
            <w:r>
              <w:rPr/>
              <w:t> </w:t>
            </w:r>
          </w:p>
        </w:tc>
        <w:tc>
          <w:tcPr>
            <w:tcW w:w="259" w:type="dxa"/>
            <w:tcBorders/>
            <w:vAlign w:val="center"/>
          </w:tcPr>
          <w:p>
            <w:pPr>
              <w:pStyle w:val="TableContents"/>
              <w:bidi w:val="0"/>
              <w:spacing w:before="0" w:after="283"/>
              <w:jc w:val="left"/>
              <w:rPr/>
            </w:pPr>
            <w:r>
              <w:rPr/>
              <w:t> </w:t>
            </w:r>
          </w:p>
        </w:tc>
      </w:tr>
      <w:tr>
        <w:trPr/>
        <w:tc>
          <w:tcPr>
            <w:tcW w:w="6997" w:type="dxa"/>
            <w:tcBorders/>
            <w:vAlign w:val="center"/>
          </w:tcPr>
          <w:p>
            <w:pPr>
              <w:pStyle w:val="TableContents"/>
              <w:bidi w:val="0"/>
              <w:spacing w:before="0" w:after="283"/>
              <w:jc w:val="left"/>
              <w:rPr/>
            </w:pPr>
            <w:r>
              <w:rPr/>
              <w:t>Current assets:</w:t>
            </w:r>
          </w:p>
        </w:tc>
        <w:tc>
          <w:tcPr>
            <w:tcW w:w="60" w:type="dxa"/>
            <w:tcBorders/>
            <w:vAlign w:val="center"/>
          </w:tcPr>
          <w:p>
            <w:pPr>
              <w:pStyle w:val="TableContents"/>
              <w:bidi w:val="0"/>
              <w:spacing w:before="0" w:after="283"/>
              <w:jc w:val="left"/>
              <w:rPr/>
            </w:pPr>
            <w:r>
              <w:rPr/>
              <w:t> </w:t>
            </w:r>
          </w:p>
        </w:tc>
        <w:tc>
          <w:tcPr>
            <w:tcW w:w="1367" w:type="dxa"/>
            <w:gridSpan w:val="2"/>
            <w:tcBorders/>
            <w:vAlign w:val="center"/>
          </w:tcPr>
          <w:p>
            <w:pPr>
              <w:pStyle w:val="TableContents"/>
              <w:bidi w:val="0"/>
              <w:spacing w:before="0" w:after="283"/>
              <w:jc w:val="righ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67" w:type="dxa"/>
            <w:gridSpan w:val="2"/>
            <w:tcBorders/>
            <w:vAlign w:val="center"/>
          </w:tcPr>
          <w:p>
            <w:pPr>
              <w:pStyle w:val="TableContents"/>
              <w:bidi w:val="0"/>
              <w:spacing w:before="0" w:after="283"/>
              <w:jc w:val="right"/>
              <w:rPr/>
            </w:pPr>
            <w:r>
              <w:rPr/>
              <w:t> </w:t>
            </w:r>
          </w:p>
        </w:tc>
        <w:tc>
          <w:tcPr>
            <w:tcW w:w="259" w:type="dxa"/>
            <w:tcBorders/>
            <w:vAlign w:val="center"/>
          </w:tcPr>
          <w:p>
            <w:pPr>
              <w:pStyle w:val="TableContents"/>
              <w:bidi w:val="0"/>
              <w:spacing w:before="0" w:after="283"/>
              <w:ind w:left="0" w:right="0" w:hanging="180"/>
              <w:jc w:val="left"/>
              <w:rPr/>
            </w:pPr>
            <w:r>
              <w:rPr/>
              <w:t> </w:t>
            </w:r>
          </w:p>
        </w:tc>
      </w:tr>
      <w:tr>
        <w:trPr/>
        <w:tc>
          <w:tcPr>
            <w:tcW w:w="6997" w:type="dxa"/>
            <w:tcBorders/>
            <w:shd w:fill="CCEEFF" w:val="clear"/>
            <w:vAlign w:val="center"/>
          </w:tcPr>
          <w:p>
            <w:pPr>
              <w:pStyle w:val="TableContents"/>
              <w:bidi w:val="0"/>
              <w:spacing w:before="0" w:after="283"/>
              <w:jc w:val="left"/>
              <w:rPr/>
            </w:pPr>
            <w:r>
              <w:rPr/>
              <w:t>Cash and cash equivalents</w:t>
            </w:r>
          </w:p>
        </w:tc>
        <w:tc>
          <w:tcPr>
            <w:tcW w:w="60" w:type="dxa"/>
            <w:tcBorders/>
            <w:shd w:fill="CCEEFF" w:val="clear"/>
            <w:vAlign w:val="center"/>
          </w:tcPr>
          <w:p>
            <w:pPr>
              <w:pStyle w:val="TableContents"/>
              <w:bidi w:val="0"/>
              <w:spacing w:before="0" w:after="283"/>
              <w:jc w:val="left"/>
              <w:rPr/>
            </w:pPr>
            <w:r>
              <w:rPr/>
              <w:t> </w:t>
            </w:r>
          </w:p>
        </w:tc>
        <w:tc>
          <w:tcPr>
            <w:tcW w:w="187" w:type="dxa"/>
            <w:tcBorders/>
            <w:shd w:fill="CCEEFF" w:val="clear"/>
            <w:vAlign w:val="center"/>
          </w:tcPr>
          <w:p>
            <w:pPr>
              <w:pStyle w:val="TableContents"/>
              <w:bidi w:val="0"/>
              <w:spacing w:before="0" w:after="283"/>
              <w:jc w:val="left"/>
              <w:rPr/>
            </w:pPr>
            <w:r>
              <w:rPr/>
              <w:t>$</w:t>
            </w:r>
          </w:p>
        </w:tc>
        <w:tc>
          <w:tcPr>
            <w:tcW w:w="1180" w:type="dxa"/>
            <w:tcBorders/>
            <w:shd w:fill="CCEEFF" w:val="clear"/>
            <w:vAlign w:val="center"/>
          </w:tcPr>
          <w:p>
            <w:pPr>
              <w:pStyle w:val="TableContents"/>
              <w:bidi w:val="0"/>
              <w:spacing w:before="0" w:after="283"/>
              <w:jc w:val="right"/>
              <w:rPr/>
            </w:pPr>
            <w:r>
              <w:rPr/>
              <w:t>9,617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7" w:type="dxa"/>
            <w:tcBorders/>
            <w:shd w:fill="CCEEFF" w:val="clear"/>
            <w:vAlign w:val="center"/>
          </w:tcPr>
          <w:p>
            <w:pPr>
              <w:pStyle w:val="TableContents"/>
              <w:bidi w:val="0"/>
              <w:spacing w:before="0" w:after="283"/>
              <w:jc w:val="left"/>
              <w:rPr/>
            </w:pPr>
            <w:r>
              <w:rPr/>
              <w:t>$</w:t>
            </w:r>
          </w:p>
        </w:tc>
        <w:tc>
          <w:tcPr>
            <w:tcW w:w="1180" w:type="dxa"/>
            <w:tcBorders/>
            <w:shd w:fill="CCEEFF" w:val="clear"/>
            <w:vAlign w:val="center"/>
          </w:tcPr>
          <w:p>
            <w:pPr>
              <w:pStyle w:val="TableContents"/>
              <w:bidi w:val="0"/>
              <w:spacing w:before="0" w:after="283"/>
              <w:jc w:val="right"/>
              <w:rPr/>
            </w:pPr>
            <w:r>
              <w:rPr/>
              <w:t>13,378</w:t>
            </w:r>
          </w:p>
        </w:tc>
        <w:tc>
          <w:tcPr>
            <w:tcW w:w="259" w:type="dxa"/>
            <w:tcBorders/>
            <w:shd w:fill="CCEEFF" w:val="clear"/>
            <w:vAlign w:val="center"/>
          </w:tcPr>
          <w:p>
            <w:pPr>
              <w:pStyle w:val="TableContents"/>
              <w:bidi w:val="0"/>
              <w:spacing w:before="0" w:after="283"/>
              <w:ind w:left="0" w:right="0" w:hanging="180"/>
              <w:jc w:val="left"/>
              <w:rPr/>
            </w:pPr>
            <w:r>
              <w:rPr/>
              <w:t> </w:t>
            </w:r>
          </w:p>
        </w:tc>
      </w:tr>
      <w:tr>
        <w:trPr/>
        <w:tc>
          <w:tcPr>
            <w:tcW w:w="6997" w:type="dxa"/>
            <w:tcBorders/>
            <w:shd w:fill="FFFFFF" w:val="clear"/>
            <w:vAlign w:val="center"/>
          </w:tcPr>
          <w:p>
            <w:pPr>
              <w:pStyle w:val="TableContents"/>
              <w:bidi w:val="0"/>
              <w:spacing w:before="0" w:after="283"/>
              <w:jc w:val="left"/>
              <w:rPr/>
            </w:pPr>
            <w:r>
              <w:rPr/>
              <w:t>Trade accounts receivable, net of allowance for credit losses of $5,206 and $1,701 as of December 28, 2025 and December 29, 2024, respectively</w:t>
            </w:r>
          </w:p>
        </w:tc>
        <w:tc>
          <w:tcPr>
            <w:tcW w:w="60" w:type="dxa"/>
            <w:tcBorders/>
            <w:shd w:fill="FFFFFF" w:val="clear"/>
            <w:vAlign w:val="center"/>
          </w:tcPr>
          <w:p>
            <w:pPr>
              <w:pStyle w:val="TableContents"/>
              <w:bidi w:val="0"/>
              <w:spacing w:before="0" w:after="283"/>
              <w:jc w:val="left"/>
              <w:rPr/>
            </w:pPr>
            <w:r>
              <w:rPr/>
              <w:t> </w:t>
            </w:r>
          </w:p>
        </w:tc>
        <w:tc>
          <w:tcPr>
            <w:tcW w:w="187" w:type="dxa"/>
            <w:tcBorders/>
            <w:shd w:fill="FFFFFF" w:val="clear"/>
            <w:vAlign w:val="center"/>
          </w:tcPr>
          <w:p>
            <w:pPr>
              <w:pStyle w:val="TableContents"/>
              <w:bidi w:val="0"/>
              <w:spacing w:before="0" w:after="283"/>
              <w:jc w:val="left"/>
              <w:rPr/>
            </w:pPr>
            <w:r>
              <w:rPr/>
              <w:t> </w:t>
            </w:r>
          </w:p>
        </w:tc>
        <w:tc>
          <w:tcPr>
            <w:tcW w:w="1180" w:type="dxa"/>
            <w:tcBorders/>
            <w:shd w:fill="FFFFFF" w:val="clear"/>
            <w:vAlign w:val="center"/>
          </w:tcPr>
          <w:p>
            <w:pPr>
              <w:pStyle w:val="TableContents"/>
              <w:bidi w:val="0"/>
              <w:spacing w:before="0" w:after="283"/>
              <w:jc w:val="right"/>
              <w:rPr/>
            </w:pPr>
            <w:r>
              <w:rPr/>
              <w:t>67,824</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7" w:type="dxa"/>
            <w:tcBorders/>
            <w:shd w:fill="FFFFFF" w:val="clear"/>
            <w:vAlign w:val="center"/>
          </w:tcPr>
          <w:p>
            <w:pPr>
              <w:pStyle w:val="TableContents"/>
              <w:bidi w:val="0"/>
              <w:spacing w:before="0" w:after="283"/>
              <w:jc w:val="left"/>
              <w:rPr/>
            </w:pPr>
            <w:r>
              <w:rPr/>
              <w:t> </w:t>
            </w:r>
          </w:p>
        </w:tc>
        <w:tc>
          <w:tcPr>
            <w:tcW w:w="1180" w:type="dxa"/>
            <w:tcBorders/>
            <w:shd w:fill="FFFFFF" w:val="clear"/>
            <w:vAlign w:val="center"/>
          </w:tcPr>
          <w:p>
            <w:pPr>
              <w:pStyle w:val="TableContents"/>
              <w:bidi w:val="0"/>
              <w:spacing w:before="0" w:after="283"/>
              <w:jc w:val="right"/>
              <w:rPr/>
            </w:pPr>
            <w:r>
              <w:rPr/>
              <w:t>25,842</w:t>
            </w:r>
          </w:p>
        </w:tc>
        <w:tc>
          <w:tcPr>
            <w:tcW w:w="259" w:type="dxa"/>
            <w:tcBorders/>
            <w:shd w:fill="FFFFFF" w:val="clear"/>
            <w:vAlign w:val="center"/>
          </w:tcPr>
          <w:p>
            <w:pPr>
              <w:pStyle w:val="TableContents"/>
              <w:bidi w:val="0"/>
              <w:spacing w:before="0" w:after="283"/>
              <w:ind w:left="0" w:right="0" w:hanging="180"/>
              <w:jc w:val="left"/>
              <w:rPr/>
            </w:pPr>
            <w:r>
              <w:rPr/>
              <w:t> </w:t>
            </w:r>
          </w:p>
        </w:tc>
      </w:tr>
      <w:tr>
        <w:trPr/>
        <w:tc>
          <w:tcPr>
            <w:tcW w:w="6997" w:type="dxa"/>
            <w:tcBorders/>
            <w:shd w:fill="CCEEFF" w:val="clear"/>
            <w:vAlign w:val="center"/>
          </w:tcPr>
          <w:p>
            <w:pPr>
              <w:pStyle w:val="TableContents"/>
              <w:bidi w:val="0"/>
              <w:spacing w:before="0" w:after="283"/>
              <w:jc w:val="left"/>
              <w:rPr/>
            </w:pPr>
            <w:r>
              <w:rPr/>
              <w:t>Inventories</w:t>
            </w:r>
          </w:p>
        </w:tc>
        <w:tc>
          <w:tcPr>
            <w:tcW w:w="60" w:type="dxa"/>
            <w:tcBorders/>
            <w:shd w:fill="CCEEFF" w:val="clear"/>
            <w:vAlign w:val="center"/>
          </w:tcPr>
          <w:p>
            <w:pPr>
              <w:pStyle w:val="TableContents"/>
              <w:bidi w:val="0"/>
              <w:spacing w:before="0" w:after="283"/>
              <w:jc w:val="left"/>
              <w:rPr/>
            </w:pPr>
            <w:r>
              <w:rPr/>
              <w:t> </w:t>
            </w:r>
          </w:p>
        </w:tc>
        <w:tc>
          <w:tcPr>
            <w:tcW w:w="187" w:type="dxa"/>
            <w:tcBorders/>
            <w:shd w:fill="CCEEFF" w:val="clear"/>
            <w:vAlign w:val="center"/>
          </w:tcPr>
          <w:p>
            <w:pPr>
              <w:pStyle w:val="TableContents"/>
              <w:bidi w:val="0"/>
              <w:spacing w:before="0" w:after="283"/>
              <w:jc w:val="left"/>
              <w:rPr/>
            </w:pPr>
            <w:r>
              <w:rPr/>
              <w:t> </w:t>
            </w:r>
          </w:p>
        </w:tc>
        <w:tc>
          <w:tcPr>
            <w:tcW w:w="1180" w:type="dxa"/>
            <w:tcBorders/>
            <w:shd w:fill="CCEEFF" w:val="clear"/>
            <w:vAlign w:val="center"/>
          </w:tcPr>
          <w:p>
            <w:pPr>
              <w:pStyle w:val="TableContents"/>
              <w:bidi w:val="0"/>
              <w:spacing w:before="0" w:after="283"/>
              <w:jc w:val="right"/>
              <w:rPr/>
            </w:pPr>
            <w:r>
              <w:rPr/>
              <w:t>4,375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7" w:type="dxa"/>
            <w:tcBorders/>
            <w:shd w:fill="CCEEFF" w:val="clear"/>
            <w:vAlign w:val="center"/>
          </w:tcPr>
          <w:p>
            <w:pPr>
              <w:pStyle w:val="TableContents"/>
              <w:bidi w:val="0"/>
              <w:spacing w:before="0" w:after="283"/>
              <w:jc w:val="left"/>
              <w:rPr/>
            </w:pPr>
            <w:r>
              <w:rPr/>
              <w:t> </w:t>
            </w:r>
          </w:p>
        </w:tc>
        <w:tc>
          <w:tcPr>
            <w:tcW w:w="1180" w:type="dxa"/>
            <w:tcBorders/>
            <w:shd w:fill="CCEEFF" w:val="clear"/>
            <w:vAlign w:val="center"/>
          </w:tcPr>
          <w:p>
            <w:pPr>
              <w:pStyle w:val="TableContents"/>
              <w:bidi w:val="0"/>
              <w:spacing w:before="0" w:after="283"/>
              <w:jc w:val="right"/>
              <w:rPr/>
            </w:pPr>
            <w:r>
              <w:rPr/>
              <w:t>22,110</w:t>
            </w:r>
          </w:p>
        </w:tc>
        <w:tc>
          <w:tcPr>
            <w:tcW w:w="259" w:type="dxa"/>
            <w:tcBorders/>
            <w:shd w:fill="CCEEFF" w:val="clear"/>
            <w:vAlign w:val="center"/>
          </w:tcPr>
          <w:p>
            <w:pPr>
              <w:pStyle w:val="TableContents"/>
              <w:bidi w:val="0"/>
              <w:spacing w:before="0" w:after="283"/>
              <w:ind w:left="0" w:right="0" w:hanging="180"/>
              <w:jc w:val="left"/>
              <w:rPr/>
            </w:pPr>
            <w:r>
              <w:rPr/>
              <w:t> </w:t>
            </w:r>
          </w:p>
        </w:tc>
      </w:tr>
      <w:tr>
        <w:trPr/>
        <w:tc>
          <w:tcPr>
            <w:tcW w:w="6997" w:type="dxa"/>
            <w:tcBorders/>
            <w:shd w:fill="FFFFFF" w:val="clear"/>
            <w:vAlign w:val="center"/>
          </w:tcPr>
          <w:p>
            <w:pPr>
              <w:pStyle w:val="TableContents"/>
              <w:bidi w:val="0"/>
              <w:spacing w:before="0" w:after="283"/>
              <w:jc w:val="left"/>
              <w:rPr/>
            </w:pPr>
            <w:r>
              <w:rPr/>
              <w:t>Prepaid expenses and other current assets</w:t>
            </w:r>
          </w:p>
        </w:tc>
        <w:tc>
          <w:tcPr>
            <w:tcW w:w="60" w:type="dxa"/>
            <w:tcBorders/>
            <w:shd w:fill="FFFFFF" w:val="clear"/>
            <w:vAlign w:val="center"/>
          </w:tcPr>
          <w:p>
            <w:pPr>
              <w:pStyle w:val="TableContents"/>
              <w:bidi w:val="0"/>
              <w:spacing w:before="0" w:after="283"/>
              <w:jc w:val="left"/>
              <w:rPr/>
            </w:pPr>
            <w:r>
              <w:rPr/>
              <w:t> </w:t>
            </w:r>
          </w:p>
        </w:tc>
        <w:tc>
          <w:tcPr>
            <w:tcW w:w="187" w:type="dxa"/>
            <w:tcBorders/>
            <w:shd w:fill="FFFFFF" w:val="clear"/>
            <w:vAlign w:val="center"/>
          </w:tcPr>
          <w:p>
            <w:pPr>
              <w:pStyle w:val="TableContents"/>
              <w:bidi w:val="0"/>
              <w:spacing w:before="0" w:after="283"/>
              <w:jc w:val="left"/>
              <w:rPr/>
            </w:pPr>
            <w:r>
              <w:rPr/>
              <w:t> </w:t>
            </w:r>
          </w:p>
        </w:tc>
        <w:tc>
          <w:tcPr>
            <w:tcW w:w="1180" w:type="dxa"/>
            <w:tcBorders/>
            <w:shd w:fill="FFFFFF" w:val="clear"/>
            <w:vAlign w:val="center"/>
          </w:tcPr>
          <w:p>
            <w:pPr>
              <w:pStyle w:val="TableContents"/>
              <w:bidi w:val="0"/>
              <w:spacing w:before="0" w:after="283"/>
              <w:jc w:val="right"/>
              <w:rPr/>
            </w:pPr>
            <w:r>
              <w:rPr/>
              <w:t>16,913</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7" w:type="dxa"/>
            <w:tcBorders/>
            <w:shd w:fill="FFFFFF" w:val="clear"/>
            <w:vAlign w:val="center"/>
          </w:tcPr>
          <w:p>
            <w:pPr>
              <w:pStyle w:val="TableContents"/>
              <w:bidi w:val="0"/>
              <w:spacing w:before="0" w:after="283"/>
              <w:jc w:val="left"/>
              <w:rPr/>
            </w:pPr>
            <w:r>
              <w:rPr/>
              <w:t> </w:t>
            </w:r>
          </w:p>
        </w:tc>
        <w:tc>
          <w:tcPr>
            <w:tcW w:w="1180" w:type="dxa"/>
            <w:tcBorders/>
            <w:shd w:fill="FFFFFF" w:val="clear"/>
            <w:vAlign w:val="center"/>
          </w:tcPr>
          <w:p>
            <w:pPr>
              <w:pStyle w:val="TableContents"/>
              <w:bidi w:val="0"/>
              <w:spacing w:before="0" w:after="283"/>
              <w:jc w:val="right"/>
              <w:rPr/>
            </w:pPr>
            <w:r>
              <w:rPr/>
              <w:t>8,206</w:t>
            </w:r>
          </w:p>
        </w:tc>
        <w:tc>
          <w:tcPr>
            <w:tcW w:w="259" w:type="dxa"/>
            <w:tcBorders/>
            <w:shd w:fill="FFFFFF" w:val="clear"/>
            <w:vAlign w:val="center"/>
          </w:tcPr>
          <w:p>
            <w:pPr>
              <w:pStyle w:val="TableContents"/>
              <w:bidi w:val="0"/>
              <w:spacing w:before="0" w:after="283"/>
              <w:ind w:left="0" w:right="0" w:hanging="180"/>
              <w:jc w:val="left"/>
              <w:rPr/>
            </w:pPr>
            <w:r>
              <w:rPr/>
              <w:t> </w:t>
            </w:r>
          </w:p>
        </w:tc>
      </w:tr>
      <w:tr>
        <w:trPr/>
        <w:tc>
          <w:tcPr>
            <w:tcW w:w="6997" w:type="dxa"/>
            <w:tcBorders/>
            <w:shd w:fill="CCEEFF" w:val="clear"/>
            <w:vAlign w:val="center"/>
          </w:tcPr>
          <w:p>
            <w:pPr>
              <w:pStyle w:val="TableContents"/>
              <w:bidi w:val="0"/>
              <w:spacing w:before="0" w:after="283"/>
              <w:jc w:val="left"/>
              <w:rPr/>
            </w:pPr>
            <w:r>
              <w:rPr/>
              <w:t>Contract assets, current portion</w:t>
            </w:r>
          </w:p>
        </w:tc>
        <w:tc>
          <w:tcPr>
            <w:tcW w:w="60" w:type="dxa"/>
            <w:tcBorders/>
            <w:shd w:fill="CCEEFF" w:val="clear"/>
            <w:vAlign w:val="center"/>
          </w:tcPr>
          <w:p>
            <w:pPr>
              <w:pStyle w:val="TableContents"/>
              <w:bidi w:val="0"/>
              <w:spacing w:before="0" w:after="283"/>
              <w:jc w:val="left"/>
              <w:rPr/>
            </w:pPr>
            <w:r>
              <w:rPr/>
              <w:t> </w:t>
            </w:r>
          </w:p>
        </w:tc>
        <w:tc>
          <w:tcPr>
            <w:tcW w:w="187"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80" w:type="dxa"/>
            <w:tcBorders>
              <w:bottom w:val="single" w:sz="12" w:space="0" w:color="000000"/>
            </w:tcBorders>
            <w:shd w:fill="CCEEFF" w:val="clear"/>
            <w:tcMar>
              <w:bottom w:w="28" w:type="dxa"/>
            </w:tcMar>
            <w:vAlign w:val="center"/>
          </w:tcPr>
          <w:p>
            <w:pPr>
              <w:pStyle w:val="TableContents"/>
              <w:bidi w:val="0"/>
              <w:spacing w:before="0" w:after="283"/>
              <w:jc w:val="right"/>
              <w:rPr/>
            </w:pPr>
            <w:r>
              <w:rPr/>
              <w:t>14,122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7"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80" w:type="dxa"/>
            <w:tcBorders>
              <w:bottom w:val="single" w:sz="12" w:space="0" w:color="000000"/>
            </w:tcBorders>
            <w:shd w:fill="CCEEFF" w:val="clear"/>
            <w:tcMar>
              <w:bottom w:w="28" w:type="dxa"/>
            </w:tcMar>
            <w:vAlign w:val="center"/>
          </w:tcPr>
          <w:p>
            <w:pPr>
              <w:pStyle w:val="TableContents"/>
              <w:bidi w:val="0"/>
              <w:spacing w:before="0" w:after="283"/>
              <w:jc w:val="right"/>
              <w:rPr/>
            </w:pPr>
            <w:r>
              <w:rPr/>
              <w:t>26,066</w:t>
            </w:r>
          </w:p>
        </w:tc>
        <w:tc>
          <w:tcPr>
            <w:tcW w:w="259" w:type="dxa"/>
            <w:tcBorders/>
            <w:shd w:fill="CCEEFF" w:val="clear"/>
            <w:vAlign w:val="center"/>
          </w:tcPr>
          <w:p>
            <w:pPr>
              <w:pStyle w:val="TableContents"/>
              <w:bidi w:val="0"/>
              <w:spacing w:before="0" w:after="283"/>
              <w:ind w:left="0" w:right="0" w:firstLine="180"/>
              <w:jc w:val="left"/>
              <w:rPr/>
            </w:pPr>
            <w:r>
              <w:rPr/>
              <w:t> </w:t>
            </w:r>
          </w:p>
        </w:tc>
      </w:tr>
      <w:tr>
        <w:trPr/>
        <w:tc>
          <w:tcPr>
            <w:tcW w:w="6997" w:type="dxa"/>
            <w:tcBorders/>
            <w:shd w:fill="FFFFFF" w:val="clear"/>
            <w:vAlign w:val="center"/>
          </w:tcPr>
          <w:p>
            <w:pPr>
              <w:pStyle w:val="TableContents"/>
              <w:bidi w:val="0"/>
              <w:spacing w:before="0" w:after="283"/>
              <w:jc w:val="left"/>
              <w:rPr/>
            </w:pPr>
            <w:r>
              <w:rPr/>
              <w:t>Total current assets</w:t>
            </w:r>
          </w:p>
        </w:tc>
        <w:tc>
          <w:tcPr>
            <w:tcW w:w="60" w:type="dxa"/>
            <w:tcBorders/>
            <w:shd w:fill="FFFFFF" w:val="clear"/>
            <w:vAlign w:val="center"/>
          </w:tcPr>
          <w:p>
            <w:pPr>
              <w:pStyle w:val="TableContents"/>
              <w:bidi w:val="0"/>
              <w:spacing w:before="0" w:after="283"/>
              <w:jc w:val="left"/>
              <w:rPr/>
            </w:pPr>
            <w:r>
              <w:rPr/>
              <w:t> </w:t>
            </w:r>
          </w:p>
        </w:tc>
        <w:tc>
          <w:tcPr>
            <w:tcW w:w="187"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80" w:type="dxa"/>
            <w:tcBorders>
              <w:bottom w:val="single" w:sz="12" w:space="0" w:color="000000"/>
            </w:tcBorders>
            <w:shd w:fill="FFFFFF" w:val="clear"/>
            <w:tcMar>
              <w:bottom w:w="28" w:type="dxa"/>
            </w:tcMar>
            <w:vAlign w:val="center"/>
          </w:tcPr>
          <w:p>
            <w:pPr>
              <w:pStyle w:val="TableContents"/>
              <w:bidi w:val="0"/>
              <w:spacing w:before="0" w:after="283"/>
              <w:jc w:val="right"/>
              <w:rPr/>
            </w:pPr>
            <w:r>
              <w:rPr/>
              <w:t>112,851</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7"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80" w:type="dxa"/>
            <w:tcBorders>
              <w:bottom w:val="single" w:sz="12" w:space="0" w:color="000000"/>
            </w:tcBorders>
            <w:shd w:fill="FFFFFF" w:val="clear"/>
            <w:tcMar>
              <w:bottom w:w="28" w:type="dxa"/>
            </w:tcMar>
            <w:vAlign w:val="center"/>
          </w:tcPr>
          <w:p>
            <w:pPr>
              <w:pStyle w:val="TableContents"/>
              <w:bidi w:val="0"/>
              <w:spacing w:before="0" w:after="283"/>
              <w:jc w:val="right"/>
              <w:rPr/>
            </w:pPr>
            <w:r>
              <w:rPr/>
              <w:t>95,602</w:t>
            </w:r>
          </w:p>
        </w:tc>
        <w:tc>
          <w:tcPr>
            <w:tcW w:w="259" w:type="dxa"/>
            <w:tcBorders/>
            <w:shd w:fill="FFFFFF" w:val="clear"/>
            <w:vAlign w:val="center"/>
          </w:tcPr>
          <w:p>
            <w:pPr>
              <w:pStyle w:val="TableContents"/>
              <w:bidi w:val="0"/>
              <w:spacing w:before="0" w:after="283"/>
              <w:ind w:left="0" w:right="0" w:hanging="360"/>
              <w:jc w:val="left"/>
              <w:rPr/>
            </w:pPr>
            <w:r>
              <w:rPr/>
              <w:t> </w:t>
            </w:r>
          </w:p>
        </w:tc>
      </w:tr>
      <w:tr>
        <w:trPr/>
        <w:tc>
          <w:tcPr>
            <w:tcW w:w="6997" w:type="dxa"/>
            <w:tcBorders/>
            <w:shd w:fill="CCEEFF" w:val="clear"/>
            <w:vAlign w:val="center"/>
          </w:tcPr>
          <w:p>
            <w:pPr>
              <w:pStyle w:val="TableContents"/>
              <w:bidi w:val="0"/>
              <w:spacing w:before="0" w:after="283"/>
              <w:jc w:val="left"/>
              <w:rPr/>
            </w:pPr>
            <w:r>
              <w:rPr/>
              <w:t>Restricted cash</w:t>
            </w:r>
          </w:p>
        </w:tc>
        <w:tc>
          <w:tcPr>
            <w:tcW w:w="60" w:type="dxa"/>
            <w:tcBorders/>
            <w:shd w:fill="CCEEFF" w:val="clear"/>
            <w:vAlign w:val="center"/>
          </w:tcPr>
          <w:p>
            <w:pPr>
              <w:pStyle w:val="TableContents"/>
              <w:bidi w:val="0"/>
              <w:spacing w:before="0" w:after="283"/>
              <w:jc w:val="left"/>
              <w:rPr/>
            </w:pPr>
            <w:r>
              <w:rPr/>
              <w:t> </w:t>
            </w:r>
          </w:p>
        </w:tc>
        <w:tc>
          <w:tcPr>
            <w:tcW w:w="187" w:type="dxa"/>
            <w:tcBorders/>
            <w:shd w:fill="CCEEFF" w:val="clear"/>
            <w:vAlign w:val="center"/>
          </w:tcPr>
          <w:p>
            <w:pPr>
              <w:pStyle w:val="TableContents"/>
              <w:bidi w:val="0"/>
              <w:spacing w:before="0" w:after="283"/>
              <w:jc w:val="left"/>
              <w:rPr/>
            </w:pPr>
            <w:r>
              <w:rPr/>
              <w:t> </w:t>
            </w:r>
          </w:p>
        </w:tc>
        <w:tc>
          <w:tcPr>
            <w:tcW w:w="1180" w:type="dxa"/>
            <w:tcBorders/>
            <w:shd w:fill="CCEEFF" w:val="clear"/>
            <w:vAlign w:val="center"/>
          </w:tcPr>
          <w:p>
            <w:pPr>
              <w:pStyle w:val="TableContents"/>
              <w:bidi w:val="0"/>
              <w:spacing w:before="0" w:after="283"/>
              <w:jc w:val="right"/>
              <w:rPr/>
            </w:pPr>
            <w:r>
              <w:rPr/>
              <w:t>3,841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7" w:type="dxa"/>
            <w:tcBorders/>
            <w:shd w:fill="CCEEFF" w:val="clear"/>
            <w:vAlign w:val="center"/>
          </w:tcPr>
          <w:p>
            <w:pPr>
              <w:pStyle w:val="TableContents"/>
              <w:bidi w:val="0"/>
              <w:spacing w:before="0" w:after="283"/>
              <w:jc w:val="left"/>
              <w:rPr/>
            </w:pPr>
            <w:r>
              <w:rPr/>
              <w:t> </w:t>
            </w:r>
          </w:p>
        </w:tc>
        <w:tc>
          <w:tcPr>
            <w:tcW w:w="1180" w:type="dxa"/>
            <w:tcBorders/>
            <w:shd w:fill="CCEEFF" w:val="clear"/>
            <w:vAlign w:val="center"/>
          </w:tcPr>
          <w:p>
            <w:pPr>
              <w:pStyle w:val="TableContents"/>
              <w:bidi w:val="0"/>
              <w:spacing w:before="0" w:after="283"/>
              <w:jc w:val="right"/>
              <w:rPr/>
            </w:pPr>
            <w:r>
              <w:rPr/>
              <w:t>3,841</w:t>
            </w:r>
          </w:p>
        </w:tc>
        <w:tc>
          <w:tcPr>
            <w:tcW w:w="259" w:type="dxa"/>
            <w:tcBorders/>
            <w:shd w:fill="CCEEFF" w:val="clear"/>
            <w:vAlign w:val="center"/>
          </w:tcPr>
          <w:p>
            <w:pPr>
              <w:pStyle w:val="TableContents"/>
              <w:bidi w:val="0"/>
              <w:spacing w:before="0" w:after="283"/>
              <w:ind w:left="0" w:right="0" w:hanging="360"/>
              <w:jc w:val="left"/>
              <w:rPr/>
            </w:pPr>
            <w:r>
              <w:rPr/>
              <w:t> </w:t>
            </w:r>
          </w:p>
        </w:tc>
      </w:tr>
      <w:tr>
        <w:trPr/>
        <w:tc>
          <w:tcPr>
            <w:tcW w:w="6997" w:type="dxa"/>
            <w:tcBorders/>
            <w:shd w:fill="FFFFFF" w:val="clear"/>
            <w:vAlign w:val="center"/>
          </w:tcPr>
          <w:p>
            <w:pPr>
              <w:pStyle w:val="TableContents"/>
              <w:bidi w:val="0"/>
              <w:spacing w:before="0" w:after="283"/>
              <w:jc w:val="left"/>
              <w:rPr/>
            </w:pPr>
            <w:r>
              <w:rPr/>
              <w:t>Property and equipment, net</w:t>
            </w:r>
          </w:p>
        </w:tc>
        <w:tc>
          <w:tcPr>
            <w:tcW w:w="60" w:type="dxa"/>
            <w:tcBorders/>
            <w:shd w:fill="FFFFFF" w:val="clear"/>
            <w:vAlign w:val="center"/>
          </w:tcPr>
          <w:p>
            <w:pPr>
              <w:pStyle w:val="TableContents"/>
              <w:bidi w:val="0"/>
              <w:spacing w:before="0" w:after="283"/>
              <w:jc w:val="left"/>
              <w:rPr/>
            </w:pPr>
            <w:r>
              <w:rPr/>
              <w:t> </w:t>
            </w:r>
          </w:p>
        </w:tc>
        <w:tc>
          <w:tcPr>
            <w:tcW w:w="187" w:type="dxa"/>
            <w:tcBorders/>
            <w:shd w:fill="FFFFFF" w:val="clear"/>
            <w:vAlign w:val="center"/>
          </w:tcPr>
          <w:p>
            <w:pPr>
              <w:pStyle w:val="TableContents"/>
              <w:bidi w:val="0"/>
              <w:spacing w:before="0" w:after="283"/>
              <w:jc w:val="left"/>
              <w:rPr/>
            </w:pPr>
            <w:r>
              <w:rPr/>
              <w:t> </w:t>
            </w:r>
          </w:p>
        </w:tc>
        <w:tc>
          <w:tcPr>
            <w:tcW w:w="1180" w:type="dxa"/>
            <w:tcBorders/>
            <w:shd w:fill="FFFFFF" w:val="clear"/>
            <w:vAlign w:val="center"/>
          </w:tcPr>
          <w:p>
            <w:pPr>
              <w:pStyle w:val="TableContents"/>
              <w:bidi w:val="0"/>
              <w:spacing w:before="0" w:after="283"/>
              <w:jc w:val="right"/>
              <w:rPr/>
            </w:pPr>
            <w:r>
              <w:rPr/>
              <w:t>4,890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7" w:type="dxa"/>
            <w:tcBorders/>
            <w:shd w:fill="FFFFFF" w:val="clear"/>
            <w:vAlign w:val="center"/>
          </w:tcPr>
          <w:p>
            <w:pPr>
              <w:pStyle w:val="TableContents"/>
              <w:bidi w:val="0"/>
              <w:spacing w:before="0" w:after="283"/>
              <w:jc w:val="left"/>
              <w:rPr/>
            </w:pPr>
            <w:r>
              <w:rPr/>
              <w:t> </w:t>
            </w:r>
          </w:p>
        </w:tc>
        <w:tc>
          <w:tcPr>
            <w:tcW w:w="1180" w:type="dxa"/>
            <w:tcBorders/>
            <w:shd w:fill="FFFFFF" w:val="clear"/>
            <w:vAlign w:val="center"/>
          </w:tcPr>
          <w:p>
            <w:pPr>
              <w:pStyle w:val="TableContents"/>
              <w:bidi w:val="0"/>
              <w:spacing w:before="0" w:after="283"/>
              <w:jc w:val="right"/>
              <w:rPr/>
            </w:pPr>
            <w:r>
              <w:rPr/>
              <w:t>5,493</w:t>
            </w:r>
          </w:p>
        </w:tc>
        <w:tc>
          <w:tcPr>
            <w:tcW w:w="259" w:type="dxa"/>
            <w:tcBorders/>
            <w:shd w:fill="FFFFFF" w:val="clear"/>
            <w:vAlign w:val="center"/>
          </w:tcPr>
          <w:p>
            <w:pPr>
              <w:pStyle w:val="TableContents"/>
              <w:bidi w:val="0"/>
              <w:spacing w:before="0" w:after="283"/>
              <w:ind w:left="0" w:right="0" w:hanging="360"/>
              <w:jc w:val="left"/>
              <w:rPr/>
            </w:pPr>
            <w:r>
              <w:rPr/>
              <w:t> </w:t>
            </w:r>
          </w:p>
        </w:tc>
      </w:tr>
      <w:tr>
        <w:trPr/>
        <w:tc>
          <w:tcPr>
            <w:tcW w:w="6997" w:type="dxa"/>
            <w:tcBorders/>
            <w:shd w:fill="CCEEFF" w:val="clear"/>
            <w:vAlign w:val="center"/>
          </w:tcPr>
          <w:p>
            <w:pPr>
              <w:pStyle w:val="TableContents"/>
              <w:bidi w:val="0"/>
              <w:spacing w:before="0" w:after="283"/>
              <w:jc w:val="left"/>
              <w:rPr/>
            </w:pPr>
            <w:r>
              <w:rPr/>
              <w:t>Operating lease right-of-use assets</w:t>
            </w:r>
          </w:p>
        </w:tc>
        <w:tc>
          <w:tcPr>
            <w:tcW w:w="60" w:type="dxa"/>
            <w:tcBorders/>
            <w:shd w:fill="CCEEFF" w:val="clear"/>
            <w:vAlign w:val="center"/>
          </w:tcPr>
          <w:p>
            <w:pPr>
              <w:pStyle w:val="TableContents"/>
              <w:bidi w:val="0"/>
              <w:spacing w:before="0" w:after="283"/>
              <w:jc w:val="left"/>
              <w:rPr/>
            </w:pPr>
            <w:r>
              <w:rPr/>
              <w:t> </w:t>
            </w:r>
          </w:p>
        </w:tc>
        <w:tc>
          <w:tcPr>
            <w:tcW w:w="187" w:type="dxa"/>
            <w:tcBorders/>
            <w:shd w:fill="CCEEFF" w:val="clear"/>
            <w:vAlign w:val="center"/>
          </w:tcPr>
          <w:p>
            <w:pPr>
              <w:pStyle w:val="TableContents"/>
              <w:bidi w:val="0"/>
              <w:spacing w:before="0" w:after="283"/>
              <w:jc w:val="left"/>
              <w:rPr/>
            </w:pPr>
            <w:r>
              <w:rPr/>
              <w:t> </w:t>
            </w:r>
          </w:p>
        </w:tc>
        <w:tc>
          <w:tcPr>
            <w:tcW w:w="1180" w:type="dxa"/>
            <w:tcBorders/>
            <w:shd w:fill="CCEEFF" w:val="clear"/>
            <w:vAlign w:val="center"/>
          </w:tcPr>
          <w:p>
            <w:pPr>
              <w:pStyle w:val="TableContents"/>
              <w:bidi w:val="0"/>
              <w:spacing w:before="0" w:after="283"/>
              <w:jc w:val="right"/>
              <w:rPr/>
            </w:pPr>
            <w:r>
              <w:rPr/>
              <w:t>4,552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7" w:type="dxa"/>
            <w:tcBorders/>
            <w:shd w:fill="CCEEFF" w:val="clear"/>
            <w:vAlign w:val="center"/>
          </w:tcPr>
          <w:p>
            <w:pPr>
              <w:pStyle w:val="TableContents"/>
              <w:bidi w:val="0"/>
              <w:spacing w:before="0" w:after="283"/>
              <w:jc w:val="left"/>
              <w:rPr/>
            </w:pPr>
            <w:r>
              <w:rPr/>
              <w:t> </w:t>
            </w:r>
          </w:p>
        </w:tc>
        <w:tc>
          <w:tcPr>
            <w:tcW w:w="1180" w:type="dxa"/>
            <w:tcBorders/>
            <w:shd w:fill="CCEEFF" w:val="clear"/>
            <w:vAlign w:val="center"/>
          </w:tcPr>
          <w:p>
            <w:pPr>
              <w:pStyle w:val="TableContents"/>
              <w:bidi w:val="0"/>
              <w:spacing w:before="0" w:after="283"/>
              <w:jc w:val="right"/>
              <w:rPr/>
            </w:pPr>
            <w:r>
              <w:rPr/>
              <w:t>3,041</w:t>
            </w:r>
          </w:p>
        </w:tc>
        <w:tc>
          <w:tcPr>
            <w:tcW w:w="259" w:type="dxa"/>
            <w:tcBorders/>
            <w:shd w:fill="CCEEFF" w:val="clear"/>
            <w:vAlign w:val="center"/>
          </w:tcPr>
          <w:p>
            <w:pPr>
              <w:pStyle w:val="TableContents"/>
              <w:bidi w:val="0"/>
              <w:spacing w:before="0" w:after="283"/>
              <w:jc w:val="left"/>
              <w:rPr/>
            </w:pPr>
            <w:r>
              <w:rPr/>
              <w:t> </w:t>
            </w:r>
          </w:p>
        </w:tc>
      </w:tr>
      <w:tr>
        <w:trPr/>
        <w:tc>
          <w:tcPr>
            <w:tcW w:w="6997" w:type="dxa"/>
            <w:tcBorders/>
            <w:shd w:fill="FFFFFF" w:val="clear"/>
            <w:vAlign w:val="center"/>
          </w:tcPr>
          <w:p>
            <w:pPr>
              <w:pStyle w:val="TableContents"/>
              <w:bidi w:val="0"/>
              <w:spacing w:before="0" w:after="283"/>
              <w:jc w:val="left"/>
              <w:rPr/>
            </w:pPr>
            <w:r>
              <w:rPr/>
              <w:t>Other noncurrent assets</w:t>
            </w:r>
          </w:p>
        </w:tc>
        <w:tc>
          <w:tcPr>
            <w:tcW w:w="60" w:type="dxa"/>
            <w:tcBorders/>
            <w:shd w:fill="FFFFFF" w:val="clear"/>
            <w:vAlign w:val="center"/>
          </w:tcPr>
          <w:p>
            <w:pPr>
              <w:pStyle w:val="TableContents"/>
              <w:bidi w:val="0"/>
              <w:spacing w:before="0" w:after="283"/>
              <w:jc w:val="left"/>
              <w:rPr/>
            </w:pPr>
            <w:r>
              <w:rPr/>
              <w:t> </w:t>
            </w:r>
          </w:p>
        </w:tc>
        <w:tc>
          <w:tcPr>
            <w:tcW w:w="187" w:type="dxa"/>
            <w:tcBorders/>
            <w:shd w:fill="FFFFFF" w:val="clear"/>
            <w:vAlign w:val="center"/>
          </w:tcPr>
          <w:p>
            <w:pPr>
              <w:pStyle w:val="TableContents"/>
              <w:bidi w:val="0"/>
              <w:spacing w:before="0" w:after="283"/>
              <w:jc w:val="left"/>
              <w:rPr/>
            </w:pPr>
            <w:r>
              <w:rPr/>
              <w:t> </w:t>
            </w:r>
          </w:p>
        </w:tc>
        <w:tc>
          <w:tcPr>
            <w:tcW w:w="1180" w:type="dxa"/>
            <w:tcBorders/>
            <w:shd w:fill="FFFFFF" w:val="clear"/>
            <w:vAlign w:val="center"/>
          </w:tcPr>
          <w:p>
            <w:pPr>
              <w:pStyle w:val="TableContents"/>
              <w:bidi w:val="0"/>
              <w:spacing w:before="0" w:after="283"/>
              <w:jc w:val="right"/>
              <w:rPr/>
            </w:pPr>
            <w:r>
              <w:rPr/>
              <w:t>1,609</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7" w:type="dxa"/>
            <w:tcBorders/>
            <w:shd w:fill="FFFFFF" w:val="clear"/>
            <w:vAlign w:val="center"/>
          </w:tcPr>
          <w:p>
            <w:pPr>
              <w:pStyle w:val="TableContents"/>
              <w:bidi w:val="0"/>
              <w:spacing w:before="0" w:after="283"/>
              <w:jc w:val="left"/>
              <w:rPr/>
            </w:pPr>
            <w:r>
              <w:rPr/>
              <w:t> </w:t>
            </w:r>
          </w:p>
        </w:tc>
        <w:tc>
          <w:tcPr>
            <w:tcW w:w="1180" w:type="dxa"/>
            <w:tcBorders/>
            <w:shd w:fill="FFFFFF" w:val="clear"/>
            <w:vAlign w:val="center"/>
          </w:tcPr>
          <w:p>
            <w:pPr>
              <w:pStyle w:val="TableContents"/>
              <w:bidi w:val="0"/>
              <w:spacing w:before="0" w:after="283"/>
              <w:jc w:val="right"/>
              <w:rPr/>
            </w:pPr>
            <w:r>
              <w:rPr/>
              <w:t>628</w:t>
            </w:r>
          </w:p>
        </w:tc>
        <w:tc>
          <w:tcPr>
            <w:tcW w:w="259" w:type="dxa"/>
            <w:tcBorders/>
            <w:shd w:fill="FFFFFF" w:val="clear"/>
            <w:vAlign w:val="center"/>
          </w:tcPr>
          <w:p>
            <w:pPr>
              <w:pStyle w:val="TableContents"/>
              <w:bidi w:val="0"/>
              <w:spacing w:before="0" w:after="283"/>
              <w:jc w:val="left"/>
              <w:rPr/>
            </w:pPr>
            <w:r>
              <w:rPr/>
              <w:t> </w:t>
            </w:r>
          </w:p>
        </w:tc>
      </w:tr>
      <w:tr>
        <w:trPr/>
        <w:tc>
          <w:tcPr>
            <w:tcW w:w="6997" w:type="dxa"/>
            <w:tcBorders/>
            <w:shd w:fill="CCEEFF" w:val="clear"/>
            <w:vAlign w:val="center"/>
          </w:tcPr>
          <w:p>
            <w:pPr>
              <w:pStyle w:val="TableContents"/>
              <w:bidi w:val="0"/>
              <w:spacing w:before="0" w:after="283"/>
              <w:jc w:val="left"/>
              <w:rPr/>
            </w:pPr>
            <w:r>
              <w:rPr/>
              <w:t>Goodwill</w:t>
            </w:r>
          </w:p>
        </w:tc>
        <w:tc>
          <w:tcPr>
            <w:tcW w:w="60" w:type="dxa"/>
            <w:tcBorders/>
            <w:shd w:fill="CCEEFF" w:val="clear"/>
            <w:vAlign w:val="center"/>
          </w:tcPr>
          <w:p>
            <w:pPr>
              <w:pStyle w:val="TableContents"/>
              <w:bidi w:val="0"/>
              <w:spacing w:before="0" w:after="283"/>
              <w:jc w:val="left"/>
              <w:rPr/>
            </w:pPr>
            <w:r>
              <w:rPr/>
              <w:t> </w:t>
            </w:r>
          </w:p>
        </w:tc>
        <w:tc>
          <w:tcPr>
            <w:tcW w:w="187" w:type="dxa"/>
            <w:tcBorders/>
            <w:shd w:fill="CCEEFF" w:val="clear"/>
            <w:vAlign w:val="center"/>
          </w:tcPr>
          <w:p>
            <w:pPr>
              <w:pStyle w:val="TableContents"/>
              <w:bidi w:val="0"/>
              <w:spacing w:before="0" w:after="283"/>
              <w:jc w:val="left"/>
              <w:rPr/>
            </w:pPr>
            <w:r>
              <w:rPr/>
              <w:t> </w:t>
            </w:r>
          </w:p>
        </w:tc>
        <w:tc>
          <w:tcPr>
            <w:tcW w:w="1180" w:type="dxa"/>
            <w:tcBorders/>
            <w:shd w:fill="CCEEFF" w:val="clear"/>
            <w:vAlign w:val="center"/>
          </w:tcPr>
          <w:p>
            <w:pPr>
              <w:pStyle w:val="TableContents"/>
              <w:bidi w:val="0"/>
              <w:spacing w:before="0" w:after="283"/>
              <w:jc w:val="right"/>
              <w:rPr/>
            </w:pPr>
            <w:r>
              <w:rPr/>
              <w:t>62,630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7" w:type="dxa"/>
            <w:tcBorders/>
            <w:shd w:fill="CCEEFF" w:val="clear"/>
            <w:vAlign w:val="center"/>
          </w:tcPr>
          <w:p>
            <w:pPr>
              <w:pStyle w:val="TableContents"/>
              <w:bidi w:val="0"/>
              <w:spacing w:before="0" w:after="283"/>
              <w:jc w:val="left"/>
              <w:rPr/>
            </w:pPr>
            <w:r>
              <w:rPr/>
              <w:t> </w:t>
            </w:r>
          </w:p>
        </w:tc>
        <w:tc>
          <w:tcPr>
            <w:tcW w:w="1180" w:type="dxa"/>
            <w:tcBorders/>
            <w:shd w:fill="CCEEFF" w:val="clear"/>
            <w:vAlign w:val="center"/>
          </w:tcPr>
          <w:p>
            <w:pPr>
              <w:pStyle w:val="TableContents"/>
              <w:bidi w:val="0"/>
              <w:spacing w:before="0" w:after="283"/>
              <w:jc w:val="right"/>
              <w:rPr/>
            </w:pPr>
            <w:r>
              <w:rPr/>
              <w:t>18,476</w:t>
            </w:r>
          </w:p>
        </w:tc>
        <w:tc>
          <w:tcPr>
            <w:tcW w:w="259" w:type="dxa"/>
            <w:tcBorders/>
            <w:shd w:fill="CCEEFF" w:val="clear"/>
            <w:vAlign w:val="center"/>
          </w:tcPr>
          <w:p>
            <w:pPr>
              <w:pStyle w:val="TableContents"/>
              <w:bidi w:val="0"/>
              <w:spacing w:before="0" w:after="283"/>
              <w:jc w:val="left"/>
              <w:rPr/>
            </w:pPr>
            <w:r>
              <w:rPr/>
              <w:t> </w:t>
            </w:r>
          </w:p>
        </w:tc>
      </w:tr>
      <w:tr>
        <w:trPr/>
        <w:tc>
          <w:tcPr>
            <w:tcW w:w="6997" w:type="dxa"/>
            <w:tcBorders/>
            <w:shd w:fill="FFFFFF" w:val="clear"/>
            <w:vAlign w:val="center"/>
          </w:tcPr>
          <w:p>
            <w:pPr>
              <w:pStyle w:val="TableContents"/>
              <w:bidi w:val="0"/>
              <w:spacing w:before="0" w:after="283"/>
              <w:jc w:val="left"/>
              <w:rPr/>
            </w:pPr>
            <w:r>
              <w:rPr/>
              <w:t>Intangible assets, net</w:t>
            </w:r>
          </w:p>
        </w:tc>
        <w:tc>
          <w:tcPr>
            <w:tcW w:w="60" w:type="dxa"/>
            <w:tcBorders/>
            <w:shd w:fill="FFFFFF" w:val="clear"/>
            <w:vAlign w:val="center"/>
          </w:tcPr>
          <w:p>
            <w:pPr>
              <w:pStyle w:val="TableContents"/>
              <w:bidi w:val="0"/>
              <w:spacing w:before="0" w:after="283"/>
              <w:jc w:val="left"/>
              <w:rPr/>
            </w:pPr>
            <w:r>
              <w:rPr/>
              <w:t> </w:t>
            </w:r>
          </w:p>
        </w:tc>
        <w:tc>
          <w:tcPr>
            <w:tcW w:w="187"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80" w:type="dxa"/>
            <w:tcBorders>
              <w:bottom w:val="single" w:sz="12" w:space="0" w:color="000000"/>
            </w:tcBorders>
            <w:shd w:fill="FFFFFF" w:val="clear"/>
            <w:tcMar>
              <w:bottom w:w="28" w:type="dxa"/>
            </w:tcMar>
            <w:vAlign w:val="center"/>
          </w:tcPr>
          <w:p>
            <w:pPr>
              <w:pStyle w:val="TableContents"/>
              <w:bidi w:val="0"/>
              <w:spacing w:before="0" w:after="283"/>
              <w:jc w:val="right"/>
              <w:rPr/>
            </w:pPr>
            <w:r>
              <w:rPr/>
              <w:t>50,814</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7"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80" w:type="dxa"/>
            <w:tcBorders>
              <w:bottom w:val="single" w:sz="12" w:space="0" w:color="000000"/>
            </w:tcBorders>
            <w:shd w:fill="FFFFFF" w:val="clear"/>
            <w:tcMar>
              <w:bottom w:w="28" w:type="dxa"/>
            </w:tcMar>
            <w:vAlign w:val="center"/>
          </w:tcPr>
          <w:p>
            <w:pPr>
              <w:pStyle w:val="TableContents"/>
              <w:bidi w:val="0"/>
              <w:spacing w:before="0" w:after="283"/>
              <w:jc w:val="right"/>
              <w:rPr/>
            </w:pPr>
            <w:r>
              <w:rPr/>
              <w:t>17,385</w:t>
            </w:r>
          </w:p>
        </w:tc>
        <w:tc>
          <w:tcPr>
            <w:tcW w:w="259" w:type="dxa"/>
            <w:tcBorders/>
            <w:shd w:fill="FFFFFF" w:val="clear"/>
            <w:vAlign w:val="center"/>
          </w:tcPr>
          <w:p>
            <w:pPr>
              <w:pStyle w:val="TableContents"/>
              <w:bidi w:val="0"/>
              <w:spacing w:before="0" w:after="283"/>
              <w:ind w:left="0" w:right="0" w:hanging="180"/>
              <w:jc w:val="left"/>
              <w:rPr/>
            </w:pPr>
            <w:r>
              <w:rPr/>
              <w:t> </w:t>
            </w:r>
          </w:p>
        </w:tc>
      </w:tr>
      <w:tr>
        <w:trPr/>
        <w:tc>
          <w:tcPr>
            <w:tcW w:w="6997" w:type="dxa"/>
            <w:tcBorders/>
            <w:shd w:fill="CCEEFF" w:val="clear"/>
            <w:vAlign w:val="center"/>
          </w:tcPr>
          <w:p>
            <w:pPr>
              <w:pStyle w:val="TableContents"/>
              <w:bidi w:val="0"/>
              <w:spacing w:before="0" w:after="283"/>
              <w:jc w:val="left"/>
              <w:rPr/>
            </w:pPr>
            <w:r>
              <w:rPr/>
              <w:t>Total assets</w:t>
            </w:r>
          </w:p>
        </w:tc>
        <w:tc>
          <w:tcPr>
            <w:tcW w:w="60" w:type="dxa"/>
            <w:tcBorders/>
            <w:shd w:fill="CCEEFF" w:val="clear"/>
            <w:vAlign w:val="center"/>
          </w:tcPr>
          <w:p>
            <w:pPr>
              <w:pStyle w:val="TableContents"/>
              <w:bidi w:val="0"/>
              <w:spacing w:before="0" w:after="283"/>
              <w:jc w:val="left"/>
              <w:rPr/>
            </w:pPr>
            <w:r>
              <w:rPr/>
              <w:t> </w:t>
            </w:r>
          </w:p>
        </w:tc>
        <w:tc>
          <w:tcPr>
            <w:tcW w:w="187"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180" w:type="dxa"/>
            <w:tcBorders>
              <w:bottom w:val="double" w:sz="10" w:space="0" w:color="000000"/>
            </w:tcBorders>
            <w:shd w:fill="CCEEFF" w:val="clear"/>
            <w:tcMar>
              <w:bottom w:w="28" w:type="dxa"/>
            </w:tcMar>
            <w:vAlign w:val="center"/>
          </w:tcPr>
          <w:p>
            <w:pPr>
              <w:pStyle w:val="TableContents"/>
              <w:bidi w:val="0"/>
              <w:spacing w:before="0" w:after="283"/>
              <w:jc w:val="right"/>
              <w:rPr/>
            </w:pPr>
            <w:r>
              <w:rPr/>
              <w:t>241,187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7"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180" w:type="dxa"/>
            <w:tcBorders>
              <w:bottom w:val="double" w:sz="10" w:space="0" w:color="000000"/>
            </w:tcBorders>
            <w:shd w:fill="CCEEFF" w:val="clear"/>
            <w:tcMar>
              <w:bottom w:w="28" w:type="dxa"/>
            </w:tcMar>
            <w:vAlign w:val="center"/>
          </w:tcPr>
          <w:p>
            <w:pPr>
              <w:pStyle w:val="TableContents"/>
              <w:bidi w:val="0"/>
              <w:spacing w:before="0" w:after="283"/>
              <w:jc w:val="right"/>
              <w:rPr/>
            </w:pPr>
            <w:r>
              <w:rPr/>
              <w:t>144,466</w:t>
            </w:r>
          </w:p>
        </w:tc>
        <w:tc>
          <w:tcPr>
            <w:tcW w:w="259" w:type="dxa"/>
            <w:tcBorders/>
            <w:shd w:fill="CCEEFF" w:val="clear"/>
            <w:vAlign w:val="center"/>
          </w:tcPr>
          <w:p>
            <w:pPr>
              <w:pStyle w:val="TableContents"/>
              <w:bidi w:val="0"/>
              <w:spacing w:before="0" w:after="283"/>
              <w:ind w:left="0" w:right="0" w:hanging="180"/>
              <w:jc w:val="left"/>
              <w:rPr/>
            </w:pPr>
            <w:r>
              <w:rPr/>
              <w:t> </w:t>
            </w:r>
          </w:p>
        </w:tc>
      </w:tr>
      <w:tr>
        <w:trPr/>
        <w:tc>
          <w:tcPr>
            <w:tcW w:w="6997"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7" w:type="dxa"/>
            <w:tcBorders/>
            <w:shd w:fill="FFFFFF" w:val="clear"/>
            <w:vAlign w:val="center"/>
          </w:tcPr>
          <w:p>
            <w:pPr>
              <w:pStyle w:val="TableContents"/>
              <w:bidi w:val="0"/>
              <w:spacing w:before="0" w:after="283"/>
              <w:jc w:val="left"/>
              <w:rPr/>
            </w:pPr>
            <w:r>
              <w:rPr/>
              <w:t> </w:t>
            </w:r>
          </w:p>
        </w:tc>
        <w:tc>
          <w:tcPr>
            <w:tcW w:w="118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7" w:type="dxa"/>
            <w:tcBorders/>
            <w:shd w:fill="FFFFFF" w:val="clear"/>
            <w:vAlign w:val="center"/>
          </w:tcPr>
          <w:p>
            <w:pPr>
              <w:pStyle w:val="TableContents"/>
              <w:bidi w:val="0"/>
              <w:spacing w:before="0" w:after="283"/>
              <w:jc w:val="left"/>
              <w:rPr/>
            </w:pPr>
            <w:r>
              <w:rPr/>
              <w:t> </w:t>
            </w:r>
          </w:p>
        </w:tc>
        <w:tc>
          <w:tcPr>
            <w:tcW w:w="1180" w:type="dxa"/>
            <w:tcBorders/>
            <w:shd w:fill="FFFFFF" w:val="clear"/>
            <w:vAlign w:val="center"/>
          </w:tcPr>
          <w:p>
            <w:pPr>
              <w:pStyle w:val="TableContents"/>
              <w:bidi w:val="0"/>
              <w:spacing w:before="0" w:after="283"/>
              <w:jc w:val="right"/>
              <w:rPr/>
            </w:pPr>
            <w:r>
              <w:rPr/>
              <w:t> </w:t>
            </w:r>
          </w:p>
        </w:tc>
        <w:tc>
          <w:tcPr>
            <w:tcW w:w="259" w:type="dxa"/>
            <w:tcBorders/>
            <w:shd w:fill="FFFFFF" w:val="clear"/>
            <w:vAlign w:val="center"/>
          </w:tcPr>
          <w:p>
            <w:pPr>
              <w:pStyle w:val="TableContents"/>
              <w:bidi w:val="0"/>
              <w:spacing w:before="0" w:after="283"/>
              <w:ind w:left="0" w:right="0" w:hanging="180"/>
              <w:jc w:val="left"/>
              <w:rPr/>
            </w:pPr>
            <w:r>
              <w:rPr/>
              <w:t> </w:t>
            </w:r>
          </w:p>
        </w:tc>
      </w:tr>
      <w:tr>
        <w:trPr/>
        <w:tc>
          <w:tcPr>
            <w:tcW w:w="6997" w:type="dxa"/>
            <w:tcBorders/>
            <w:shd w:fill="CCEEFF" w:val="clear"/>
            <w:vAlign w:val="center"/>
          </w:tcPr>
          <w:p>
            <w:pPr>
              <w:pStyle w:val="TableContents"/>
              <w:bidi w:val="0"/>
              <w:spacing w:before="0" w:after="283"/>
              <w:jc w:val="left"/>
              <w:rPr>
                <w:b/>
              </w:rPr>
            </w:pPr>
            <w:r>
              <w:rPr>
                <w:b/>
              </w:rPr>
              <w:t>LIABILITIES AND STOCKHOLDERS’ DEFICIT</w:t>
            </w:r>
          </w:p>
        </w:tc>
        <w:tc>
          <w:tcPr>
            <w:tcW w:w="60" w:type="dxa"/>
            <w:tcBorders/>
            <w:shd w:fill="CCEEFF" w:val="clear"/>
            <w:vAlign w:val="center"/>
          </w:tcPr>
          <w:p>
            <w:pPr>
              <w:pStyle w:val="TableContents"/>
              <w:bidi w:val="0"/>
              <w:spacing w:before="0" w:after="283"/>
              <w:jc w:val="left"/>
              <w:rPr/>
            </w:pPr>
            <w:r>
              <w:rPr/>
              <w:t> </w:t>
            </w:r>
          </w:p>
        </w:tc>
        <w:tc>
          <w:tcPr>
            <w:tcW w:w="187" w:type="dxa"/>
            <w:tcBorders/>
            <w:shd w:fill="CCEEFF" w:val="clear"/>
            <w:vAlign w:val="center"/>
          </w:tcPr>
          <w:p>
            <w:pPr>
              <w:pStyle w:val="TableContents"/>
              <w:bidi w:val="0"/>
              <w:spacing w:before="0" w:after="283"/>
              <w:jc w:val="left"/>
              <w:rPr/>
            </w:pPr>
            <w:r>
              <w:rPr/>
              <w:t> </w:t>
            </w:r>
          </w:p>
        </w:tc>
        <w:tc>
          <w:tcPr>
            <w:tcW w:w="118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7" w:type="dxa"/>
            <w:tcBorders/>
            <w:shd w:fill="CCEEFF" w:val="clear"/>
            <w:vAlign w:val="center"/>
          </w:tcPr>
          <w:p>
            <w:pPr>
              <w:pStyle w:val="TableContents"/>
              <w:bidi w:val="0"/>
              <w:spacing w:before="0" w:after="283"/>
              <w:jc w:val="left"/>
              <w:rPr/>
            </w:pPr>
            <w:r>
              <w:rPr/>
              <w:t> </w:t>
            </w:r>
          </w:p>
        </w:tc>
        <w:tc>
          <w:tcPr>
            <w:tcW w:w="1180" w:type="dxa"/>
            <w:tcBorders/>
            <w:shd w:fill="CCEEFF" w:val="clear"/>
            <w:vAlign w:val="center"/>
          </w:tcPr>
          <w:p>
            <w:pPr>
              <w:pStyle w:val="TableContents"/>
              <w:bidi w:val="0"/>
              <w:spacing w:before="0" w:after="283"/>
              <w:jc w:val="right"/>
              <w:rPr/>
            </w:pPr>
            <w:r>
              <w:rPr/>
              <w:t> </w:t>
            </w:r>
          </w:p>
        </w:tc>
        <w:tc>
          <w:tcPr>
            <w:tcW w:w="259" w:type="dxa"/>
            <w:tcBorders/>
            <w:shd w:fill="CCEEFF" w:val="clear"/>
            <w:vAlign w:val="center"/>
          </w:tcPr>
          <w:p>
            <w:pPr>
              <w:pStyle w:val="TableContents"/>
              <w:bidi w:val="0"/>
              <w:spacing w:before="0" w:after="283"/>
              <w:jc w:val="left"/>
              <w:rPr/>
            </w:pPr>
            <w:r>
              <w:rPr/>
              <w:t> </w:t>
            </w:r>
          </w:p>
        </w:tc>
      </w:tr>
      <w:tr>
        <w:trPr/>
        <w:tc>
          <w:tcPr>
            <w:tcW w:w="6997" w:type="dxa"/>
            <w:tcBorders/>
            <w:shd w:fill="FFFFFF" w:val="clear"/>
            <w:vAlign w:val="center"/>
          </w:tcPr>
          <w:p>
            <w:pPr>
              <w:pStyle w:val="TableContents"/>
              <w:bidi w:val="0"/>
              <w:spacing w:before="0" w:after="283"/>
              <w:jc w:val="left"/>
              <w:rPr/>
            </w:pPr>
            <w:r>
              <w:rPr/>
              <w:t>Current liabilities:</w:t>
            </w:r>
          </w:p>
        </w:tc>
        <w:tc>
          <w:tcPr>
            <w:tcW w:w="60" w:type="dxa"/>
            <w:tcBorders/>
            <w:shd w:fill="FFFFFF" w:val="clear"/>
            <w:vAlign w:val="center"/>
          </w:tcPr>
          <w:p>
            <w:pPr>
              <w:pStyle w:val="TableContents"/>
              <w:bidi w:val="0"/>
              <w:spacing w:before="0" w:after="283"/>
              <w:jc w:val="left"/>
              <w:rPr/>
            </w:pPr>
            <w:r>
              <w:rPr/>
              <w:t> </w:t>
            </w:r>
          </w:p>
        </w:tc>
        <w:tc>
          <w:tcPr>
            <w:tcW w:w="187" w:type="dxa"/>
            <w:tcBorders/>
            <w:shd w:fill="FFFFFF" w:val="clear"/>
            <w:vAlign w:val="center"/>
          </w:tcPr>
          <w:p>
            <w:pPr>
              <w:pStyle w:val="TableContents"/>
              <w:bidi w:val="0"/>
              <w:spacing w:before="0" w:after="283"/>
              <w:jc w:val="left"/>
              <w:rPr/>
            </w:pPr>
            <w:r>
              <w:rPr/>
              <w:t> </w:t>
            </w:r>
          </w:p>
        </w:tc>
        <w:tc>
          <w:tcPr>
            <w:tcW w:w="118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7" w:type="dxa"/>
            <w:tcBorders/>
            <w:shd w:fill="FFFFFF" w:val="clear"/>
            <w:vAlign w:val="center"/>
          </w:tcPr>
          <w:p>
            <w:pPr>
              <w:pStyle w:val="TableContents"/>
              <w:bidi w:val="0"/>
              <w:spacing w:before="0" w:after="283"/>
              <w:jc w:val="left"/>
              <w:rPr/>
            </w:pPr>
            <w:r>
              <w:rPr/>
              <w:t> </w:t>
            </w:r>
          </w:p>
        </w:tc>
        <w:tc>
          <w:tcPr>
            <w:tcW w:w="1180" w:type="dxa"/>
            <w:tcBorders/>
            <w:shd w:fill="FFFFFF" w:val="clear"/>
            <w:vAlign w:val="center"/>
          </w:tcPr>
          <w:p>
            <w:pPr>
              <w:pStyle w:val="TableContents"/>
              <w:bidi w:val="0"/>
              <w:spacing w:before="0" w:after="283"/>
              <w:jc w:val="right"/>
              <w:rPr/>
            </w:pPr>
            <w:r>
              <w:rPr/>
              <w:t> </w:t>
            </w:r>
          </w:p>
        </w:tc>
        <w:tc>
          <w:tcPr>
            <w:tcW w:w="259" w:type="dxa"/>
            <w:tcBorders/>
            <w:shd w:fill="FFFFFF" w:val="clear"/>
            <w:vAlign w:val="center"/>
          </w:tcPr>
          <w:p>
            <w:pPr>
              <w:pStyle w:val="TableContents"/>
              <w:bidi w:val="0"/>
              <w:spacing w:before="0" w:after="283"/>
              <w:ind w:left="0" w:right="0" w:hanging="180"/>
              <w:jc w:val="left"/>
              <w:rPr/>
            </w:pPr>
            <w:r>
              <w:rPr/>
              <w:t> </w:t>
            </w:r>
          </w:p>
        </w:tc>
      </w:tr>
      <w:tr>
        <w:trPr/>
        <w:tc>
          <w:tcPr>
            <w:tcW w:w="6997" w:type="dxa"/>
            <w:tcBorders/>
            <w:shd w:fill="CCEEFF" w:val="clear"/>
            <w:vAlign w:val="center"/>
          </w:tcPr>
          <w:p>
            <w:pPr>
              <w:pStyle w:val="TableContents"/>
              <w:bidi w:val="0"/>
              <w:spacing w:before="0" w:after="283"/>
              <w:jc w:val="left"/>
              <w:rPr/>
            </w:pPr>
            <w:r>
              <w:rPr/>
              <w:t>Accounts payable</w:t>
            </w:r>
          </w:p>
        </w:tc>
        <w:tc>
          <w:tcPr>
            <w:tcW w:w="60" w:type="dxa"/>
            <w:tcBorders/>
            <w:shd w:fill="CCEEFF" w:val="clear"/>
            <w:vAlign w:val="center"/>
          </w:tcPr>
          <w:p>
            <w:pPr>
              <w:pStyle w:val="TableContents"/>
              <w:bidi w:val="0"/>
              <w:spacing w:before="0" w:after="283"/>
              <w:jc w:val="left"/>
              <w:rPr/>
            </w:pPr>
            <w:r>
              <w:rPr/>
              <w:t> </w:t>
            </w:r>
          </w:p>
        </w:tc>
        <w:tc>
          <w:tcPr>
            <w:tcW w:w="187" w:type="dxa"/>
            <w:tcBorders/>
            <w:shd w:fill="CCEEFF" w:val="clear"/>
            <w:vAlign w:val="center"/>
          </w:tcPr>
          <w:p>
            <w:pPr>
              <w:pStyle w:val="TableContents"/>
              <w:bidi w:val="0"/>
              <w:spacing w:before="0" w:after="283"/>
              <w:jc w:val="left"/>
              <w:rPr/>
            </w:pPr>
            <w:r>
              <w:rPr/>
              <w:t>$</w:t>
            </w:r>
          </w:p>
        </w:tc>
        <w:tc>
          <w:tcPr>
            <w:tcW w:w="1180" w:type="dxa"/>
            <w:tcBorders/>
            <w:shd w:fill="CCEEFF" w:val="clear"/>
            <w:vAlign w:val="center"/>
          </w:tcPr>
          <w:p>
            <w:pPr>
              <w:pStyle w:val="TableContents"/>
              <w:bidi w:val="0"/>
              <w:spacing w:before="0" w:after="283"/>
              <w:jc w:val="right"/>
              <w:rPr/>
            </w:pPr>
            <w:r>
              <w:rPr/>
              <w:t>26,240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7" w:type="dxa"/>
            <w:tcBorders/>
            <w:shd w:fill="CCEEFF" w:val="clear"/>
            <w:vAlign w:val="center"/>
          </w:tcPr>
          <w:p>
            <w:pPr>
              <w:pStyle w:val="TableContents"/>
              <w:bidi w:val="0"/>
              <w:spacing w:before="0" w:after="283"/>
              <w:jc w:val="left"/>
              <w:rPr/>
            </w:pPr>
            <w:r>
              <w:rPr/>
              <w:t>$</w:t>
            </w:r>
          </w:p>
        </w:tc>
        <w:tc>
          <w:tcPr>
            <w:tcW w:w="1180" w:type="dxa"/>
            <w:tcBorders/>
            <w:shd w:fill="CCEEFF" w:val="clear"/>
            <w:vAlign w:val="center"/>
          </w:tcPr>
          <w:p>
            <w:pPr>
              <w:pStyle w:val="TableContents"/>
              <w:bidi w:val="0"/>
              <w:spacing w:before="0" w:after="283"/>
              <w:jc w:val="right"/>
              <w:rPr/>
            </w:pPr>
            <w:r>
              <w:rPr/>
              <w:t>7,980</w:t>
            </w:r>
          </w:p>
        </w:tc>
        <w:tc>
          <w:tcPr>
            <w:tcW w:w="259" w:type="dxa"/>
            <w:tcBorders/>
            <w:shd w:fill="CCEEFF" w:val="clear"/>
            <w:vAlign w:val="center"/>
          </w:tcPr>
          <w:p>
            <w:pPr>
              <w:pStyle w:val="TableContents"/>
              <w:bidi w:val="0"/>
              <w:spacing w:before="0" w:after="283"/>
              <w:ind w:left="0" w:right="0" w:hanging="180"/>
              <w:jc w:val="left"/>
              <w:rPr/>
            </w:pPr>
            <w:r>
              <w:rPr/>
              <w:t> </w:t>
            </w:r>
          </w:p>
        </w:tc>
      </w:tr>
      <w:tr>
        <w:trPr/>
        <w:tc>
          <w:tcPr>
            <w:tcW w:w="6997" w:type="dxa"/>
            <w:tcBorders/>
            <w:shd w:fill="FFFFFF" w:val="clear"/>
            <w:vAlign w:val="center"/>
          </w:tcPr>
          <w:p>
            <w:pPr>
              <w:pStyle w:val="TableContents"/>
              <w:bidi w:val="0"/>
              <w:spacing w:before="0" w:after="283"/>
              <w:jc w:val="left"/>
              <w:rPr>
                <w:sz w:val="20"/>
              </w:rPr>
            </w:pPr>
            <w:r>
              <w:rPr>
                <w:sz w:val="20"/>
              </w:rPr>
              <w:t xml:space="preserve">Accrued expenses and other current liabilities </w:t>
            </w:r>
            <w:r>
              <w:rPr>
                <w:position w:val="7"/>
                <w:sz w:val="16"/>
                <w:sz w:val="20"/>
              </w:rPr>
              <w:t>(1)</w:t>
            </w:r>
          </w:p>
        </w:tc>
        <w:tc>
          <w:tcPr>
            <w:tcW w:w="60" w:type="dxa"/>
            <w:tcBorders/>
            <w:shd w:fill="FFFFFF" w:val="clear"/>
            <w:vAlign w:val="center"/>
          </w:tcPr>
          <w:p>
            <w:pPr>
              <w:pStyle w:val="TableContents"/>
              <w:bidi w:val="0"/>
              <w:spacing w:before="0" w:after="283"/>
              <w:jc w:val="left"/>
              <w:rPr/>
            </w:pPr>
            <w:r>
              <w:rPr/>
              <w:t> </w:t>
            </w:r>
          </w:p>
        </w:tc>
        <w:tc>
          <w:tcPr>
            <w:tcW w:w="187" w:type="dxa"/>
            <w:tcBorders/>
            <w:shd w:fill="FFFFFF" w:val="clear"/>
            <w:vAlign w:val="center"/>
          </w:tcPr>
          <w:p>
            <w:pPr>
              <w:pStyle w:val="TableContents"/>
              <w:bidi w:val="0"/>
              <w:spacing w:before="0" w:after="283"/>
              <w:jc w:val="left"/>
              <w:rPr/>
            </w:pPr>
            <w:r>
              <w:rPr/>
              <w:t> </w:t>
            </w:r>
          </w:p>
        </w:tc>
        <w:tc>
          <w:tcPr>
            <w:tcW w:w="1180" w:type="dxa"/>
            <w:tcBorders/>
            <w:shd w:fill="FFFFFF" w:val="clear"/>
            <w:vAlign w:val="center"/>
          </w:tcPr>
          <w:p>
            <w:pPr>
              <w:pStyle w:val="TableContents"/>
              <w:bidi w:val="0"/>
              <w:spacing w:before="0" w:after="283"/>
              <w:jc w:val="right"/>
              <w:rPr/>
            </w:pPr>
            <w:r>
              <w:rPr/>
              <w:t>56,977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7" w:type="dxa"/>
            <w:tcBorders/>
            <w:shd w:fill="FFFFFF" w:val="clear"/>
            <w:vAlign w:val="center"/>
          </w:tcPr>
          <w:p>
            <w:pPr>
              <w:pStyle w:val="TableContents"/>
              <w:bidi w:val="0"/>
              <w:spacing w:before="0" w:after="283"/>
              <w:jc w:val="left"/>
              <w:rPr/>
            </w:pPr>
            <w:r>
              <w:rPr/>
              <w:t> </w:t>
            </w:r>
          </w:p>
        </w:tc>
        <w:tc>
          <w:tcPr>
            <w:tcW w:w="1180" w:type="dxa"/>
            <w:tcBorders/>
            <w:shd w:fill="FFFFFF" w:val="clear"/>
            <w:vAlign w:val="center"/>
          </w:tcPr>
          <w:p>
            <w:pPr>
              <w:pStyle w:val="TableContents"/>
              <w:bidi w:val="0"/>
              <w:spacing w:before="0" w:after="283"/>
              <w:jc w:val="right"/>
              <w:rPr/>
            </w:pPr>
            <w:r>
              <w:rPr/>
              <w:t>56,081</w:t>
            </w:r>
          </w:p>
        </w:tc>
        <w:tc>
          <w:tcPr>
            <w:tcW w:w="259" w:type="dxa"/>
            <w:tcBorders/>
            <w:shd w:fill="FFFFFF" w:val="clear"/>
            <w:vAlign w:val="center"/>
          </w:tcPr>
          <w:p>
            <w:pPr>
              <w:pStyle w:val="TableContents"/>
              <w:bidi w:val="0"/>
              <w:spacing w:before="0" w:after="283"/>
              <w:ind w:left="0" w:right="0" w:hanging="180"/>
              <w:jc w:val="left"/>
              <w:rPr/>
            </w:pPr>
            <w:r>
              <w:rPr/>
              <w:t> </w:t>
            </w:r>
          </w:p>
        </w:tc>
      </w:tr>
      <w:tr>
        <w:trPr/>
        <w:tc>
          <w:tcPr>
            <w:tcW w:w="6997" w:type="dxa"/>
            <w:tcBorders/>
            <w:shd w:fill="CCEEFF" w:val="clear"/>
            <w:vAlign w:val="center"/>
          </w:tcPr>
          <w:p>
            <w:pPr>
              <w:pStyle w:val="TableContents"/>
              <w:bidi w:val="0"/>
              <w:spacing w:before="0" w:after="283"/>
              <w:jc w:val="left"/>
              <w:rPr/>
            </w:pPr>
            <w:r>
              <w:rPr/>
              <w:t>Short-term debt with related parties</w:t>
            </w:r>
          </w:p>
        </w:tc>
        <w:tc>
          <w:tcPr>
            <w:tcW w:w="60" w:type="dxa"/>
            <w:tcBorders/>
            <w:shd w:fill="CCEEFF" w:val="clear"/>
            <w:vAlign w:val="center"/>
          </w:tcPr>
          <w:p>
            <w:pPr>
              <w:pStyle w:val="TableContents"/>
              <w:bidi w:val="0"/>
              <w:spacing w:before="0" w:after="283"/>
              <w:jc w:val="left"/>
              <w:rPr/>
            </w:pPr>
            <w:r>
              <w:rPr/>
              <w:t> </w:t>
            </w:r>
          </w:p>
        </w:tc>
        <w:tc>
          <w:tcPr>
            <w:tcW w:w="187" w:type="dxa"/>
            <w:tcBorders/>
            <w:shd w:fill="CCEEFF" w:val="clear"/>
            <w:vAlign w:val="center"/>
          </w:tcPr>
          <w:p>
            <w:pPr>
              <w:pStyle w:val="TableContents"/>
              <w:bidi w:val="0"/>
              <w:spacing w:before="0" w:after="283"/>
              <w:jc w:val="left"/>
              <w:rPr/>
            </w:pPr>
            <w:r>
              <w:rPr/>
              <w:t> </w:t>
            </w:r>
          </w:p>
        </w:tc>
        <w:tc>
          <w:tcPr>
            <w:tcW w:w="1180" w:type="dxa"/>
            <w:tcBorders/>
            <w:shd w:fill="CCEEFF" w:val="clear"/>
            <w:vAlign w:val="center"/>
          </w:tcPr>
          <w:p>
            <w:pPr>
              <w:pStyle w:val="TableContents"/>
              <w:bidi w:val="0"/>
              <w:spacing w:before="0" w:after="283"/>
              <w:jc w:val="right"/>
              <w:rPr/>
            </w:pPr>
            <w:r>
              <w:rPr/>
              <w:t>21,500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7" w:type="dxa"/>
            <w:tcBorders/>
            <w:shd w:fill="CCEEFF" w:val="clear"/>
            <w:vAlign w:val="center"/>
          </w:tcPr>
          <w:p>
            <w:pPr>
              <w:pStyle w:val="TableContents"/>
              <w:bidi w:val="0"/>
              <w:spacing w:before="0" w:after="283"/>
              <w:jc w:val="left"/>
              <w:rPr/>
            </w:pPr>
            <w:r>
              <w:rPr/>
              <w:t> </w:t>
            </w:r>
          </w:p>
        </w:tc>
        <w:tc>
          <w:tcPr>
            <w:tcW w:w="1180" w:type="dxa"/>
            <w:tcBorders/>
            <w:shd w:fill="CCEEFF" w:val="clear"/>
            <w:vAlign w:val="center"/>
          </w:tcPr>
          <w:p>
            <w:pPr>
              <w:pStyle w:val="TableContents"/>
              <w:bidi w:val="0"/>
              <w:spacing w:before="0" w:after="283"/>
              <w:jc w:val="right"/>
              <w:rPr/>
            </w:pPr>
            <w:r>
              <w:rPr/>
              <w:t>1,500</w:t>
            </w:r>
          </w:p>
        </w:tc>
        <w:tc>
          <w:tcPr>
            <w:tcW w:w="259" w:type="dxa"/>
            <w:tcBorders/>
            <w:shd w:fill="CCEEFF" w:val="clear"/>
            <w:vAlign w:val="center"/>
          </w:tcPr>
          <w:p>
            <w:pPr>
              <w:pStyle w:val="TableContents"/>
              <w:bidi w:val="0"/>
              <w:spacing w:before="0" w:after="283"/>
              <w:ind w:left="0" w:right="0" w:hanging="180"/>
              <w:jc w:val="left"/>
              <w:rPr/>
            </w:pPr>
            <w:r>
              <w:rPr/>
              <w:t> </w:t>
            </w:r>
          </w:p>
        </w:tc>
      </w:tr>
      <w:tr>
        <w:trPr/>
        <w:tc>
          <w:tcPr>
            <w:tcW w:w="6997" w:type="dxa"/>
            <w:tcBorders/>
            <w:shd w:fill="FFFFFF" w:val="clear"/>
            <w:vAlign w:val="center"/>
          </w:tcPr>
          <w:p>
            <w:pPr>
              <w:pStyle w:val="TableContents"/>
              <w:bidi w:val="0"/>
              <w:spacing w:before="0" w:after="283"/>
              <w:jc w:val="left"/>
              <w:rPr/>
            </w:pPr>
            <w:r>
              <w:rPr/>
              <w:t>Current portion of long-term notes payable</w:t>
            </w:r>
          </w:p>
        </w:tc>
        <w:tc>
          <w:tcPr>
            <w:tcW w:w="60" w:type="dxa"/>
            <w:tcBorders/>
            <w:shd w:fill="FFFFFF" w:val="clear"/>
            <w:vAlign w:val="center"/>
          </w:tcPr>
          <w:p>
            <w:pPr>
              <w:pStyle w:val="TableContents"/>
              <w:bidi w:val="0"/>
              <w:spacing w:before="0" w:after="283"/>
              <w:jc w:val="left"/>
              <w:rPr/>
            </w:pPr>
            <w:r>
              <w:rPr/>
              <w:t> </w:t>
            </w:r>
          </w:p>
        </w:tc>
        <w:tc>
          <w:tcPr>
            <w:tcW w:w="187" w:type="dxa"/>
            <w:tcBorders/>
            <w:shd w:fill="FFFFFF" w:val="clear"/>
            <w:vAlign w:val="center"/>
          </w:tcPr>
          <w:p>
            <w:pPr>
              <w:pStyle w:val="TableContents"/>
              <w:bidi w:val="0"/>
              <w:spacing w:before="0" w:after="283"/>
              <w:jc w:val="left"/>
              <w:rPr/>
            </w:pPr>
            <w:r>
              <w:rPr/>
              <w:t> </w:t>
            </w:r>
          </w:p>
        </w:tc>
        <w:tc>
          <w:tcPr>
            <w:tcW w:w="1180" w:type="dxa"/>
            <w:tcBorders/>
            <w:shd w:fill="FFFFFF" w:val="clear"/>
            <w:vAlign w:val="center"/>
          </w:tcPr>
          <w:p>
            <w:pPr>
              <w:pStyle w:val="TableContents"/>
              <w:bidi w:val="0"/>
              <w:spacing w:before="0" w:after="283"/>
              <w:jc w:val="right"/>
              <w:rPr/>
            </w:pPr>
            <w:r>
              <w:rPr/>
              <w:t>2,786</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7" w:type="dxa"/>
            <w:tcBorders/>
            <w:shd w:fill="FFFFFF" w:val="clear"/>
            <w:vAlign w:val="center"/>
          </w:tcPr>
          <w:p>
            <w:pPr>
              <w:pStyle w:val="TableContents"/>
              <w:bidi w:val="0"/>
              <w:spacing w:before="0" w:after="283"/>
              <w:jc w:val="left"/>
              <w:rPr/>
            </w:pPr>
            <w:r>
              <w:rPr/>
              <w:t> </w:t>
            </w:r>
          </w:p>
        </w:tc>
        <w:tc>
          <w:tcPr>
            <w:tcW w:w="1180" w:type="dxa"/>
            <w:tcBorders/>
            <w:shd w:fill="FFFFFF" w:val="clear"/>
            <w:vAlign w:val="center"/>
          </w:tcPr>
          <w:p>
            <w:pPr>
              <w:pStyle w:val="TableContents"/>
              <w:bidi w:val="0"/>
              <w:spacing w:before="0" w:after="283"/>
              <w:jc w:val="right"/>
              <w:rPr/>
            </w:pPr>
            <w:r>
              <w:rPr/>
              <w:t>—</w:t>
            </w:r>
          </w:p>
        </w:tc>
        <w:tc>
          <w:tcPr>
            <w:tcW w:w="259" w:type="dxa"/>
            <w:tcBorders/>
            <w:shd w:fill="FFFFFF" w:val="clear"/>
            <w:vAlign w:val="center"/>
          </w:tcPr>
          <w:p>
            <w:pPr>
              <w:pStyle w:val="TableContents"/>
              <w:bidi w:val="0"/>
              <w:spacing w:before="0" w:after="283"/>
              <w:ind w:left="0" w:right="0" w:hanging="180"/>
              <w:jc w:val="left"/>
              <w:rPr/>
            </w:pPr>
            <w:r>
              <w:rPr/>
              <w:t> </w:t>
            </w:r>
          </w:p>
        </w:tc>
      </w:tr>
      <w:tr>
        <w:trPr/>
        <w:tc>
          <w:tcPr>
            <w:tcW w:w="6997" w:type="dxa"/>
            <w:tcBorders/>
            <w:shd w:fill="CCEEFF" w:val="clear"/>
            <w:vAlign w:val="center"/>
          </w:tcPr>
          <w:p>
            <w:pPr>
              <w:pStyle w:val="TableContents"/>
              <w:bidi w:val="0"/>
              <w:spacing w:before="0" w:after="283"/>
              <w:jc w:val="left"/>
              <w:rPr/>
            </w:pPr>
            <w:r>
              <w:rPr/>
              <w:t>Deferred consideration, current with related party</w:t>
            </w:r>
          </w:p>
        </w:tc>
        <w:tc>
          <w:tcPr>
            <w:tcW w:w="60" w:type="dxa"/>
            <w:tcBorders/>
            <w:shd w:fill="CCEEFF" w:val="clear"/>
            <w:vAlign w:val="center"/>
          </w:tcPr>
          <w:p>
            <w:pPr>
              <w:pStyle w:val="TableContents"/>
              <w:bidi w:val="0"/>
              <w:spacing w:before="0" w:after="283"/>
              <w:jc w:val="left"/>
              <w:rPr/>
            </w:pPr>
            <w:r>
              <w:rPr/>
              <w:t> </w:t>
            </w:r>
          </w:p>
        </w:tc>
        <w:tc>
          <w:tcPr>
            <w:tcW w:w="187" w:type="dxa"/>
            <w:tcBorders/>
            <w:shd w:fill="CCEEFF" w:val="clear"/>
            <w:vAlign w:val="center"/>
          </w:tcPr>
          <w:p>
            <w:pPr>
              <w:pStyle w:val="TableContents"/>
              <w:bidi w:val="0"/>
              <w:spacing w:before="0" w:after="283"/>
              <w:jc w:val="left"/>
              <w:rPr/>
            </w:pPr>
            <w:r>
              <w:rPr/>
              <w:t> </w:t>
            </w:r>
          </w:p>
        </w:tc>
        <w:tc>
          <w:tcPr>
            <w:tcW w:w="1180" w:type="dxa"/>
            <w:tcBorders/>
            <w:shd w:fill="CCEEFF" w:val="clear"/>
            <w:vAlign w:val="center"/>
          </w:tcPr>
          <w:p>
            <w:pPr>
              <w:pStyle w:val="TableContents"/>
              <w:bidi w:val="0"/>
              <w:spacing w:before="0" w:after="283"/>
              <w:jc w:val="right"/>
              <w:rPr/>
            </w:pPr>
            <w:r>
              <w:rPr/>
              <w:t>16,879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7" w:type="dxa"/>
            <w:tcBorders/>
            <w:shd w:fill="CCEEFF" w:val="clear"/>
            <w:vAlign w:val="center"/>
          </w:tcPr>
          <w:p>
            <w:pPr>
              <w:pStyle w:val="TableContents"/>
              <w:bidi w:val="0"/>
              <w:spacing w:before="0" w:after="283"/>
              <w:jc w:val="left"/>
              <w:rPr/>
            </w:pPr>
            <w:r>
              <w:rPr/>
              <w:t> </w:t>
            </w:r>
          </w:p>
        </w:tc>
        <w:tc>
          <w:tcPr>
            <w:tcW w:w="1180" w:type="dxa"/>
            <w:tcBorders/>
            <w:shd w:fill="CCEEFF" w:val="clear"/>
            <w:vAlign w:val="center"/>
          </w:tcPr>
          <w:p>
            <w:pPr>
              <w:pStyle w:val="TableContents"/>
              <w:bidi w:val="0"/>
              <w:spacing w:before="0" w:after="283"/>
              <w:jc w:val="right"/>
              <w:rPr/>
            </w:pPr>
            <w:r>
              <w:rPr/>
              <w:t>—</w:t>
            </w:r>
          </w:p>
        </w:tc>
        <w:tc>
          <w:tcPr>
            <w:tcW w:w="259" w:type="dxa"/>
            <w:tcBorders/>
            <w:shd w:fill="CCEEFF" w:val="clear"/>
            <w:vAlign w:val="center"/>
          </w:tcPr>
          <w:p>
            <w:pPr>
              <w:pStyle w:val="TableContents"/>
              <w:bidi w:val="0"/>
              <w:spacing w:before="0" w:after="283"/>
              <w:ind w:left="0" w:right="0" w:hanging="180"/>
              <w:jc w:val="left"/>
              <w:rPr/>
            </w:pPr>
            <w:r>
              <w:rPr/>
              <w:t> </w:t>
            </w:r>
          </w:p>
        </w:tc>
      </w:tr>
      <w:tr>
        <w:trPr/>
        <w:tc>
          <w:tcPr>
            <w:tcW w:w="6997" w:type="dxa"/>
            <w:tcBorders/>
            <w:shd w:fill="FFFFFF" w:val="clear"/>
            <w:vAlign w:val="center"/>
          </w:tcPr>
          <w:p>
            <w:pPr>
              <w:pStyle w:val="TableContents"/>
              <w:bidi w:val="0"/>
              <w:spacing w:before="0" w:after="283"/>
              <w:jc w:val="left"/>
              <w:rPr/>
            </w:pPr>
            <w:r>
              <w:rPr/>
              <w:t>Deferred consideration, current</w:t>
            </w:r>
          </w:p>
        </w:tc>
        <w:tc>
          <w:tcPr>
            <w:tcW w:w="60" w:type="dxa"/>
            <w:tcBorders/>
            <w:shd w:fill="FFFFFF" w:val="clear"/>
            <w:vAlign w:val="center"/>
          </w:tcPr>
          <w:p>
            <w:pPr>
              <w:pStyle w:val="TableContents"/>
              <w:bidi w:val="0"/>
              <w:spacing w:before="0" w:after="283"/>
              <w:jc w:val="left"/>
              <w:rPr/>
            </w:pPr>
            <w:r>
              <w:rPr/>
              <w:t> </w:t>
            </w:r>
          </w:p>
        </w:tc>
        <w:tc>
          <w:tcPr>
            <w:tcW w:w="187" w:type="dxa"/>
            <w:tcBorders/>
            <w:shd w:fill="FFFFFF" w:val="clear"/>
            <w:vAlign w:val="center"/>
          </w:tcPr>
          <w:p>
            <w:pPr>
              <w:pStyle w:val="TableContents"/>
              <w:bidi w:val="0"/>
              <w:spacing w:before="0" w:after="283"/>
              <w:jc w:val="left"/>
              <w:rPr/>
            </w:pPr>
            <w:r>
              <w:rPr/>
              <w:t> </w:t>
            </w:r>
          </w:p>
        </w:tc>
        <w:tc>
          <w:tcPr>
            <w:tcW w:w="1180" w:type="dxa"/>
            <w:tcBorders/>
            <w:shd w:fill="FFFFFF" w:val="clear"/>
            <w:vAlign w:val="center"/>
          </w:tcPr>
          <w:p>
            <w:pPr>
              <w:pStyle w:val="TableContents"/>
              <w:bidi w:val="0"/>
              <w:spacing w:before="0" w:after="283"/>
              <w:jc w:val="right"/>
              <w:rPr/>
            </w:pPr>
            <w:r>
              <w:rPr/>
              <w:t>5,420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7" w:type="dxa"/>
            <w:tcBorders/>
            <w:shd w:fill="FFFFFF" w:val="clear"/>
            <w:vAlign w:val="center"/>
          </w:tcPr>
          <w:p>
            <w:pPr>
              <w:pStyle w:val="TableContents"/>
              <w:bidi w:val="0"/>
              <w:spacing w:before="0" w:after="283"/>
              <w:jc w:val="left"/>
              <w:rPr/>
            </w:pPr>
            <w:r>
              <w:rPr/>
              <w:t> </w:t>
            </w:r>
          </w:p>
        </w:tc>
        <w:tc>
          <w:tcPr>
            <w:tcW w:w="1180" w:type="dxa"/>
            <w:tcBorders/>
            <w:shd w:fill="FFFFFF" w:val="clear"/>
            <w:vAlign w:val="center"/>
          </w:tcPr>
          <w:p>
            <w:pPr>
              <w:pStyle w:val="TableContents"/>
              <w:bidi w:val="0"/>
              <w:spacing w:before="0" w:after="283"/>
              <w:jc w:val="right"/>
              <w:rPr/>
            </w:pPr>
            <w:r>
              <w:rPr/>
              <w:t>—</w:t>
            </w:r>
          </w:p>
        </w:tc>
        <w:tc>
          <w:tcPr>
            <w:tcW w:w="259" w:type="dxa"/>
            <w:tcBorders/>
            <w:shd w:fill="FFFFFF" w:val="clear"/>
            <w:vAlign w:val="center"/>
          </w:tcPr>
          <w:p>
            <w:pPr>
              <w:pStyle w:val="TableContents"/>
              <w:bidi w:val="0"/>
              <w:spacing w:before="0" w:after="283"/>
              <w:ind w:left="0" w:right="0" w:hanging="180"/>
              <w:jc w:val="left"/>
              <w:rPr/>
            </w:pPr>
            <w:r>
              <w:rPr/>
              <w:t> </w:t>
            </w:r>
          </w:p>
        </w:tc>
      </w:tr>
      <w:tr>
        <w:trPr/>
        <w:tc>
          <w:tcPr>
            <w:tcW w:w="6997" w:type="dxa"/>
            <w:tcBorders/>
            <w:shd w:fill="CCEEFF" w:val="clear"/>
            <w:vAlign w:val="center"/>
          </w:tcPr>
          <w:p>
            <w:pPr>
              <w:pStyle w:val="TableContents"/>
              <w:bidi w:val="0"/>
              <w:spacing w:before="0" w:after="283"/>
              <w:jc w:val="left"/>
              <w:rPr/>
            </w:pPr>
            <w:r>
              <w:rPr/>
              <w:t>Contract liabilities, current portion</w:t>
            </w:r>
          </w:p>
        </w:tc>
        <w:tc>
          <w:tcPr>
            <w:tcW w:w="60" w:type="dxa"/>
            <w:tcBorders/>
            <w:shd w:fill="CCEEFF" w:val="clear"/>
            <w:vAlign w:val="center"/>
          </w:tcPr>
          <w:p>
            <w:pPr>
              <w:pStyle w:val="TableContents"/>
              <w:bidi w:val="0"/>
              <w:spacing w:before="0" w:after="283"/>
              <w:jc w:val="left"/>
              <w:rPr/>
            </w:pPr>
            <w:r>
              <w:rPr/>
              <w:t> </w:t>
            </w:r>
          </w:p>
        </w:tc>
        <w:tc>
          <w:tcPr>
            <w:tcW w:w="187" w:type="dxa"/>
            <w:tcBorders/>
            <w:shd w:fill="CCEEFF" w:val="clear"/>
            <w:vAlign w:val="center"/>
          </w:tcPr>
          <w:p>
            <w:pPr>
              <w:pStyle w:val="TableContents"/>
              <w:bidi w:val="0"/>
              <w:spacing w:before="0" w:after="283"/>
              <w:jc w:val="left"/>
              <w:rPr/>
            </w:pPr>
            <w:r>
              <w:rPr/>
              <w:t> </w:t>
            </w:r>
          </w:p>
        </w:tc>
        <w:tc>
          <w:tcPr>
            <w:tcW w:w="1180" w:type="dxa"/>
            <w:tcBorders/>
            <w:shd w:fill="CCEEFF" w:val="clear"/>
            <w:vAlign w:val="center"/>
          </w:tcPr>
          <w:p>
            <w:pPr>
              <w:pStyle w:val="TableContents"/>
              <w:bidi w:val="0"/>
              <w:spacing w:before="0" w:after="283"/>
              <w:jc w:val="right"/>
              <w:rPr/>
            </w:pPr>
            <w:r>
              <w:rPr/>
              <w:t>20,336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7" w:type="dxa"/>
            <w:tcBorders/>
            <w:shd w:fill="CCEEFF" w:val="clear"/>
            <w:vAlign w:val="center"/>
          </w:tcPr>
          <w:p>
            <w:pPr>
              <w:pStyle w:val="TableContents"/>
              <w:bidi w:val="0"/>
              <w:spacing w:before="0" w:after="283"/>
              <w:jc w:val="left"/>
              <w:rPr/>
            </w:pPr>
            <w:r>
              <w:rPr/>
              <w:t> </w:t>
            </w:r>
          </w:p>
        </w:tc>
        <w:tc>
          <w:tcPr>
            <w:tcW w:w="1180" w:type="dxa"/>
            <w:tcBorders/>
            <w:shd w:fill="CCEEFF" w:val="clear"/>
            <w:vAlign w:val="center"/>
          </w:tcPr>
          <w:p>
            <w:pPr>
              <w:pStyle w:val="TableContents"/>
              <w:bidi w:val="0"/>
              <w:spacing w:before="0" w:after="283"/>
              <w:jc w:val="right"/>
              <w:rPr/>
            </w:pPr>
            <w:r>
              <w:rPr/>
              <w:t>10,003</w:t>
            </w:r>
          </w:p>
        </w:tc>
        <w:tc>
          <w:tcPr>
            <w:tcW w:w="259" w:type="dxa"/>
            <w:tcBorders/>
            <w:shd w:fill="CCEEFF" w:val="clear"/>
            <w:vAlign w:val="center"/>
          </w:tcPr>
          <w:p>
            <w:pPr>
              <w:pStyle w:val="TableContents"/>
              <w:bidi w:val="0"/>
              <w:spacing w:before="0" w:after="283"/>
              <w:ind w:left="0" w:right="0" w:hanging="180"/>
              <w:jc w:val="left"/>
              <w:rPr/>
            </w:pPr>
            <w:r>
              <w:rPr/>
              <w:t> </w:t>
            </w:r>
          </w:p>
        </w:tc>
      </w:tr>
      <w:tr>
        <w:trPr/>
        <w:tc>
          <w:tcPr>
            <w:tcW w:w="6997" w:type="dxa"/>
            <w:tcBorders/>
            <w:shd w:fill="FFFFFF" w:val="clear"/>
            <w:vAlign w:val="center"/>
          </w:tcPr>
          <w:p>
            <w:pPr>
              <w:pStyle w:val="TableContents"/>
              <w:bidi w:val="0"/>
              <w:spacing w:before="0" w:after="283"/>
              <w:jc w:val="left"/>
              <w:rPr/>
            </w:pPr>
            <w:r>
              <w:rPr/>
              <w:t>SAFE Agreement with related party</w:t>
            </w:r>
          </w:p>
        </w:tc>
        <w:tc>
          <w:tcPr>
            <w:tcW w:w="60" w:type="dxa"/>
            <w:tcBorders/>
            <w:shd w:fill="FFFFFF" w:val="clear"/>
            <w:vAlign w:val="center"/>
          </w:tcPr>
          <w:p>
            <w:pPr>
              <w:pStyle w:val="TableContents"/>
              <w:bidi w:val="0"/>
              <w:spacing w:before="0" w:after="283"/>
              <w:jc w:val="left"/>
              <w:rPr/>
            </w:pPr>
            <w:r>
              <w:rPr/>
              <w:t> </w:t>
            </w:r>
          </w:p>
        </w:tc>
        <w:tc>
          <w:tcPr>
            <w:tcW w:w="187" w:type="dxa"/>
            <w:tcBorders/>
            <w:shd w:fill="FFFFFF" w:val="clear"/>
            <w:vAlign w:val="center"/>
          </w:tcPr>
          <w:p>
            <w:pPr>
              <w:pStyle w:val="TableContents"/>
              <w:bidi w:val="0"/>
              <w:spacing w:before="0" w:after="283"/>
              <w:jc w:val="left"/>
              <w:rPr/>
            </w:pPr>
            <w:r>
              <w:rPr/>
              <w:t> </w:t>
            </w:r>
          </w:p>
        </w:tc>
        <w:tc>
          <w:tcPr>
            <w:tcW w:w="1180" w:type="dxa"/>
            <w:tcBorders/>
            <w:shd w:fill="FFFFFF" w:val="clear"/>
            <w:vAlign w:val="center"/>
          </w:tcPr>
          <w:p>
            <w:pPr>
              <w:pStyle w:val="TableContents"/>
              <w:bidi w:val="0"/>
              <w:spacing w:before="0" w:after="283"/>
              <w:jc w:val="right"/>
              <w:rPr/>
            </w:pPr>
            <w:r>
              <w:rPr/>
              <w:t>535</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7" w:type="dxa"/>
            <w:tcBorders/>
            <w:shd w:fill="FFFFFF" w:val="clear"/>
            <w:vAlign w:val="center"/>
          </w:tcPr>
          <w:p>
            <w:pPr>
              <w:pStyle w:val="TableContents"/>
              <w:bidi w:val="0"/>
              <w:spacing w:before="0" w:after="283"/>
              <w:jc w:val="left"/>
              <w:rPr/>
            </w:pPr>
            <w:r>
              <w:rPr/>
              <w:t> </w:t>
            </w:r>
          </w:p>
        </w:tc>
        <w:tc>
          <w:tcPr>
            <w:tcW w:w="1180" w:type="dxa"/>
            <w:tcBorders/>
            <w:shd w:fill="FFFFFF" w:val="clear"/>
            <w:vAlign w:val="center"/>
          </w:tcPr>
          <w:p>
            <w:pPr>
              <w:pStyle w:val="TableContents"/>
              <w:bidi w:val="0"/>
              <w:spacing w:before="0" w:after="283"/>
              <w:jc w:val="right"/>
              <w:rPr/>
            </w:pPr>
            <w:r>
              <w:rPr/>
              <w:t>384</w:t>
            </w:r>
          </w:p>
        </w:tc>
        <w:tc>
          <w:tcPr>
            <w:tcW w:w="259" w:type="dxa"/>
            <w:tcBorders/>
            <w:shd w:fill="FFFFFF" w:val="clear"/>
            <w:vAlign w:val="center"/>
          </w:tcPr>
          <w:p>
            <w:pPr>
              <w:pStyle w:val="TableContents"/>
              <w:bidi w:val="0"/>
              <w:spacing w:before="0" w:after="283"/>
              <w:ind w:left="0" w:right="0" w:hanging="180"/>
              <w:jc w:val="left"/>
              <w:rPr/>
            </w:pPr>
            <w:r>
              <w:rPr/>
              <w:t> </w:t>
            </w:r>
          </w:p>
        </w:tc>
      </w:tr>
      <w:tr>
        <w:trPr/>
        <w:tc>
          <w:tcPr>
            <w:tcW w:w="6997" w:type="dxa"/>
            <w:tcBorders/>
            <w:shd w:fill="CCEEFF" w:val="clear"/>
            <w:vAlign w:val="center"/>
          </w:tcPr>
          <w:p>
            <w:pPr>
              <w:pStyle w:val="TableContents"/>
              <w:bidi w:val="0"/>
              <w:spacing w:before="0" w:after="283"/>
              <w:jc w:val="left"/>
              <w:rPr/>
            </w:pPr>
            <w:r>
              <w:rPr/>
              <w:t>Forward purchase agreement liabilities with related parties</w:t>
            </w:r>
          </w:p>
        </w:tc>
        <w:tc>
          <w:tcPr>
            <w:tcW w:w="60" w:type="dxa"/>
            <w:tcBorders/>
            <w:shd w:fill="CCEEFF" w:val="clear"/>
            <w:vAlign w:val="center"/>
          </w:tcPr>
          <w:p>
            <w:pPr>
              <w:pStyle w:val="TableContents"/>
              <w:bidi w:val="0"/>
              <w:spacing w:before="0" w:after="283"/>
              <w:jc w:val="left"/>
              <w:rPr/>
            </w:pPr>
            <w:r>
              <w:rPr/>
              <w:t> </w:t>
            </w:r>
          </w:p>
        </w:tc>
        <w:tc>
          <w:tcPr>
            <w:tcW w:w="187" w:type="dxa"/>
            <w:tcBorders/>
            <w:shd w:fill="CCEEFF" w:val="clear"/>
            <w:vAlign w:val="center"/>
          </w:tcPr>
          <w:p>
            <w:pPr>
              <w:pStyle w:val="TableContents"/>
              <w:bidi w:val="0"/>
              <w:spacing w:before="0" w:after="283"/>
              <w:jc w:val="left"/>
              <w:rPr/>
            </w:pPr>
            <w:r>
              <w:rPr/>
              <w:t> </w:t>
            </w:r>
          </w:p>
        </w:tc>
        <w:tc>
          <w:tcPr>
            <w:tcW w:w="1180"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7" w:type="dxa"/>
            <w:tcBorders/>
            <w:shd w:fill="CCEEFF" w:val="clear"/>
            <w:vAlign w:val="center"/>
          </w:tcPr>
          <w:p>
            <w:pPr>
              <w:pStyle w:val="TableContents"/>
              <w:bidi w:val="0"/>
              <w:spacing w:before="0" w:after="283"/>
              <w:jc w:val="left"/>
              <w:rPr/>
            </w:pPr>
            <w:r>
              <w:rPr/>
              <w:t> </w:t>
            </w:r>
          </w:p>
        </w:tc>
        <w:tc>
          <w:tcPr>
            <w:tcW w:w="1180" w:type="dxa"/>
            <w:tcBorders/>
            <w:shd w:fill="CCEEFF" w:val="clear"/>
            <w:vAlign w:val="center"/>
          </w:tcPr>
          <w:p>
            <w:pPr>
              <w:pStyle w:val="TableContents"/>
              <w:bidi w:val="0"/>
              <w:spacing w:before="0" w:after="283"/>
              <w:jc w:val="right"/>
              <w:rPr/>
            </w:pPr>
            <w:r>
              <w:rPr/>
              <w:t>1,274</w:t>
            </w:r>
          </w:p>
        </w:tc>
        <w:tc>
          <w:tcPr>
            <w:tcW w:w="259" w:type="dxa"/>
            <w:tcBorders/>
            <w:shd w:fill="CCEEFF" w:val="clear"/>
            <w:vAlign w:val="center"/>
          </w:tcPr>
          <w:p>
            <w:pPr>
              <w:pStyle w:val="TableContents"/>
              <w:bidi w:val="0"/>
              <w:spacing w:before="0" w:after="283"/>
              <w:ind w:left="0" w:right="0" w:hanging="180"/>
              <w:jc w:val="left"/>
              <w:rPr/>
            </w:pPr>
            <w:r>
              <w:rPr/>
              <w:t> </w:t>
            </w:r>
          </w:p>
        </w:tc>
      </w:tr>
      <w:tr>
        <w:trPr/>
        <w:tc>
          <w:tcPr>
            <w:tcW w:w="6997" w:type="dxa"/>
            <w:tcBorders/>
            <w:shd w:fill="FFFFFF" w:val="clear"/>
            <w:vAlign w:val="center"/>
          </w:tcPr>
          <w:p>
            <w:pPr>
              <w:pStyle w:val="TableContents"/>
              <w:bidi w:val="0"/>
              <w:spacing w:before="0" w:after="283"/>
              <w:jc w:val="left"/>
              <w:rPr/>
            </w:pPr>
            <w:r>
              <w:rPr/>
              <w:t>Forward purchase agreement liabilities</w:t>
            </w:r>
          </w:p>
        </w:tc>
        <w:tc>
          <w:tcPr>
            <w:tcW w:w="60" w:type="dxa"/>
            <w:tcBorders/>
            <w:shd w:fill="FFFFFF" w:val="clear"/>
            <w:vAlign w:val="center"/>
          </w:tcPr>
          <w:p>
            <w:pPr>
              <w:pStyle w:val="TableContents"/>
              <w:bidi w:val="0"/>
              <w:spacing w:before="0" w:after="283"/>
              <w:jc w:val="left"/>
              <w:rPr/>
            </w:pPr>
            <w:r>
              <w:rPr/>
              <w:t> </w:t>
            </w:r>
          </w:p>
        </w:tc>
        <w:tc>
          <w:tcPr>
            <w:tcW w:w="187"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80" w:type="dxa"/>
            <w:tcBorders>
              <w:bottom w:val="single" w:sz="12" w:space="0" w:color="000000"/>
            </w:tcBorders>
            <w:shd w:fill="FFFFFF" w:val="clear"/>
            <w:tcMar>
              <w:bottom w:w="28" w:type="dxa"/>
            </w:tcMar>
            <w:vAlign w:val="center"/>
          </w:tcPr>
          <w:p>
            <w:pPr>
              <w:pStyle w:val="TableContents"/>
              <w:bidi w:val="0"/>
              <w:spacing w:before="0" w:after="283"/>
              <w:jc w:val="right"/>
              <w:rPr/>
            </w:pPr>
            <w:r>
              <w:rPr/>
              <w:t>3,965</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7"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80" w:type="dxa"/>
            <w:tcBorders>
              <w:bottom w:val="single" w:sz="12" w:space="0" w:color="000000"/>
            </w:tcBorders>
            <w:shd w:fill="FFFFFF" w:val="clear"/>
            <w:tcMar>
              <w:bottom w:w="28" w:type="dxa"/>
            </w:tcMar>
            <w:vAlign w:val="center"/>
          </w:tcPr>
          <w:p>
            <w:pPr>
              <w:pStyle w:val="TableContents"/>
              <w:bidi w:val="0"/>
              <w:spacing w:before="0" w:after="283"/>
              <w:jc w:val="right"/>
              <w:rPr/>
            </w:pPr>
            <w:r>
              <w:rPr/>
              <w:t>2,220</w:t>
            </w:r>
          </w:p>
        </w:tc>
        <w:tc>
          <w:tcPr>
            <w:tcW w:w="259" w:type="dxa"/>
            <w:tcBorders/>
            <w:shd w:fill="FFFFFF" w:val="clear"/>
            <w:vAlign w:val="center"/>
          </w:tcPr>
          <w:p>
            <w:pPr>
              <w:pStyle w:val="TableContents"/>
              <w:bidi w:val="0"/>
              <w:spacing w:before="0" w:after="283"/>
              <w:ind w:left="0" w:right="0" w:hanging="180"/>
              <w:jc w:val="left"/>
              <w:rPr/>
            </w:pPr>
            <w:r>
              <w:rPr/>
              <w:t> </w:t>
            </w:r>
          </w:p>
        </w:tc>
      </w:tr>
      <w:tr>
        <w:trPr/>
        <w:tc>
          <w:tcPr>
            <w:tcW w:w="6997" w:type="dxa"/>
            <w:tcBorders/>
            <w:shd w:fill="CCEEFF" w:val="clear"/>
            <w:vAlign w:val="center"/>
          </w:tcPr>
          <w:p>
            <w:pPr>
              <w:pStyle w:val="TableContents"/>
              <w:bidi w:val="0"/>
              <w:spacing w:before="0" w:after="283"/>
              <w:jc w:val="left"/>
              <w:rPr/>
            </w:pPr>
            <w:r>
              <w:rPr/>
              <w:t>Total current liabilities</w:t>
            </w:r>
          </w:p>
        </w:tc>
        <w:tc>
          <w:tcPr>
            <w:tcW w:w="60" w:type="dxa"/>
            <w:tcBorders/>
            <w:shd w:fill="CCEEFF" w:val="clear"/>
            <w:vAlign w:val="center"/>
          </w:tcPr>
          <w:p>
            <w:pPr>
              <w:pStyle w:val="TableContents"/>
              <w:bidi w:val="0"/>
              <w:spacing w:before="0" w:after="283"/>
              <w:jc w:val="left"/>
              <w:rPr/>
            </w:pPr>
            <w:r>
              <w:rPr/>
              <w:t> </w:t>
            </w:r>
          </w:p>
        </w:tc>
        <w:tc>
          <w:tcPr>
            <w:tcW w:w="187"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80" w:type="dxa"/>
            <w:tcBorders>
              <w:bottom w:val="single" w:sz="12" w:space="0" w:color="000000"/>
            </w:tcBorders>
            <w:shd w:fill="CCEEFF" w:val="clear"/>
            <w:tcMar>
              <w:bottom w:w="28" w:type="dxa"/>
            </w:tcMar>
            <w:vAlign w:val="center"/>
          </w:tcPr>
          <w:p>
            <w:pPr>
              <w:pStyle w:val="TableContents"/>
              <w:bidi w:val="0"/>
              <w:spacing w:before="0" w:after="283"/>
              <w:jc w:val="right"/>
              <w:rPr/>
            </w:pPr>
            <w:r>
              <w:rPr/>
              <w:t>154,638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7"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80" w:type="dxa"/>
            <w:tcBorders>
              <w:bottom w:val="single" w:sz="12" w:space="0" w:color="000000"/>
            </w:tcBorders>
            <w:shd w:fill="CCEEFF" w:val="clear"/>
            <w:tcMar>
              <w:bottom w:w="28" w:type="dxa"/>
            </w:tcMar>
            <w:vAlign w:val="center"/>
          </w:tcPr>
          <w:p>
            <w:pPr>
              <w:pStyle w:val="TableContents"/>
              <w:bidi w:val="0"/>
              <w:spacing w:before="0" w:after="283"/>
              <w:jc w:val="right"/>
              <w:rPr/>
            </w:pPr>
            <w:r>
              <w:rPr/>
              <w:t>79,442</w:t>
            </w:r>
          </w:p>
        </w:tc>
        <w:tc>
          <w:tcPr>
            <w:tcW w:w="259" w:type="dxa"/>
            <w:tcBorders/>
            <w:shd w:fill="CCEEFF" w:val="clear"/>
            <w:vAlign w:val="center"/>
          </w:tcPr>
          <w:p>
            <w:pPr>
              <w:pStyle w:val="TableContents"/>
              <w:bidi w:val="0"/>
              <w:spacing w:before="0" w:after="283"/>
              <w:jc w:val="left"/>
              <w:rPr/>
            </w:pPr>
            <w:r>
              <w:rPr/>
              <w:t> </w:t>
            </w:r>
          </w:p>
        </w:tc>
      </w:tr>
      <w:tr>
        <w:trPr/>
        <w:tc>
          <w:tcPr>
            <w:tcW w:w="6997" w:type="dxa"/>
            <w:tcBorders/>
            <w:shd w:fill="FFFFFF" w:val="clear"/>
            <w:vAlign w:val="center"/>
          </w:tcPr>
          <w:p>
            <w:pPr>
              <w:pStyle w:val="TableContents"/>
              <w:bidi w:val="0"/>
              <w:spacing w:before="0" w:after="283"/>
              <w:jc w:val="left"/>
              <w:rPr/>
            </w:pPr>
            <w:r>
              <w:rPr/>
              <w:t>Warranty provision, noncurrent</w:t>
            </w:r>
          </w:p>
        </w:tc>
        <w:tc>
          <w:tcPr>
            <w:tcW w:w="60" w:type="dxa"/>
            <w:tcBorders/>
            <w:shd w:fill="FFFFFF" w:val="clear"/>
            <w:vAlign w:val="center"/>
          </w:tcPr>
          <w:p>
            <w:pPr>
              <w:pStyle w:val="TableContents"/>
              <w:bidi w:val="0"/>
              <w:spacing w:before="0" w:after="283"/>
              <w:jc w:val="left"/>
              <w:rPr/>
            </w:pPr>
            <w:r>
              <w:rPr/>
              <w:t> </w:t>
            </w:r>
          </w:p>
        </w:tc>
        <w:tc>
          <w:tcPr>
            <w:tcW w:w="187" w:type="dxa"/>
            <w:tcBorders/>
            <w:shd w:fill="FFFFFF" w:val="clear"/>
            <w:vAlign w:val="center"/>
          </w:tcPr>
          <w:p>
            <w:pPr>
              <w:pStyle w:val="TableContents"/>
              <w:bidi w:val="0"/>
              <w:spacing w:before="0" w:after="283"/>
              <w:jc w:val="left"/>
              <w:rPr/>
            </w:pPr>
            <w:r>
              <w:rPr/>
              <w:t> </w:t>
            </w:r>
          </w:p>
        </w:tc>
        <w:tc>
          <w:tcPr>
            <w:tcW w:w="1180" w:type="dxa"/>
            <w:tcBorders/>
            <w:shd w:fill="FFFFFF" w:val="clear"/>
            <w:vAlign w:val="center"/>
          </w:tcPr>
          <w:p>
            <w:pPr>
              <w:pStyle w:val="TableContents"/>
              <w:bidi w:val="0"/>
              <w:spacing w:before="0" w:after="283"/>
              <w:jc w:val="right"/>
              <w:rPr/>
            </w:pPr>
            <w:r>
              <w:rPr/>
              <w:t>3,059</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7" w:type="dxa"/>
            <w:tcBorders/>
            <w:shd w:fill="FFFFFF" w:val="clear"/>
            <w:vAlign w:val="center"/>
          </w:tcPr>
          <w:p>
            <w:pPr>
              <w:pStyle w:val="TableContents"/>
              <w:bidi w:val="0"/>
              <w:spacing w:before="0" w:after="283"/>
              <w:jc w:val="left"/>
              <w:rPr/>
            </w:pPr>
            <w:r>
              <w:rPr/>
              <w:t> </w:t>
            </w:r>
          </w:p>
        </w:tc>
        <w:tc>
          <w:tcPr>
            <w:tcW w:w="1180" w:type="dxa"/>
            <w:tcBorders/>
            <w:shd w:fill="FFFFFF" w:val="clear"/>
            <w:vAlign w:val="center"/>
          </w:tcPr>
          <w:p>
            <w:pPr>
              <w:pStyle w:val="TableContents"/>
              <w:bidi w:val="0"/>
              <w:spacing w:before="0" w:after="283"/>
              <w:jc w:val="right"/>
              <w:rPr/>
            </w:pPr>
            <w:r>
              <w:rPr/>
              <w:t>3,437</w:t>
            </w:r>
          </w:p>
        </w:tc>
        <w:tc>
          <w:tcPr>
            <w:tcW w:w="259" w:type="dxa"/>
            <w:tcBorders/>
            <w:shd w:fill="FFFFFF" w:val="clear"/>
            <w:vAlign w:val="center"/>
          </w:tcPr>
          <w:p>
            <w:pPr>
              <w:pStyle w:val="TableContents"/>
              <w:bidi w:val="0"/>
              <w:spacing w:before="0" w:after="283"/>
              <w:jc w:val="left"/>
              <w:rPr/>
            </w:pPr>
            <w:r>
              <w:rPr/>
              <w:t> </w:t>
            </w:r>
          </w:p>
        </w:tc>
      </w:tr>
      <w:tr>
        <w:trPr/>
        <w:tc>
          <w:tcPr>
            <w:tcW w:w="6997" w:type="dxa"/>
            <w:tcBorders/>
            <w:shd w:fill="CCEEFF" w:val="clear"/>
            <w:vAlign w:val="center"/>
          </w:tcPr>
          <w:p>
            <w:pPr>
              <w:pStyle w:val="TableContents"/>
              <w:bidi w:val="0"/>
              <w:spacing w:before="0" w:after="283"/>
              <w:jc w:val="left"/>
              <w:rPr/>
            </w:pPr>
            <w:r>
              <w:rPr/>
              <w:t>Warrant liability</w:t>
            </w:r>
          </w:p>
        </w:tc>
        <w:tc>
          <w:tcPr>
            <w:tcW w:w="60" w:type="dxa"/>
            <w:tcBorders/>
            <w:shd w:fill="CCEEFF" w:val="clear"/>
            <w:vAlign w:val="center"/>
          </w:tcPr>
          <w:p>
            <w:pPr>
              <w:pStyle w:val="TableContents"/>
              <w:bidi w:val="0"/>
              <w:spacing w:before="0" w:after="283"/>
              <w:jc w:val="left"/>
              <w:rPr/>
            </w:pPr>
            <w:r>
              <w:rPr/>
              <w:t> </w:t>
            </w:r>
          </w:p>
        </w:tc>
        <w:tc>
          <w:tcPr>
            <w:tcW w:w="187" w:type="dxa"/>
            <w:tcBorders/>
            <w:shd w:fill="CCEEFF" w:val="clear"/>
            <w:vAlign w:val="center"/>
          </w:tcPr>
          <w:p>
            <w:pPr>
              <w:pStyle w:val="TableContents"/>
              <w:bidi w:val="0"/>
              <w:spacing w:before="0" w:after="283"/>
              <w:jc w:val="left"/>
              <w:rPr/>
            </w:pPr>
            <w:r>
              <w:rPr/>
              <w:t> </w:t>
            </w:r>
          </w:p>
        </w:tc>
        <w:tc>
          <w:tcPr>
            <w:tcW w:w="1180" w:type="dxa"/>
            <w:tcBorders/>
            <w:shd w:fill="CCEEFF" w:val="clear"/>
            <w:vAlign w:val="center"/>
          </w:tcPr>
          <w:p>
            <w:pPr>
              <w:pStyle w:val="TableContents"/>
              <w:bidi w:val="0"/>
              <w:spacing w:before="0" w:after="283"/>
              <w:jc w:val="right"/>
              <w:rPr/>
            </w:pPr>
            <w:r>
              <w:rPr/>
              <w:t>4,361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7" w:type="dxa"/>
            <w:tcBorders/>
            <w:shd w:fill="CCEEFF" w:val="clear"/>
            <w:vAlign w:val="center"/>
          </w:tcPr>
          <w:p>
            <w:pPr>
              <w:pStyle w:val="TableContents"/>
              <w:bidi w:val="0"/>
              <w:spacing w:before="0" w:after="283"/>
              <w:jc w:val="left"/>
              <w:rPr/>
            </w:pPr>
            <w:r>
              <w:rPr/>
              <w:t> </w:t>
            </w:r>
          </w:p>
        </w:tc>
        <w:tc>
          <w:tcPr>
            <w:tcW w:w="1180" w:type="dxa"/>
            <w:tcBorders/>
            <w:shd w:fill="CCEEFF" w:val="clear"/>
            <w:vAlign w:val="center"/>
          </w:tcPr>
          <w:p>
            <w:pPr>
              <w:pStyle w:val="TableContents"/>
              <w:bidi w:val="0"/>
              <w:spacing w:before="0" w:after="283"/>
              <w:jc w:val="right"/>
              <w:rPr/>
            </w:pPr>
            <w:r>
              <w:rPr/>
              <w:t>1,561</w:t>
            </w:r>
          </w:p>
        </w:tc>
        <w:tc>
          <w:tcPr>
            <w:tcW w:w="259" w:type="dxa"/>
            <w:tcBorders/>
            <w:shd w:fill="CCEEFF" w:val="clear"/>
            <w:vAlign w:val="center"/>
          </w:tcPr>
          <w:p>
            <w:pPr>
              <w:pStyle w:val="TableContents"/>
              <w:bidi w:val="0"/>
              <w:spacing w:before="0" w:after="283"/>
              <w:jc w:val="left"/>
              <w:rPr/>
            </w:pPr>
            <w:r>
              <w:rPr/>
              <w:t> </w:t>
            </w:r>
          </w:p>
        </w:tc>
      </w:tr>
      <w:tr>
        <w:trPr/>
        <w:tc>
          <w:tcPr>
            <w:tcW w:w="6997" w:type="dxa"/>
            <w:tcBorders/>
            <w:shd w:fill="FFFFFF" w:val="clear"/>
            <w:vAlign w:val="center"/>
          </w:tcPr>
          <w:p>
            <w:pPr>
              <w:pStyle w:val="TableContents"/>
              <w:bidi w:val="0"/>
              <w:spacing w:before="0" w:after="283"/>
              <w:jc w:val="left"/>
              <w:rPr/>
            </w:pPr>
            <w:r>
              <w:rPr/>
              <w:t>Contract liabilities, noncurrent</w:t>
            </w:r>
          </w:p>
        </w:tc>
        <w:tc>
          <w:tcPr>
            <w:tcW w:w="60" w:type="dxa"/>
            <w:tcBorders/>
            <w:shd w:fill="FFFFFF" w:val="clear"/>
            <w:vAlign w:val="center"/>
          </w:tcPr>
          <w:p>
            <w:pPr>
              <w:pStyle w:val="TableContents"/>
              <w:bidi w:val="0"/>
              <w:spacing w:before="0" w:after="283"/>
              <w:jc w:val="left"/>
              <w:rPr/>
            </w:pPr>
            <w:r>
              <w:rPr/>
              <w:t> </w:t>
            </w:r>
          </w:p>
        </w:tc>
        <w:tc>
          <w:tcPr>
            <w:tcW w:w="187" w:type="dxa"/>
            <w:tcBorders/>
            <w:shd w:fill="FFFFFF" w:val="clear"/>
            <w:vAlign w:val="center"/>
          </w:tcPr>
          <w:p>
            <w:pPr>
              <w:pStyle w:val="TableContents"/>
              <w:bidi w:val="0"/>
              <w:spacing w:before="0" w:after="283"/>
              <w:jc w:val="left"/>
              <w:rPr/>
            </w:pPr>
            <w:r>
              <w:rPr/>
              <w:t> </w:t>
            </w:r>
          </w:p>
        </w:tc>
        <w:tc>
          <w:tcPr>
            <w:tcW w:w="1180" w:type="dxa"/>
            <w:tcBorders/>
            <w:shd w:fill="FFFFFF" w:val="clear"/>
            <w:vAlign w:val="center"/>
          </w:tcPr>
          <w:p>
            <w:pPr>
              <w:pStyle w:val="TableContents"/>
              <w:bidi w:val="0"/>
              <w:spacing w:before="0" w:after="283"/>
              <w:jc w:val="right"/>
              <w:rPr/>
            </w:pPr>
            <w:r>
              <w:rPr/>
              <w:t>794</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7" w:type="dxa"/>
            <w:tcBorders/>
            <w:shd w:fill="FFFFFF" w:val="clear"/>
            <w:vAlign w:val="center"/>
          </w:tcPr>
          <w:p>
            <w:pPr>
              <w:pStyle w:val="TableContents"/>
              <w:bidi w:val="0"/>
              <w:spacing w:before="0" w:after="283"/>
              <w:jc w:val="left"/>
              <w:rPr/>
            </w:pPr>
            <w:r>
              <w:rPr/>
              <w:t> </w:t>
            </w:r>
          </w:p>
        </w:tc>
        <w:tc>
          <w:tcPr>
            <w:tcW w:w="1180" w:type="dxa"/>
            <w:tcBorders/>
            <w:shd w:fill="FFFFFF" w:val="clear"/>
            <w:vAlign w:val="center"/>
          </w:tcPr>
          <w:p>
            <w:pPr>
              <w:pStyle w:val="TableContents"/>
              <w:bidi w:val="0"/>
              <w:spacing w:before="0" w:after="283"/>
              <w:jc w:val="right"/>
              <w:rPr/>
            </w:pPr>
            <w:r>
              <w:rPr/>
              <w:t>918</w:t>
            </w:r>
          </w:p>
        </w:tc>
        <w:tc>
          <w:tcPr>
            <w:tcW w:w="259" w:type="dxa"/>
            <w:tcBorders/>
            <w:shd w:fill="FFFFFF" w:val="clear"/>
            <w:vAlign w:val="center"/>
          </w:tcPr>
          <w:p>
            <w:pPr>
              <w:pStyle w:val="TableContents"/>
              <w:bidi w:val="0"/>
              <w:spacing w:before="0" w:after="283"/>
              <w:jc w:val="left"/>
              <w:rPr/>
            </w:pPr>
            <w:r>
              <w:rPr/>
              <w:t> </w:t>
            </w:r>
          </w:p>
        </w:tc>
      </w:tr>
      <w:tr>
        <w:trPr/>
        <w:tc>
          <w:tcPr>
            <w:tcW w:w="6997" w:type="dxa"/>
            <w:tcBorders/>
            <w:shd w:fill="CCEEFF" w:val="clear"/>
            <w:vAlign w:val="center"/>
          </w:tcPr>
          <w:p>
            <w:pPr>
              <w:pStyle w:val="TableContents"/>
              <w:bidi w:val="0"/>
              <w:spacing w:before="0" w:after="283"/>
              <w:jc w:val="left"/>
              <w:rPr/>
            </w:pPr>
            <w:r>
              <w:rPr/>
              <w:t>Notes payable and derivative liabilities</w:t>
            </w:r>
          </w:p>
        </w:tc>
        <w:tc>
          <w:tcPr>
            <w:tcW w:w="60" w:type="dxa"/>
            <w:tcBorders/>
            <w:shd w:fill="CCEEFF" w:val="clear"/>
            <w:vAlign w:val="center"/>
          </w:tcPr>
          <w:p>
            <w:pPr>
              <w:pStyle w:val="TableContents"/>
              <w:bidi w:val="0"/>
              <w:spacing w:before="0" w:after="283"/>
              <w:jc w:val="left"/>
              <w:rPr/>
            </w:pPr>
            <w:r>
              <w:rPr/>
              <w:t> </w:t>
            </w:r>
          </w:p>
        </w:tc>
        <w:tc>
          <w:tcPr>
            <w:tcW w:w="187" w:type="dxa"/>
            <w:tcBorders/>
            <w:shd w:fill="CCEEFF" w:val="clear"/>
            <w:vAlign w:val="center"/>
          </w:tcPr>
          <w:p>
            <w:pPr>
              <w:pStyle w:val="TableContents"/>
              <w:bidi w:val="0"/>
              <w:spacing w:before="0" w:after="283"/>
              <w:jc w:val="left"/>
              <w:rPr/>
            </w:pPr>
            <w:r>
              <w:rPr/>
              <w:t> </w:t>
            </w:r>
          </w:p>
        </w:tc>
        <w:tc>
          <w:tcPr>
            <w:tcW w:w="1180" w:type="dxa"/>
            <w:tcBorders/>
            <w:shd w:fill="CCEEFF" w:val="clear"/>
            <w:vAlign w:val="center"/>
          </w:tcPr>
          <w:p>
            <w:pPr>
              <w:pStyle w:val="TableContents"/>
              <w:bidi w:val="0"/>
              <w:spacing w:before="0" w:after="283"/>
              <w:jc w:val="right"/>
              <w:rPr/>
            </w:pPr>
            <w:r>
              <w:rPr/>
              <w:t>120,159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7" w:type="dxa"/>
            <w:tcBorders/>
            <w:shd w:fill="CCEEFF" w:val="clear"/>
            <w:vAlign w:val="center"/>
          </w:tcPr>
          <w:p>
            <w:pPr>
              <w:pStyle w:val="TableContents"/>
              <w:bidi w:val="0"/>
              <w:spacing w:before="0" w:after="283"/>
              <w:jc w:val="left"/>
              <w:rPr/>
            </w:pPr>
            <w:r>
              <w:rPr/>
              <w:t> </w:t>
            </w:r>
          </w:p>
        </w:tc>
        <w:tc>
          <w:tcPr>
            <w:tcW w:w="1180" w:type="dxa"/>
            <w:tcBorders/>
            <w:shd w:fill="CCEEFF" w:val="clear"/>
            <w:vAlign w:val="center"/>
          </w:tcPr>
          <w:p>
            <w:pPr>
              <w:pStyle w:val="TableContents"/>
              <w:bidi w:val="0"/>
              <w:spacing w:before="0" w:after="283"/>
              <w:jc w:val="right"/>
              <w:rPr/>
            </w:pPr>
            <w:r>
              <w:rPr/>
              <w:t>92,638</w:t>
            </w:r>
          </w:p>
        </w:tc>
        <w:tc>
          <w:tcPr>
            <w:tcW w:w="259" w:type="dxa"/>
            <w:tcBorders/>
            <w:shd w:fill="CCEEFF" w:val="clear"/>
            <w:vAlign w:val="center"/>
          </w:tcPr>
          <w:p>
            <w:pPr>
              <w:pStyle w:val="TableContents"/>
              <w:bidi w:val="0"/>
              <w:spacing w:before="0" w:after="283"/>
              <w:jc w:val="left"/>
              <w:rPr/>
            </w:pPr>
            <w:r>
              <w:rPr/>
              <w:t> </w:t>
            </w:r>
          </w:p>
        </w:tc>
      </w:tr>
      <w:tr>
        <w:trPr/>
        <w:tc>
          <w:tcPr>
            <w:tcW w:w="6997" w:type="dxa"/>
            <w:tcBorders/>
            <w:shd w:fill="FFFFFF" w:val="clear"/>
            <w:vAlign w:val="center"/>
          </w:tcPr>
          <w:p>
            <w:pPr>
              <w:pStyle w:val="TableContents"/>
              <w:bidi w:val="0"/>
              <w:spacing w:before="0" w:after="283"/>
              <w:jc w:val="left"/>
              <w:rPr/>
            </w:pPr>
            <w:r>
              <w:rPr/>
              <w:t>Notes payable and derivative liabilities with related parties, net of current portion</w:t>
            </w:r>
          </w:p>
        </w:tc>
        <w:tc>
          <w:tcPr>
            <w:tcW w:w="60" w:type="dxa"/>
            <w:tcBorders/>
            <w:shd w:fill="FFFFFF" w:val="clear"/>
            <w:vAlign w:val="center"/>
          </w:tcPr>
          <w:p>
            <w:pPr>
              <w:pStyle w:val="TableContents"/>
              <w:bidi w:val="0"/>
              <w:spacing w:before="0" w:after="283"/>
              <w:jc w:val="left"/>
              <w:rPr/>
            </w:pPr>
            <w:r>
              <w:rPr/>
              <w:t> </w:t>
            </w:r>
          </w:p>
        </w:tc>
        <w:tc>
          <w:tcPr>
            <w:tcW w:w="187" w:type="dxa"/>
            <w:tcBorders/>
            <w:shd w:fill="FFFFFF" w:val="clear"/>
            <w:vAlign w:val="center"/>
          </w:tcPr>
          <w:p>
            <w:pPr>
              <w:pStyle w:val="TableContents"/>
              <w:bidi w:val="0"/>
              <w:spacing w:before="0" w:after="283"/>
              <w:jc w:val="left"/>
              <w:rPr/>
            </w:pPr>
            <w:r>
              <w:rPr/>
              <w:t> </w:t>
            </w:r>
          </w:p>
        </w:tc>
        <w:tc>
          <w:tcPr>
            <w:tcW w:w="1180" w:type="dxa"/>
            <w:tcBorders/>
            <w:shd w:fill="FFFFFF" w:val="clear"/>
            <w:vAlign w:val="center"/>
          </w:tcPr>
          <w:p>
            <w:pPr>
              <w:pStyle w:val="TableContents"/>
              <w:bidi w:val="0"/>
              <w:spacing w:before="0" w:after="283"/>
              <w:jc w:val="right"/>
              <w:rPr/>
            </w:pPr>
            <w:r>
              <w:rPr/>
              <w:t>35,130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7" w:type="dxa"/>
            <w:tcBorders/>
            <w:shd w:fill="FFFFFF" w:val="clear"/>
            <w:vAlign w:val="center"/>
          </w:tcPr>
          <w:p>
            <w:pPr>
              <w:pStyle w:val="TableContents"/>
              <w:bidi w:val="0"/>
              <w:spacing w:before="0" w:after="283"/>
              <w:jc w:val="left"/>
              <w:rPr/>
            </w:pPr>
            <w:r>
              <w:rPr/>
              <w:t> </w:t>
            </w:r>
          </w:p>
        </w:tc>
        <w:tc>
          <w:tcPr>
            <w:tcW w:w="1180" w:type="dxa"/>
            <w:tcBorders/>
            <w:shd w:fill="FFFFFF" w:val="clear"/>
            <w:vAlign w:val="center"/>
          </w:tcPr>
          <w:p>
            <w:pPr>
              <w:pStyle w:val="TableContents"/>
              <w:bidi w:val="0"/>
              <w:spacing w:before="0" w:after="283"/>
              <w:jc w:val="right"/>
              <w:rPr/>
            </w:pPr>
            <w:r>
              <w:rPr/>
              <w:t>53,193</w:t>
            </w:r>
          </w:p>
        </w:tc>
        <w:tc>
          <w:tcPr>
            <w:tcW w:w="259" w:type="dxa"/>
            <w:tcBorders/>
            <w:shd w:fill="FFFFFF" w:val="clear"/>
            <w:vAlign w:val="center"/>
          </w:tcPr>
          <w:p>
            <w:pPr>
              <w:pStyle w:val="TableContents"/>
              <w:bidi w:val="0"/>
              <w:spacing w:before="0" w:after="283"/>
              <w:jc w:val="left"/>
              <w:rPr/>
            </w:pPr>
            <w:r>
              <w:rPr/>
              <w:t> </w:t>
            </w:r>
          </w:p>
        </w:tc>
      </w:tr>
      <w:tr>
        <w:trPr/>
        <w:tc>
          <w:tcPr>
            <w:tcW w:w="6997" w:type="dxa"/>
            <w:tcBorders/>
            <w:shd w:fill="CCEEFF" w:val="clear"/>
            <w:vAlign w:val="center"/>
          </w:tcPr>
          <w:p>
            <w:pPr>
              <w:pStyle w:val="TableContents"/>
              <w:bidi w:val="0"/>
              <w:spacing w:before="0" w:after="283"/>
              <w:jc w:val="left"/>
              <w:rPr/>
            </w:pPr>
            <w:r>
              <w:rPr/>
              <w:t>Deferred income taxes</w:t>
            </w:r>
          </w:p>
        </w:tc>
        <w:tc>
          <w:tcPr>
            <w:tcW w:w="60" w:type="dxa"/>
            <w:tcBorders/>
            <w:shd w:fill="CCEEFF" w:val="clear"/>
            <w:vAlign w:val="center"/>
          </w:tcPr>
          <w:p>
            <w:pPr>
              <w:pStyle w:val="TableContents"/>
              <w:bidi w:val="0"/>
              <w:spacing w:before="0" w:after="283"/>
              <w:jc w:val="left"/>
              <w:rPr/>
            </w:pPr>
            <w:r>
              <w:rPr/>
              <w:t> </w:t>
            </w:r>
          </w:p>
        </w:tc>
        <w:tc>
          <w:tcPr>
            <w:tcW w:w="187" w:type="dxa"/>
            <w:tcBorders/>
            <w:shd w:fill="CCEEFF" w:val="clear"/>
            <w:vAlign w:val="center"/>
          </w:tcPr>
          <w:p>
            <w:pPr>
              <w:pStyle w:val="TableContents"/>
              <w:bidi w:val="0"/>
              <w:spacing w:before="0" w:after="283"/>
              <w:jc w:val="left"/>
              <w:rPr/>
            </w:pPr>
            <w:r>
              <w:rPr/>
              <w:t> </w:t>
            </w:r>
          </w:p>
        </w:tc>
        <w:tc>
          <w:tcPr>
            <w:tcW w:w="1180" w:type="dxa"/>
            <w:tcBorders/>
            <w:shd w:fill="CCEEFF" w:val="clear"/>
            <w:vAlign w:val="center"/>
          </w:tcPr>
          <w:p>
            <w:pPr>
              <w:pStyle w:val="TableContents"/>
              <w:bidi w:val="0"/>
              <w:spacing w:before="0" w:after="283"/>
              <w:jc w:val="right"/>
              <w:rPr/>
            </w:pPr>
            <w:r>
              <w:rPr/>
              <w:t>1,300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7" w:type="dxa"/>
            <w:tcBorders/>
            <w:shd w:fill="CCEEFF" w:val="clear"/>
            <w:vAlign w:val="center"/>
          </w:tcPr>
          <w:p>
            <w:pPr>
              <w:pStyle w:val="TableContents"/>
              <w:bidi w:val="0"/>
              <w:spacing w:before="0" w:after="283"/>
              <w:jc w:val="left"/>
              <w:rPr/>
            </w:pPr>
            <w:r>
              <w:rPr/>
              <w:t> </w:t>
            </w:r>
          </w:p>
        </w:tc>
        <w:tc>
          <w:tcPr>
            <w:tcW w:w="1180" w:type="dxa"/>
            <w:tcBorders/>
            <w:shd w:fill="CCEEFF" w:val="clear"/>
            <w:vAlign w:val="center"/>
          </w:tcPr>
          <w:p>
            <w:pPr>
              <w:pStyle w:val="TableContents"/>
              <w:bidi w:val="0"/>
              <w:spacing w:before="0" w:after="283"/>
              <w:jc w:val="right"/>
              <w:rPr/>
            </w:pPr>
            <w:r>
              <w:rPr/>
              <w:t>—</w:t>
            </w:r>
          </w:p>
        </w:tc>
        <w:tc>
          <w:tcPr>
            <w:tcW w:w="259" w:type="dxa"/>
            <w:tcBorders/>
            <w:shd w:fill="CCEEFF" w:val="clear"/>
            <w:vAlign w:val="center"/>
          </w:tcPr>
          <w:p>
            <w:pPr>
              <w:pStyle w:val="TableContents"/>
              <w:bidi w:val="0"/>
              <w:spacing w:before="0" w:after="283"/>
              <w:jc w:val="left"/>
              <w:rPr/>
            </w:pPr>
            <w:r>
              <w:rPr/>
              <w:t> </w:t>
            </w:r>
          </w:p>
        </w:tc>
      </w:tr>
      <w:tr>
        <w:trPr/>
        <w:tc>
          <w:tcPr>
            <w:tcW w:w="6997" w:type="dxa"/>
            <w:tcBorders/>
            <w:shd w:fill="FFFFFF" w:val="clear"/>
            <w:vAlign w:val="center"/>
          </w:tcPr>
          <w:p>
            <w:pPr>
              <w:pStyle w:val="TableContents"/>
              <w:bidi w:val="0"/>
              <w:spacing w:before="0" w:after="283"/>
              <w:jc w:val="left"/>
              <w:rPr/>
            </w:pPr>
            <w:r>
              <w:rPr/>
              <w:t>Deferred consideration, noncurrent with related party</w:t>
            </w:r>
          </w:p>
        </w:tc>
        <w:tc>
          <w:tcPr>
            <w:tcW w:w="60" w:type="dxa"/>
            <w:tcBorders/>
            <w:shd w:fill="FFFFFF" w:val="clear"/>
            <w:vAlign w:val="center"/>
          </w:tcPr>
          <w:p>
            <w:pPr>
              <w:pStyle w:val="TableContents"/>
              <w:bidi w:val="0"/>
              <w:spacing w:before="0" w:after="283"/>
              <w:jc w:val="left"/>
              <w:rPr/>
            </w:pPr>
            <w:r>
              <w:rPr/>
              <w:t> </w:t>
            </w:r>
          </w:p>
        </w:tc>
        <w:tc>
          <w:tcPr>
            <w:tcW w:w="187" w:type="dxa"/>
            <w:tcBorders/>
            <w:shd w:fill="FFFFFF" w:val="clear"/>
            <w:vAlign w:val="center"/>
          </w:tcPr>
          <w:p>
            <w:pPr>
              <w:pStyle w:val="TableContents"/>
              <w:bidi w:val="0"/>
              <w:spacing w:before="0" w:after="283"/>
              <w:jc w:val="left"/>
              <w:rPr/>
            </w:pPr>
            <w:r>
              <w:rPr/>
              <w:t> </w:t>
            </w:r>
          </w:p>
        </w:tc>
        <w:tc>
          <w:tcPr>
            <w:tcW w:w="1180" w:type="dxa"/>
            <w:tcBorders/>
            <w:shd w:fill="FFFFFF" w:val="clear"/>
            <w:vAlign w:val="center"/>
          </w:tcPr>
          <w:p>
            <w:pPr>
              <w:pStyle w:val="TableContents"/>
              <w:bidi w:val="0"/>
              <w:spacing w:before="0" w:after="283"/>
              <w:jc w:val="right"/>
              <w:rPr/>
            </w:pPr>
            <w:r>
              <w:rPr/>
              <w:t>5,420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7" w:type="dxa"/>
            <w:tcBorders/>
            <w:shd w:fill="FFFFFF" w:val="clear"/>
            <w:vAlign w:val="center"/>
          </w:tcPr>
          <w:p>
            <w:pPr>
              <w:pStyle w:val="TableContents"/>
              <w:bidi w:val="0"/>
              <w:spacing w:before="0" w:after="283"/>
              <w:jc w:val="left"/>
              <w:rPr/>
            </w:pPr>
            <w:r>
              <w:rPr/>
              <w:t> </w:t>
            </w:r>
          </w:p>
        </w:tc>
        <w:tc>
          <w:tcPr>
            <w:tcW w:w="1180" w:type="dxa"/>
            <w:tcBorders/>
            <w:shd w:fill="FFFFFF" w:val="clear"/>
            <w:vAlign w:val="center"/>
          </w:tcPr>
          <w:p>
            <w:pPr>
              <w:pStyle w:val="TableContents"/>
              <w:bidi w:val="0"/>
              <w:spacing w:before="0" w:after="283"/>
              <w:jc w:val="right"/>
              <w:rPr/>
            </w:pPr>
            <w:r>
              <w:rPr/>
              <w:t>—</w:t>
            </w:r>
          </w:p>
        </w:tc>
        <w:tc>
          <w:tcPr>
            <w:tcW w:w="259" w:type="dxa"/>
            <w:tcBorders/>
            <w:shd w:fill="FFFFFF" w:val="clear"/>
            <w:vAlign w:val="center"/>
          </w:tcPr>
          <w:p>
            <w:pPr>
              <w:pStyle w:val="TableContents"/>
              <w:bidi w:val="0"/>
              <w:spacing w:before="0" w:after="283"/>
              <w:jc w:val="left"/>
              <w:rPr/>
            </w:pPr>
            <w:r>
              <w:rPr/>
              <w:t> </w:t>
            </w:r>
          </w:p>
        </w:tc>
      </w:tr>
      <w:tr>
        <w:trPr/>
        <w:tc>
          <w:tcPr>
            <w:tcW w:w="6997" w:type="dxa"/>
            <w:tcBorders/>
            <w:shd w:fill="CCEEFF" w:val="clear"/>
            <w:vAlign w:val="center"/>
          </w:tcPr>
          <w:p>
            <w:pPr>
              <w:pStyle w:val="TableContents"/>
              <w:bidi w:val="0"/>
              <w:spacing w:before="0" w:after="283"/>
              <w:jc w:val="left"/>
              <w:rPr/>
            </w:pPr>
            <w:r>
              <w:rPr/>
              <w:t>Other long-term liabilities</w:t>
            </w:r>
          </w:p>
        </w:tc>
        <w:tc>
          <w:tcPr>
            <w:tcW w:w="60" w:type="dxa"/>
            <w:tcBorders/>
            <w:shd w:fill="CCEEFF" w:val="clear"/>
            <w:vAlign w:val="center"/>
          </w:tcPr>
          <w:p>
            <w:pPr>
              <w:pStyle w:val="TableContents"/>
              <w:bidi w:val="0"/>
              <w:spacing w:before="0" w:after="283"/>
              <w:jc w:val="left"/>
              <w:rPr/>
            </w:pPr>
            <w:r>
              <w:rPr/>
              <w:t> </w:t>
            </w:r>
          </w:p>
        </w:tc>
        <w:tc>
          <w:tcPr>
            <w:tcW w:w="187"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80" w:type="dxa"/>
            <w:tcBorders>
              <w:bottom w:val="single" w:sz="12" w:space="0" w:color="000000"/>
            </w:tcBorders>
            <w:shd w:fill="CCEEFF" w:val="clear"/>
            <w:tcMar>
              <w:bottom w:w="28" w:type="dxa"/>
            </w:tcMar>
            <w:vAlign w:val="center"/>
          </w:tcPr>
          <w:p>
            <w:pPr>
              <w:pStyle w:val="TableContents"/>
              <w:bidi w:val="0"/>
              <w:spacing w:before="0" w:after="283"/>
              <w:jc w:val="right"/>
              <w:rPr/>
            </w:pPr>
            <w:r>
              <w:rPr/>
              <w:t>6,470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7"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80" w:type="dxa"/>
            <w:tcBorders>
              <w:bottom w:val="single" w:sz="12" w:space="0" w:color="000000"/>
            </w:tcBorders>
            <w:shd w:fill="CCEEFF" w:val="clear"/>
            <w:tcMar>
              <w:bottom w:w="28" w:type="dxa"/>
            </w:tcMar>
            <w:vAlign w:val="center"/>
          </w:tcPr>
          <w:p>
            <w:pPr>
              <w:pStyle w:val="TableContents"/>
              <w:bidi w:val="0"/>
              <w:spacing w:before="0" w:after="283"/>
              <w:jc w:val="right"/>
              <w:rPr/>
            </w:pPr>
            <w:r>
              <w:rPr/>
              <w:t>10,816</w:t>
            </w:r>
          </w:p>
        </w:tc>
        <w:tc>
          <w:tcPr>
            <w:tcW w:w="259" w:type="dxa"/>
            <w:tcBorders/>
            <w:shd w:fill="CCEEFF" w:val="clear"/>
            <w:vAlign w:val="center"/>
          </w:tcPr>
          <w:p>
            <w:pPr>
              <w:pStyle w:val="TableContents"/>
              <w:bidi w:val="0"/>
              <w:spacing w:before="0" w:after="283"/>
              <w:ind w:left="0" w:right="0" w:hanging="180"/>
              <w:jc w:val="left"/>
              <w:rPr/>
            </w:pPr>
            <w:r>
              <w:rPr/>
              <w:t> </w:t>
            </w:r>
          </w:p>
        </w:tc>
      </w:tr>
      <w:tr>
        <w:trPr/>
        <w:tc>
          <w:tcPr>
            <w:tcW w:w="6997" w:type="dxa"/>
            <w:tcBorders/>
            <w:shd w:fill="FFFFFF" w:val="clear"/>
            <w:vAlign w:val="center"/>
          </w:tcPr>
          <w:p>
            <w:pPr>
              <w:pStyle w:val="TableContents"/>
              <w:bidi w:val="0"/>
              <w:spacing w:before="0" w:after="283"/>
              <w:jc w:val="left"/>
              <w:rPr/>
            </w:pPr>
            <w:r>
              <w:rPr/>
              <w:t>Total liabilities</w:t>
            </w:r>
          </w:p>
        </w:tc>
        <w:tc>
          <w:tcPr>
            <w:tcW w:w="60" w:type="dxa"/>
            <w:tcBorders/>
            <w:shd w:fill="FFFFFF" w:val="clear"/>
            <w:vAlign w:val="center"/>
          </w:tcPr>
          <w:p>
            <w:pPr>
              <w:pStyle w:val="TableContents"/>
              <w:bidi w:val="0"/>
              <w:spacing w:before="0" w:after="283"/>
              <w:jc w:val="left"/>
              <w:rPr/>
            </w:pPr>
            <w:r>
              <w:rPr/>
              <w:t> </w:t>
            </w:r>
          </w:p>
        </w:tc>
        <w:tc>
          <w:tcPr>
            <w:tcW w:w="187"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80" w:type="dxa"/>
            <w:tcBorders>
              <w:bottom w:val="single" w:sz="12" w:space="0" w:color="000000"/>
            </w:tcBorders>
            <w:shd w:fill="FFFFFF" w:val="clear"/>
            <w:tcMar>
              <w:bottom w:w="28" w:type="dxa"/>
            </w:tcMar>
            <w:vAlign w:val="center"/>
          </w:tcPr>
          <w:p>
            <w:pPr>
              <w:pStyle w:val="TableContents"/>
              <w:bidi w:val="0"/>
              <w:spacing w:before="0" w:after="283"/>
              <w:jc w:val="right"/>
              <w:rPr/>
            </w:pPr>
            <w:r>
              <w:rPr/>
              <w:t>331,331</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7"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80" w:type="dxa"/>
            <w:tcBorders>
              <w:bottom w:val="single" w:sz="12" w:space="0" w:color="000000"/>
            </w:tcBorders>
            <w:shd w:fill="FFFFFF" w:val="clear"/>
            <w:tcMar>
              <w:bottom w:w="28" w:type="dxa"/>
            </w:tcMar>
            <w:vAlign w:val="center"/>
          </w:tcPr>
          <w:p>
            <w:pPr>
              <w:pStyle w:val="TableContents"/>
              <w:bidi w:val="0"/>
              <w:spacing w:before="0" w:after="283"/>
              <w:jc w:val="right"/>
              <w:rPr/>
            </w:pPr>
            <w:r>
              <w:rPr/>
              <w:t>242,005</w:t>
            </w:r>
          </w:p>
        </w:tc>
        <w:tc>
          <w:tcPr>
            <w:tcW w:w="259" w:type="dxa"/>
            <w:tcBorders/>
            <w:shd w:fill="FFFFFF" w:val="clear"/>
            <w:vAlign w:val="center"/>
          </w:tcPr>
          <w:p>
            <w:pPr>
              <w:pStyle w:val="TableContents"/>
              <w:bidi w:val="0"/>
              <w:spacing w:before="0" w:after="283"/>
              <w:ind w:left="0" w:right="0" w:hanging="180"/>
              <w:jc w:val="left"/>
              <w:rPr/>
            </w:pPr>
            <w:r>
              <w:rPr/>
              <w:t> </w:t>
            </w:r>
          </w:p>
        </w:tc>
      </w:tr>
      <w:tr>
        <w:trPr/>
        <w:tc>
          <w:tcPr>
            <w:tcW w:w="6997"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7" w:type="dxa"/>
            <w:tcBorders/>
            <w:shd w:fill="CCEEFF" w:val="clear"/>
            <w:vAlign w:val="center"/>
          </w:tcPr>
          <w:p>
            <w:pPr>
              <w:pStyle w:val="TableContents"/>
              <w:bidi w:val="0"/>
              <w:spacing w:before="0" w:after="283"/>
              <w:jc w:val="left"/>
              <w:rPr/>
            </w:pPr>
            <w:r>
              <w:rPr/>
              <w:t> </w:t>
            </w:r>
          </w:p>
        </w:tc>
        <w:tc>
          <w:tcPr>
            <w:tcW w:w="118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7" w:type="dxa"/>
            <w:tcBorders/>
            <w:shd w:fill="CCEEFF" w:val="clear"/>
            <w:vAlign w:val="center"/>
          </w:tcPr>
          <w:p>
            <w:pPr>
              <w:pStyle w:val="TableContents"/>
              <w:bidi w:val="0"/>
              <w:spacing w:before="0" w:after="283"/>
              <w:jc w:val="left"/>
              <w:rPr/>
            </w:pPr>
            <w:r>
              <w:rPr/>
              <w:t> </w:t>
            </w:r>
          </w:p>
        </w:tc>
        <w:tc>
          <w:tcPr>
            <w:tcW w:w="1180" w:type="dxa"/>
            <w:tcBorders/>
            <w:shd w:fill="CCEEFF" w:val="clear"/>
            <w:vAlign w:val="center"/>
          </w:tcPr>
          <w:p>
            <w:pPr>
              <w:pStyle w:val="TableContents"/>
              <w:bidi w:val="0"/>
              <w:spacing w:before="0" w:after="283"/>
              <w:jc w:val="right"/>
              <w:rPr/>
            </w:pPr>
            <w:r>
              <w:rPr/>
              <w:t> </w:t>
            </w:r>
          </w:p>
        </w:tc>
        <w:tc>
          <w:tcPr>
            <w:tcW w:w="259" w:type="dxa"/>
            <w:tcBorders/>
            <w:shd w:fill="CCEEFF" w:val="clear"/>
            <w:vAlign w:val="center"/>
          </w:tcPr>
          <w:p>
            <w:pPr>
              <w:pStyle w:val="TableContents"/>
              <w:bidi w:val="0"/>
              <w:spacing w:before="0" w:after="283"/>
              <w:ind w:left="0" w:right="0" w:hanging="180"/>
              <w:jc w:val="left"/>
              <w:rPr/>
            </w:pPr>
            <w:r>
              <w:rPr/>
              <w:t> </w:t>
            </w:r>
          </w:p>
        </w:tc>
      </w:tr>
      <w:tr>
        <w:trPr/>
        <w:tc>
          <w:tcPr>
            <w:tcW w:w="6997" w:type="dxa"/>
            <w:tcBorders/>
            <w:shd w:fill="FFFFFF" w:val="clear"/>
            <w:vAlign w:val="center"/>
          </w:tcPr>
          <w:p>
            <w:pPr>
              <w:pStyle w:val="TableContents"/>
              <w:bidi w:val="0"/>
              <w:spacing w:before="0" w:after="283"/>
              <w:jc w:val="left"/>
              <w:rPr/>
            </w:pPr>
            <w:r>
              <w:rPr/>
              <w:t>Commitments and contingencies (Note 12)</w:t>
            </w:r>
          </w:p>
        </w:tc>
        <w:tc>
          <w:tcPr>
            <w:tcW w:w="60" w:type="dxa"/>
            <w:tcBorders/>
            <w:shd w:fill="FFFFFF" w:val="clear"/>
            <w:vAlign w:val="center"/>
          </w:tcPr>
          <w:p>
            <w:pPr>
              <w:pStyle w:val="TableContents"/>
              <w:bidi w:val="0"/>
              <w:spacing w:before="0" w:after="283"/>
              <w:jc w:val="left"/>
              <w:rPr/>
            </w:pPr>
            <w:r>
              <w:rPr/>
              <w:t> </w:t>
            </w:r>
          </w:p>
        </w:tc>
        <w:tc>
          <w:tcPr>
            <w:tcW w:w="187" w:type="dxa"/>
            <w:tcBorders/>
            <w:shd w:fill="FFFFFF" w:val="clear"/>
            <w:vAlign w:val="center"/>
          </w:tcPr>
          <w:p>
            <w:pPr>
              <w:pStyle w:val="TableContents"/>
              <w:bidi w:val="0"/>
              <w:spacing w:before="0" w:after="283"/>
              <w:jc w:val="left"/>
              <w:rPr/>
            </w:pPr>
            <w:r>
              <w:rPr/>
              <w:t> </w:t>
            </w:r>
          </w:p>
        </w:tc>
        <w:tc>
          <w:tcPr>
            <w:tcW w:w="118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7" w:type="dxa"/>
            <w:tcBorders/>
            <w:shd w:fill="FFFFFF" w:val="clear"/>
            <w:vAlign w:val="center"/>
          </w:tcPr>
          <w:p>
            <w:pPr>
              <w:pStyle w:val="TableContents"/>
              <w:bidi w:val="0"/>
              <w:spacing w:before="0" w:after="283"/>
              <w:jc w:val="left"/>
              <w:rPr/>
            </w:pPr>
            <w:r>
              <w:rPr/>
              <w:t> </w:t>
            </w:r>
          </w:p>
        </w:tc>
        <w:tc>
          <w:tcPr>
            <w:tcW w:w="1180" w:type="dxa"/>
            <w:tcBorders/>
            <w:shd w:fill="FFFFFF" w:val="clear"/>
            <w:vAlign w:val="center"/>
          </w:tcPr>
          <w:p>
            <w:pPr>
              <w:pStyle w:val="TableContents"/>
              <w:bidi w:val="0"/>
              <w:spacing w:before="0" w:after="283"/>
              <w:jc w:val="right"/>
              <w:rPr/>
            </w:pPr>
            <w:r>
              <w:rPr/>
              <w:t> </w:t>
            </w:r>
          </w:p>
        </w:tc>
        <w:tc>
          <w:tcPr>
            <w:tcW w:w="259" w:type="dxa"/>
            <w:tcBorders/>
            <w:shd w:fill="FFFFFF" w:val="clear"/>
            <w:vAlign w:val="center"/>
          </w:tcPr>
          <w:p>
            <w:pPr>
              <w:pStyle w:val="TableContents"/>
              <w:bidi w:val="0"/>
              <w:spacing w:before="0" w:after="283"/>
              <w:ind w:left="0" w:right="0" w:hanging="180"/>
              <w:jc w:val="left"/>
              <w:rPr/>
            </w:pPr>
            <w:r>
              <w:rPr/>
              <w:t> </w:t>
            </w:r>
          </w:p>
        </w:tc>
      </w:tr>
      <w:tr>
        <w:trPr/>
        <w:tc>
          <w:tcPr>
            <w:tcW w:w="6997"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7" w:type="dxa"/>
            <w:tcBorders/>
            <w:shd w:fill="CCEEFF" w:val="clear"/>
            <w:vAlign w:val="center"/>
          </w:tcPr>
          <w:p>
            <w:pPr>
              <w:pStyle w:val="TableContents"/>
              <w:bidi w:val="0"/>
              <w:spacing w:before="0" w:after="283"/>
              <w:jc w:val="left"/>
              <w:rPr/>
            </w:pPr>
            <w:r>
              <w:rPr/>
              <w:t> </w:t>
            </w:r>
          </w:p>
        </w:tc>
        <w:tc>
          <w:tcPr>
            <w:tcW w:w="118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7" w:type="dxa"/>
            <w:tcBorders/>
            <w:shd w:fill="CCEEFF" w:val="clear"/>
            <w:vAlign w:val="center"/>
          </w:tcPr>
          <w:p>
            <w:pPr>
              <w:pStyle w:val="TableContents"/>
              <w:bidi w:val="0"/>
              <w:spacing w:before="0" w:after="283"/>
              <w:jc w:val="left"/>
              <w:rPr/>
            </w:pPr>
            <w:r>
              <w:rPr/>
              <w:t> </w:t>
            </w:r>
          </w:p>
        </w:tc>
        <w:tc>
          <w:tcPr>
            <w:tcW w:w="1180" w:type="dxa"/>
            <w:tcBorders/>
            <w:shd w:fill="CCEEFF" w:val="clear"/>
            <w:vAlign w:val="center"/>
          </w:tcPr>
          <w:p>
            <w:pPr>
              <w:pStyle w:val="TableContents"/>
              <w:bidi w:val="0"/>
              <w:spacing w:before="0" w:after="283"/>
              <w:jc w:val="right"/>
              <w:rPr/>
            </w:pPr>
            <w:r>
              <w:rPr/>
              <w:t> </w:t>
            </w:r>
          </w:p>
        </w:tc>
        <w:tc>
          <w:tcPr>
            <w:tcW w:w="259" w:type="dxa"/>
            <w:tcBorders/>
            <w:shd w:fill="CCEEFF" w:val="clear"/>
            <w:vAlign w:val="center"/>
          </w:tcPr>
          <w:p>
            <w:pPr>
              <w:pStyle w:val="TableContents"/>
              <w:bidi w:val="0"/>
              <w:spacing w:before="0" w:after="283"/>
              <w:jc w:val="left"/>
              <w:rPr/>
            </w:pPr>
            <w:r>
              <w:rPr/>
              <w:t> </w:t>
            </w:r>
          </w:p>
        </w:tc>
      </w:tr>
      <w:tr>
        <w:trPr/>
        <w:tc>
          <w:tcPr>
            <w:tcW w:w="6997" w:type="dxa"/>
            <w:tcBorders/>
            <w:shd w:fill="FFFFFF" w:val="clear"/>
            <w:vAlign w:val="center"/>
          </w:tcPr>
          <w:p>
            <w:pPr>
              <w:pStyle w:val="TableContents"/>
              <w:bidi w:val="0"/>
              <w:spacing w:before="0" w:after="283"/>
              <w:jc w:val="left"/>
              <w:rPr>
                <w:b/>
              </w:rPr>
            </w:pPr>
            <w:r>
              <w:rPr>
                <w:b/>
              </w:rPr>
              <w:t>Stockholders’ (deficit):</w:t>
            </w:r>
          </w:p>
        </w:tc>
        <w:tc>
          <w:tcPr>
            <w:tcW w:w="60" w:type="dxa"/>
            <w:tcBorders/>
            <w:shd w:fill="FFFFFF" w:val="clear"/>
            <w:vAlign w:val="center"/>
          </w:tcPr>
          <w:p>
            <w:pPr>
              <w:pStyle w:val="TableContents"/>
              <w:bidi w:val="0"/>
              <w:spacing w:before="0" w:after="283"/>
              <w:jc w:val="left"/>
              <w:rPr/>
            </w:pPr>
            <w:r>
              <w:rPr/>
              <w:t> </w:t>
            </w:r>
          </w:p>
        </w:tc>
        <w:tc>
          <w:tcPr>
            <w:tcW w:w="187" w:type="dxa"/>
            <w:tcBorders/>
            <w:shd w:fill="FFFFFF" w:val="clear"/>
            <w:vAlign w:val="center"/>
          </w:tcPr>
          <w:p>
            <w:pPr>
              <w:pStyle w:val="TableContents"/>
              <w:bidi w:val="0"/>
              <w:spacing w:before="0" w:after="283"/>
              <w:jc w:val="left"/>
              <w:rPr/>
            </w:pPr>
            <w:r>
              <w:rPr/>
              <w:t> </w:t>
            </w:r>
          </w:p>
        </w:tc>
        <w:tc>
          <w:tcPr>
            <w:tcW w:w="118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7" w:type="dxa"/>
            <w:tcBorders/>
            <w:shd w:fill="FFFFFF" w:val="clear"/>
            <w:vAlign w:val="center"/>
          </w:tcPr>
          <w:p>
            <w:pPr>
              <w:pStyle w:val="TableContents"/>
              <w:bidi w:val="0"/>
              <w:spacing w:before="0" w:after="283"/>
              <w:jc w:val="left"/>
              <w:rPr/>
            </w:pPr>
            <w:r>
              <w:rPr/>
              <w:t> </w:t>
            </w:r>
          </w:p>
        </w:tc>
        <w:tc>
          <w:tcPr>
            <w:tcW w:w="1180" w:type="dxa"/>
            <w:tcBorders/>
            <w:shd w:fill="FFFFFF" w:val="clear"/>
            <w:vAlign w:val="center"/>
          </w:tcPr>
          <w:p>
            <w:pPr>
              <w:pStyle w:val="TableContents"/>
              <w:bidi w:val="0"/>
              <w:spacing w:before="0" w:after="283"/>
              <w:jc w:val="right"/>
              <w:rPr/>
            </w:pPr>
            <w:r>
              <w:rPr/>
              <w:t> </w:t>
            </w:r>
          </w:p>
        </w:tc>
        <w:tc>
          <w:tcPr>
            <w:tcW w:w="259" w:type="dxa"/>
            <w:tcBorders/>
            <w:shd w:fill="FFFFFF" w:val="clear"/>
            <w:vAlign w:val="center"/>
          </w:tcPr>
          <w:p>
            <w:pPr>
              <w:pStyle w:val="TableContents"/>
              <w:bidi w:val="0"/>
              <w:spacing w:before="0" w:after="283"/>
              <w:ind w:left="0" w:right="0" w:hanging="180"/>
              <w:jc w:val="left"/>
              <w:rPr/>
            </w:pPr>
            <w:r>
              <w:rPr/>
              <w:t> </w:t>
            </w:r>
          </w:p>
        </w:tc>
      </w:tr>
      <w:tr>
        <w:trPr/>
        <w:tc>
          <w:tcPr>
            <w:tcW w:w="6997" w:type="dxa"/>
            <w:tcBorders/>
            <w:shd w:fill="CCEEFF" w:val="clear"/>
            <w:vAlign w:val="center"/>
          </w:tcPr>
          <w:p>
            <w:pPr>
              <w:pStyle w:val="TableContents"/>
              <w:bidi w:val="0"/>
              <w:spacing w:before="0" w:after="283"/>
              <w:jc w:val="left"/>
              <w:rPr/>
            </w:pPr>
            <w:r>
              <w:rPr/>
              <w:t>Common stock, $0.0001 par value; Authorized 1,000,000,000 shares as of December 28, 2025 and December 29, 2024; issued and outstanding 111,334,959 and 73,784,645 shares as of December 28, 2025 and December 29, 2024, respectively</w:t>
            </w:r>
          </w:p>
        </w:tc>
        <w:tc>
          <w:tcPr>
            <w:tcW w:w="60" w:type="dxa"/>
            <w:tcBorders/>
            <w:shd w:fill="CCEEFF" w:val="clear"/>
            <w:vAlign w:val="center"/>
          </w:tcPr>
          <w:p>
            <w:pPr>
              <w:pStyle w:val="TableContents"/>
              <w:bidi w:val="0"/>
              <w:spacing w:before="0" w:after="283"/>
              <w:jc w:val="left"/>
              <w:rPr/>
            </w:pPr>
            <w:r>
              <w:rPr/>
              <w:t> </w:t>
            </w:r>
          </w:p>
        </w:tc>
        <w:tc>
          <w:tcPr>
            <w:tcW w:w="187" w:type="dxa"/>
            <w:tcBorders/>
            <w:shd w:fill="CCEEFF" w:val="clear"/>
            <w:vAlign w:val="center"/>
          </w:tcPr>
          <w:p>
            <w:pPr>
              <w:pStyle w:val="TableContents"/>
              <w:bidi w:val="0"/>
              <w:spacing w:before="0" w:after="283"/>
              <w:jc w:val="left"/>
              <w:rPr/>
            </w:pPr>
            <w:r>
              <w:rPr/>
              <w:t> </w:t>
            </w:r>
          </w:p>
        </w:tc>
        <w:tc>
          <w:tcPr>
            <w:tcW w:w="1180" w:type="dxa"/>
            <w:tcBorders/>
            <w:shd w:fill="CCEEFF" w:val="clear"/>
            <w:vAlign w:val="center"/>
          </w:tcPr>
          <w:p>
            <w:pPr>
              <w:pStyle w:val="TableContents"/>
              <w:bidi w:val="0"/>
              <w:spacing w:before="0" w:after="283"/>
              <w:jc w:val="right"/>
              <w:rPr/>
            </w:pPr>
            <w:r>
              <w:rPr/>
              <w:t>16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7" w:type="dxa"/>
            <w:tcBorders/>
            <w:shd w:fill="CCEEFF" w:val="clear"/>
            <w:vAlign w:val="center"/>
          </w:tcPr>
          <w:p>
            <w:pPr>
              <w:pStyle w:val="TableContents"/>
              <w:bidi w:val="0"/>
              <w:spacing w:before="0" w:after="283"/>
              <w:jc w:val="left"/>
              <w:rPr/>
            </w:pPr>
            <w:r>
              <w:rPr/>
              <w:t> </w:t>
            </w:r>
          </w:p>
        </w:tc>
        <w:tc>
          <w:tcPr>
            <w:tcW w:w="1180" w:type="dxa"/>
            <w:tcBorders/>
            <w:shd w:fill="CCEEFF" w:val="clear"/>
            <w:vAlign w:val="center"/>
          </w:tcPr>
          <w:p>
            <w:pPr>
              <w:pStyle w:val="TableContents"/>
              <w:bidi w:val="0"/>
              <w:spacing w:before="0" w:after="283"/>
              <w:jc w:val="right"/>
              <w:rPr/>
            </w:pPr>
            <w:r>
              <w:rPr/>
              <w:t>14</w:t>
            </w:r>
          </w:p>
        </w:tc>
        <w:tc>
          <w:tcPr>
            <w:tcW w:w="259" w:type="dxa"/>
            <w:tcBorders/>
            <w:shd w:fill="CCEEFF" w:val="clear"/>
            <w:vAlign w:val="center"/>
          </w:tcPr>
          <w:p>
            <w:pPr>
              <w:pStyle w:val="TableContents"/>
              <w:bidi w:val="0"/>
              <w:spacing w:before="0" w:after="283"/>
              <w:jc w:val="left"/>
              <w:rPr/>
            </w:pPr>
            <w:r>
              <w:rPr/>
              <w:t> </w:t>
            </w:r>
          </w:p>
        </w:tc>
      </w:tr>
      <w:tr>
        <w:trPr/>
        <w:tc>
          <w:tcPr>
            <w:tcW w:w="6997" w:type="dxa"/>
            <w:tcBorders/>
            <w:shd w:fill="FFFFFF" w:val="clear"/>
            <w:vAlign w:val="center"/>
          </w:tcPr>
          <w:p>
            <w:pPr>
              <w:pStyle w:val="TableContents"/>
              <w:bidi w:val="0"/>
              <w:spacing w:before="0" w:after="283"/>
              <w:jc w:val="left"/>
              <w:rPr/>
            </w:pPr>
            <w:r>
              <w:rPr/>
              <w:t>Additional paid-in capital</w:t>
            </w:r>
          </w:p>
        </w:tc>
        <w:tc>
          <w:tcPr>
            <w:tcW w:w="60" w:type="dxa"/>
            <w:tcBorders/>
            <w:shd w:fill="FFFFFF" w:val="clear"/>
            <w:vAlign w:val="center"/>
          </w:tcPr>
          <w:p>
            <w:pPr>
              <w:pStyle w:val="TableContents"/>
              <w:bidi w:val="0"/>
              <w:spacing w:before="0" w:after="283"/>
              <w:jc w:val="left"/>
              <w:rPr/>
            </w:pPr>
            <w:r>
              <w:rPr/>
              <w:t> </w:t>
            </w:r>
          </w:p>
        </w:tc>
        <w:tc>
          <w:tcPr>
            <w:tcW w:w="187" w:type="dxa"/>
            <w:tcBorders/>
            <w:shd w:fill="FFFFFF" w:val="clear"/>
            <w:vAlign w:val="center"/>
          </w:tcPr>
          <w:p>
            <w:pPr>
              <w:pStyle w:val="TableContents"/>
              <w:bidi w:val="0"/>
              <w:spacing w:before="0" w:after="283"/>
              <w:jc w:val="left"/>
              <w:rPr/>
            </w:pPr>
            <w:r>
              <w:rPr/>
              <w:t> </w:t>
            </w:r>
          </w:p>
        </w:tc>
        <w:tc>
          <w:tcPr>
            <w:tcW w:w="1180" w:type="dxa"/>
            <w:tcBorders/>
            <w:shd w:fill="FFFFFF" w:val="clear"/>
            <w:vAlign w:val="center"/>
          </w:tcPr>
          <w:p>
            <w:pPr>
              <w:pStyle w:val="TableContents"/>
              <w:bidi w:val="0"/>
              <w:spacing w:before="0" w:after="283"/>
              <w:jc w:val="right"/>
              <w:rPr/>
            </w:pPr>
            <w:r>
              <w:rPr/>
              <w:t>366,408</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7" w:type="dxa"/>
            <w:tcBorders/>
            <w:shd w:fill="FFFFFF" w:val="clear"/>
            <w:vAlign w:val="center"/>
          </w:tcPr>
          <w:p>
            <w:pPr>
              <w:pStyle w:val="TableContents"/>
              <w:bidi w:val="0"/>
              <w:spacing w:before="0" w:after="283"/>
              <w:jc w:val="left"/>
              <w:rPr/>
            </w:pPr>
            <w:r>
              <w:rPr/>
              <w:t> </w:t>
            </w:r>
          </w:p>
        </w:tc>
        <w:tc>
          <w:tcPr>
            <w:tcW w:w="1180" w:type="dxa"/>
            <w:tcBorders/>
            <w:shd w:fill="FFFFFF" w:val="clear"/>
            <w:vAlign w:val="center"/>
          </w:tcPr>
          <w:p>
            <w:pPr>
              <w:pStyle w:val="TableContents"/>
              <w:bidi w:val="0"/>
              <w:spacing w:before="0" w:after="283"/>
              <w:jc w:val="right"/>
              <w:rPr/>
            </w:pPr>
            <w:r>
              <w:rPr/>
              <w:t>313,661</w:t>
            </w:r>
          </w:p>
        </w:tc>
        <w:tc>
          <w:tcPr>
            <w:tcW w:w="259" w:type="dxa"/>
            <w:tcBorders/>
            <w:shd w:fill="FFFFFF" w:val="clear"/>
            <w:vAlign w:val="center"/>
          </w:tcPr>
          <w:p>
            <w:pPr>
              <w:pStyle w:val="TableContents"/>
              <w:bidi w:val="0"/>
              <w:spacing w:before="0" w:after="283"/>
              <w:jc w:val="left"/>
              <w:rPr/>
            </w:pPr>
            <w:r>
              <w:rPr/>
              <w:t> </w:t>
            </w:r>
          </w:p>
        </w:tc>
      </w:tr>
      <w:tr>
        <w:trPr/>
        <w:tc>
          <w:tcPr>
            <w:tcW w:w="6997" w:type="dxa"/>
            <w:tcBorders/>
            <w:shd w:fill="CCEEFF" w:val="clear"/>
            <w:vAlign w:val="center"/>
          </w:tcPr>
          <w:p>
            <w:pPr>
              <w:pStyle w:val="TableContents"/>
              <w:bidi w:val="0"/>
              <w:spacing w:before="0" w:after="283"/>
              <w:jc w:val="left"/>
              <w:rPr/>
            </w:pPr>
            <w:r>
              <w:rPr/>
              <w:t>Accumulated other comprehensive loss</w:t>
            </w:r>
          </w:p>
        </w:tc>
        <w:tc>
          <w:tcPr>
            <w:tcW w:w="60" w:type="dxa"/>
            <w:tcBorders/>
            <w:shd w:fill="CCEEFF" w:val="clear"/>
            <w:vAlign w:val="center"/>
          </w:tcPr>
          <w:p>
            <w:pPr>
              <w:pStyle w:val="TableContents"/>
              <w:bidi w:val="0"/>
              <w:spacing w:before="0" w:after="283"/>
              <w:jc w:val="left"/>
              <w:rPr/>
            </w:pPr>
            <w:r>
              <w:rPr/>
              <w:t> </w:t>
            </w:r>
          </w:p>
        </w:tc>
        <w:tc>
          <w:tcPr>
            <w:tcW w:w="187" w:type="dxa"/>
            <w:tcBorders/>
            <w:shd w:fill="CCEEFF" w:val="clear"/>
            <w:vAlign w:val="center"/>
          </w:tcPr>
          <w:p>
            <w:pPr>
              <w:pStyle w:val="TableContents"/>
              <w:bidi w:val="0"/>
              <w:spacing w:before="0" w:after="283"/>
              <w:jc w:val="left"/>
              <w:rPr/>
            </w:pPr>
            <w:r>
              <w:rPr/>
              <w:t> </w:t>
            </w:r>
          </w:p>
        </w:tc>
        <w:tc>
          <w:tcPr>
            <w:tcW w:w="1180" w:type="dxa"/>
            <w:tcBorders/>
            <w:shd w:fill="CCEEFF" w:val="clear"/>
            <w:vAlign w:val="center"/>
          </w:tcPr>
          <w:p>
            <w:pPr>
              <w:pStyle w:val="TableContents"/>
              <w:bidi w:val="0"/>
              <w:spacing w:before="0" w:after="283"/>
              <w:jc w:val="right"/>
              <w:rPr/>
            </w:pPr>
            <w:r>
              <w:rPr/>
              <w:t>165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7" w:type="dxa"/>
            <w:tcBorders/>
            <w:shd w:fill="CCEEFF" w:val="clear"/>
            <w:vAlign w:val="center"/>
          </w:tcPr>
          <w:p>
            <w:pPr>
              <w:pStyle w:val="TableContents"/>
              <w:bidi w:val="0"/>
              <w:spacing w:before="0" w:after="283"/>
              <w:jc w:val="left"/>
              <w:rPr/>
            </w:pPr>
            <w:r>
              <w:rPr/>
              <w:t> </w:t>
            </w:r>
          </w:p>
        </w:tc>
        <w:tc>
          <w:tcPr>
            <w:tcW w:w="1180" w:type="dxa"/>
            <w:tcBorders/>
            <w:shd w:fill="CCEEFF" w:val="clear"/>
            <w:vAlign w:val="center"/>
          </w:tcPr>
          <w:p>
            <w:pPr>
              <w:pStyle w:val="TableContents"/>
              <w:bidi w:val="0"/>
              <w:spacing w:before="0" w:after="283"/>
              <w:jc w:val="right"/>
              <w:rPr/>
            </w:pPr>
            <w:r>
              <w:rPr/>
              <w:t>165</w:t>
            </w:r>
          </w:p>
        </w:tc>
        <w:tc>
          <w:tcPr>
            <w:tcW w:w="259" w:type="dxa"/>
            <w:tcBorders/>
            <w:shd w:fill="CCEEFF" w:val="clear"/>
            <w:vAlign w:val="center"/>
          </w:tcPr>
          <w:p>
            <w:pPr>
              <w:pStyle w:val="TableContents"/>
              <w:bidi w:val="0"/>
              <w:spacing w:before="0" w:after="283"/>
              <w:jc w:val="left"/>
              <w:rPr/>
            </w:pPr>
            <w:r>
              <w:rPr/>
              <w:t> </w:t>
            </w:r>
          </w:p>
        </w:tc>
      </w:tr>
      <w:tr>
        <w:trPr/>
        <w:tc>
          <w:tcPr>
            <w:tcW w:w="6997" w:type="dxa"/>
            <w:tcBorders/>
            <w:shd w:fill="FFFFFF" w:val="clear"/>
            <w:vAlign w:val="center"/>
          </w:tcPr>
          <w:p>
            <w:pPr>
              <w:pStyle w:val="TableContents"/>
              <w:bidi w:val="0"/>
              <w:spacing w:before="0" w:after="283"/>
              <w:jc w:val="left"/>
              <w:rPr/>
            </w:pPr>
            <w:r>
              <w:rPr/>
              <w:t>Accumulated deficit</w:t>
            </w:r>
          </w:p>
        </w:tc>
        <w:tc>
          <w:tcPr>
            <w:tcW w:w="60" w:type="dxa"/>
            <w:tcBorders/>
            <w:shd w:fill="FFFFFF" w:val="clear"/>
            <w:vAlign w:val="center"/>
          </w:tcPr>
          <w:p>
            <w:pPr>
              <w:pStyle w:val="TableContents"/>
              <w:bidi w:val="0"/>
              <w:spacing w:before="0" w:after="283"/>
              <w:jc w:val="left"/>
              <w:rPr/>
            </w:pPr>
            <w:r>
              <w:rPr/>
              <w:t> </w:t>
            </w:r>
          </w:p>
        </w:tc>
        <w:tc>
          <w:tcPr>
            <w:tcW w:w="187"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80" w:type="dxa"/>
            <w:tcBorders>
              <w:bottom w:val="single" w:sz="12" w:space="0" w:color="000000"/>
            </w:tcBorders>
            <w:shd w:fill="FFFFFF" w:val="clear"/>
            <w:tcMar>
              <w:bottom w:w="28" w:type="dxa"/>
            </w:tcMar>
            <w:vAlign w:val="center"/>
          </w:tcPr>
          <w:p>
            <w:pPr>
              <w:pStyle w:val="TableContents"/>
              <w:bidi w:val="0"/>
              <w:spacing w:before="0" w:after="283"/>
              <w:jc w:val="right"/>
              <w:rPr/>
            </w:pPr>
            <w:r>
              <w:rPr/>
              <w:t>(456,733</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87"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80" w:type="dxa"/>
            <w:tcBorders>
              <w:bottom w:val="single" w:sz="12" w:space="0" w:color="000000"/>
            </w:tcBorders>
            <w:shd w:fill="FFFFFF" w:val="clear"/>
            <w:tcMar>
              <w:bottom w:w="28" w:type="dxa"/>
            </w:tcMar>
            <w:vAlign w:val="center"/>
          </w:tcPr>
          <w:p>
            <w:pPr>
              <w:pStyle w:val="TableContents"/>
              <w:bidi w:val="0"/>
              <w:spacing w:before="0" w:after="283"/>
              <w:jc w:val="right"/>
              <w:rPr/>
            </w:pPr>
            <w:r>
              <w:rPr/>
              <w:t>(411,379</w:t>
            </w:r>
          </w:p>
        </w:tc>
        <w:tc>
          <w:tcPr>
            <w:tcW w:w="259" w:type="dxa"/>
            <w:tcBorders/>
            <w:shd w:fill="FFFFFF" w:val="clear"/>
            <w:vAlign w:val="center"/>
          </w:tcPr>
          <w:p>
            <w:pPr>
              <w:pStyle w:val="TableContents"/>
              <w:bidi w:val="0"/>
              <w:spacing w:before="0" w:after="283"/>
              <w:ind w:left="0" w:right="0" w:hanging="180"/>
              <w:jc w:val="left"/>
              <w:rPr/>
            </w:pPr>
            <w:r>
              <w:rPr/>
              <w:t>)</w:t>
            </w:r>
          </w:p>
        </w:tc>
      </w:tr>
      <w:tr>
        <w:trPr/>
        <w:tc>
          <w:tcPr>
            <w:tcW w:w="6997" w:type="dxa"/>
            <w:tcBorders/>
            <w:shd w:fill="CCEEFF" w:val="clear"/>
            <w:vAlign w:val="center"/>
          </w:tcPr>
          <w:p>
            <w:pPr>
              <w:pStyle w:val="TableContents"/>
              <w:bidi w:val="0"/>
              <w:spacing w:before="0" w:after="283"/>
              <w:jc w:val="left"/>
              <w:rPr/>
            </w:pPr>
            <w:r>
              <w:rPr/>
              <w:t>Total stockholders’ (deficit)</w:t>
            </w:r>
          </w:p>
        </w:tc>
        <w:tc>
          <w:tcPr>
            <w:tcW w:w="60" w:type="dxa"/>
            <w:tcBorders/>
            <w:shd w:fill="CCEEFF" w:val="clear"/>
            <w:vAlign w:val="center"/>
          </w:tcPr>
          <w:p>
            <w:pPr>
              <w:pStyle w:val="TableContents"/>
              <w:bidi w:val="0"/>
              <w:spacing w:before="0" w:after="283"/>
              <w:jc w:val="left"/>
              <w:rPr/>
            </w:pPr>
            <w:r>
              <w:rPr/>
              <w:t> </w:t>
            </w:r>
          </w:p>
        </w:tc>
        <w:tc>
          <w:tcPr>
            <w:tcW w:w="187"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80" w:type="dxa"/>
            <w:tcBorders>
              <w:bottom w:val="single" w:sz="12" w:space="0" w:color="000000"/>
            </w:tcBorders>
            <w:shd w:fill="CCEEFF" w:val="clear"/>
            <w:tcMar>
              <w:bottom w:w="28" w:type="dxa"/>
            </w:tcMar>
            <w:vAlign w:val="center"/>
          </w:tcPr>
          <w:p>
            <w:pPr>
              <w:pStyle w:val="TableContents"/>
              <w:bidi w:val="0"/>
              <w:spacing w:before="0" w:after="283"/>
              <w:jc w:val="right"/>
              <w:rPr/>
            </w:pPr>
            <w:r>
              <w:rPr/>
              <w:t>(90,144</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87"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80" w:type="dxa"/>
            <w:tcBorders>
              <w:bottom w:val="single" w:sz="12" w:space="0" w:color="000000"/>
            </w:tcBorders>
            <w:shd w:fill="CCEEFF" w:val="clear"/>
            <w:tcMar>
              <w:bottom w:w="28" w:type="dxa"/>
            </w:tcMar>
            <w:vAlign w:val="center"/>
          </w:tcPr>
          <w:p>
            <w:pPr>
              <w:pStyle w:val="TableContents"/>
              <w:bidi w:val="0"/>
              <w:spacing w:before="0" w:after="283"/>
              <w:jc w:val="right"/>
              <w:rPr/>
            </w:pPr>
            <w:r>
              <w:rPr/>
              <w:t>(97,539</w:t>
            </w:r>
          </w:p>
        </w:tc>
        <w:tc>
          <w:tcPr>
            <w:tcW w:w="259" w:type="dxa"/>
            <w:tcBorders/>
            <w:shd w:fill="CCEEFF" w:val="clear"/>
            <w:vAlign w:val="center"/>
          </w:tcPr>
          <w:p>
            <w:pPr>
              <w:pStyle w:val="TableContents"/>
              <w:bidi w:val="0"/>
              <w:spacing w:before="0" w:after="283"/>
              <w:ind w:left="0" w:right="0" w:hanging="180"/>
              <w:jc w:val="left"/>
              <w:rPr/>
            </w:pPr>
            <w:r>
              <w:rPr/>
              <w:t>)</w:t>
            </w:r>
          </w:p>
        </w:tc>
      </w:tr>
      <w:tr>
        <w:trPr/>
        <w:tc>
          <w:tcPr>
            <w:tcW w:w="6997" w:type="dxa"/>
            <w:tcBorders/>
            <w:shd w:fill="FFFFFF" w:val="clear"/>
            <w:vAlign w:val="center"/>
          </w:tcPr>
          <w:p>
            <w:pPr>
              <w:pStyle w:val="TableContents"/>
              <w:bidi w:val="0"/>
              <w:spacing w:before="0" w:after="283"/>
              <w:jc w:val="left"/>
              <w:rPr/>
            </w:pPr>
            <w:r>
              <w:rPr/>
              <w:t>Total liabilities and stockholders’ (deficit)</w:t>
            </w:r>
          </w:p>
        </w:tc>
        <w:tc>
          <w:tcPr>
            <w:tcW w:w="60" w:type="dxa"/>
            <w:tcBorders/>
            <w:shd w:fill="FFFFFF" w:val="clear"/>
            <w:vAlign w:val="center"/>
          </w:tcPr>
          <w:p>
            <w:pPr>
              <w:pStyle w:val="TableContents"/>
              <w:bidi w:val="0"/>
              <w:spacing w:before="0" w:after="283"/>
              <w:jc w:val="left"/>
              <w:rPr/>
            </w:pPr>
            <w:r>
              <w:rPr/>
              <w:t> </w:t>
            </w:r>
          </w:p>
        </w:tc>
        <w:tc>
          <w:tcPr>
            <w:tcW w:w="187" w:type="dxa"/>
            <w:tcBorders>
              <w:bottom w:val="double" w:sz="10" w:space="0" w:color="000000"/>
            </w:tcBorders>
            <w:shd w:fill="FFFFFF" w:val="clear"/>
            <w:tcMar>
              <w:bottom w:w="28" w:type="dxa"/>
            </w:tcMar>
            <w:vAlign w:val="center"/>
          </w:tcPr>
          <w:p>
            <w:pPr>
              <w:pStyle w:val="TableContents"/>
              <w:bidi w:val="0"/>
              <w:spacing w:before="0" w:after="283"/>
              <w:jc w:val="left"/>
              <w:rPr/>
            </w:pPr>
            <w:r>
              <w:rPr/>
              <w:t>$</w:t>
            </w:r>
          </w:p>
        </w:tc>
        <w:tc>
          <w:tcPr>
            <w:tcW w:w="1180" w:type="dxa"/>
            <w:tcBorders>
              <w:bottom w:val="double" w:sz="10" w:space="0" w:color="000000"/>
            </w:tcBorders>
            <w:shd w:fill="FFFFFF" w:val="clear"/>
            <w:tcMar>
              <w:bottom w:w="28" w:type="dxa"/>
            </w:tcMar>
            <w:vAlign w:val="center"/>
          </w:tcPr>
          <w:p>
            <w:pPr>
              <w:pStyle w:val="TableContents"/>
              <w:bidi w:val="0"/>
              <w:spacing w:before="0" w:after="283"/>
              <w:jc w:val="right"/>
              <w:rPr/>
            </w:pPr>
            <w:r>
              <w:rPr/>
              <w:t>241,187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7" w:type="dxa"/>
            <w:tcBorders>
              <w:bottom w:val="double" w:sz="10" w:space="0" w:color="000000"/>
            </w:tcBorders>
            <w:shd w:fill="FFFFFF" w:val="clear"/>
            <w:tcMar>
              <w:bottom w:w="28" w:type="dxa"/>
            </w:tcMar>
            <w:vAlign w:val="center"/>
          </w:tcPr>
          <w:p>
            <w:pPr>
              <w:pStyle w:val="TableContents"/>
              <w:bidi w:val="0"/>
              <w:spacing w:before="0" w:after="283"/>
              <w:jc w:val="left"/>
              <w:rPr/>
            </w:pPr>
            <w:r>
              <w:rPr/>
              <w:t>$</w:t>
            </w:r>
          </w:p>
        </w:tc>
        <w:tc>
          <w:tcPr>
            <w:tcW w:w="1180" w:type="dxa"/>
            <w:tcBorders>
              <w:bottom w:val="double" w:sz="10" w:space="0" w:color="000000"/>
            </w:tcBorders>
            <w:shd w:fill="FFFFFF" w:val="clear"/>
            <w:tcMar>
              <w:bottom w:w="28" w:type="dxa"/>
            </w:tcMar>
            <w:vAlign w:val="center"/>
          </w:tcPr>
          <w:p>
            <w:pPr>
              <w:pStyle w:val="TableContents"/>
              <w:bidi w:val="0"/>
              <w:spacing w:before="0" w:after="283"/>
              <w:jc w:val="right"/>
              <w:rPr/>
            </w:pPr>
            <w:r>
              <w:rPr/>
              <w:t>144,466</w:t>
            </w:r>
          </w:p>
        </w:tc>
        <w:tc>
          <w:tcPr>
            <w:tcW w:w="259"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09"/>
        <w:gridCol w:w="9996"/>
      </w:tblGrid>
      <w:tr>
        <w:trPr/>
        <w:tc>
          <w:tcPr>
            <w:tcW w:w="209" w:type="dxa"/>
            <w:tcBorders/>
            <w:vAlign w:val="center"/>
          </w:tcPr>
          <w:p>
            <w:pPr>
              <w:pStyle w:val="TableContents"/>
              <w:bidi w:val="0"/>
              <w:spacing w:before="0" w:after="283"/>
              <w:jc w:val="left"/>
              <w:rPr>
                <w:rFonts w:ascii="Times New Roman;Times;Serif" w:hAnsi="Times New Roman;Times;Serif"/>
                <w:position w:val="7"/>
                <w:sz w:val="16"/>
                <w:sz w:val="20"/>
              </w:rPr>
            </w:pPr>
            <w:r>
              <w:rPr>
                <w:rFonts w:ascii="Times New Roman;Times;Serif" w:hAnsi="Times New Roman;Times;Serif"/>
                <w:position w:val="7"/>
                <w:sz w:val="16"/>
                <w:sz w:val="20"/>
              </w:rPr>
              <w:t>(1)</w:t>
            </w:r>
          </w:p>
        </w:tc>
        <w:tc>
          <w:tcPr>
            <w:tcW w:w="9996" w:type="dxa"/>
            <w:tcBorders/>
            <w:vAlign w:val="center"/>
          </w:tcPr>
          <w:p>
            <w:pPr>
              <w:pStyle w:val="TableContents"/>
              <w:bidi w:val="0"/>
              <w:spacing w:before="0" w:after="283"/>
              <w:jc w:val="both"/>
              <w:rPr/>
            </w:pPr>
            <w:r>
              <w:rPr/>
              <w:t>Includes accrued interest due to related parties of $2.6 million and $2.5 million as of December 28, 2025 and December 29, 2024, respectively, and includes investor financing deposit with related party of $2.0 million as of December 28, 2025.</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accompanying notes are an integral part of these consolidated financial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sz w:val="20"/>
          <w:bdr w:val="single" w:sz="12" w:space="1" w:color="000000"/>
        </w:rPr>
      </w:pPr>
      <w:r>
        <w:rPr>
          <w:sz w:val="20"/>
          <w:bdr w:val="single" w:sz="12" w:space="1" w:color="000000"/>
        </w:rPr>
        <w:t>F-51</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29" w:name="C_003"/>
      <w:bookmarkEnd w:id="29"/>
      <w:r>
        <w:rPr>
          <w:rFonts w:ascii="Times New Roman;Times;Serif" w:hAnsi="Times New Roman;Times;Serif"/>
          <w:b/>
          <w:i w:val="false"/>
          <w:caps w:val="false"/>
          <w:smallCaps w:val="false"/>
          <w:sz w:val="20"/>
        </w:rPr>
        <w:t>SUNPOWER INC.</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Consolidated Statements of Operations and Comprehensive Loss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r>
        <w:rPr>
          <w:rFonts w:ascii="Times New Roman;Times;Serif" w:hAnsi="Times New Roman;Times;Serif"/>
          <w:b/>
          <w:i/>
          <w:caps w:val="false"/>
          <w:smallCaps w:val="false"/>
          <w:sz w:val="20"/>
        </w:rPr>
        <w:t>in thousands, except share and per share amounts</w:t>
      </w:r>
      <w:r>
        <w:rPr>
          <w:rFonts w:ascii="Times New Roman;Times;Serif" w:hAnsi="Times New Roman;Times;Serif"/>
          <w:b/>
          <w:i w:val="false"/>
          <w:caps w:val="false"/>
          <w:smallCaps w:val="false"/>
          <w:sz w:val="20"/>
        </w:rPr>
        <w:t>)</w:t>
      </w:r>
    </w:p>
    <w:p>
      <w:pPr>
        <w:pStyle w:val="TextBody"/>
        <w:bidi w:val="0"/>
        <w:spacing w:before="0" w:after="0"/>
        <w:ind w:left="0" w:right="0" w:hanging="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101"/>
        <w:gridCol w:w="60"/>
        <w:gridCol w:w="155"/>
        <w:gridCol w:w="1233"/>
        <w:gridCol w:w="95"/>
        <w:gridCol w:w="60"/>
        <w:gridCol w:w="155"/>
        <w:gridCol w:w="1233"/>
        <w:gridCol w:w="113"/>
      </w:tblGrid>
      <w:tr>
        <w:trPr/>
        <w:tc>
          <w:tcPr>
            <w:tcW w:w="7101"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931"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Fiscal Year Ended</w:t>
            </w:r>
          </w:p>
        </w:tc>
        <w:tc>
          <w:tcPr>
            <w:tcW w:w="113" w:type="dxa"/>
            <w:tcBorders/>
            <w:vAlign w:val="center"/>
          </w:tcPr>
          <w:p>
            <w:pPr>
              <w:pStyle w:val="TableContents"/>
              <w:bidi w:val="0"/>
              <w:spacing w:before="0" w:after="283"/>
              <w:jc w:val="left"/>
              <w:rPr/>
            </w:pPr>
            <w:r>
              <w:rPr/>
              <w:t> </w:t>
            </w:r>
          </w:p>
        </w:tc>
      </w:tr>
      <w:tr>
        <w:trPr/>
        <w:tc>
          <w:tcPr>
            <w:tcW w:w="7101"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388" w:type="dxa"/>
            <w:gridSpan w:val="2"/>
            <w:tcBorders/>
            <w:vAlign w:val="center"/>
          </w:tcPr>
          <w:p>
            <w:pPr>
              <w:pStyle w:val="TableContents"/>
              <w:bidi w:val="0"/>
              <w:spacing w:before="0" w:after="283"/>
              <w:jc w:val="center"/>
              <w:rPr>
                <w:b/>
              </w:rPr>
            </w:pPr>
            <w:r>
              <w:rPr>
                <w:b/>
              </w:rPr>
              <w:t>December 28,</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88" w:type="dxa"/>
            <w:gridSpan w:val="2"/>
            <w:tcBorders/>
            <w:vAlign w:val="center"/>
          </w:tcPr>
          <w:p>
            <w:pPr>
              <w:pStyle w:val="TableContents"/>
              <w:bidi w:val="0"/>
              <w:spacing w:before="0" w:after="283"/>
              <w:jc w:val="center"/>
              <w:rPr>
                <w:b/>
              </w:rPr>
            </w:pPr>
            <w:r>
              <w:rPr>
                <w:b/>
              </w:rPr>
              <w:t>December 29,</w:t>
            </w:r>
          </w:p>
        </w:tc>
        <w:tc>
          <w:tcPr>
            <w:tcW w:w="113" w:type="dxa"/>
            <w:tcBorders/>
            <w:vAlign w:val="center"/>
          </w:tcPr>
          <w:p>
            <w:pPr>
              <w:pStyle w:val="TableContents"/>
              <w:bidi w:val="0"/>
              <w:spacing w:before="0" w:after="283"/>
              <w:jc w:val="left"/>
              <w:rPr/>
            </w:pPr>
            <w:r>
              <w:rPr/>
              <w:t> </w:t>
            </w:r>
          </w:p>
        </w:tc>
      </w:tr>
      <w:tr>
        <w:trPr/>
        <w:tc>
          <w:tcPr>
            <w:tcW w:w="7101"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388"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2025</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88"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2024</w:t>
            </w:r>
          </w:p>
        </w:tc>
        <w:tc>
          <w:tcPr>
            <w:tcW w:w="113" w:type="dxa"/>
            <w:tcBorders/>
            <w:vAlign w:val="center"/>
          </w:tcPr>
          <w:p>
            <w:pPr>
              <w:pStyle w:val="TableContents"/>
              <w:bidi w:val="0"/>
              <w:spacing w:before="0" w:after="283"/>
              <w:jc w:val="left"/>
              <w:rPr/>
            </w:pPr>
            <w:r>
              <w:rPr/>
              <w:t> </w:t>
            </w:r>
          </w:p>
        </w:tc>
      </w:tr>
      <w:tr>
        <w:trPr/>
        <w:tc>
          <w:tcPr>
            <w:tcW w:w="7101" w:type="dxa"/>
            <w:tcBorders/>
            <w:shd w:fill="CCEEFF" w:val="clear"/>
            <w:vAlign w:val="center"/>
          </w:tcPr>
          <w:p>
            <w:pPr>
              <w:pStyle w:val="TableContents"/>
              <w:bidi w:val="0"/>
              <w:spacing w:before="0" w:after="283"/>
              <w:jc w:val="left"/>
              <w:rPr>
                <w:sz w:val="20"/>
              </w:rPr>
            </w:pPr>
            <w:r>
              <w:rPr>
                <w:sz w:val="20"/>
              </w:rPr>
              <w:t>Revenues</w:t>
            </w:r>
          </w:p>
        </w:tc>
        <w:tc>
          <w:tcPr>
            <w:tcW w:w="60"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pPr>
            <w:r>
              <w:rPr/>
              <w:t>$</w:t>
            </w:r>
          </w:p>
        </w:tc>
        <w:tc>
          <w:tcPr>
            <w:tcW w:w="1233" w:type="dxa"/>
            <w:tcBorders/>
            <w:shd w:fill="CCEEFF" w:val="clear"/>
            <w:vAlign w:val="center"/>
          </w:tcPr>
          <w:p>
            <w:pPr>
              <w:pStyle w:val="TableContents"/>
              <w:bidi w:val="0"/>
              <w:spacing w:before="0" w:after="283"/>
              <w:jc w:val="right"/>
              <w:rPr/>
            </w:pPr>
            <w:r>
              <w:rPr/>
              <w:t>300,000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pPr>
            <w:r>
              <w:rPr/>
              <w:t>$</w:t>
            </w:r>
          </w:p>
        </w:tc>
        <w:tc>
          <w:tcPr>
            <w:tcW w:w="1233" w:type="dxa"/>
            <w:tcBorders/>
            <w:shd w:fill="CCEEFF" w:val="clear"/>
            <w:vAlign w:val="center"/>
          </w:tcPr>
          <w:p>
            <w:pPr>
              <w:pStyle w:val="TableContents"/>
              <w:bidi w:val="0"/>
              <w:spacing w:before="0" w:after="283"/>
              <w:jc w:val="right"/>
              <w:rPr/>
            </w:pPr>
            <w:r>
              <w:rPr/>
              <w:t>108,742</w:t>
            </w:r>
          </w:p>
        </w:tc>
        <w:tc>
          <w:tcPr>
            <w:tcW w:w="113" w:type="dxa"/>
            <w:tcBorders/>
            <w:shd w:fill="CCEEFF" w:val="clear"/>
            <w:vAlign w:val="center"/>
          </w:tcPr>
          <w:p>
            <w:pPr>
              <w:pStyle w:val="TableContents"/>
              <w:bidi w:val="0"/>
              <w:spacing w:before="0" w:after="283"/>
              <w:jc w:val="left"/>
              <w:rPr/>
            </w:pPr>
            <w:r>
              <w:rPr/>
              <w:t> </w:t>
            </w:r>
          </w:p>
        </w:tc>
      </w:tr>
      <w:tr>
        <w:trPr/>
        <w:tc>
          <w:tcPr>
            <w:tcW w:w="7101" w:type="dxa"/>
            <w:tcBorders/>
            <w:shd w:fill="FFFFFF" w:val="clear"/>
            <w:vAlign w:val="center"/>
          </w:tcPr>
          <w:p>
            <w:pPr>
              <w:pStyle w:val="TableContents"/>
              <w:bidi w:val="0"/>
              <w:spacing w:before="0" w:after="283"/>
              <w:jc w:val="left"/>
              <w:rPr/>
            </w:pPr>
            <w:r>
              <w:rPr/>
              <w:t xml:space="preserve">Cost of revenues </w:t>
            </w:r>
            <w:r>
              <w:rPr>
                <w:position w:val="8"/>
                <w:sz w:val="19"/>
              </w:rPr>
              <w:t>(1)</w:t>
            </w:r>
          </w:p>
        </w:tc>
        <w:tc>
          <w:tcPr>
            <w:tcW w:w="60" w:type="dxa"/>
            <w:tcBorders/>
            <w:shd w:fill="FFFFFF" w:val="clear"/>
            <w:vAlign w:val="center"/>
          </w:tcPr>
          <w:p>
            <w:pPr>
              <w:pStyle w:val="TableContents"/>
              <w:bidi w:val="0"/>
              <w:spacing w:before="0" w:after="283"/>
              <w:jc w:val="left"/>
              <w:rPr/>
            </w:pPr>
            <w:r>
              <w:rPr/>
              <w:t> </w:t>
            </w:r>
          </w:p>
        </w:tc>
        <w:tc>
          <w:tcPr>
            <w:tcW w:w="155"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33" w:type="dxa"/>
            <w:tcBorders>
              <w:bottom w:val="single" w:sz="12" w:space="0" w:color="000000"/>
            </w:tcBorders>
            <w:shd w:fill="FFFFFF" w:val="clear"/>
            <w:tcMar>
              <w:bottom w:w="28" w:type="dxa"/>
            </w:tcMar>
            <w:vAlign w:val="center"/>
          </w:tcPr>
          <w:p>
            <w:pPr>
              <w:pStyle w:val="TableContents"/>
              <w:bidi w:val="0"/>
              <w:spacing w:before="0" w:after="283"/>
              <w:jc w:val="right"/>
              <w:rPr/>
            </w:pPr>
            <w:r>
              <w:rPr/>
              <w:t>170,788</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5"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33" w:type="dxa"/>
            <w:tcBorders>
              <w:bottom w:val="single" w:sz="12" w:space="0" w:color="000000"/>
            </w:tcBorders>
            <w:shd w:fill="FFFFFF" w:val="clear"/>
            <w:tcMar>
              <w:bottom w:w="28" w:type="dxa"/>
            </w:tcMar>
            <w:vAlign w:val="center"/>
          </w:tcPr>
          <w:p>
            <w:pPr>
              <w:pStyle w:val="TableContents"/>
              <w:bidi w:val="0"/>
              <w:spacing w:before="0" w:after="283"/>
              <w:jc w:val="right"/>
              <w:rPr/>
            </w:pPr>
            <w:r>
              <w:rPr/>
              <w:t>69,240</w:t>
            </w:r>
          </w:p>
        </w:tc>
        <w:tc>
          <w:tcPr>
            <w:tcW w:w="113" w:type="dxa"/>
            <w:tcBorders/>
            <w:shd w:fill="FFFFFF" w:val="clear"/>
            <w:vAlign w:val="center"/>
          </w:tcPr>
          <w:p>
            <w:pPr>
              <w:pStyle w:val="TableContents"/>
              <w:bidi w:val="0"/>
              <w:spacing w:before="0" w:after="283"/>
              <w:jc w:val="left"/>
              <w:rPr/>
            </w:pPr>
            <w:r>
              <w:rPr/>
              <w:t> </w:t>
            </w:r>
          </w:p>
        </w:tc>
      </w:tr>
      <w:tr>
        <w:trPr/>
        <w:tc>
          <w:tcPr>
            <w:tcW w:w="7101" w:type="dxa"/>
            <w:tcBorders/>
            <w:shd w:fill="CCEEFF" w:val="clear"/>
            <w:vAlign w:val="center"/>
          </w:tcPr>
          <w:p>
            <w:pPr>
              <w:pStyle w:val="TableContents"/>
              <w:bidi w:val="0"/>
              <w:spacing w:before="0" w:after="283"/>
              <w:jc w:val="left"/>
              <w:rPr/>
            </w:pPr>
            <w:r>
              <w:rPr/>
              <w:t>Gross profit</w:t>
            </w:r>
          </w:p>
        </w:tc>
        <w:tc>
          <w:tcPr>
            <w:tcW w:w="60" w:type="dxa"/>
            <w:tcBorders/>
            <w:shd w:fill="CCEEFF" w:val="clear"/>
            <w:vAlign w:val="center"/>
          </w:tcPr>
          <w:p>
            <w:pPr>
              <w:pStyle w:val="TableContents"/>
              <w:bidi w:val="0"/>
              <w:spacing w:before="0" w:after="283"/>
              <w:jc w:val="left"/>
              <w:rPr/>
            </w:pPr>
            <w:r>
              <w:rPr/>
              <w:t> </w:t>
            </w:r>
          </w:p>
        </w:tc>
        <w:tc>
          <w:tcPr>
            <w:tcW w:w="155"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33" w:type="dxa"/>
            <w:tcBorders>
              <w:bottom w:val="single" w:sz="12" w:space="0" w:color="000000"/>
            </w:tcBorders>
            <w:shd w:fill="CCEEFF" w:val="clear"/>
            <w:tcMar>
              <w:bottom w:w="28" w:type="dxa"/>
            </w:tcMar>
            <w:vAlign w:val="center"/>
          </w:tcPr>
          <w:p>
            <w:pPr>
              <w:pStyle w:val="TableContents"/>
              <w:bidi w:val="0"/>
              <w:spacing w:before="0" w:after="283"/>
              <w:jc w:val="right"/>
              <w:rPr/>
            </w:pPr>
            <w:r>
              <w:rPr/>
              <w:t>129,212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5"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33" w:type="dxa"/>
            <w:tcBorders>
              <w:bottom w:val="single" w:sz="12" w:space="0" w:color="000000"/>
            </w:tcBorders>
            <w:shd w:fill="CCEEFF" w:val="clear"/>
            <w:tcMar>
              <w:bottom w:w="28" w:type="dxa"/>
            </w:tcMar>
            <w:vAlign w:val="center"/>
          </w:tcPr>
          <w:p>
            <w:pPr>
              <w:pStyle w:val="TableContents"/>
              <w:bidi w:val="0"/>
              <w:spacing w:before="0" w:after="283"/>
              <w:jc w:val="right"/>
              <w:rPr/>
            </w:pPr>
            <w:r>
              <w:rPr/>
              <w:t>39,502</w:t>
            </w:r>
          </w:p>
        </w:tc>
        <w:tc>
          <w:tcPr>
            <w:tcW w:w="113" w:type="dxa"/>
            <w:tcBorders/>
            <w:shd w:fill="CCEEFF" w:val="clear"/>
            <w:vAlign w:val="center"/>
          </w:tcPr>
          <w:p>
            <w:pPr>
              <w:pStyle w:val="TableContents"/>
              <w:bidi w:val="0"/>
              <w:spacing w:before="0" w:after="283"/>
              <w:jc w:val="left"/>
              <w:rPr/>
            </w:pPr>
            <w:r>
              <w:rPr/>
              <w:t> </w:t>
            </w:r>
          </w:p>
        </w:tc>
      </w:tr>
      <w:tr>
        <w:trPr/>
        <w:tc>
          <w:tcPr>
            <w:tcW w:w="7101" w:type="dxa"/>
            <w:tcBorders/>
            <w:shd w:fill="FFFFFF" w:val="clear"/>
            <w:vAlign w:val="center"/>
          </w:tcPr>
          <w:p>
            <w:pPr>
              <w:pStyle w:val="TableContents"/>
              <w:bidi w:val="0"/>
              <w:spacing w:before="0" w:after="283"/>
              <w:jc w:val="left"/>
              <w:rPr/>
            </w:pPr>
            <w:r>
              <w:rPr/>
              <w:t>Operating expenses:</w:t>
            </w:r>
          </w:p>
        </w:tc>
        <w:tc>
          <w:tcPr>
            <w:tcW w:w="60" w:type="dxa"/>
            <w:tcBorders/>
            <w:shd w:fill="FFFFFF" w:val="clear"/>
            <w:vAlign w:val="center"/>
          </w:tcPr>
          <w:p>
            <w:pPr>
              <w:pStyle w:val="TableContents"/>
              <w:bidi w:val="0"/>
              <w:spacing w:before="0" w:after="283"/>
              <w:jc w:val="left"/>
              <w:rPr/>
            </w:pPr>
            <w:r>
              <w:rPr/>
              <w:t> </w:t>
            </w:r>
          </w:p>
        </w:tc>
        <w:tc>
          <w:tcPr>
            <w:tcW w:w="155" w:type="dxa"/>
            <w:tcBorders/>
            <w:shd w:fill="FFFFFF" w:val="clear"/>
            <w:vAlign w:val="center"/>
          </w:tcPr>
          <w:p>
            <w:pPr>
              <w:pStyle w:val="TableContents"/>
              <w:bidi w:val="0"/>
              <w:spacing w:before="0" w:after="283"/>
              <w:jc w:val="left"/>
              <w:rPr/>
            </w:pPr>
            <w:r>
              <w:rPr/>
              <w:t> </w:t>
            </w:r>
          </w:p>
        </w:tc>
        <w:tc>
          <w:tcPr>
            <w:tcW w:w="1233"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5" w:type="dxa"/>
            <w:tcBorders/>
            <w:shd w:fill="FFFFFF" w:val="clear"/>
            <w:vAlign w:val="center"/>
          </w:tcPr>
          <w:p>
            <w:pPr>
              <w:pStyle w:val="TableContents"/>
              <w:bidi w:val="0"/>
              <w:spacing w:before="0" w:after="283"/>
              <w:jc w:val="left"/>
              <w:rPr/>
            </w:pPr>
            <w:r>
              <w:rPr/>
              <w:t> </w:t>
            </w:r>
          </w:p>
        </w:tc>
        <w:tc>
          <w:tcPr>
            <w:tcW w:w="1233" w:type="dxa"/>
            <w:tcBorders/>
            <w:shd w:fill="FFFFFF" w:val="clear"/>
            <w:vAlign w:val="center"/>
          </w:tcPr>
          <w:p>
            <w:pPr>
              <w:pStyle w:val="TableContents"/>
              <w:bidi w:val="0"/>
              <w:spacing w:before="0" w:after="283"/>
              <w:jc w:val="right"/>
              <w:rPr/>
            </w:pPr>
            <w:r>
              <w:rPr/>
              <w:t> </w:t>
            </w:r>
          </w:p>
        </w:tc>
        <w:tc>
          <w:tcPr>
            <w:tcW w:w="113" w:type="dxa"/>
            <w:tcBorders/>
            <w:shd w:fill="FFFFFF" w:val="clear"/>
            <w:vAlign w:val="center"/>
          </w:tcPr>
          <w:p>
            <w:pPr>
              <w:pStyle w:val="TableContents"/>
              <w:bidi w:val="0"/>
              <w:spacing w:before="0" w:after="283"/>
              <w:jc w:val="left"/>
              <w:rPr/>
            </w:pPr>
            <w:r>
              <w:rPr/>
              <w:t> </w:t>
            </w:r>
          </w:p>
        </w:tc>
      </w:tr>
      <w:tr>
        <w:trPr/>
        <w:tc>
          <w:tcPr>
            <w:tcW w:w="7101" w:type="dxa"/>
            <w:tcBorders/>
            <w:shd w:fill="CCEEFF" w:val="clear"/>
            <w:vAlign w:val="center"/>
          </w:tcPr>
          <w:p>
            <w:pPr>
              <w:pStyle w:val="TableContents"/>
              <w:bidi w:val="0"/>
              <w:spacing w:before="0" w:after="283"/>
              <w:jc w:val="left"/>
              <w:rPr/>
            </w:pPr>
            <w:r>
              <w:rPr/>
              <w:t>Sales commissions</w:t>
            </w:r>
          </w:p>
        </w:tc>
        <w:tc>
          <w:tcPr>
            <w:tcW w:w="60"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pPr>
            <w:r>
              <w:rPr/>
              <w:t> </w:t>
            </w:r>
          </w:p>
        </w:tc>
        <w:tc>
          <w:tcPr>
            <w:tcW w:w="1233" w:type="dxa"/>
            <w:tcBorders/>
            <w:shd w:fill="CCEEFF" w:val="clear"/>
            <w:vAlign w:val="center"/>
          </w:tcPr>
          <w:p>
            <w:pPr>
              <w:pStyle w:val="TableContents"/>
              <w:bidi w:val="0"/>
              <w:spacing w:before="0" w:after="283"/>
              <w:jc w:val="right"/>
              <w:rPr/>
            </w:pPr>
            <w:r>
              <w:rPr/>
              <w:t>37,009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pPr>
            <w:r>
              <w:rPr/>
              <w:t> </w:t>
            </w:r>
          </w:p>
        </w:tc>
        <w:tc>
          <w:tcPr>
            <w:tcW w:w="1233" w:type="dxa"/>
            <w:tcBorders/>
            <w:shd w:fill="CCEEFF" w:val="clear"/>
            <w:vAlign w:val="center"/>
          </w:tcPr>
          <w:p>
            <w:pPr>
              <w:pStyle w:val="TableContents"/>
              <w:bidi w:val="0"/>
              <w:spacing w:before="0" w:after="283"/>
              <w:jc w:val="right"/>
              <w:rPr/>
            </w:pPr>
            <w:r>
              <w:rPr/>
              <w:t>24,590</w:t>
            </w:r>
          </w:p>
        </w:tc>
        <w:tc>
          <w:tcPr>
            <w:tcW w:w="113" w:type="dxa"/>
            <w:tcBorders/>
            <w:shd w:fill="CCEEFF" w:val="clear"/>
            <w:vAlign w:val="center"/>
          </w:tcPr>
          <w:p>
            <w:pPr>
              <w:pStyle w:val="TableContents"/>
              <w:bidi w:val="0"/>
              <w:spacing w:before="0" w:after="283"/>
              <w:jc w:val="left"/>
              <w:rPr/>
            </w:pPr>
            <w:r>
              <w:rPr/>
              <w:t> </w:t>
            </w:r>
          </w:p>
        </w:tc>
      </w:tr>
      <w:tr>
        <w:trPr/>
        <w:tc>
          <w:tcPr>
            <w:tcW w:w="7101" w:type="dxa"/>
            <w:tcBorders/>
            <w:shd w:fill="FFFFFF" w:val="clear"/>
            <w:vAlign w:val="center"/>
          </w:tcPr>
          <w:p>
            <w:pPr>
              <w:pStyle w:val="TableContents"/>
              <w:bidi w:val="0"/>
              <w:spacing w:before="0" w:after="283"/>
              <w:jc w:val="left"/>
              <w:rPr/>
            </w:pPr>
            <w:r>
              <w:rPr/>
              <w:t>Sales and marketing</w:t>
            </w:r>
          </w:p>
        </w:tc>
        <w:tc>
          <w:tcPr>
            <w:tcW w:w="60" w:type="dxa"/>
            <w:tcBorders/>
            <w:shd w:fill="FFFFFF" w:val="clear"/>
            <w:vAlign w:val="center"/>
          </w:tcPr>
          <w:p>
            <w:pPr>
              <w:pStyle w:val="TableContents"/>
              <w:bidi w:val="0"/>
              <w:spacing w:before="0" w:after="283"/>
              <w:jc w:val="left"/>
              <w:rPr/>
            </w:pPr>
            <w:r>
              <w:rPr/>
              <w:t> </w:t>
            </w:r>
          </w:p>
        </w:tc>
        <w:tc>
          <w:tcPr>
            <w:tcW w:w="155" w:type="dxa"/>
            <w:tcBorders/>
            <w:shd w:fill="FFFFFF" w:val="clear"/>
            <w:vAlign w:val="center"/>
          </w:tcPr>
          <w:p>
            <w:pPr>
              <w:pStyle w:val="TableContents"/>
              <w:bidi w:val="0"/>
              <w:spacing w:before="0" w:after="283"/>
              <w:jc w:val="left"/>
              <w:rPr/>
            </w:pPr>
            <w:r>
              <w:rPr/>
              <w:t> </w:t>
            </w:r>
          </w:p>
        </w:tc>
        <w:tc>
          <w:tcPr>
            <w:tcW w:w="1233" w:type="dxa"/>
            <w:tcBorders/>
            <w:shd w:fill="FFFFFF" w:val="clear"/>
            <w:vAlign w:val="center"/>
          </w:tcPr>
          <w:p>
            <w:pPr>
              <w:pStyle w:val="TableContents"/>
              <w:bidi w:val="0"/>
              <w:spacing w:before="0" w:after="283"/>
              <w:jc w:val="right"/>
              <w:rPr/>
            </w:pPr>
            <w:r>
              <w:rPr/>
              <w:t>29,030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5" w:type="dxa"/>
            <w:tcBorders/>
            <w:shd w:fill="FFFFFF" w:val="clear"/>
            <w:vAlign w:val="center"/>
          </w:tcPr>
          <w:p>
            <w:pPr>
              <w:pStyle w:val="TableContents"/>
              <w:bidi w:val="0"/>
              <w:spacing w:before="0" w:after="283"/>
              <w:jc w:val="left"/>
              <w:rPr/>
            </w:pPr>
            <w:r>
              <w:rPr/>
              <w:t> </w:t>
            </w:r>
          </w:p>
        </w:tc>
        <w:tc>
          <w:tcPr>
            <w:tcW w:w="1233" w:type="dxa"/>
            <w:tcBorders/>
            <w:shd w:fill="FFFFFF" w:val="clear"/>
            <w:vAlign w:val="center"/>
          </w:tcPr>
          <w:p>
            <w:pPr>
              <w:pStyle w:val="TableContents"/>
              <w:bidi w:val="0"/>
              <w:spacing w:before="0" w:after="283"/>
              <w:jc w:val="right"/>
              <w:rPr/>
            </w:pPr>
            <w:r>
              <w:rPr/>
              <w:t>6,827</w:t>
            </w:r>
          </w:p>
        </w:tc>
        <w:tc>
          <w:tcPr>
            <w:tcW w:w="113" w:type="dxa"/>
            <w:tcBorders/>
            <w:shd w:fill="FFFFFF" w:val="clear"/>
            <w:vAlign w:val="center"/>
          </w:tcPr>
          <w:p>
            <w:pPr>
              <w:pStyle w:val="TableContents"/>
              <w:bidi w:val="0"/>
              <w:spacing w:before="0" w:after="283"/>
              <w:jc w:val="left"/>
              <w:rPr/>
            </w:pPr>
            <w:r>
              <w:rPr/>
              <w:t> </w:t>
            </w:r>
          </w:p>
        </w:tc>
      </w:tr>
      <w:tr>
        <w:trPr/>
        <w:tc>
          <w:tcPr>
            <w:tcW w:w="7101" w:type="dxa"/>
            <w:tcBorders/>
            <w:shd w:fill="CCEEFF" w:val="clear"/>
            <w:vAlign w:val="center"/>
          </w:tcPr>
          <w:p>
            <w:pPr>
              <w:pStyle w:val="TableContents"/>
              <w:bidi w:val="0"/>
              <w:spacing w:before="0" w:after="283"/>
              <w:jc w:val="left"/>
              <w:rPr/>
            </w:pPr>
            <w:r>
              <w:rPr/>
              <w:t>General and administrative</w:t>
            </w:r>
          </w:p>
        </w:tc>
        <w:tc>
          <w:tcPr>
            <w:tcW w:w="60" w:type="dxa"/>
            <w:tcBorders/>
            <w:shd w:fill="CCEEFF" w:val="clear"/>
            <w:vAlign w:val="center"/>
          </w:tcPr>
          <w:p>
            <w:pPr>
              <w:pStyle w:val="TableContents"/>
              <w:bidi w:val="0"/>
              <w:spacing w:before="0" w:after="283"/>
              <w:jc w:val="left"/>
              <w:rPr/>
            </w:pPr>
            <w:r>
              <w:rPr/>
              <w:t> </w:t>
            </w:r>
          </w:p>
        </w:tc>
        <w:tc>
          <w:tcPr>
            <w:tcW w:w="155"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33" w:type="dxa"/>
            <w:tcBorders>
              <w:bottom w:val="single" w:sz="12" w:space="0" w:color="000000"/>
            </w:tcBorders>
            <w:shd w:fill="CCEEFF" w:val="clear"/>
            <w:tcMar>
              <w:bottom w:w="28" w:type="dxa"/>
            </w:tcMar>
            <w:vAlign w:val="center"/>
          </w:tcPr>
          <w:p>
            <w:pPr>
              <w:pStyle w:val="TableContents"/>
              <w:bidi w:val="0"/>
              <w:spacing w:before="0" w:after="283"/>
              <w:jc w:val="right"/>
              <w:rPr/>
            </w:pPr>
            <w:r>
              <w:rPr/>
              <w:t>90,104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5"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33" w:type="dxa"/>
            <w:tcBorders>
              <w:bottom w:val="single" w:sz="12" w:space="0" w:color="000000"/>
            </w:tcBorders>
            <w:shd w:fill="CCEEFF" w:val="clear"/>
            <w:tcMar>
              <w:bottom w:w="28" w:type="dxa"/>
            </w:tcMar>
            <w:vAlign w:val="center"/>
          </w:tcPr>
          <w:p>
            <w:pPr>
              <w:pStyle w:val="TableContents"/>
              <w:bidi w:val="0"/>
              <w:spacing w:before="0" w:after="283"/>
              <w:jc w:val="right"/>
              <w:rPr/>
            </w:pPr>
            <w:r>
              <w:rPr/>
              <w:t>76,594</w:t>
            </w:r>
          </w:p>
        </w:tc>
        <w:tc>
          <w:tcPr>
            <w:tcW w:w="113" w:type="dxa"/>
            <w:tcBorders/>
            <w:shd w:fill="CCEEFF" w:val="clear"/>
            <w:vAlign w:val="center"/>
          </w:tcPr>
          <w:p>
            <w:pPr>
              <w:pStyle w:val="TableContents"/>
              <w:bidi w:val="0"/>
              <w:spacing w:before="0" w:after="283"/>
              <w:jc w:val="left"/>
              <w:rPr/>
            </w:pPr>
            <w:r>
              <w:rPr/>
              <w:t> </w:t>
            </w:r>
          </w:p>
        </w:tc>
      </w:tr>
      <w:tr>
        <w:trPr/>
        <w:tc>
          <w:tcPr>
            <w:tcW w:w="7101" w:type="dxa"/>
            <w:tcBorders/>
            <w:shd w:fill="FFFFFF" w:val="clear"/>
            <w:vAlign w:val="center"/>
          </w:tcPr>
          <w:p>
            <w:pPr>
              <w:pStyle w:val="TableContents"/>
              <w:bidi w:val="0"/>
              <w:spacing w:before="0" w:after="283"/>
              <w:jc w:val="left"/>
              <w:rPr/>
            </w:pPr>
            <w:r>
              <w:rPr/>
              <w:t>Total operating expenses</w:t>
            </w:r>
          </w:p>
        </w:tc>
        <w:tc>
          <w:tcPr>
            <w:tcW w:w="60" w:type="dxa"/>
            <w:tcBorders/>
            <w:shd w:fill="FFFFFF" w:val="clear"/>
            <w:vAlign w:val="center"/>
          </w:tcPr>
          <w:p>
            <w:pPr>
              <w:pStyle w:val="TableContents"/>
              <w:bidi w:val="0"/>
              <w:spacing w:before="0" w:after="283"/>
              <w:jc w:val="left"/>
              <w:rPr/>
            </w:pPr>
            <w:r>
              <w:rPr/>
              <w:t> </w:t>
            </w:r>
          </w:p>
        </w:tc>
        <w:tc>
          <w:tcPr>
            <w:tcW w:w="155"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33" w:type="dxa"/>
            <w:tcBorders>
              <w:bottom w:val="single" w:sz="12" w:space="0" w:color="000000"/>
            </w:tcBorders>
            <w:shd w:fill="FFFFFF" w:val="clear"/>
            <w:tcMar>
              <w:bottom w:w="28" w:type="dxa"/>
            </w:tcMar>
            <w:vAlign w:val="center"/>
          </w:tcPr>
          <w:p>
            <w:pPr>
              <w:pStyle w:val="TableContents"/>
              <w:bidi w:val="0"/>
              <w:spacing w:before="0" w:after="283"/>
              <w:jc w:val="right"/>
              <w:rPr/>
            </w:pPr>
            <w:r>
              <w:rPr/>
              <w:t>156,143</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5"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33" w:type="dxa"/>
            <w:tcBorders>
              <w:bottom w:val="single" w:sz="12" w:space="0" w:color="000000"/>
            </w:tcBorders>
            <w:shd w:fill="FFFFFF" w:val="clear"/>
            <w:tcMar>
              <w:bottom w:w="28" w:type="dxa"/>
            </w:tcMar>
            <w:vAlign w:val="center"/>
          </w:tcPr>
          <w:p>
            <w:pPr>
              <w:pStyle w:val="TableContents"/>
              <w:bidi w:val="0"/>
              <w:spacing w:before="0" w:after="283"/>
              <w:jc w:val="right"/>
              <w:rPr/>
            </w:pPr>
            <w:r>
              <w:rPr/>
              <w:t>108,011</w:t>
            </w:r>
          </w:p>
        </w:tc>
        <w:tc>
          <w:tcPr>
            <w:tcW w:w="113" w:type="dxa"/>
            <w:tcBorders/>
            <w:shd w:fill="FFFFFF" w:val="clear"/>
            <w:vAlign w:val="center"/>
          </w:tcPr>
          <w:p>
            <w:pPr>
              <w:pStyle w:val="TableContents"/>
              <w:bidi w:val="0"/>
              <w:spacing w:before="0" w:after="283"/>
              <w:jc w:val="left"/>
              <w:rPr/>
            </w:pPr>
            <w:r>
              <w:rPr/>
              <w:t> </w:t>
            </w:r>
          </w:p>
        </w:tc>
      </w:tr>
      <w:tr>
        <w:trPr/>
        <w:tc>
          <w:tcPr>
            <w:tcW w:w="7101" w:type="dxa"/>
            <w:tcBorders/>
            <w:shd w:fill="CCEEFF" w:val="clear"/>
            <w:vAlign w:val="center"/>
          </w:tcPr>
          <w:p>
            <w:pPr>
              <w:pStyle w:val="TableContents"/>
              <w:bidi w:val="0"/>
              <w:spacing w:before="0" w:after="283"/>
              <w:jc w:val="left"/>
              <w:rPr/>
            </w:pPr>
            <w:r>
              <w:rPr/>
              <w:t>Loss from continuing operations</w:t>
            </w:r>
          </w:p>
        </w:tc>
        <w:tc>
          <w:tcPr>
            <w:tcW w:w="60" w:type="dxa"/>
            <w:tcBorders/>
            <w:shd w:fill="CCEEFF" w:val="clear"/>
            <w:vAlign w:val="center"/>
          </w:tcPr>
          <w:p>
            <w:pPr>
              <w:pStyle w:val="TableContents"/>
              <w:bidi w:val="0"/>
              <w:spacing w:before="0" w:after="283"/>
              <w:jc w:val="left"/>
              <w:rPr/>
            </w:pPr>
            <w:r>
              <w:rPr/>
              <w:t> </w:t>
            </w:r>
          </w:p>
        </w:tc>
        <w:tc>
          <w:tcPr>
            <w:tcW w:w="155"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33" w:type="dxa"/>
            <w:tcBorders>
              <w:bottom w:val="single" w:sz="12" w:space="0" w:color="000000"/>
            </w:tcBorders>
            <w:shd w:fill="CCEEFF" w:val="clear"/>
            <w:tcMar>
              <w:bottom w:w="28" w:type="dxa"/>
            </w:tcMar>
            <w:vAlign w:val="center"/>
          </w:tcPr>
          <w:p>
            <w:pPr>
              <w:pStyle w:val="TableContents"/>
              <w:bidi w:val="0"/>
              <w:spacing w:before="0" w:after="283"/>
              <w:jc w:val="right"/>
              <w:rPr/>
            </w:pPr>
            <w:r>
              <w:rPr/>
              <w:t>(26,931</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55"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33" w:type="dxa"/>
            <w:tcBorders>
              <w:bottom w:val="single" w:sz="12" w:space="0" w:color="000000"/>
            </w:tcBorders>
            <w:shd w:fill="CCEEFF" w:val="clear"/>
            <w:tcMar>
              <w:bottom w:w="28" w:type="dxa"/>
            </w:tcMar>
            <w:vAlign w:val="center"/>
          </w:tcPr>
          <w:p>
            <w:pPr>
              <w:pStyle w:val="TableContents"/>
              <w:bidi w:val="0"/>
              <w:spacing w:before="0" w:after="283"/>
              <w:jc w:val="right"/>
              <w:rPr/>
            </w:pPr>
            <w:r>
              <w:rPr/>
              <w:t>(68,509</w:t>
            </w:r>
          </w:p>
        </w:tc>
        <w:tc>
          <w:tcPr>
            <w:tcW w:w="113" w:type="dxa"/>
            <w:tcBorders/>
            <w:shd w:fill="CCEEFF" w:val="clear"/>
            <w:vAlign w:val="center"/>
          </w:tcPr>
          <w:p>
            <w:pPr>
              <w:pStyle w:val="TableContents"/>
              <w:bidi w:val="0"/>
              <w:spacing w:before="0" w:after="283"/>
              <w:jc w:val="left"/>
              <w:rPr/>
            </w:pPr>
            <w:r>
              <w:rPr/>
              <w:t>)</w:t>
            </w:r>
          </w:p>
        </w:tc>
      </w:tr>
      <w:tr>
        <w:trPr/>
        <w:tc>
          <w:tcPr>
            <w:tcW w:w="7101" w:type="dxa"/>
            <w:tcBorders/>
            <w:shd w:fill="FFFFFF" w:val="clear"/>
            <w:vAlign w:val="center"/>
          </w:tcPr>
          <w:p>
            <w:pPr>
              <w:pStyle w:val="TableContents"/>
              <w:bidi w:val="0"/>
              <w:spacing w:before="0" w:after="283"/>
              <w:jc w:val="left"/>
              <w:rPr>
                <w:sz w:val="20"/>
              </w:rPr>
            </w:pPr>
            <w:r>
              <w:rPr>
                <w:sz w:val="20"/>
              </w:rPr>
              <w:t xml:space="preserve">Interest expense </w:t>
            </w:r>
            <w:r>
              <w:rPr>
                <w:position w:val="7"/>
                <w:sz w:val="16"/>
                <w:sz w:val="20"/>
              </w:rPr>
              <w:t>(2)</w:t>
            </w:r>
          </w:p>
        </w:tc>
        <w:tc>
          <w:tcPr>
            <w:tcW w:w="60" w:type="dxa"/>
            <w:tcBorders/>
            <w:shd w:fill="FFFFFF" w:val="clear"/>
            <w:vAlign w:val="center"/>
          </w:tcPr>
          <w:p>
            <w:pPr>
              <w:pStyle w:val="TableContents"/>
              <w:bidi w:val="0"/>
              <w:spacing w:before="0" w:after="283"/>
              <w:jc w:val="left"/>
              <w:rPr/>
            </w:pPr>
            <w:r>
              <w:rPr/>
              <w:t> </w:t>
            </w:r>
          </w:p>
        </w:tc>
        <w:tc>
          <w:tcPr>
            <w:tcW w:w="155" w:type="dxa"/>
            <w:tcBorders/>
            <w:shd w:fill="FFFFFF" w:val="clear"/>
            <w:vAlign w:val="center"/>
          </w:tcPr>
          <w:p>
            <w:pPr>
              <w:pStyle w:val="TableContents"/>
              <w:bidi w:val="0"/>
              <w:spacing w:before="0" w:after="283"/>
              <w:jc w:val="left"/>
              <w:rPr/>
            </w:pPr>
            <w:r>
              <w:rPr/>
              <w:t> </w:t>
            </w:r>
          </w:p>
        </w:tc>
        <w:tc>
          <w:tcPr>
            <w:tcW w:w="1233" w:type="dxa"/>
            <w:tcBorders/>
            <w:shd w:fill="FFFFFF" w:val="clear"/>
            <w:vAlign w:val="center"/>
          </w:tcPr>
          <w:p>
            <w:pPr>
              <w:pStyle w:val="TableContents"/>
              <w:bidi w:val="0"/>
              <w:spacing w:before="0" w:after="283"/>
              <w:jc w:val="right"/>
              <w:rPr/>
            </w:pPr>
            <w:r>
              <w:rPr/>
              <w:t>(25,095</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55" w:type="dxa"/>
            <w:tcBorders/>
            <w:shd w:fill="FFFFFF" w:val="clear"/>
            <w:vAlign w:val="center"/>
          </w:tcPr>
          <w:p>
            <w:pPr>
              <w:pStyle w:val="TableContents"/>
              <w:bidi w:val="0"/>
              <w:spacing w:before="0" w:after="283"/>
              <w:jc w:val="left"/>
              <w:rPr/>
            </w:pPr>
            <w:r>
              <w:rPr/>
              <w:t> </w:t>
            </w:r>
          </w:p>
        </w:tc>
        <w:tc>
          <w:tcPr>
            <w:tcW w:w="1233" w:type="dxa"/>
            <w:tcBorders/>
            <w:shd w:fill="FFFFFF" w:val="clear"/>
            <w:vAlign w:val="center"/>
          </w:tcPr>
          <w:p>
            <w:pPr>
              <w:pStyle w:val="TableContents"/>
              <w:bidi w:val="0"/>
              <w:spacing w:before="0" w:after="283"/>
              <w:jc w:val="right"/>
              <w:rPr/>
            </w:pPr>
            <w:r>
              <w:rPr/>
              <w:t>(16,223</w:t>
            </w:r>
          </w:p>
        </w:tc>
        <w:tc>
          <w:tcPr>
            <w:tcW w:w="113" w:type="dxa"/>
            <w:tcBorders/>
            <w:shd w:fill="FFFFFF" w:val="clear"/>
            <w:vAlign w:val="center"/>
          </w:tcPr>
          <w:p>
            <w:pPr>
              <w:pStyle w:val="TableContents"/>
              <w:bidi w:val="0"/>
              <w:spacing w:before="0" w:after="283"/>
              <w:jc w:val="left"/>
              <w:rPr/>
            </w:pPr>
            <w:r>
              <w:rPr/>
              <w:t>)</w:t>
            </w:r>
          </w:p>
        </w:tc>
      </w:tr>
      <w:tr>
        <w:trPr/>
        <w:tc>
          <w:tcPr>
            <w:tcW w:w="7101" w:type="dxa"/>
            <w:tcBorders/>
            <w:shd w:fill="CCEEFF" w:val="clear"/>
            <w:vAlign w:val="center"/>
          </w:tcPr>
          <w:p>
            <w:pPr>
              <w:pStyle w:val="TableContents"/>
              <w:bidi w:val="0"/>
              <w:spacing w:before="0" w:after="283"/>
              <w:jc w:val="left"/>
              <w:rPr/>
            </w:pPr>
            <w:r>
              <w:rPr/>
              <w:t>Interest income</w:t>
            </w:r>
          </w:p>
        </w:tc>
        <w:tc>
          <w:tcPr>
            <w:tcW w:w="60"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pPr>
            <w:r>
              <w:rPr/>
              <w:t> </w:t>
            </w:r>
          </w:p>
        </w:tc>
        <w:tc>
          <w:tcPr>
            <w:tcW w:w="1233" w:type="dxa"/>
            <w:tcBorders/>
            <w:shd w:fill="CCEEFF" w:val="clear"/>
            <w:vAlign w:val="center"/>
          </w:tcPr>
          <w:p>
            <w:pPr>
              <w:pStyle w:val="TableContents"/>
              <w:bidi w:val="0"/>
              <w:spacing w:before="0" w:after="283"/>
              <w:jc w:val="right"/>
              <w:rPr/>
            </w:pPr>
            <w:r>
              <w:rPr/>
              <w:t>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pPr>
            <w:r>
              <w:rPr/>
              <w:t> </w:t>
            </w:r>
          </w:p>
        </w:tc>
        <w:tc>
          <w:tcPr>
            <w:tcW w:w="1233" w:type="dxa"/>
            <w:tcBorders/>
            <w:shd w:fill="CCEEFF" w:val="clear"/>
            <w:vAlign w:val="center"/>
          </w:tcPr>
          <w:p>
            <w:pPr>
              <w:pStyle w:val="TableContents"/>
              <w:bidi w:val="0"/>
              <w:spacing w:before="0" w:after="283"/>
              <w:jc w:val="right"/>
              <w:rPr/>
            </w:pPr>
            <w:r>
              <w:rPr/>
              <w:t>19</w:t>
            </w:r>
          </w:p>
        </w:tc>
        <w:tc>
          <w:tcPr>
            <w:tcW w:w="113" w:type="dxa"/>
            <w:tcBorders/>
            <w:shd w:fill="CCEEFF" w:val="clear"/>
            <w:vAlign w:val="center"/>
          </w:tcPr>
          <w:p>
            <w:pPr>
              <w:pStyle w:val="TableContents"/>
              <w:bidi w:val="0"/>
              <w:spacing w:before="0" w:after="283"/>
              <w:jc w:val="left"/>
              <w:rPr/>
            </w:pPr>
            <w:r>
              <w:rPr/>
              <w:t> </w:t>
            </w:r>
          </w:p>
        </w:tc>
      </w:tr>
      <w:tr>
        <w:trPr/>
        <w:tc>
          <w:tcPr>
            <w:tcW w:w="7101" w:type="dxa"/>
            <w:tcBorders/>
            <w:shd w:fill="FFFFFF" w:val="clear"/>
            <w:vAlign w:val="center"/>
          </w:tcPr>
          <w:p>
            <w:pPr>
              <w:pStyle w:val="TableContents"/>
              <w:bidi w:val="0"/>
              <w:spacing w:before="0" w:after="283"/>
              <w:jc w:val="left"/>
              <w:rPr>
                <w:sz w:val="20"/>
              </w:rPr>
            </w:pPr>
            <w:r>
              <w:rPr>
                <w:sz w:val="20"/>
              </w:rPr>
              <w:t xml:space="preserve">Other non-operating income, net </w:t>
            </w:r>
            <w:r>
              <w:rPr>
                <w:position w:val="7"/>
                <w:sz w:val="16"/>
                <w:sz w:val="20"/>
              </w:rPr>
              <w:t>(3)</w:t>
            </w:r>
          </w:p>
        </w:tc>
        <w:tc>
          <w:tcPr>
            <w:tcW w:w="60" w:type="dxa"/>
            <w:tcBorders/>
            <w:shd w:fill="FFFFFF" w:val="clear"/>
            <w:vAlign w:val="center"/>
          </w:tcPr>
          <w:p>
            <w:pPr>
              <w:pStyle w:val="TableContents"/>
              <w:bidi w:val="0"/>
              <w:spacing w:before="0" w:after="283"/>
              <w:jc w:val="left"/>
              <w:rPr/>
            </w:pPr>
            <w:r>
              <w:rPr/>
              <w:t> </w:t>
            </w:r>
          </w:p>
        </w:tc>
        <w:tc>
          <w:tcPr>
            <w:tcW w:w="155" w:type="dxa"/>
            <w:tcBorders/>
            <w:shd w:fill="FFFFFF" w:val="clear"/>
            <w:vAlign w:val="center"/>
          </w:tcPr>
          <w:p>
            <w:pPr>
              <w:pStyle w:val="TableContents"/>
              <w:bidi w:val="0"/>
              <w:spacing w:before="0" w:after="283"/>
              <w:jc w:val="left"/>
              <w:rPr/>
            </w:pPr>
            <w:r>
              <w:rPr/>
              <w:t> </w:t>
            </w:r>
          </w:p>
        </w:tc>
        <w:tc>
          <w:tcPr>
            <w:tcW w:w="1233" w:type="dxa"/>
            <w:tcBorders/>
            <w:shd w:fill="FFFFFF" w:val="clear"/>
            <w:vAlign w:val="center"/>
          </w:tcPr>
          <w:p>
            <w:pPr>
              <w:pStyle w:val="TableContents"/>
              <w:bidi w:val="0"/>
              <w:spacing w:before="0" w:after="283"/>
              <w:jc w:val="right"/>
              <w:rPr/>
            </w:pPr>
            <w:r>
              <w:rPr/>
              <w:t>9,347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5" w:type="dxa"/>
            <w:tcBorders/>
            <w:shd w:fill="FFFFFF" w:val="clear"/>
            <w:vAlign w:val="center"/>
          </w:tcPr>
          <w:p>
            <w:pPr>
              <w:pStyle w:val="TableContents"/>
              <w:bidi w:val="0"/>
              <w:spacing w:before="0" w:after="283"/>
              <w:jc w:val="left"/>
              <w:rPr/>
            </w:pPr>
            <w:r>
              <w:rPr/>
              <w:t> </w:t>
            </w:r>
          </w:p>
        </w:tc>
        <w:tc>
          <w:tcPr>
            <w:tcW w:w="1233" w:type="dxa"/>
            <w:tcBorders/>
            <w:shd w:fill="FFFFFF" w:val="clear"/>
            <w:vAlign w:val="center"/>
          </w:tcPr>
          <w:p>
            <w:pPr>
              <w:pStyle w:val="TableContents"/>
              <w:bidi w:val="0"/>
              <w:spacing w:before="0" w:after="283"/>
              <w:jc w:val="right"/>
              <w:rPr/>
            </w:pPr>
            <w:r>
              <w:rPr/>
              <w:t>7,932</w:t>
            </w:r>
          </w:p>
        </w:tc>
        <w:tc>
          <w:tcPr>
            <w:tcW w:w="113" w:type="dxa"/>
            <w:tcBorders/>
            <w:shd w:fill="FFFFFF" w:val="clear"/>
            <w:vAlign w:val="center"/>
          </w:tcPr>
          <w:p>
            <w:pPr>
              <w:pStyle w:val="TableContents"/>
              <w:bidi w:val="0"/>
              <w:spacing w:before="0" w:after="283"/>
              <w:jc w:val="left"/>
              <w:rPr/>
            </w:pPr>
            <w:r>
              <w:rPr/>
              <w:t> </w:t>
            </w:r>
          </w:p>
        </w:tc>
      </w:tr>
      <w:tr>
        <w:trPr/>
        <w:tc>
          <w:tcPr>
            <w:tcW w:w="7101" w:type="dxa"/>
            <w:tcBorders/>
            <w:shd w:fill="CCEEFF" w:val="clear"/>
            <w:vAlign w:val="center"/>
          </w:tcPr>
          <w:p>
            <w:pPr>
              <w:pStyle w:val="TableContents"/>
              <w:bidi w:val="0"/>
              <w:spacing w:before="0" w:after="283"/>
              <w:jc w:val="left"/>
              <w:rPr>
                <w:sz w:val="20"/>
              </w:rPr>
            </w:pPr>
            <w:r>
              <w:rPr>
                <w:sz w:val="20"/>
              </w:rPr>
              <w:t xml:space="preserve">Gain on troubled debt restructuring </w:t>
            </w:r>
            <w:r>
              <w:rPr>
                <w:position w:val="7"/>
                <w:sz w:val="16"/>
                <w:sz w:val="20"/>
              </w:rPr>
              <w:t>(4)</w:t>
            </w:r>
          </w:p>
        </w:tc>
        <w:tc>
          <w:tcPr>
            <w:tcW w:w="60" w:type="dxa"/>
            <w:tcBorders/>
            <w:shd w:fill="CCEEFF" w:val="clear"/>
            <w:vAlign w:val="center"/>
          </w:tcPr>
          <w:p>
            <w:pPr>
              <w:pStyle w:val="TableContents"/>
              <w:bidi w:val="0"/>
              <w:spacing w:before="0" w:after="283"/>
              <w:jc w:val="left"/>
              <w:rPr/>
            </w:pPr>
            <w:r>
              <w:rPr/>
              <w:t> </w:t>
            </w:r>
          </w:p>
        </w:tc>
        <w:tc>
          <w:tcPr>
            <w:tcW w:w="155"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33"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5"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33" w:type="dxa"/>
            <w:tcBorders>
              <w:bottom w:val="single" w:sz="12" w:space="0" w:color="000000"/>
            </w:tcBorders>
            <w:shd w:fill="CCEEFF" w:val="clear"/>
            <w:tcMar>
              <w:bottom w:w="28" w:type="dxa"/>
            </w:tcMar>
            <w:vAlign w:val="center"/>
          </w:tcPr>
          <w:p>
            <w:pPr>
              <w:pStyle w:val="TableContents"/>
              <w:bidi w:val="0"/>
              <w:spacing w:before="0" w:after="283"/>
              <w:jc w:val="right"/>
              <w:rPr/>
            </w:pPr>
            <w:r>
              <w:rPr/>
              <w:t>22,337</w:t>
            </w:r>
          </w:p>
        </w:tc>
        <w:tc>
          <w:tcPr>
            <w:tcW w:w="113" w:type="dxa"/>
            <w:tcBorders/>
            <w:shd w:fill="CCEEFF" w:val="clear"/>
            <w:vAlign w:val="center"/>
          </w:tcPr>
          <w:p>
            <w:pPr>
              <w:pStyle w:val="TableContents"/>
              <w:bidi w:val="0"/>
              <w:spacing w:before="0" w:after="283"/>
              <w:jc w:val="left"/>
              <w:rPr/>
            </w:pPr>
            <w:r>
              <w:rPr/>
              <w:t> </w:t>
            </w:r>
          </w:p>
        </w:tc>
      </w:tr>
      <w:tr>
        <w:trPr/>
        <w:tc>
          <w:tcPr>
            <w:tcW w:w="7101" w:type="dxa"/>
            <w:tcBorders/>
            <w:shd w:fill="FFFFFF" w:val="clear"/>
            <w:vAlign w:val="center"/>
          </w:tcPr>
          <w:p>
            <w:pPr>
              <w:pStyle w:val="TableContents"/>
              <w:bidi w:val="0"/>
              <w:spacing w:before="0" w:after="283"/>
              <w:jc w:val="left"/>
              <w:rPr/>
            </w:pPr>
            <w:r>
              <w:rPr/>
              <w:t>Total Other (expense) income, net</w:t>
            </w:r>
          </w:p>
        </w:tc>
        <w:tc>
          <w:tcPr>
            <w:tcW w:w="60" w:type="dxa"/>
            <w:tcBorders/>
            <w:shd w:fill="FFFFFF" w:val="clear"/>
            <w:vAlign w:val="center"/>
          </w:tcPr>
          <w:p>
            <w:pPr>
              <w:pStyle w:val="TableContents"/>
              <w:bidi w:val="0"/>
              <w:spacing w:before="0" w:after="283"/>
              <w:jc w:val="left"/>
              <w:rPr/>
            </w:pPr>
            <w:r>
              <w:rPr/>
              <w:t> </w:t>
            </w:r>
          </w:p>
        </w:tc>
        <w:tc>
          <w:tcPr>
            <w:tcW w:w="155"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33" w:type="dxa"/>
            <w:tcBorders>
              <w:bottom w:val="single" w:sz="12" w:space="0" w:color="000000"/>
            </w:tcBorders>
            <w:shd w:fill="FFFFFF" w:val="clear"/>
            <w:tcMar>
              <w:bottom w:w="28" w:type="dxa"/>
            </w:tcMar>
            <w:vAlign w:val="center"/>
          </w:tcPr>
          <w:p>
            <w:pPr>
              <w:pStyle w:val="TableContents"/>
              <w:bidi w:val="0"/>
              <w:spacing w:before="0" w:after="283"/>
              <w:jc w:val="right"/>
              <w:rPr/>
            </w:pPr>
            <w:r>
              <w:rPr/>
              <w:t>(15,745</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55"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33" w:type="dxa"/>
            <w:tcBorders>
              <w:bottom w:val="single" w:sz="12" w:space="0" w:color="000000"/>
            </w:tcBorders>
            <w:shd w:fill="FFFFFF" w:val="clear"/>
            <w:tcMar>
              <w:bottom w:w="28" w:type="dxa"/>
            </w:tcMar>
            <w:vAlign w:val="center"/>
          </w:tcPr>
          <w:p>
            <w:pPr>
              <w:pStyle w:val="TableContents"/>
              <w:bidi w:val="0"/>
              <w:spacing w:before="0" w:after="283"/>
              <w:jc w:val="right"/>
              <w:rPr/>
            </w:pPr>
            <w:r>
              <w:rPr/>
              <w:t>14,065</w:t>
            </w:r>
          </w:p>
        </w:tc>
        <w:tc>
          <w:tcPr>
            <w:tcW w:w="113" w:type="dxa"/>
            <w:tcBorders/>
            <w:shd w:fill="FFFFFF" w:val="clear"/>
            <w:vAlign w:val="center"/>
          </w:tcPr>
          <w:p>
            <w:pPr>
              <w:pStyle w:val="TableContents"/>
              <w:bidi w:val="0"/>
              <w:spacing w:before="0" w:after="283"/>
              <w:jc w:val="left"/>
              <w:rPr/>
            </w:pPr>
            <w:r>
              <w:rPr/>
              <w:t> </w:t>
            </w:r>
          </w:p>
        </w:tc>
      </w:tr>
      <w:tr>
        <w:trPr/>
        <w:tc>
          <w:tcPr>
            <w:tcW w:w="7101" w:type="dxa"/>
            <w:tcBorders/>
            <w:shd w:fill="CCEEFF" w:val="clear"/>
            <w:vAlign w:val="center"/>
          </w:tcPr>
          <w:p>
            <w:pPr>
              <w:pStyle w:val="TableContents"/>
              <w:bidi w:val="0"/>
              <w:spacing w:before="0" w:after="283"/>
              <w:jc w:val="left"/>
              <w:rPr/>
            </w:pPr>
            <w:r>
              <w:rPr/>
              <w:t>Loss from continuing operations before income taxes</w:t>
            </w:r>
          </w:p>
        </w:tc>
        <w:tc>
          <w:tcPr>
            <w:tcW w:w="60" w:type="dxa"/>
            <w:tcBorders/>
            <w:shd w:fill="CCEEFF" w:val="clear"/>
            <w:vAlign w:val="center"/>
          </w:tcPr>
          <w:p>
            <w:pPr>
              <w:pStyle w:val="TableContents"/>
              <w:bidi w:val="0"/>
              <w:spacing w:before="0" w:after="283"/>
              <w:jc w:val="left"/>
              <w:rPr/>
            </w:pPr>
            <w:r>
              <w:rPr/>
              <w:t> </w:t>
            </w:r>
          </w:p>
        </w:tc>
        <w:tc>
          <w:tcPr>
            <w:tcW w:w="155"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33" w:type="dxa"/>
            <w:tcBorders>
              <w:bottom w:val="single" w:sz="12" w:space="0" w:color="000000"/>
            </w:tcBorders>
            <w:shd w:fill="CCEEFF" w:val="clear"/>
            <w:tcMar>
              <w:bottom w:w="28" w:type="dxa"/>
            </w:tcMar>
            <w:vAlign w:val="center"/>
          </w:tcPr>
          <w:p>
            <w:pPr>
              <w:pStyle w:val="TableContents"/>
              <w:bidi w:val="0"/>
              <w:spacing w:before="0" w:after="283"/>
              <w:jc w:val="right"/>
              <w:rPr/>
            </w:pPr>
            <w:r>
              <w:rPr/>
              <w:t>(42,676</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55"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33" w:type="dxa"/>
            <w:tcBorders>
              <w:bottom w:val="single" w:sz="12" w:space="0" w:color="000000"/>
            </w:tcBorders>
            <w:shd w:fill="CCEEFF" w:val="clear"/>
            <w:tcMar>
              <w:bottom w:w="28" w:type="dxa"/>
            </w:tcMar>
            <w:vAlign w:val="center"/>
          </w:tcPr>
          <w:p>
            <w:pPr>
              <w:pStyle w:val="TableContents"/>
              <w:bidi w:val="0"/>
              <w:spacing w:before="0" w:after="283"/>
              <w:jc w:val="right"/>
              <w:rPr/>
            </w:pPr>
            <w:r>
              <w:rPr/>
              <w:t>(54,444</w:t>
            </w:r>
          </w:p>
        </w:tc>
        <w:tc>
          <w:tcPr>
            <w:tcW w:w="113" w:type="dxa"/>
            <w:tcBorders/>
            <w:shd w:fill="CCEEFF" w:val="clear"/>
            <w:vAlign w:val="center"/>
          </w:tcPr>
          <w:p>
            <w:pPr>
              <w:pStyle w:val="TableContents"/>
              <w:bidi w:val="0"/>
              <w:spacing w:before="0" w:after="283"/>
              <w:jc w:val="left"/>
              <w:rPr/>
            </w:pPr>
            <w:r>
              <w:rPr/>
              <w:t>)</w:t>
            </w:r>
          </w:p>
        </w:tc>
      </w:tr>
      <w:tr>
        <w:trPr/>
        <w:tc>
          <w:tcPr>
            <w:tcW w:w="7101" w:type="dxa"/>
            <w:tcBorders/>
            <w:shd w:fill="FFFFFF" w:val="clear"/>
            <w:vAlign w:val="center"/>
          </w:tcPr>
          <w:p>
            <w:pPr>
              <w:pStyle w:val="TableContents"/>
              <w:bidi w:val="0"/>
              <w:spacing w:before="0" w:after="283"/>
              <w:jc w:val="left"/>
              <w:rPr/>
            </w:pPr>
            <w:r>
              <w:rPr/>
              <w:t>Income tax (provision)</w:t>
            </w:r>
          </w:p>
        </w:tc>
        <w:tc>
          <w:tcPr>
            <w:tcW w:w="60" w:type="dxa"/>
            <w:tcBorders/>
            <w:shd w:fill="FFFFFF" w:val="clear"/>
            <w:vAlign w:val="center"/>
          </w:tcPr>
          <w:p>
            <w:pPr>
              <w:pStyle w:val="TableContents"/>
              <w:bidi w:val="0"/>
              <w:spacing w:before="0" w:after="283"/>
              <w:jc w:val="left"/>
              <w:rPr/>
            </w:pPr>
            <w:r>
              <w:rPr/>
              <w:t> </w:t>
            </w:r>
          </w:p>
        </w:tc>
        <w:tc>
          <w:tcPr>
            <w:tcW w:w="155"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33" w:type="dxa"/>
            <w:tcBorders>
              <w:bottom w:val="single" w:sz="12" w:space="0" w:color="000000"/>
            </w:tcBorders>
            <w:shd w:fill="FFFFFF" w:val="clear"/>
            <w:tcMar>
              <w:bottom w:w="28" w:type="dxa"/>
            </w:tcMar>
            <w:vAlign w:val="center"/>
          </w:tcPr>
          <w:p>
            <w:pPr>
              <w:pStyle w:val="TableContents"/>
              <w:bidi w:val="0"/>
              <w:spacing w:before="0" w:after="283"/>
              <w:jc w:val="right"/>
              <w:rPr/>
            </w:pPr>
            <w:r>
              <w:rPr/>
              <w:t>(1,578</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55"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33"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113" w:type="dxa"/>
            <w:tcBorders/>
            <w:shd w:fill="FFFFFF" w:val="clear"/>
            <w:vAlign w:val="center"/>
          </w:tcPr>
          <w:p>
            <w:pPr>
              <w:pStyle w:val="TableContents"/>
              <w:bidi w:val="0"/>
              <w:spacing w:before="0" w:after="283"/>
              <w:jc w:val="left"/>
              <w:rPr/>
            </w:pPr>
            <w:r>
              <w:rPr/>
              <w:t> </w:t>
            </w:r>
          </w:p>
        </w:tc>
      </w:tr>
      <w:tr>
        <w:trPr/>
        <w:tc>
          <w:tcPr>
            <w:tcW w:w="7101" w:type="dxa"/>
            <w:tcBorders/>
            <w:shd w:fill="CCEEFF" w:val="clear"/>
            <w:vAlign w:val="center"/>
          </w:tcPr>
          <w:p>
            <w:pPr>
              <w:pStyle w:val="TableContents"/>
              <w:bidi w:val="0"/>
              <w:spacing w:before="0" w:after="283"/>
              <w:jc w:val="left"/>
              <w:rPr/>
            </w:pPr>
            <w:r>
              <w:rPr/>
              <w:t>Net loss from continuing operations</w:t>
            </w:r>
          </w:p>
        </w:tc>
        <w:tc>
          <w:tcPr>
            <w:tcW w:w="60" w:type="dxa"/>
            <w:tcBorders/>
            <w:shd w:fill="CCEEFF" w:val="clear"/>
            <w:vAlign w:val="center"/>
          </w:tcPr>
          <w:p>
            <w:pPr>
              <w:pStyle w:val="TableContents"/>
              <w:bidi w:val="0"/>
              <w:spacing w:before="0" w:after="283"/>
              <w:jc w:val="left"/>
              <w:rPr/>
            </w:pPr>
            <w:r>
              <w:rPr/>
              <w:t> </w:t>
            </w:r>
          </w:p>
        </w:tc>
        <w:tc>
          <w:tcPr>
            <w:tcW w:w="155"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33" w:type="dxa"/>
            <w:tcBorders>
              <w:bottom w:val="single" w:sz="12" w:space="0" w:color="000000"/>
            </w:tcBorders>
            <w:shd w:fill="CCEEFF" w:val="clear"/>
            <w:tcMar>
              <w:bottom w:w="28" w:type="dxa"/>
            </w:tcMar>
            <w:vAlign w:val="center"/>
          </w:tcPr>
          <w:p>
            <w:pPr>
              <w:pStyle w:val="TableContents"/>
              <w:bidi w:val="0"/>
              <w:spacing w:before="0" w:after="283"/>
              <w:jc w:val="right"/>
              <w:rPr/>
            </w:pPr>
            <w:r>
              <w:rPr/>
              <w:t>(44,254</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55"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33" w:type="dxa"/>
            <w:tcBorders>
              <w:bottom w:val="single" w:sz="12" w:space="0" w:color="000000"/>
            </w:tcBorders>
            <w:shd w:fill="CCEEFF" w:val="clear"/>
            <w:tcMar>
              <w:bottom w:w="28" w:type="dxa"/>
            </w:tcMar>
            <w:vAlign w:val="center"/>
          </w:tcPr>
          <w:p>
            <w:pPr>
              <w:pStyle w:val="TableContents"/>
              <w:bidi w:val="0"/>
              <w:spacing w:before="0" w:after="283"/>
              <w:jc w:val="right"/>
              <w:rPr/>
            </w:pPr>
            <w:r>
              <w:rPr/>
              <w:t>(54,444</w:t>
            </w:r>
          </w:p>
        </w:tc>
        <w:tc>
          <w:tcPr>
            <w:tcW w:w="113" w:type="dxa"/>
            <w:tcBorders/>
            <w:shd w:fill="CCEEFF" w:val="clear"/>
            <w:vAlign w:val="center"/>
          </w:tcPr>
          <w:p>
            <w:pPr>
              <w:pStyle w:val="TableContents"/>
              <w:bidi w:val="0"/>
              <w:spacing w:before="0" w:after="283"/>
              <w:jc w:val="left"/>
              <w:rPr/>
            </w:pPr>
            <w:r>
              <w:rPr/>
              <w:t>)</w:t>
            </w:r>
          </w:p>
        </w:tc>
      </w:tr>
      <w:tr>
        <w:trPr/>
        <w:tc>
          <w:tcPr>
            <w:tcW w:w="7101" w:type="dxa"/>
            <w:tcBorders/>
            <w:shd w:fill="FFFFFF" w:val="clear"/>
            <w:vAlign w:val="center"/>
          </w:tcPr>
          <w:p>
            <w:pPr>
              <w:pStyle w:val="TableContents"/>
              <w:bidi w:val="0"/>
              <w:spacing w:before="0" w:after="283"/>
              <w:jc w:val="left"/>
              <w:rPr/>
            </w:pPr>
            <w:r>
              <w:rPr/>
              <w:t>Net loss from discontinued operations, net of taxes</w:t>
            </w:r>
          </w:p>
        </w:tc>
        <w:tc>
          <w:tcPr>
            <w:tcW w:w="60" w:type="dxa"/>
            <w:tcBorders/>
            <w:shd w:fill="FFFFFF" w:val="clear"/>
            <w:vAlign w:val="center"/>
          </w:tcPr>
          <w:p>
            <w:pPr>
              <w:pStyle w:val="TableContents"/>
              <w:bidi w:val="0"/>
              <w:spacing w:before="0" w:after="283"/>
              <w:jc w:val="left"/>
              <w:rPr/>
            </w:pPr>
            <w:r>
              <w:rPr/>
              <w:t> </w:t>
            </w:r>
          </w:p>
        </w:tc>
        <w:tc>
          <w:tcPr>
            <w:tcW w:w="155"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33" w:type="dxa"/>
            <w:tcBorders>
              <w:bottom w:val="single" w:sz="12" w:space="0" w:color="000000"/>
            </w:tcBorders>
            <w:shd w:fill="FFFFFF" w:val="clear"/>
            <w:tcMar>
              <w:bottom w:w="28" w:type="dxa"/>
            </w:tcMar>
            <w:vAlign w:val="center"/>
          </w:tcPr>
          <w:p>
            <w:pPr>
              <w:pStyle w:val="TableContents"/>
              <w:bidi w:val="0"/>
              <w:spacing w:before="0" w:after="283"/>
              <w:jc w:val="right"/>
              <w:rPr/>
            </w:pPr>
            <w:r>
              <w:rPr/>
              <w:t>(1,100</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55"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33" w:type="dxa"/>
            <w:tcBorders>
              <w:bottom w:val="single" w:sz="12" w:space="0" w:color="000000"/>
            </w:tcBorders>
            <w:shd w:fill="FFFFFF" w:val="clear"/>
            <w:tcMar>
              <w:bottom w:w="28" w:type="dxa"/>
            </w:tcMar>
            <w:vAlign w:val="center"/>
          </w:tcPr>
          <w:p>
            <w:pPr>
              <w:pStyle w:val="TableContents"/>
              <w:bidi w:val="0"/>
              <w:spacing w:before="0" w:after="283"/>
              <w:jc w:val="right"/>
              <w:rPr/>
            </w:pPr>
            <w:r>
              <w:rPr/>
              <w:t>(2,007</w:t>
            </w:r>
          </w:p>
        </w:tc>
        <w:tc>
          <w:tcPr>
            <w:tcW w:w="113" w:type="dxa"/>
            <w:tcBorders/>
            <w:shd w:fill="FFFFFF" w:val="clear"/>
            <w:vAlign w:val="center"/>
          </w:tcPr>
          <w:p>
            <w:pPr>
              <w:pStyle w:val="TableContents"/>
              <w:bidi w:val="0"/>
              <w:spacing w:before="0" w:after="283"/>
              <w:jc w:val="left"/>
              <w:rPr/>
            </w:pPr>
            <w:r>
              <w:rPr/>
              <w:t>)</w:t>
            </w:r>
          </w:p>
        </w:tc>
      </w:tr>
      <w:tr>
        <w:trPr/>
        <w:tc>
          <w:tcPr>
            <w:tcW w:w="7101" w:type="dxa"/>
            <w:tcBorders/>
            <w:shd w:fill="CCEEFF" w:val="clear"/>
            <w:vAlign w:val="center"/>
          </w:tcPr>
          <w:p>
            <w:pPr>
              <w:pStyle w:val="TableContents"/>
              <w:bidi w:val="0"/>
              <w:spacing w:before="0" w:after="283"/>
              <w:jc w:val="left"/>
              <w:rPr/>
            </w:pPr>
            <w:r>
              <w:rPr/>
              <w:t>Net loss</w:t>
            </w:r>
          </w:p>
        </w:tc>
        <w:tc>
          <w:tcPr>
            <w:tcW w:w="60" w:type="dxa"/>
            <w:tcBorders/>
            <w:shd w:fill="CCEEFF" w:val="clear"/>
            <w:vAlign w:val="center"/>
          </w:tcPr>
          <w:p>
            <w:pPr>
              <w:pStyle w:val="TableContents"/>
              <w:bidi w:val="0"/>
              <w:spacing w:before="0" w:after="283"/>
              <w:jc w:val="left"/>
              <w:rPr/>
            </w:pPr>
            <w:r>
              <w:rPr/>
              <w:t> </w:t>
            </w:r>
          </w:p>
        </w:tc>
        <w:tc>
          <w:tcPr>
            <w:tcW w:w="155"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33" w:type="dxa"/>
            <w:tcBorders>
              <w:bottom w:val="single" w:sz="12" w:space="0" w:color="000000"/>
            </w:tcBorders>
            <w:shd w:fill="CCEEFF" w:val="clear"/>
            <w:tcMar>
              <w:bottom w:w="28" w:type="dxa"/>
            </w:tcMar>
            <w:vAlign w:val="center"/>
          </w:tcPr>
          <w:p>
            <w:pPr>
              <w:pStyle w:val="TableContents"/>
              <w:bidi w:val="0"/>
              <w:spacing w:before="0" w:after="283"/>
              <w:jc w:val="right"/>
              <w:rPr/>
            </w:pPr>
            <w:r>
              <w:rPr/>
              <w:t>(45,354</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55"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33" w:type="dxa"/>
            <w:tcBorders>
              <w:bottom w:val="single" w:sz="12" w:space="0" w:color="000000"/>
            </w:tcBorders>
            <w:shd w:fill="CCEEFF" w:val="clear"/>
            <w:tcMar>
              <w:bottom w:w="28" w:type="dxa"/>
            </w:tcMar>
            <w:vAlign w:val="center"/>
          </w:tcPr>
          <w:p>
            <w:pPr>
              <w:pStyle w:val="TableContents"/>
              <w:bidi w:val="0"/>
              <w:spacing w:before="0" w:after="283"/>
              <w:jc w:val="right"/>
              <w:rPr/>
            </w:pPr>
            <w:r>
              <w:rPr/>
              <w:t>(56,451</w:t>
            </w:r>
          </w:p>
        </w:tc>
        <w:tc>
          <w:tcPr>
            <w:tcW w:w="113" w:type="dxa"/>
            <w:tcBorders/>
            <w:shd w:fill="CCEEFF" w:val="clear"/>
            <w:vAlign w:val="center"/>
          </w:tcPr>
          <w:p>
            <w:pPr>
              <w:pStyle w:val="TableContents"/>
              <w:bidi w:val="0"/>
              <w:spacing w:before="0" w:after="283"/>
              <w:jc w:val="left"/>
              <w:rPr/>
            </w:pPr>
            <w:r>
              <w:rPr/>
              <w:t>)</w:t>
            </w:r>
          </w:p>
        </w:tc>
      </w:tr>
      <w:tr>
        <w:trPr/>
        <w:tc>
          <w:tcPr>
            <w:tcW w:w="7101" w:type="dxa"/>
            <w:tcBorders/>
            <w:shd w:fill="FFFFFF" w:val="clear"/>
            <w:vAlign w:val="center"/>
          </w:tcPr>
          <w:p>
            <w:pPr>
              <w:pStyle w:val="TableContents"/>
              <w:bidi w:val="0"/>
              <w:spacing w:before="0" w:after="283"/>
              <w:jc w:val="left"/>
              <w:rPr/>
            </w:pPr>
            <w:r>
              <w:rPr/>
              <w:t>Comprehensive loss (net of tax)</w:t>
            </w:r>
          </w:p>
        </w:tc>
        <w:tc>
          <w:tcPr>
            <w:tcW w:w="60" w:type="dxa"/>
            <w:tcBorders/>
            <w:shd w:fill="FFFFFF" w:val="clear"/>
            <w:vAlign w:val="center"/>
          </w:tcPr>
          <w:p>
            <w:pPr>
              <w:pStyle w:val="TableContents"/>
              <w:bidi w:val="0"/>
              <w:spacing w:before="0" w:after="283"/>
              <w:jc w:val="left"/>
              <w:rPr/>
            </w:pPr>
            <w:r>
              <w:rPr/>
              <w:t> </w:t>
            </w:r>
          </w:p>
        </w:tc>
        <w:tc>
          <w:tcPr>
            <w:tcW w:w="155" w:type="dxa"/>
            <w:tcBorders>
              <w:bottom w:val="double" w:sz="10" w:space="0" w:color="000000"/>
            </w:tcBorders>
            <w:shd w:fill="FFFFFF" w:val="clear"/>
            <w:tcMar>
              <w:bottom w:w="28" w:type="dxa"/>
            </w:tcMar>
            <w:vAlign w:val="center"/>
          </w:tcPr>
          <w:p>
            <w:pPr>
              <w:pStyle w:val="TableContents"/>
              <w:bidi w:val="0"/>
              <w:spacing w:before="0" w:after="283"/>
              <w:jc w:val="left"/>
              <w:rPr/>
            </w:pPr>
            <w:r>
              <w:rPr/>
              <w:t>$</w:t>
            </w:r>
          </w:p>
        </w:tc>
        <w:tc>
          <w:tcPr>
            <w:tcW w:w="1233" w:type="dxa"/>
            <w:tcBorders>
              <w:bottom w:val="double" w:sz="10" w:space="0" w:color="000000"/>
            </w:tcBorders>
            <w:shd w:fill="FFFFFF" w:val="clear"/>
            <w:tcMar>
              <w:bottom w:w="28" w:type="dxa"/>
            </w:tcMar>
            <w:vAlign w:val="center"/>
          </w:tcPr>
          <w:p>
            <w:pPr>
              <w:pStyle w:val="TableContents"/>
              <w:bidi w:val="0"/>
              <w:spacing w:before="0" w:after="283"/>
              <w:jc w:val="right"/>
              <w:rPr/>
            </w:pPr>
            <w:r>
              <w:rPr/>
              <w:t>(45,354</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55" w:type="dxa"/>
            <w:tcBorders>
              <w:bottom w:val="double" w:sz="10" w:space="0" w:color="000000"/>
            </w:tcBorders>
            <w:shd w:fill="FFFFFF" w:val="clear"/>
            <w:tcMar>
              <w:bottom w:w="28" w:type="dxa"/>
            </w:tcMar>
            <w:vAlign w:val="center"/>
          </w:tcPr>
          <w:p>
            <w:pPr>
              <w:pStyle w:val="TableContents"/>
              <w:bidi w:val="0"/>
              <w:spacing w:before="0" w:after="283"/>
              <w:jc w:val="left"/>
              <w:rPr/>
            </w:pPr>
            <w:r>
              <w:rPr/>
              <w:t>$</w:t>
            </w:r>
          </w:p>
        </w:tc>
        <w:tc>
          <w:tcPr>
            <w:tcW w:w="1233" w:type="dxa"/>
            <w:tcBorders>
              <w:bottom w:val="double" w:sz="10" w:space="0" w:color="000000"/>
            </w:tcBorders>
            <w:shd w:fill="FFFFFF" w:val="clear"/>
            <w:tcMar>
              <w:bottom w:w="28" w:type="dxa"/>
            </w:tcMar>
            <w:vAlign w:val="center"/>
          </w:tcPr>
          <w:p>
            <w:pPr>
              <w:pStyle w:val="TableContents"/>
              <w:bidi w:val="0"/>
              <w:spacing w:before="0" w:after="283"/>
              <w:jc w:val="right"/>
              <w:rPr/>
            </w:pPr>
            <w:r>
              <w:rPr/>
              <w:t>(56,451</w:t>
            </w:r>
          </w:p>
        </w:tc>
        <w:tc>
          <w:tcPr>
            <w:tcW w:w="113" w:type="dxa"/>
            <w:tcBorders/>
            <w:shd w:fill="FFFFFF" w:val="clear"/>
            <w:vAlign w:val="center"/>
          </w:tcPr>
          <w:p>
            <w:pPr>
              <w:pStyle w:val="TableContents"/>
              <w:bidi w:val="0"/>
              <w:spacing w:before="0" w:after="283"/>
              <w:jc w:val="left"/>
              <w:rPr/>
            </w:pPr>
            <w:r>
              <w:rPr/>
              <w:t>)</w:t>
            </w:r>
          </w:p>
        </w:tc>
      </w:tr>
      <w:tr>
        <w:trPr/>
        <w:tc>
          <w:tcPr>
            <w:tcW w:w="7101" w:type="dxa"/>
            <w:tcBorders/>
            <w:shd w:fill="CCEEFF" w:val="clear"/>
            <w:vAlign w:val="center"/>
          </w:tcPr>
          <w:p>
            <w:pPr>
              <w:pStyle w:val="TableContents"/>
              <w:bidi w:val="0"/>
              <w:spacing w:before="0" w:after="283"/>
              <w:jc w:val="left"/>
              <w:rPr/>
            </w:pPr>
            <w:r>
              <w:rPr/>
              <w:t>Net loss from continuing operations per share attributable to common stockholders, basic</w:t>
            </w:r>
          </w:p>
        </w:tc>
        <w:tc>
          <w:tcPr>
            <w:tcW w:w="60"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pPr>
            <w:r>
              <w:rPr/>
              <w:t>$</w:t>
            </w:r>
          </w:p>
        </w:tc>
        <w:tc>
          <w:tcPr>
            <w:tcW w:w="1233" w:type="dxa"/>
            <w:tcBorders/>
            <w:shd w:fill="CCEEFF" w:val="clear"/>
            <w:vAlign w:val="center"/>
          </w:tcPr>
          <w:p>
            <w:pPr>
              <w:pStyle w:val="TableContents"/>
              <w:bidi w:val="0"/>
              <w:spacing w:before="0" w:after="283"/>
              <w:jc w:val="right"/>
              <w:rPr/>
            </w:pPr>
            <w:r>
              <w:rPr/>
              <w:t>(0.51</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pPr>
            <w:r>
              <w:rPr/>
              <w:t>$</w:t>
            </w:r>
          </w:p>
        </w:tc>
        <w:tc>
          <w:tcPr>
            <w:tcW w:w="1233" w:type="dxa"/>
            <w:tcBorders/>
            <w:shd w:fill="CCEEFF" w:val="clear"/>
            <w:vAlign w:val="center"/>
          </w:tcPr>
          <w:p>
            <w:pPr>
              <w:pStyle w:val="TableContents"/>
              <w:bidi w:val="0"/>
              <w:spacing w:before="0" w:after="283"/>
              <w:jc w:val="right"/>
              <w:rPr/>
            </w:pPr>
            <w:r>
              <w:rPr/>
              <w:t>(0.82</w:t>
            </w:r>
          </w:p>
        </w:tc>
        <w:tc>
          <w:tcPr>
            <w:tcW w:w="113" w:type="dxa"/>
            <w:tcBorders/>
            <w:shd w:fill="CCEEFF" w:val="clear"/>
            <w:vAlign w:val="center"/>
          </w:tcPr>
          <w:p>
            <w:pPr>
              <w:pStyle w:val="TableContents"/>
              <w:bidi w:val="0"/>
              <w:spacing w:before="0" w:after="283"/>
              <w:jc w:val="left"/>
              <w:rPr/>
            </w:pPr>
            <w:r>
              <w:rPr/>
              <w:t>)</w:t>
            </w:r>
          </w:p>
        </w:tc>
      </w:tr>
      <w:tr>
        <w:trPr/>
        <w:tc>
          <w:tcPr>
            <w:tcW w:w="7101" w:type="dxa"/>
            <w:tcBorders/>
            <w:shd w:fill="FFFFFF" w:val="clear"/>
            <w:vAlign w:val="center"/>
          </w:tcPr>
          <w:p>
            <w:pPr>
              <w:pStyle w:val="TableContents"/>
              <w:bidi w:val="0"/>
              <w:spacing w:before="0" w:after="283"/>
              <w:jc w:val="left"/>
              <w:rPr/>
            </w:pPr>
            <w:r>
              <w:rPr/>
              <w:t>Net loss from discontinued operations per share attributable to common stockholders, basic</w:t>
            </w:r>
          </w:p>
        </w:tc>
        <w:tc>
          <w:tcPr>
            <w:tcW w:w="60" w:type="dxa"/>
            <w:tcBorders/>
            <w:shd w:fill="FFFFFF" w:val="clear"/>
            <w:vAlign w:val="center"/>
          </w:tcPr>
          <w:p>
            <w:pPr>
              <w:pStyle w:val="TableContents"/>
              <w:bidi w:val="0"/>
              <w:spacing w:before="0" w:after="283"/>
              <w:jc w:val="left"/>
              <w:rPr/>
            </w:pPr>
            <w:r>
              <w:rPr/>
              <w:t> </w:t>
            </w:r>
          </w:p>
        </w:tc>
        <w:tc>
          <w:tcPr>
            <w:tcW w:w="155"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33" w:type="dxa"/>
            <w:tcBorders>
              <w:bottom w:val="single" w:sz="12" w:space="0" w:color="000000"/>
            </w:tcBorders>
            <w:shd w:fill="FFFFFF" w:val="clear"/>
            <w:tcMar>
              <w:bottom w:w="28" w:type="dxa"/>
            </w:tcMar>
            <w:vAlign w:val="center"/>
          </w:tcPr>
          <w:p>
            <w:pPr>
              <w:pStyle w:val="TableContents"/>
              <w:bidi w:val="0"/>
              <w:spacing w:before="0" w:after="283"/>
              <w:jc w:val="right"/>
              <w:rPr/>
            </w:pPr>
            <w:r>
              <w:rPr/>
              <w:t>(0.01</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55"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33" w:type="dxa"/>
            <w:tcBorders>
              <w:bottom w:val="single" w:sz="12" w:space="0" w:color="000000"/>
            </w:tcBorders>
            <w:shd w:fill="FFFFFF" w:val="clear"/>
            <w:tcMar>
              <w:bottom w:w="28" w:type="dxa"/>
            </w:tcMar>
            <w:vAlign w:val="center"/>
          </w:tcPr>
          <w:p>
            <w:pPr>
              <w:pStyle w:val="TableContents"/>
              <w:bidi w:val="0"/>
              <w:spacing w:before="0" w:after="283"/>
              <w:jc w:val="right"/>
              <w:rPr/>
            </w:pPr>
            <w:r>
              <w:rPr/>
              <w:t>(0.03</w:t>
            </w:r>
          </w:p>
        </w:tc>
        <w:tc>
          <w:tcPr>
            <w:tcW w:w="113" w:type="dxa"/>
            <w:tcBorders/>
            <w:shd w:fill="FFFFFF" w:val="clear"/>
            <w:vAlign w:val="center"/>
          </w:tcPr>
          <w:p>
            <w:pPr>
              <w:pStyle w:val="TableContents"/>
              <w:bidi w:val="0"/>
              <w:spacing w:before="0" w:after="283"/>
              <w:jc w:val="left"/>
              <w:rPr/>
            </w:pPr>
            <w:r>
              <w:rPr/>
              <w:t>)</w:t>
            </w:r>
          </w:p>
        </w:tc>
      </w:tr>
      <w:tr>
        <w:trPr/>
        <w:tc>
          <w:tcPr>
            <w:tcW w:w="7101" w:type="dxa"/>
            <w:tcBorders/>
            <w:shd w:fill="CCEEFF" w:val="clear"/>
            <w:vAlign w:val="center"/>
          </w:tcPr>
          <w:p>
            <w:pPr>
              <w:pStyle w:val="TableContents"/>
              <w:bidi w:val="0"/>
              <w:spacing w:before="0" w:after="283"/>
              <w:jc w:val="left"/>
              <w:rPr/>
            </w:pPr>
            <w:r>
              <w:rPr/>
              <w:t>Net loss per share attributable to common stockholders, basic</w:t>
            </w:r>
          </w:p>
        </w:tc>
        <w:tc>
          <w:tcPr>
            <w:tcW w:w="60" w:type="dxa"/>
            <w:tcBorders/>
            <w:shd w:fill="CCEEFF" w:val="clear"/>
            <w:vAlign w:val="center"/>
          </w:tcPr>
          <w:p>
            <w:pPr>
              <w:pStyle w:val="TableContents"/>
              <w:bidi w:val="0"/>
              <w:spacing w:before="0" w:after="283"/>
              <w:jc w:val="left"/>
              <w:rPr/>
            </w:pPr>
            <w:r>
              <w:rPr/>
              <w:t> </w:t>
            </w:r>
          </w:p>
        </w:tc>
        <w:tc>
          <w:tcPr>
            <w:tcW w:w="155"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233" w:type="dxa"/>
            <w:tcBorders>
              <w:bottom w:val="double" w:sz="10" w:space="0" w:color="000000"/>
            </w:tcBorders>
            <w:shd w:fill="CCEEFF" w:val="clear"/>
            <w:tcMar>
              <w:bottom w:w="28" w:type="dxa"/>
            </w:tcMar>
            <w:vAlign w:val="center"/>
          </w:tcPr>
          <w:p>
            <w:pPr>
              <w:pStyle w:val="TableContents"/>
              <w:bidi w:val="0"/>
              <w:spacing w:before="0" w:after="283"/>
              <w:jc w:val="right"/>
              <w:rPr/>
            </w:pPr>
            <w:r>
              <w:rPr/>
              <w:t>(0.52</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55"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233" w:type="dxa"/>
            <w:tcBorders>
              <w:bottom w:val="double" w:sz="10" w:space="0" w:color="000000"/>
            </w:tcBorders>
            <w:shd w:fill="CCEEFF" w:val="clear"/>
            <w:tcMar>
              <w:bottom w:w="28" w:type="dxa"/>
            </w:tcMar>
            <w:vAlign w:val="center"/>
          </w:tcPr>
          <w:p>
            <w:pPr>
              <w:pStyle w:val="TableContents"/>
              <w:bidi w:val="0"/>
              <w:spacing w:before="0" w:after="283"/>
              <w:jc w:val="right"/>
              <w:rPr/>
            </w:pPr>
            <w:r>
              <w:rPr/>
              <w:t>(0.85</w:t>
            </w:r>
          </w:p>
        </w:tc>
        <w:tc>
          <w:tcPr>
            <w:tcW w:w="113" w:type="dxa"/>
            <w:tcBorders/>
            <w:shd w:fill="CCEEFF" w:val="clear"/>
            <w:vAlign w:val="center"/>
          </w:tcPr>
          <w:p>
            <w:pPr>
              <w:pStyle w:val="TableContents"/>
              <w:bidi w:val="0"/>
              <w:spacing w:before="0" w:after="283"/>
              <w:ind w:left="0" w:right="0" w:hanging="180"/>
              <w:jc w:val="left"/>
              <w:rPr/>
            </w:pPr>
            <w:r>
              <w:rPr/>
              <w:t>)</w:t>
            </w:r>
          </w:p>
        </w:tc>
      </w:tr>
      <w:tr>
        <w:trPr/>
        <w:tc>
          <w:tcPr>
            <w:tcW w:w="7101" w:type="dxa"/>
            <w:tcBorders/>
            <w:shd w:fill="FFFFFF" w:val="clear"/>
            <w:vAlign w:val="center"/>
          </w:tcPr>
          <w:p>
            <w:pPr>
              <w:pStyle w:val="TableContents"/>
              <w:bidi w:val="0"/>
              <w:spacing w:before="0" w:after="283"/>
              <w:jc w:val="left"/>
              <w:rPr/>
            </w:pPr>
            <w:r>
              <w:rPr/>
              <w:t>Weighted-average shares used to compute net loss per share attributable to common stockholders, basic</w:t>
            </w:r>
          </w:p>
        </w:tc>
        <w:tc>
          <w:tcPr>
            <w:tcW w:w="60" w:type="dxa"/>
            <w:tcBorders/>
            <w:shd w:fill="FFFFFF" w:val="clear"/>
            <w:vAlign w:val="center"/>
          </w:tcPr>
          <w:p>
            <w:pPr>
              <w:pStyle w:val="TableContents"/>
              <w:bidi w:val="0"/>
              <w:spacing w:before="0" w:after="283"/>
              <w:jc w:val="left"/>
              <w:rPr/>
            </w:pPr>
            <w:r>
              <w:rPr/>
              <w:t> </w:t>
            </w:r>
          </w:p>
        </w:tc>
        <w:tc>
          <w:tcPr>
            <w:tcW w:w="155" w:type="dxa"/>
            <w:tcBorders>
              <w:bottom w:val="double" w:sz="10" w:space="0" w:color="000000"/>
            </w:tcBorders>
            <w:shd w:fill="FFFFFF" w:val="clear"/>
            <w:tcMar>
              <w:bottom w:w="28" w:type="dxa"/>
            </w:tcMar>
            <w:vAlign w:val="center"/>
          </w:tcPr>
          <w:p>
            <w:pPr>
              <w:pStyle w:val="TableContents"/>
              <w:bidi w:val="0"/>
              <w:spacing w:before="0" w:after="283"/>
              <w:jc w:val="left"/>
              <w:rPr/>
            </w:pPr>
            <w:r>
              <w:rPr/>
              <w:t> </w:t>
            </w:r>
          </w:p>
        </w:tc>
        <w:tc>
          <w:tcPr>
            <w:tcW w:w="1233" w:type="dxa"/>
            <w:tcBorders>
              <w:bottom w:val="double" w:sz="10" w:space="0" w:color="000000"/>
            </w:tcBorders>
            <w:shd w:fill="FFFFFF" w:val="clear"/>
            <w:tcMar>
              <w:bottom w:w="28" w:type="dxa"/>
            </w:tcMar>
            <w:vAlign w:val="center"/>
          </w:tcPr>
          <w:p>
            <w:pPr>
              <w:pStyle w:val="TableContents"/>
              <w:bidi w:val="0"/>
              <w:spacing w:before="0" w:after="283"/>
              <w:jc w:val="right"/>
              <w:rPr/>
            </w:pPr>
            <w:r>
              <w:rPr/>
              <w:t>87,108,928</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5" w:type="dxa"/>
            <w:tcBorders>
              <w:bottom w:val="double" w:sz="10" w:space="0" w:color="000000"/>
            </w:tcBorders>
            <w:shd w:fill="FFFFFF" w:val="clear"/>
            <w:tcMar>
              <w:bottom w:w="28" w:type="dxa"/>
            </w:tcMar>
            <w:vAlign w:val="center"/>
          </w:tcPr>
          <w:p>
            <w:pPr>
              <w:pStyle w:val="TableContents"/>
              <w:bidi w:val="0"/>
              <w:spacing w:before="0" w:after="283"/>
              <w:jc w:val="left"/>
              <w:rPr/>
            </w:pPr>
            <w:r>
              <w:rPr/>
              <w:t> </w:t>
            </w:r>
          </w:p>
        </w:tc>
        <w:tc>
          <w:tcPr>
            <w:tcW w:w="1233" w:type="dxa"/>
            <w:tcBorders>
              <w:bottom w:val="double" w:sz="10" w:space="0" w:color="000000"/>
            </w:tcBorders>
            <w:shd w:fill="FFFFFF" w:val="clear"/>
            <w:tcMar>
              <w:bottom w:w="28" w:type="dxa"/>
            </w:tcMar>
            <w:vAlign w:val="center"/>
          </w:tcPr>
          <w:p>
            <w:pPr>
              <w:pStyle w:val="TableContents"/>
              <w:bidi w:val="0"/>
              <w:spacing w:before="0" w:after="283"/>
              <w:jc w:val="right"/>
              <w:rPr/>
            </w:pPr>
            <w:r>
              <w:rPr/>
              <w:t>66,655,837</w:t>
            </w:r>
          </w:p>
        </w:tc>
        <w:tc>
          <w:tcPr>
            <w:tcW w:w="113" w:type="dxa"/>
            <w:tcBorders/>
            <w:shd w:fill="FFFFFF" w:val="clear"/>
            <w:vAlign w:val="center"/>
          </w:tcPr>
          <w:p>
            <w:pPr>
              <w:pStyle w:val="TableContents"/>
              <w:bidi w:val="0"/>
              <w:spacing w:before="0" w:after="283"/>
              <w:jc w:val="left"/>
              <w:rPr/>
            </w:pPr>
            <w:r>
              <w:rPr/>
              <w:t> </w:t>
            </w:r>
          </w:p>
        </w:tc>
      </w:tr>
      <w:tr>
        <w:trPr/>
        <w:tc>
          <w:tcPr>
            <w:tcW w:w="7101" w:type="dxa"/>
            <w:tcBorders/>
            <w:shd w:fill="CCEEFF" w:val="clear"/>
            <w:vAlign w:val="center"/>
          </w:tcPr>
          <w:p>
            <w:pPr>
              <w:pStyle w:val="TableContents"/>
              <w:bidi w:val="0"/>
              <w:spacing w:before="0" w:after="283"/>
              <w:jc w:val="left"/>
              <w:rPr/>
            </w:pPr>
            <w:r>
              <w:rPr/>
              <w:t>Net loss from continuing operations per share attributable to common stockholders, diluted</w:t>
            </w:r>
          </w:p>
        </w:tc>
        <w:tc>
          <w:tcPr>
            <w:tcW w:w="60"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pPr>
            <w:r>
              <w:rPr/>
              <w:t>$</w:t>
            </w:r>
          </w:p>
        </w:tc>
        <w:tc>
          <w:tcPr>
            <w:tcW w:w="1233" w:type="dxa"/>
            <w:tcBorders/>
            <w:shd w:fill="CCEEFF" w:val="clear"/>
            <w:vAlign w:val="center"/>
          </w:tcPr>
          <w:p>
            <w:pPr>
              <w:pStyle w:val="TableContents"/>
              <w:bidi w:val="0"/>
              <w:spacing w:before="0" w:after="283"/>
              <w:jc w:val="right"/>
              <w:rPr/>
            </w:pPr>
            <w:r>
              <w:rPr/>
              <w:t>(0.51</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pPr>
            <w:r>
              <w:rPr/>
              <w:t>$</w:t>
            </w:r>
          </w:p>
        </w:tc>
        <w:tc>
          <w:tcPr>
            <w:tcW w:w="1233" w:type="dxa"/>
            <w:tcBorders/>
            <w:shd w:fill="CCEEFF" w:val="clear"/>
            <w:vAlign w:val="center"/>
          </w:tcPr>
          <w:p>
            <w:pPr>
              <w:pStyle w:val="TableContents"/>
              <w:bidi w:val="0"/>
              <w:spacing w:before="0" w:after="283"/>
              <w:jc w:val="right"/>
              <w:rPr/>
            </w:pPr>
            <w:r>
              <w:rPr/>
              <w:t>(1.19</w:t>
            </w:r>
          </w:p>
        </w:tc>
        <w:tc>
          <w:tcPr>
            <w:tcW w:w="113" w:type="dxa"/>
            <w:tcBorders/>
            <w:shd w:fill="CCEEFF" w:val="clear"/>
            <w:vAlign w:val="center"/>
          </w:tcPr>
          <w:p>
            <w:pPr>
              <w:pStyle w:val="TableContents"/>
              <w:bidi w:val="0"/>
              <w:spacing w:before="0" w:after="283"/>
              <w:ind w:left="0" w:right="0" w:hanging="180"/>
              <w:jc w:val="left"/>
              <w:rPr/>
            </w:pPr>
            <w:r>
              <w:rPr/>
              <w:t>)</w:t>
            </w:r>
          </w:p>
        </w:tc>
      </w:tr>
      <w:tr>
        <w:trPr/>
        <w:tc>
          <w:tcPr>
            <w:tcW w:w="7101" w:type="dxa"/>
            <w:tcBorders/>
            <w:shd w:fill="FFFFFF" w:val="clear"/>
            <w:vAlign w:val="center"/>
          </w:tcPr>
          <w:p>
            <w:pPr>
              <w:pStyle w:val="TableContents"/>
              <w:bidi w:val="0"/>
              <w:spacing w:before="0" w:after="283"/>
              <w:jc w:val="left"/>
              <w:rPr/>
            </w:pPr>
            <w:r>
              <w:rPr/>
              <w:t>Net loss from discontinued operations per share attributable to common stockholders, diluted</w:t>
            </w:r>
          </w:p>
        </w:tc>
        <w:tc>
          <w:tcPr>
            <w:tcW w:w="60" w:type="dxa"/>
            <w:tcBorders/>
            <w:shd w:fill="FFFFFF" w:val="clear"/>
            <w:vAlign w:val="center"/>
          </w:tcPr>
          <w:p>
            <w:pPr>
              <w:pStyle w:val="TableContents"/>
              <w:bidi w:val="0"/>
              <w:spacing w:before="0" w:after="283"/>
              <w:jc w:val="left"/>
              <w:rPr/>
            </w:pPr>
            <w:r>
              <w:rPr/>
              <w:t> </w:t>
            </w:r>
          </w:p>
        </w:tc>
        <w:tc>
          <w:tcPr>
            <w:tcW w:w="155"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33" w:type="dxa"/>
            <w:tcBorders>
              <w:bottom w:val="single" w:sz="12" w:space="0" w:color="000000"/>
            </w:tcBorders>
            <w:shd w:fill="FFFFFF" w:val="clear"/>
            <w:tcMar>
              <w:bottom w:w="28" w:type="dxa"/>
            </w:tcMar>
            <w:vAlign w:val="center"/>
          </w:tcPr>
          <w:p>
            <w:pPr>
              <w:pStyle w:val="TableContents"/>
              <w:bidi w:val="0"/>
              <w:spacing w:before="0" w:after="283"/>
              <w:jc w:val="right"/>
              <w:rPr/>
            </w:pPr>
            <w:r>
              <w:rPr/>
              <w:t>(0.01</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55"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33" w:type="dxa"/>
            <w:tcBorders>
              <w:bottom w:val="single" w:sz="12" w:space="0" w:color="000000"/>
            </w:tcBorders>
            <w:shd w:fill="FFFFFF" w:val="clear"/>
            <w:tcMar>
              <w:bottom w:w="28" w:type="dxa"/>
            </w:tcMar>
            <w:vAlign w:val="center"/>
          </w:tcPr>
          <w:p>
            <w:pPr>
              <w:pStyle w:val="TableContents"/>
              <w:bidi w:val="0"/>
              <w:spacing w:before="0" w:after="283"/>
              <w:jc w:val="right"/>
              <w:rPr/>
            </w:pPr>
            <w:r>
              <w:rPr/>
              <w:t>(0.03</w:t>
            </w:r>
          </w:p>
        </w:tc>
        <w:tc>
          <w:tcPr>
            <w:tcW w:w="113" w:type="dxa"/>
            <w:tcBorders/>
            <w:shd w:fill="FFFFFF" w:val="clear"/>
            <w:vAlign w:val="center"/>
          </w:tcPr>
          <w:p>
            <w:pPr>
              <w:pStyle w:val="TableContents"/>
              <w:bidi w:val="0"/>
              <w:spacing w:before="0" w:after="283"/>
              <w:jc w:val="left"/>
              <w:rPr/>
            </w:pPr>
            <w:r>
              <w:rPr/>
              <w:t>)</w:t>
            </w:r>
          </w:p>
        </w:tc>
      </w:tr>
      <w:tr>
        <w:trPr/>
        <w:tc>
          <w:tcPr>
            <w:tcW w:w="7101" w:type="dxa"/>
            <w:tcBorders/>
            <w:shd w:fill="CCEEFF" w:val="clear"/>
            <w:vAlign w:val="center"/>
          </w:tcPr>
          <w:p>
            <w:pPr>
              <w:pStyle w:val="TableContents"/>
              <w:bidi w:val="0"/>
              <w:spacing w:before="0" w:after="283"/>
              <w:jc w:val="left"/>
              <w:rPr/>
            </w:pPr>
            <w:r>
              <w:rPr/>
              <w:t>Net loss per share attributable to common stockholders, diluted</w:t>
            </w:r>
          </w:p>
        </w:tc>
        <w:tc>
          <w:tcPr>
            <w:tcW w:w="60" w:type="dxa"/>
            <w:tcBorders/>
            <w:shd w:fill="CCEEFF" w:val="clear"/>
            <w:vAlign w:val="center"/>
          </w:tcPr>
          <w:p>
            <w:pPr>
              <w:pStyle w:val="TableContents"/>
              <w:bidi w:val="0"/>
              <w:spacing w:before="0" w:after="283"/>
              <w:jc w:val="left"/>
              <w:rPr/>
            </w:pPr>
            <w:r>
              <w:rPr/>
              <w:t> </w:t>
            </w:r>
          </w:p>
        </w:tc>
        <w:tc>
          <w:tcPr>
            <w:tcW w:w="155"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233" w:type="dxa"/>
            <w:tcBorders>
              <w:bottom w:val="double" w:sz="10" w:space="0" w:color="000000"/>
            </w:tcBorders>
            <w:shd w:fill="CCEEFF" w:val="clear"/>
            <w:tcMar>
              <w:bottom w:w="28" w:type="dxa"/>
            </w:tcMar>
            <w:vAlign w:val="center"/>
          </w:tcPr>
          <w:p>
            <w:pPr>
              <w:pStyle w:val="TableContents"/>
              <w:bidi w:val="0"/>
              <w:spacing w:before="0" w:after="283"/>
              <w:jc w:val="right"/>
              <w:rPr/>
            </w:pPr>
            <w:r>
              <w:rPr/>
              <w:t>(0.52</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55"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233" w:type="dxa"/>
            <w:tcBorders>
              <w:bottom w:val="double" w:sz="10" w:space="0" w:color="000000"/>
            </w:tcBorders>
            <w:shd w:fill="CCEEFF" w:val="clear"/>
            <w:tcMar>
              <w:bottom w:w="28" w:type="dxa"/>
            </w:tcMar>
            <w:vAlign w:val="center"/>
          </w:tcPr>
          <w:p>
            <w:pPr>
              <w:pStyle w:val="TableContents"/>
              <w:bidi w:val="0"/>
              <w:spacing w:before="0" w:after="283"/>
              <w:jc w:val="right"/>
              <w:rPr/>
            </w:pPr>
            <w:r>
              <w:rPr/>
              <w:t>(1.22</w:t>
            </w:r>
          </w:p>
        </w:tc>
        <w:tc>
          <w:tcPr>
            <w:tcW w:w="113" w:type="dxa"/>
            <w:tcBorders/>
            <w:shd w:fill="CCEEFF" w:val="clear"/>
            <w:vAlign w:val="center"/>
          </w:tcPr>
          <w:p>
            <w:pPr>
              <w:pStyle w:val="TableContents"/>
              <w:bidi w:val="0"/>
              <w:spacing w:before="0" w:after="283"/>
              <w:ind w:left="0" w:right="0" w:hanging="180"/>
              <w:jc w:val="left"/>
              <w:rPr/>
            </w:pPr>
            <w:r>
              <w:rPr/>
              <w:t>)</w:t>
            </w:r>
          </w:p>
        </w:tc>
      </w:tr>
      <w:tr>
        <w:trPr/>
        <w:tc>
          <w:tcPr>
            <w:tcW w:w="7101" w:type="dxa"/>
            <w:tcBorders/>
            <w:shd w:fill="FFFFFF" w:val="clear"/>
            <w:vAlign w:val="center"/>
          </w:tcPr>
          <w:p>
            <w:pPr>
              <w:pStyle w:val="TableContents"/>
              <w:bidi w:val="0"/>
              <w:spacing w:before="0" w:after="283"/>
              <w:jc w:val="left"/>
              <w:rPr/>
            </w:pPr>
            <w:r>
              <w:rPr/>
              <w:t>Weighted-average shares used to compute net loss per share attributable to common stockholders’, basic and diluted</w:t>
            </w:r>
          </w:p>
        </w:tc>
        <w:tc>
          <w:tcPr>
            <w:tcW w:w="60" w:type="dxa"/>
            <w:tcBorders/>
            <w:shd w:fill="FFFFFF" w:val="clear"/>
            <w:vAlign w:val="center"/>
          </w:tcPr>
          <w:p>
            <w:pPr>
              <w:pStyle w:val="TableContents"/>
              <w:bidi w:val="0"/>
              <w:spacing w:before="0" w:after="283"/>
              <w:jc w:val="left"/>
              <w:rPr/>
            </w:pPr>
            <w:r>
              <w:rPr/>
              <w:t> </w:t>
            </w:r>
          </w:p>
        </w:tc>
        <w:tc>
          <w:tcPr>
            <w:tcW w:w="155" w:type="dxa"/>
            <w:tcBorders>
              <w:bottom w:val="double" w:sz="10" w:space="0" w:color="000000"/>
            </w:tcBorders>
            <w:shd w:fill="FFFFFF" w:val="clear"/>
            <w:tcMar>
              <w:bottom w:w="28" w:type="dxa"/>
            </w:tcMar>
            <w:vAlign w:val="center"/>
          </w:tcPr>
          <w:p>
            <w:pPr>
              <w:pStyle w:val="TableContents"/>
              <w:bidi w:val="0"/>
              <w:spacing w:before="0" w:after="283"/>
              <w:jc w:val="left"/>
              <w:rPr/>
            </w:pPr>
            <w:r>
              <w:rPr/>
              <w:t> </w:t>
            </w:r>
          </w:p>
        </w:tc>
        <w:tc>
          <w:tcPr>
            <w:tcW w:w="1233" w:type="dxa"/>
            <w:tcBorders>
              <w:bottom w:val="double" w:sz="10" w:space="0" w:color="000000"/>
            </w:tcBorders>
            <w:shd w:fill="FFFFFF" w:val="clear"/>
            <w:tcMar>
              <w:bottom w:w="28" w:type="dxa"/>
            </w:tcMar>
            <w:vAlign w:val="center"/>
          </w:tcPr>
          <w:p>
            <w:pPr>
              <w:pStyle w:val="TableContents"/>
              <w:bidi w:val="0"/>
              <w:spacing w:before="0" w:after="283"/>
              <w:jc w:val="right"/>
              <w:rPr/>
            </w:pPr>
            <w:r>
              <w:rPr/>
              <w:t>87,108,928</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5" w:type="dxa"/>
            <w:tcBorders>
              <w:bottom w:val="double" w:sz="10" w:space="0" w:color="000000"/>
            </w:tcBorders>
            <w:shd w:fill="FFFFFF" w:val="clear"/>
            <w:tcMar>
              <w:bottom w:w="28" w:type="dxa"/>
            </w:tcMar>
            <w:vAlign w:val="center"/>
          </w:tcPr>
          <w:p>
            <w:pPr>
              <w:pStyle w:val="TableContents"/>
              <w:bidi w:val="0"/>
              <w:spacing w:before="0" w:after="283"/>
              <w:jc w:val="left"/>
              <w:rPr/>
            </w:pPr>
            <w:r>
              <w:rPr/>
              <w:t> </w:t>
            </w:r>
          </w:p>
        </w:tc>
        <w:tc>
          <w:tcPr>
            <w:tcW w:w="1233" w:type="dxa"/>
            <w:tcBorders>
              <w:bottom w:val="double" w:sz="10" w:space="0" w:color="000000"/>
            </w:tcBorders>
            <w:shd w:fill="FFFFFF" w:val="clear"/>
            <w:tcMar>
              <w:bottom w:w="28" w:type="dxa"/>
            </w:tcMar>
            <w:vAlign w:val="center"/>
          </w:tcPr>
          <w:p>
            <w:pPr>
              <w:pStyle w:val="TableContents"/>
              <w:bidi w:val="0"/>
              <w:spacing w:before="0" w:after="283"/>
              <w:jc w:val="right"/>
              <w:rPr/>
            </w:pPr>
            <w:r>
              <w:rPr/>
              <w:t>75,793,548</w:t>
            </w:r>
          </w:p>
        </w:tc>
        <w:tc>
          <w:tcPr>
            <w:tcW w:w="113"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07"/>
        <w:gridCol w:w="9998"/>
      </w:tblGrid>
      <w:tr>
        <w:trPr/>
        <w:tc>
          <w:tcPr>
            <w:tcW w:w="207" w:type="dxa"/>
            <w:tcBorders/>
            <w:vAlign w:val="center"/>
          </w:tcPr>
          <w:p>
            <w:pPr>
              <w:pStyle w:val="TableContents"/>
              <w:bidi w:val="0"/>
              <w:spacing w:before="0" w:after="283"/>
              <w:jc w:val="left"/>
              <w:rPr>
                <w:rFonts w:ascii="Times New Roman;Times;Serif" w:hAnsi="Times New Roman;Times;Serif"/>
                <w:position w:val="7"/>
                <w:sz w:val="16"/>
                <w:sz w:val="20"/>
              </w:rPr>
            </w:pPr>
            <w:r>
              <w:rPr>
                <w:rFonts w:ascii="Times New Roman;Times;Serif" w:hAnsi="Times New Roman;Times;Serif"/>
                <w:position w:val="7"/>
                <w:sz w:val="16"/>
                <w:sz w:val="20"/>
              </w:rPr>
              <w:t>(1)</w:t>
            </w:r>
          </w:p>
        </w:tc>
        <w:tc>
          <w:tcPr>
            <w:tcW w:w="9998"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 xml:space="preserve">The Company identified SameDay Solar as a related party beginning in fiscal 2024. Cost of revenue paid to SameDay Solar totaled $1.0 million and $0.6 million in the fiscal years ended December 28, 2025 and December 29, 2024, respectively. Refer to </w:t>
            </w:r>
            <w:r>
              <w:rPr>
                <w:rFonts w:ascii="Times New Roman;Times;Serif" w:hAnsi="Times New Roman;Times;Serif"/>
                <w:b/>
                <w:sz w:val="20"/>
              </w:rPr>
              <w:t>Note 19 – Related Party Transactions</w:t>
            </w:r>
            <w:r>
              <w:rPr>
                <w:rFonts w:ascii="Times New Roman;Times;Serif" w:hAnsi="Times New Roman;Times;Serif"/>
                <w:sz w:val="20"/>
              </w:rPr>
              <w:t xml:space="preserve"> for details.</w:t>
            </w:r>
          </w:p>
        </w:tc>
      </w:tr>
    </w:tbl>
    <w:p>
      <w:pPr>
        <w:pStyle w:val="TextBody"/>
        <w:bidi w:val="0"/>
        <w:spacing w:before="0" w:after="0"/>
        <w:ind w:left="0" w:right="0" w:hanging="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06"/>
        <w:gridCol w:w="9999"/>
      </w:tblGrid>
      <w:tr>
        <w:trPr/>
        <w:tc>
          <w:tcPr>
            <w:tcW w:w="206" w:type="dxa"/>
            <w:tcBorders/>
            <w:vAlign w:val="center"/>
          </w:tcPr>
          <w:p>
            <w:pPr>
              <w:pStyle w:val="TableContents"/>
              <w:bidi w:val="0"/>
              <w:spacing w:before="0" w:after="283"/>
              <w:jc w:val="left"/>
              <w:rPr>
                <w:rFonts w:ascii="Times New Roman;Times;Serif" w:hAnsi="Times New Roman;Times;Serif"/>
                <w:position w:val="7"/>
                <w:sz w:val="16"/>
                <w:sz w:val="20"/>
              </w:rPr>
            </w:pPr>
            <w:r>
              <w:rPr>
                <w:rFonts w:ascii="Times New Roman;Times;Serif" w:hAnsi="Times New Roman;Times;Serif"/>
                <w:position w:val="7"/>
                <w:sz w:val="16"/>
                <w:sz w:val="20"/>
              </w:rPr>
              <w:t>(2)</w:t>
            </w:r>
          </w:p>
        </w:tc>
        <w:tc>
          <w:tcPr>
            <w:tcW w:w="9999" w:type="dxa"/>
            <w:tcBorders/>
            <w:vAlign w:val="center"/>
          </w:tcPr>
          <w:p>
            <w:pPr>
              <w:pStyle w:val="TableContents"/>
              <w:bidi w:val="0"/>
              <w:spacing w:before="0" w:after="283"/>
              <w:jc w:val="both"/>
              <w:rPr/>
            </w:pPr>
            <w:r>
              <w:rPr/>
              <w:t xml:space="preserve">Includes interest expense and amortization of debt issuance costs due to related parties of $5.7 million and $7.6 million in the fiscal years ended December 28, 2025 and December 29, 2024, respectively. Refer to </w:t>
            </w:r>
            <w:r>
              <w:rPr>
                <w:b/>
              </w:rPr>
              <w:t>Note 10 – Borrowings and Derivative Liabilities</w:t>
            </w:r>
            <w:r>
              <w:rPr/>
              <w:t xml:space="preserve"> for details.</w:t>
            </w:r>
          </w:p>
        </w:tc>
      </w:tr>
    </w:tbl>
    <w:p>
      <w:pPr>
        <w:pStyle w:val="TextBody"/>
        <w:bidi w:val="0"/>
        <w:spacing w:before="0" w:after="0"/>
        <w:ind w:left="0" w:right="0" w:hanging="0"/>
        <w:jc w:val="left"/>
        <w:rPr>
          <w:caps w:val="false"/>
          <w:smallCaps w:val="false"/>
        </w:rPr>
      </w:pPr>
      <w:r>
        <w:rPr>
          <w:caps w:val="false"/>
          <w:smallCaps w:val="false"/>
        </w:rPr>
        <w:t> </w:t>
      </w:r>
    </w:p>
    <w:tbl>
      <w:tblPr>
        <w:tblW w:w="5290" w:type="dxa"/>
        <w:jc w:val="left"/>
        <w:tblInd w:w="0" w:type="dxa"/>
        <w:tblLayout w:type="fixed"/>
        <w:tblCellMar>
          <w:top w:w="0" w:type="dxa"/>
          <w:left w:w="0" w:type="dxa"/>
          <w:bottom w:w="0" w:type="dxa"/>
          <w:right w:w="0" w:type="dxa"/>
        </w:tblCellMar>
      </w:tblPr>
      <w:tblGrid>
        <w:gridCol w:w="245"/>
        <w:gridCol w:w="5045"/>
      </w:tblGrid>
      <w:tr>
        <w:trPr/>
        <w:tc>
          <w:tcPr>
            <w:tcW w:w="245" w:type="dxa"/>
            <w:tcBorders/>
            <w:vAlign w:val="center"/>
          </w:tcPr>
          <w:p>
            <w:pPr>
              <w:pStyle w:val="TableContents"/>
              <w:bidi w:val="0"/>
              <w:spacing w:before="0" w:after="283"/>
              <w:jc w:val="left"/>
              <w:rPr>
                <w:rFonts w:ascii="Times New Roman;Times;Serif" w:hAnsi="Times New Roman;Times;Serif"/>
                <w:position w:val="7"/>
                <w:sz w:val="16"/>
                <w:sz w:val="20"/>
              </w:rPr>
            </w:pPr>
            <w:r>
              <w:rPr>
                <w:rFonts w:ascii="Times New Roman;Times;Serif" w:hAnsi="Times New Roman;Times;Serif"/>
                <w:position w:val="7"/>
                <w:sz w:val="16"/>
                <w:sz w:val="20"/>
              </w:rPr>
              <w:t>(3)</w:t>
            </w:r>
          </w:p>
        </w:tc>
        <w:tc>
          <w:tcPr>
            <w:tcW w:w="504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 xml:space="preserve">Includes the following related party transactions </w:t>
            </w:r>
            <w:r>
              <w:rPr>
                <w:rFonts w:ascii="Times New Roman;Times;Serif" w:hAnsi="Times New Roman;Times;Serif"/>
                <w:i/>
                <w:sz w:val="20"/>
              </w:rPr>
              <w:t>(in millions)</w:t>
            </w:r>
            <w:r>
              <w:rPr>
                <w:rFonts w:ascii="Times New Roman;Times;Serif" w:hAnsi="Times New Roman;Times;Serif"/>
                <w:sz w:val="20"/>
              </w:rPr>
              <w:t>:</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14"/>
        <w:gridCol w:w="60"/>
        <w:gridCol w:w="319"/>
        <w:gridCol w:w="856"/>
        <w:gridCol w:w="109"/>
        <w:gridCol w:w="81"/>
        <w:gridCol w:w="319"/>
        <w:gridCol w:w="856"/>
        <w:gridCol w:w="91"/>
      </w:tblGrid>
      <w:tr>
        <w:trPr/>
        <w:tc>
          <w:tcPr>
            <w:tcW w:w="7514"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2540" w:type="dxa"/>
            <w:gridSpan w:val="6"/>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Fiscal Year Ended</w:t>
            </w:r>
          </w:p>
        </w:tc>
        <w:tc>
          <w:tcPr>
            <w:tcW w:w="91" w:type="dxa"/>
            <w:tcBorders/>
            <w:vAlign w:val="center"/>
          </w:tcPr>
          <w:p>
            <w:pPr>
              <w:pStyle w:val="TableContents"/>
              <w:bidi w:val="0"/>
              <w:spacing w:before="0" w:after="283"/>
              <w:jc w:val="left"/>
              <w:rPr/>
            </w:pPr>
            <w:r>
              <w:rPr/>
              <w:t> </w:t>
            </w:r>
          </w:p>
        </w:tc>
      </w:tr>
      <w:tr>
        <w:trPr/>
        <w:tc>
          <w:tcPr>
            <w:tcW w:w="7514"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175"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December 28,</w:t>
              <w:br/>
              <w:t>2025</w:t>
            </w:r>
          </w:p>
        </w:tc>
        <w:tc>
          <w:tcPr>
            <w:tcW w:w="109" w:type="dxa"/>
            <w:tcBorders/>
            <w:vAlign w:val="center"/>
          </w:tcPr>
          <w:p>
            <w:pPr>
              <w:pStyle w:val="TableContents"/>
              <w:bidi w:val="0"/>
              <w:spacing w:before="0" w:after="283"/>
              <w:jc w:val="left"/>
              <w:rPr/>
            </w:pPr>
            <w:r>
              <w:rPr/>
              <w:t> </w:t>
            </w:r>
          </w:p>
        </w:tc>
        <w:tc>
          <w:tcPr>
            <w:tcW w:w="81" w:type="dxa"/>
            <w:tcBorders/>
            <w:vAlign w:val="center"/>
          </w:tcPr>
          <w:p>
            <w:pPr>
              <w:pStyle w:val="TableContents"/>
              <w:bidi w:val="0"/>
              <w:spacing w:before="0" w:after="283"/>
              <w:jc w:val="left"/>
              <w:rPr/>
            </w:pPr>
            <w:r>
              <w:rPr/>
              <w:t> </w:t>
            </w:r>
          </w:p>
        </w:tc>
        <w:tc>
          <w:tcPr>
            <w:tcW w:w="1175"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December 29,</w:t>
              <w:br/>
              <w:t>2024</w:t>
            </w:r>
          </w:p>
        </w:tc>
        <w:tc>
          <w:tcPr>
            <w:tcW w:w="91" w:type="dxa"/>
            <w:tcBorders/>
            <w:vAlign w:val="center"/>
          </w:tcPr>
          <w:p>
            <w:pPr>
              <w:pStyle w:val="TableContents"/>
              <w:bidi w:val="0"/>
              <w:spacing w:before="0" w:after="283"/>
              <w:ind w:left="0" w:right="0" w:hanging="180"/>
              <w:jc w:val="left"/>
              <w:rPr/>
            </w:pPr>
            <w:r>
              <w:rPr/>
              <w:t> </w:t>
            </w:r>
          </w:p>
        </w:tc>
      </w:tr>
      <w:tr>
        <w:trPr/>
        <w:tc>
          <w:tcPr>
            <w:tcW w:w="7514"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Loss on issuance of derivative liabilities</w:t>
            </w:r>
          </w:p>
        </w:tc>
        <w:tc>
          <w:tcPr>
            <w:tcW w:w="60" w:type="dxa"/>
            <w:tcBorders/>
            <w:shd w:fill="CCEEFF" w:val="clear"/>
            <w:vAlign w:val="center"/>
          </w:tcPr>
          <w:p>
            <w:pPr>
              <w:pStyle w:val="TableContents"/>
              <w:bidi w:val="0"/>
              <w:spacing w:before="0" w:after="283"/>
              <w:jc w:val="left"/>
              <w:rPr/>
            </w:pPr>
            <w:r>
              <w:rPr/>
              <w:t> </w:t>
            </w:r>
          </w:p>
        </w:tc>
        <w:tc>
          <w:tcPr>
            <w:tcW w:w="319"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856" w:type="dxa"/>
            <w:tcBorders/>
            <w:shd w:fill="CCEEFF" w:val="clear"/>
            <w:vAlign w:val="center"/>
          </w:tcPr>
          <w:p>
            <w:pPr>
              <w:pStyle w:val="TableContents"/>
              <w:bidi w:val="0"/>
              <w:spacing w:before="0" w:after="283"/>
              <w:jc w:val="right"/>
              <w:rPr/>
            </w:pPr>
            <w:r>
              <w:rPr/>
              <w:t>—</w:t>
            </w:r>
          </w:p>
        </w:tc>
        <w:tc>
          <w:tcPr>
            <w:tcW w:w="109" w:type="dxa"/>
            <w:tcBorders/>
            <w:shd w:fill="CCEEFF" w:val="clear"/>
            <w:vAlign w:val="center"/>
          </w:tcPr>
          <w:p>
            <w:pPr>
              <w:pStyle w:val="TableContents"/>
              <w:bidi w:val="0"/>
              <w:spacing w:before="0" w:after="283"/>
              <w:jc w:val="left"/>
              <w:rPr/>
            </w:pPr>
            <w:r>
              <w:rPr/>
              <w:t> </w:t>
            </w:r>
          </w:p>
        </w:tc>
        <w:tc>
          <w:tcPr>
            <w:tcW w:w="81" w:type="dxa"/>
            <w:tcBorders/>
            <w:shd w:fill="CCEEFF" w:val="clear"/>
            <w:vAlign w:val="center"/>
          </w:tcPr>
          <w:p>
            <w:pPr>
              <w:pStyle w:val="TableContents"/>
              <w:bidi w:val="0"/>
              <w:spacing w:before="0" w:after="283"/>
              <w:jc w:val="left"/>
              <w:rPr/>
            </w:pPr>
            <w:r>
              <w:rPr/>
              <w:t> </w:t>
            </w:r>
          </w:p>
        </w:tc>
        <w:tc>
          <w:tcPr>
            <w:tcW w:w="319"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856"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(3.0</w:t>
            </w:r>
          </w:p>
        </w:tc>
        <w:tc>
          <w:tcPr>
            <w:tcW w:w="91" w:type="dxa"/>
            <w:tcBorders/>
            <w:shd w:fill="CCEEFF" w:val="clear"/>
            <w:vAlign w:val="center"/>
          </w:tcPr>
          <w:p>
            <w:pPr>
              <w:pStyle w:val="TableContents"/>
              <w:bidi w:val="0"/>
              <w:spacing w:before="0" w:after="283"/>
              <w:ind w:left="0" w:right="0" w:hanging="180"/>
              <w:jc w:val="left"/>
              <w:rPr>
                <w:rFonts w:ascii="Times New Roman;Times;Serif" w:hAnsi="Times New Roman;Times;Serif"/>
                <w:sz w:val="20"/>
              </w:rPr>
            </w:pPr>
            <w:r>
              <w:rPr>
                <w:rFonts w:ascii="Times New Roman;Times;Serif" w:hAnsi="Times New Roman;Times;Serif"/>
                <w:sz w:val="20"/>
              </w:rPr>
              <w:t>)</w:t>
            </w:r>
          </w:p>
        </w:tc>
      </w:tr>
      <w:tr>
        <w:trPr/>
        <w:tc>
          <w:tcPr>
            <w:tcW w:w="7514"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Gain on remeasurement of derivative liabilities (Refer to </w:t>
            </w:r>
            <w:r>
              <w:rPr>
                <w:rFonts w:ascii="Times New Roman;Times;Serif" w:hAnsi="Times New Roman;Times;Serif"/>
                <w:b/>
                <w:sz w:val="20"/>
              </w:rPr>
              <w:t>Note 10 – Borrowings and Derivative Liabilities</w:t>
            </w:r>
            <w:r>
              <w:rPr>
                <w:rFonts w:ascii="Times New Roman;Times;Serif" w:hAnsi="Times New Roman;Times;Serif"/>
                <w:sz w:val="20"/>
              </w:rPr>
              <w:t xml:space="preserve"> for details.)</w:t>
            </w:r>
          </w:p>
        </w:tc>
        <w:tc>
          <w:tcPr>
            <w:tcW w:w="60" w:type="dxa"/>
            <w:tcBorders/>
            <w:shd w:fill="FFFFFF" w:val="clear"/>
            <w:vAlign w:val="center"/>
          </w:tcPr>
          <w:p>
            <w:pPr>
              <w:pStyle w:val="TableContents"/>
              <w:bidi w:val="0"/>
              <w:spacing w:before="0" w:after="283"/>
              <w:jc w:val="left"/>
              <w:rPr/>
            </w:pPr>
            <w:r>
              <w:rPr/>
              <w:t> </w:t>
            </w:r>
          </w:p>
        </w:tc>
        <w:tc>
          <w:tcPr>
            <w:tcW w:w="319" w:type="dxa"/>
            <w:tcBorders/>
            <w:shd w:fill="FFFFFF" w:val="clear"/>
            <w:vAlign w:val="center"/>
          </w:tcPr>
          <w:p>
            <w:pPr>
              <w:pStyle w:val="TableContents"/>
              <w:bidi w:val="0"/>
              <w:spacing w:before="0" w:after="283"/>
              <w:jc w:val="left"/>
              <w:rPr/>
            </w:pPr>
            <w:r>
              <w:rPr/>
              <w:t> </w:t>
            </w:r>
          </w:p>
        </w:tc>
        <w:tc>
          <w:tcPr>
            <w:tcW w:w="856"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3.5</w:t>
            </w:r>
          </w:p>
        </w:tc>
        <w:tc>
          <w:tcPr>
            <w:tcW w:w="109" w:type="dxa"/>
            <w:tcBorders/>
            <w:shd w:fill="FFFFFF" w:val="clear"/>
            <w:vAlign w:val="center"/>
          </w:tcPr>
          <w:p>
            <w:pPr>
              <w:pStyle w:val="TableContents"/>
              <w:bidi w:val="0"/>
              <w:spacing w:before="0" w:after="283"/>
              <w:jc w:val="left"/>
              <w:rPr/>
            </w:pPr>
            <w:r>
              <w:rPr/>
              <w:t> </w:t>
            </w:r>
          </w:p>
        </w:tc>
        <w:tc>
          <w:tcPr>
            <w:tcW w:w="81" w:type="dxa"/>
            <w:tcBorders/>
            <w:shd w:fill="FFFFFF" w:val="clear"/>
            <w:vAlign w:val="center"/>
          </w:tcPr>
          <w:p>
            <w:pPr>
              <w:pStyle w:val="TableContents"/>
              <w:bidi w:val="0"/>
              <w:spacing w:before="0" w:after="283"/>
              <w:jc w:val="left"/>
              <w:rPr/>
            </w:pPr>
            <w:r>
              <w:rPr/>
              <w:t> </w:t>
            </w:r>
          </w:p>
        </w:tc>
        <w:tc>
          <w:tcPr>
            <w:tcW w:w="319" w:type="dxa"/>
            <w:tcBorders/>
            <w:shd w:fill="FFFFFF" w:val="clear"/>
            <w:vAlign w:val="center"/>
          </w:tcPr>
          <w:p>
            <w:pPr>
              <w:pStyle w:val="TableContents"/>
              <w:bidi w:val="0"/>
              <w:spacing w:before="0" w:after="283"/>
              <w:jc w:val="left"/>
              <w:rPr/>
            </w:pPr>
            <w:r>
              <w:rPr/>
              <w:t> </w:t>
            </w:r>
          </w:p>
        </w:tc>
        <w:tc>
          <w:tcPr>
            <w:tcW w:w="856"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0.3</w:t>
            </w:r>
          </w:p>
        </w:tc>
        <w:tc>
          <w:tcPr>
            <w:tcW w:w="91" w:type="dxa"/>
            <w:tcBorders/>
            <w:shd w:fill="FFFFFF" w:val="clear"/>
            <w:vAlign w:val="center"/>
          </w:tcPr>
          <w:p>
            <w:pPr>
              <w:pStyle w:val="TableContents"/>
              <w:bidi w:val="0"/>
              <w:spacing w:before="0" w:after="283"/>
              <w:ind w:left="0" w:right="0" w:hanging="180"/>
              <w:jc w:val="left"/>
              <w:rPr/>
            </w:pPr>
            <w:r>
              <w:rPr/>
              <w:t> </w:t>
            </w:r>
          </w:p>
        </w:tc>
      </w:tr>
      <w:tr>
        <w:trPr/>
        <w:tc>
          <w:tcPr>
            <w:tcW w:w="7514"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Gain (loss) due to change in fair value of Forward Purchase Agreements</w:t>
            </w:r>
          </w:p>
        </w:tc>
        <w:tc>
          <w:tcPr>
            <w:tcW w:w="60" w:type="dxa"/>
            <w:tcBorders/>
            <w:shd w:fill="CCEEFF" w:val="clear"/>
            <w:vAlign w:val="center"/>
          </w:tcPr>
          <w:p>
            <w:pPr>
              <w:pStyle w:val="TableContents"/>
              <w:bidi w:val="0"/>
              <w:spacing w:before="0" w:after="283"/>
              <w:jc w:val="left"/>
              <w:rPr/>
            </w:pPr>
            <w:r>
              <w:rPr/>
              <w:t> </w:t>
            </w:r>
          </w:p>
        </w:tc>
        <w:tc>
          <w:tcPr>
            <w:tcW w:w="319" w:type="dxa"/>
            <w:tcBorders/>
            <w:shd w:fill="CCEEFF" w:val="clear"/>
            <w:vAlign w:val="center"/>
          </w:tcPr>
          <w:p>
            <w:pPr>
              <w:pStyle w:val="TableContents"/>
              <w:bidi w:val="0"/>
              <w:spacing w:before="0" w:after="283"/>
              <w:jc w:val="left"/>
              <w:rPr/>
            </w:pPr>
            <w:r>
              <w:rPr/>
              <w:t> </w:t>
            </w:r>
          </w:p>
        </w:tc>
        <w:tc>
          <w:tcPr>
            <w:tcW w:w="856"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0.1</w:t>
            </w:r>
          </w:p>
        </w:tc>
        <w:tc>
          <w:tcPr>
            <w:tcW w:w="109" w:type="dxa"/>
            <w:tcBorders/>
            <w:shd w:fill="CCEEFF" w:val="clear"/>
            <w:vAlign w:val="center"/>
          </w:tcPr>
          <w:p>
            <w:pPr>
              <w:pStyle w:val="TableContents"/>
              <w:bidi w:val="0"/>
              <w:spacing w:before="0" w:after="283"/>
              <w:jc w:val="left"/>
              <w:rPr/>
            </w:pPr>
            <w:r>
              <w:rPr/>
              <w:t> </w:t>
            </w:r>
          </w:p>
        </w:tc>
        <w:tc>
          <w:tcPr>
            <w:tcW w:w="81" w:type="dxa"/>
            <w:tcBorders/>
            <w:shd w:fill="CCEEFF" w:val="clear"/>
            <w:vAlign w:val="center"/>
          </w:tcPr>
          <w:p>
            <w:pPr>
              <w:pStyle w:val="TableContents"/>
              <w:bidi w:val="0"/>
              <w:spacing w:before="0" w:after="283"/>
              <w:jc w:val="left"/>
              <w:rPr/>
            </w:pPr>
            <w:r>
              <w:rPr/>
              <w:t> </w:t>
            </w:r>
          </w:p>
        </w:tc>
        <w:tc>
          <w:tcPr>
            <w:tcW w:w="319" w:type="dxa"/>
            <w:tcBorders/>
            <w:shd w:fill="CCEEFF" w:val="clear"/>
            <w:vAlign w:val="center"/>
          </w:tcPr>
          <w:p>
            <w:pPr>
              <w:pStyle w:val="TableContents"/>
              <w:bidi w:val="0"/>
              <w:spacing w:before="0" w:after="283"/>
              <w:jc w:val="left"/>
              <w:rPr/>
            </w:pPr>
            <w:r>
              <w:rPr/>
              <w:t> </w:t>
            </w:r>
          </w:p>
        </w:tc>
        <w:tc>
          <w:tcPr>
            <w:tcW w:w="856"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0.1</w:t>
            </w:r>
          </w:p>
        </w:tc>
        <w:tc>
          <w:tcPr>
            <w:tcW w:w="91" w:type="dxa"/>
            <w:tcBorders/>
            <w:shd w:fill="CCEEFF" w:val="clear"/>
            <w:vAlign w:val="center"/>
          </w:tcPr>
          <w:p>
            <w:pPr>
              <w:pStyle w:val="TableContents"/>
              <w:bidi w:val="0"/>
              <w:spacing w:before="0" w:after="283"/>
              <w:ind w:left="0" w:right="0" w:hanging="180"/>
              <w:jc w:val="left"/>
              <w:rPr/>
            </w:pPr>
            <w:r>
              <w:rPr/>
              <w:t> </w:t>
            </w:r>
          </w:p>
        </w:tc>
      </w:tr>
      <w:tr>
        <w:trPr/>
        <w:tc>
          <w:tcPr>
            <w:tcW w:w="7514"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Loss on conversion of SAFE Agreements to common stock</w:t>
            </w:r>
          </w:p>
        </w:tc>
        <w:tc>
          <w:tcPr>
            <w:tcW w:w="60" w:type="dxa"/>
            <w:tcBorders/>
            <w:shd w:fill="FFFFFF" w:val="clear"/>
            <w:vAlign w:val="center"/>
          </w:tcPr>
          <w:p>
            <w:pPr>
              <w:pStyle w:val="TableContents"/>
              <w:bidi w:val="0"/>
              <w:spacing w:before="0" w:after="283"/>
              <w:jc w:val="left"/>
              <w:rPr/>
            </w:pPr>
            <w:r>
              <w:rPr/>
              <w:t> </w:t>
            </w:r>
          </w:p>
        </w:tc>
        <w:tc>
          <w:tcPr>
            <w:tcW w:w="319" w:type="dxa"/>
            <w:tcBorders/>
            <w:shd w:fill="FFFFFF" w:val="clear"/>
            <w:vAlign w:val="center"/>
          </w:tcPr>
          <w:p>
            <w:pPr>
              <w:pStyle w:val="TableContents"/>
              <w:bidi w:val="0"/>
              <w:spacing w:before="0" w:after="283"/>
              <w:jc w:val="left"/>
              <w:rPr/>
            </w:pPr>
            <w:r>
              <w:rPr/>
              <w:t> </w:t>
            </w:r>
          </w:p>
        </w:tc>
        <w:tc>
          <w:tcPr>
            <w:tcW w:w="856" w:type="dxa"/>
            <w:tcBorders/>
            <w:shd w:fill="FFFFFF" w:val="clear"/>
            <w:vAlign w:val="center"/>
          </w:tcPr>
          <w:p>
            <w:pPr>
              <w:pStyle w:val="TableContents"/>
              <w:bidi w:val="0"/>
              <w:spacing w:before="0" w:after="283"/>
              <w:jc w:val="right"/>
              <w:rPr/>
            </w:pPr>
            <w:r>
              <w:rPr/>
              <w:t>—</w:t>
            </w:r>
          </w:p>
        </w:tc>
        <w:tc>
          <w:tcPr>
            <w:tcW w:w="109" w:type="dxa"/>
            <w:tcBorders/>
            <w:shd w:fill="FFFFFF" w:val="clear"/>
            <w:vAlign w:val="center"/>
          </w:tcPr>
          <w:p>
            <w:pPr>
              <w:pStyle w:val="TableContents"/>
              <w:bidi w:val="0"/>
              <w:spacing w:before="0" w:after="283"/>
              <w:jc w:val="left"/>
              <w:rPr/>
            </w:pPr>
            <w:r>
              <w:rPr/>
              <w:t> </w:t>
            </w:r>
          </w:p>
        </w:tc>
        <w:tc>
          <w:tcPr>
            <w:tcW w:w="81" w:type="dxa"/>
            <w:tcBorders/>
            <w:shd w:fill="FFFFFF" w:val="clear"/>
            <w:vAlign w:val="center"/>
          </w:tcPr>
          <w:p>
            <w:pPr>
              <w:pStyle w:val="TableContents"/>
              <w:bidi w:val="0"/>
              <w:spacing w:before="0" w:after="283"/>
              <w:jc w:val="left"/>
              <w:rPr/>
            </w:pPr>
            <w:r>
              <w:rPr/>
              <w:t> </w:t>
            </w:r>
          </w:p>
        </w:tc>
        <w:tc>
          <w:tcPr>
            <w:tcW w:w="319" w:type="dxa"/>
            <w:tcBorders/>
            <w:shd w:fill="FFFFFF" w:val="clear"/>
            <w:vAlign w:val="center"/>
          </w:tcPr>
          <w:p>
            <w:pPr>
              <w:pStyle w:val="TableContents"/>
              <w:bidi w:val="0"/>
              <w:spacing w:before="0" w:after="283"/>
              <w:jc w:val="left"/>
              <w:rPr/>
            </w:pPr>
            <w:r>
              <w:rPr/>
              <w:t> </w:t>
            </w:r>
          </w:p>
        </w:tc>
        <w:tc>
          <w:tcPr>
            <w:tcW w:w="856"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(0.7</w:t>
            </w:r>
          </w:p>
        </w:tc>
        <w:tc>
          <w:tcPr>
            <w:tcW w:w="91" w:type="dxa"/>
            <w:tcBorders/>
            <w:shd w:fill="FFFFFF" w:val="clear"/>
            <w:vAlign w:val="center"/>
          </w:tcPr>
          <w:p>
            <w:pPr>
              <w:pStyle w:val="TableContents"/>
              <w:bidi w:val="0"/>
              <w:spacing w:before="0" w:after="283"/>
              <w:ind w:left="0" w:right="0" w:hanging="180"/>
              <w:jc w:val="left"/>
              <w:rPr>
                <w:rFonts w:ascii="Times New Roman;Times;Serif" w:hAnsi="Times New Roman;Times;Serif"/>
                <w:sz w:val="20"/>
              </w:rPr>
            </w:pPr>
            <w:r>
              <w:rPr>
                <w:rFonts w:ascii="Times New Roman;Times;Serif" w:hAnsi="Times New Roman;Times;Serif"/>
                <w:sz w:val="20"/>
              </w:rPr>
              <w:t>)</w:t>
            </w:r>
          </w:p>
        </w:tc>
      </w:tr>
      <w:tr>
        <w:trPr/>
        <w:tc>
          <w:tcPr>
            <w:tcW w:w="7514"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Change in fair value of SAFE Agreement</w:t>
            </w:r>
          </w:p>
        </w:tc>
        <w:tc>
          <w:tcPr>
            <w:tcW w:w="60" w:type="dxa"/>
            <w:tcBorders/>
            <w:shd w:fill="CCEEFF" w:val="clear"/>
            <w:vAlign w:val="center"/>
          </w:tcPr>
          <w:p>
            <w:pPr>
              <w:pStyle w:val="TableContents"/>
              <w:bidi w:val="0"/>
              <w:spacing w:before="0" w:after="283"/>
              <w:jc w:val="left"/>
              <w:rPr/>
            </w:pPr>
            <w:r>
              <w:rPr/>
              <w:t> </w:t>
            </w:r>
          </w:p>
        </w:tc>
        <w:tc>
          <w:tcPr>
            <w:tcW w:w="319" w:type="dxa"/>
            <w:tcBorders/>
            <w:shd w:fill="CCEEFF" w:val="clear"/>
            <w:vAlign w:val="center"/>
          </w:tcPr>
          <w:p>
            <w:pPr>
              <w:pStyle w:val="TableContents"/>
              <w:bidi w:val="0"/>
              <w:spacing w:before="0" w:after="283"/>
              <w:jc w:val="left"/>
              <w:rPr/>
            </w:pPr>
            <w:r>
              <w:rPr/>
              <w:t> </w:t>
            </w:r>
          </w:p>
        </w:tc>
        <w:tc>
          <w:tcPr>
            <w:tcW w:w="856"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(0.2</w:t>
            </w:r>
          </w:p>
        </w:tc>
        <w:tc>
          <w:tcPr>
            <w:tcW w:w="109"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81" w:type="dxa"/>
            <w:tcBorders/>
            <w:shd w:fill="CCEEFF" w:val="clear"/>
            <w:vAlign w:val="center"/>
          </w:tcPr>
          <w:p>
            <w:pPr>
              <w:pStyle w:val="TableContents"/>
              <w:bidi w:val="0"/>
              <w:spacing w:before="0" w:after="283"/>
              <w:jc w:val="left"/>
              <w:rPr/>
            </w:pPr>
            <w:r>
              <w:rPr/>
              <w:t> </w:t>
            </w:r>
          </w:p>
        </w:tc>
        <w:tc>
          <w:tcPr>
            <w:tcW w:w="319" w:type="dxa"/>
            <w:tcBorders/>
            <w:shd w:fill="CCEEFF" w:val="clear"/>
            <w:vAlign w:val="center"/>
          </w:tcPr>
          <w:p>
            <w:pPr>
              <w:pStyle w:val="TableContents"/>
              <w:bidi w:val="0"/>
              <w:spacing w:before="0" w:after="283"/>
              <w:jc w:val="left"/>
              <w:rPr/>
            </w:pPr>
            <w:r>
              <w:rPr/>
              <w:t> </w:t>
            </w:r>
          </w:p>
        </w:tc>
        <w:tc>
          <w:tcPr>
            <w:tcW w:w="856" w:type="dxa"/>
            <w:tcBorders/>
            <w:shd w:fill="CCEEFF" w:val="clear"/>
            <w:vAlign w:val="center"/>
          </w:tcPr>
          <w:p>
            <w:pPr>
              <w:pStyle w:val="TableContents"/>
              <w:bidi w:val="0"/>
              <w:spacing w:before="0" w:after="283"/>
              <w:jc w:val="right"/>
              <w:rPr/>
            </w:pPr>
            <w:r>
              <w:rPr/>
              <w:t>—</w:t>
            </w:r>
          </w:p>
        </w:tc>
        <w:tc>
          <w:tcPr>
            <w:tcW w:w="91" w:type="dxa"/>
            <w:tcBorders/>
            <w:shd w:fill="CCEEFF" w:val="clear"/>
            <w:vAlign w:val="center"/>
          </w:tcPr>
          <w:p>
            <w:pPr>
              <w:pStyle w:val="TableContents"/>
              <w:bidi w:val="0"/>
              <w:spacing w:before="0" w:after="283"/>
              <w:ind w:left="0" w:right="0" w:hanging="180"/>
              <w:jc w:val="left"/>
              <w:rPr/>
            </w:pPr>
            <w:r>
              <w:rPr/>
              <w:t> </w:t>
            </w:r>
          </w:p>
        </w:tc>
      </w:tr>
      <w:tr>
        <w:trPr/>
        <w:tc>
          <w:tcPr>
            <w:tcW w:w="7514"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Gain due to change in fair value of Carlyle warrants</w:t>
            </w:r>
          </w:p>
        </w:tc>
        <w:tc>
          <w:tcPr>
            <w:tcW w:w="60" w:type="dxa"/>
            <w:tcBorders/>
            <w:shd w:fill="FFFFFF" w:val="clear"/>
            <w:vAlign w:val="center"/>
          </w:tcPr>
          <w:p>
            <w:pPr>
              <w:pStyle w:val="TableContents"/>
              <w:bidi w:val="0"/>
              <w:spacing w:before="0" w:after="283"/>
              <w:jc w:val="left"/>
              <w:rPr/>
            </w:pPr>
            <w:r>
              <w:rPr/>
              <w:t> </w:t>
            </w:r>
          </w:p>
        </w:tc>
        <w:tc>
          <w:tcPr>
            <w:tcW w:w="319" w:type="dxa"/>
            <w:tcBorders/>
            <w:shd w:fill="FFFFFF" w:val="clear"/>
            <w:vAlign w:val="center"/>
          </w:tcPr>
          <w:p>
            <w:pPr>
              <w:pStyle w:val="TableContents"/>
              <w:bidi w:val="0"/>
              <w:spacing w:before="0" w:after="283"/>
              <w:jc w:val="left"/>
              <w:rPr/>
            </w:pPr>
            <w:r>
              <w:rPr/>
              <w:t> </w:t>
            </w:r>
          </w:p>
        </w:tc>
        <w:tc>
          <w:tcPr>
            <w:tcW w:w="856" w:type="dxa"/>
            <w:tcBorders/>
            <w:shd w:fill="FFFFFF" w:val="clear"/>
            <w:vAlign w:val="center"/>
          </w:tcPr>
          <w:p>
            <w:pPr>
              <w:pStyle w:val="TableContents"/>
              <w:bidi w:val="0"/>
              <w:spacing w:before="0" w:after="283"/>
              <w:jc w:val="right"/>
              <w:rPr/>
            </w:pPr>
            <w:r>
              <w:rPr/>
              <w:t>—</w:t>
            </w:r>
          </w:p>
        </w:tc>
        <w:tc>
          <w:tcPr>
            <w:tcW w:w="109" w:type="dxa"/>
            <w:tcBorders/>
            <w:shd w:fill="FFFFFF" w:val="clear"/>
            <w:vAlign w:val="center"/>
          </w:tcPr>
          <w:p>
            <w:pPr>
              <w:pStyle w:val="TableContents"/>
              <w:bidi w:val="0"/>
              <w:spacing w:before="0" w:after="283"/>
              <w:jc w:val="left"/>
              <w:rPr/>
            </w:pPr>
            <w:r>
              <w:rPr/>
              <w:t> </w:t>
            </w:r>
          </w:p>
        </w:tc>
        <w:tc>
          <w:tcPr>
            <w:tcW w:w="81" w:type="dxa"/>
            <w:tcBorders/>
            <w:shd w:fill="FFFFFF" w:val="clear"/>
            <w:vAlign w:val="center"/>
          </w:tcPr>
          <w:p>
            <w:pPr>
              <w:pStyle w:val="TableContents"/>
              <w:bidi w:val="0"/>
              <w:spacing w:before="0" w:after="283"/>
              <w:jc w:val="left"/>
              <w:rPr/>
            </w:pPr>
            <w:r>
              <w:rPr/>
              <w:t> </w:t>
            </w:r>
          </w:p>
        </w:tc>
        <w:tc>
          <w:tcPr>
            <w:tcW w:w="319" w:type="dxa"/>
            <w:tcBorders/>
            <w:shd w:fill="FFFFFF" w:val="clear"/>
            <w:vAlign w:val="center"/>
          </w:tcPr>
          <w:p>
            <w:pPr>
              <w:pStyle w:val="TableContents"/>
              <w:bidi w:val="0"/>
              <w:spacing w:before="0" w:after="283"/>
              <w:jc w:val="left"/>
              <w:rPr/>
            </w:pPr>
            <w:r>
              <w:rPr/>
              <w:t> </w:t>
            </w:r>
          </w:p>
        </w:tc>
        <w:tc>
          <w:tcPr>
            <w:tcW w:w="856"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2.9</w:t>
            </w:r>
          </w:p>
        </w:tc>
        <w:tc>
          <w:tcPr>
            <w:tcW w:w="91"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28"/>
        <w:gridCol w:w="9977"/>
      </w:tblGrid>
      <w:tr>
        <w:trPr/>
        <w:tc>
          <w:tcPr>
            <w:tcW w:w="228" w:type="dxa"/>
            <w:tcBorders/>
            <w:vAlign w:val="center"/>
          </w:tcPr>
          <w:p>
            <w:pPr>
              <w:pStyle w:val="TableContents"/>
              <w:bidi w:val="0"/>
              <w:spacing w:before="0" w:after="283"/>
              <w:jc w:val="left"/>
              <w:rPr>
                <w:rFonts w:ascii="Times New Roman;Times;Serif" w:hAnsi="Times New Roman;Times;Serif"/>
                <w:position w:val="7"/>
                <w:sz w:val="16"/>
                <w:sz w:val="20"/>
              </w:rPr>
            </w:pPr>
            <w:r>
              <w:rPr>
                <w:rFonts w:ascii="Times New Roman;Times;Serif" w:hAnsi="Times New Roman;Times;Serif"/>
                <w:position w:val="7"/>
                <w:sz w:val="16"/>
                <w:sz w:val="20"/>
              </w:rPr>
              <w:t>(4)</w:t>
            </w:r>
          </w:p>
        </w:tc>
        <w:tc>
          <w:tcPr>
            <w:tcW w:w="997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 xml:space="preserve">Gain includes $12.5 million with a related party in the fiscal year ended December 29, 2024. Refer to </w:t>
            </w:r>
            <w:r>
              <w:rPr>
                <w:rFonts w:ascii="Times New Roman;Times;Serif" w:hAnsi="Times New Roman;Times;Serif"/>
                <w:b/>
                <w:sz w:val="20"/>
              </w:rPr>
              <w:t xml:space="preserve">Note 10 – Borrowings and Derivative Liabilities </w:t>
            </w:r>
            <w:r>
              <w:rPr>
                <w:rFonts w:ascii="Times New Roman;Times;Serif" w:hAnsi="Times New Roman;Times;Serif"/>
                <w:sz w:val="20"/>
              </w:rPr>
              <w:t>for details.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accompanying notes are an integral part of these consolidated financial statements.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center"/>
        <w:rPr>
          <w:sz w:val="20"/>
          <w:bdr w:val="single" w:sz="12" w:space="1" w:color="000000"/>
        </w:rPr>
      </w:pPr>
      <w:r>
        <w:rPr>
          <w:sz w:val="20"/>
          <w:bdr w:val="single" w:sz="12" w:space="1" w:color="000000"/>
        </w:rPr>
        <w:t>F-52</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30" w:name="C_004"/>
      <w:bookmarkEnd w:id="30"/>
      <w:r>
        <w:rPr>
          <w:rFonts w:ascii="Times New Roman;Times;Serif" w:hAnsi="Times New Roman;Times;Serif"/>
          <w:b/>
          <w:i w:val="false"/>
          <w:caps w:val="false"/>
          <w:smallCaps w:val="false"/>
          <w:sz w:val="20"/>
        </w:rPr>
        <w:t>SUNPOWER INC.</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Consolidated Statements of Stockholders’ Deficit</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r>
        <w:rPr>
          <w:rFonts w:ascii="Times New Roman;Times;Serif" w:hAnsi="Times New Roman;Times;Serif"/>
          <w:b/>
          <w:i/>
          <w:caps w:val="false"/>
          <w:smallCaps w:val="false"/>
          <w:sz w:val="20"/>
        </w:rPr>
        <w:t>in thousands, except number of shares</w:t>
      </w:r>
      <w:r>
        <w:rPr>
          <w:rFonts w:ascii="Times New Roman;Times;Serif" w:hAnsi="Times New Roman;Times;Serif"/>
          <w:b/>
          <w:i w:val="false"/>
          <w:caps w:val="false"/>
          <w:smallCaps w:val="false"/>
          <w:sz w:val="20"/>
        </w:rPr>
        <w:t>)</w:t>
      </w:r>
    </w:p>
    <w:p>
      <w:pPr>
        <w:pStyle w:val="TextBody"/>
        <w:bidi w:val="0"/>
        <w:spacing w:before="0" w:after="0"/>
        <w:ind w:left="0" w:right="0" w:hanging="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801"/>
        <w:gridCol w:w="60"/>
        <w:gridCol w:w="60"/>
        <w:gridCol w:w="1220"/>
        <w:gridCol w:w="60"/>
        <w:gridCol w:w="60"/>
        <w:gridCol w:w="301"/>
        <w:gridCol w:w="559"/>
        <w:gridCol w:w="60"/>
        <w:gridCol w:w="60"/>
        <w:gridCol w:w="163"/>
        <w:gridCol w:w="937"/>
        <w:gridCol w:w="95"/>
        <w:gridCol w:w="60"/>
        <w:gridCol w:w="188"/>
        <w:gridCol w:w="1182"/>
        <w:gridCol w:w="95"/>
        <w:gridCol w:w="60"/>
        <w:gridCol w:w="432"/>
        <w:gridCol w:w="1178"/>
        <w:gridCol w:w="60"/>
        <w:gridCol w:w="60"/>
        <w:gridCol w:w="209"/>
        <w:gridCol w:w="1134"/>
        <w:gridCol w:w="111"/>
      </w:tblGrid>
      <w:tr>
        <w:trPr/>
        <w:tc>
          <w:tcPr>
            <w:tcW w:w="1801" w:type="dxa"/>
            <w:tcBorders/>
            <w:vAlign w:val="center"/>
          </w:tcPr>
          <w:p>
            <w:pPr>
              <w:pStyle w:val="TableContents"/>
              <w:bidi w:val="0"/>
              <w:spacing w:before="0" w:after="283"/>
              <w:ind w:left="0" w:right="0" w:hanging="180"/>
              <w:jc w:val="center"/>
              <w:rPr/>
            </w:pPr>
            <w:r>
              <w:rPr/>
              <w:t> </w:t>
            </w:r>
          </w:p>
        </w:tc>
        <w:tc>
          <w:tcPr>
            <w:tcW w:w="60" w:type="dxa"/>
            <w:tcBorders/>
            <w:vAlign w:val="center"/>
          </w:tcPr>
          <w:p>
            <w:pPr>
              <w:pStyle w:val="TableContents"/>
              <w:bidi w:val="0"/>
              <w:spacing w:before="0" w:after="283"/>
              <w:jc w:val="left"/>
              <w:rPr/>
            </w:pPr>
            <w:r>
              <w:rPr/>
              <w:t> </w:t>
            </w:r>
          </w:p>
        </w:tc>
        <w:tc>
          <w:tcPr>
            <w:tcW w:w="1280" w:type="dxa"/>
            <w:gridSpan w:val="2"/>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60" w:type="dxa"/>
            <w:gridSpan w:val="2"/>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gridSpan w:val="2"/>
            <w:tcBorders/>
            <w:vAlign w:val="center"/>
          </w:tcPr>
          <w:p>
            <w:pPr>
              <w:pStyle w:val="TableContents"/>
              <w:bidi w:val="0"/>
              <w:spacing w:before="0" w:after="283"/>
              <w:jc w:val="center"/>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70" w:type="dxa"/>
            <w:gridSpan w:val="2"/>
            <w:tcBorders/>
            <w:vAlign w:val="center"/>
          </w:tcPr>
          <w:p>
            <w:pPr>
              <w:pStyle w:val="TableContents"/>
              <w:bidi w:val="0"/>
              <w:spacing w:before="0" w:after="283"/>
              <w:jc w:val="center"/>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10" w:type="dxa"/>
            <w:gridSpan w:val="2"/>
            <w:tcBorders/>
            <w:vAlign w:val="center"/>
          </w:tcPr>
          <w:p>
            <w:pPr>
              <w:pStyle w:val="TableContents"/>
              <w:bidi w:val="0"/>
              <w:spacing w:before="0" w:after="283"/>
              <w:jc w:val="center"/>
              <w:rPr>
                <w:b/>
              </w:rPr>
            </w:pPr>
            <w:r>
              <w:rPr>
                <w:b/>
              </w:rPr>
              <w:t>Accumulated</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43" w:type="dxa"/>
            <w:gridSpan w:val="2"/>
            <w:tcBorders/>
            <w:vAlign w:val="center"/>
          </w:tcPr>
          <w:p>
            <w:pPr>
              <w:pStyle w:val="TableContents"/>
              <w:bidi w:val="0"/>
              <w:spacing w:before="0" w:after="283"/>
              <w:jc w:val="center"/>
              <w:rPr>
                <w:b/>
              </w:rPr>
            </w:pPr>
            <w:r>
              <w:rPr>
                <w:b/>
              </w:rPr>
              <w:t>Total</w:t>
            </w:r>
          </w:p>
        </w:tc>
        <w:tc>
          <w:tcPr>
            <w:tcW w:w="111" w:type="dxa"/>
            <w:tcBorders/>
            <w:vAlign w:val="center"/>
          </w:tcPr>
          <w:p>
            <w:pPr>
              <w:pStyle w:val="TableContents"/>
              <w:bidi w:val="0"/>
              <w:spacing w:before="0" w:after="283"/>
              <w:ind w:left="0" w:right="0" w:hanging="180"/>
              <w:jc w:val="left"/>
              <w:rPr/>
            </w:pPr>
            <w:r>
              <w:rPr/>
              <w:t> </w:t>
            </w:r>
          </w:p>
        </w:tc>
      </w:tr>
      <w:tr>
        <w:trPr/>
        <w:tc>
          <w:tcPr>
            <w:tcW w:w="1801"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280" w:type="dxa"/>
            <w:gridSpan w:val="2"/>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60" w:type="dxa"/>
            <w:gridSpan w:val="2"/>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gridSpan w:val="2"/>
            <w:tcBorders/>
            <w:vAlign w:val="center"/>
          </w:tcPr>
          <w:p>
            <w:pPr>
              <w:pStyle w:val="TableContents"/>
              <w:bidi w:val="0"/>
              <w:spacing w:before="0" w:after="283"/>
              <w:jc w:val="center"/>
              <w:rPr>
                <w:b/>
              </w:rPr>
            </w:pPr>
            <w:r>
              <w:rPr>
                <w:b/>
              </w:rPr>
              <w:t>Additional</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70" w:type="dxa"/>
            <w:gridSpan w:val="2"/>
            <w:tcBorders/>
            <w:vAlign w:val="center"/>
          </w:tcPr>
          <w:p>
            <w:pPr>
              <w:pStyle w:val="TableContents"/>
              <w:bidi w:val="0"/>
              <w:spacing w:before="0" w:after="283"/>
              <w:jc w:val="center"/>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10" w:type="dxa"/>
            <w:gridSpan w:val="2"/>
            <w:tcBorders/>
            <w:vAlign w:val="center"/>
          </w:tcPr>
          <w:p>
            <w:pPr>
              <w:pStyle w:val="TableContents"/>
              <w:bidi w:val="0"/>
              <w:spacing w:before="0" w:after="283"/>
              <w:jc w:val="center"/>
              <w:rPr>
                <w:b/>
              </w:rPr>
            </w:pPr>
            <w:r>
              <w:rPr>
                <w:b/>
              </w:rPr>
              <w:t>Other</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43" w:type="dxa"/>
            <w:gridSpan w:val="2"/>
            <w:tcBorders/>
            <w:vAlign w:val="center"/>
          </w:tcPr>
          <w:p>
            <w:pPr>
              <w:pStyle w:val="TableContents"/>
              <w:bidi w:val="0"/>
              <w:spacing w:before="0" w:after="283"/>
              <w:jc w:val="center"/>
              <w:rPr>
                <w:b/>
              </w:rPr>
            </w:pPr>
            <w:r>
              <w:rPr>
                <w:b/>
              </w:rPr>
              <w:t>Stockholders’</w:t>
            </w:r>
          </w:p>
        </w:tc>
        <w:tc>
          <w:tcPr>
            <w:tcW w:w="111" w:type="dxa"/>
            <w:tcBorders/>
            <w:vAlign w:val="center"/>
          </w:tcPr>
          <w:p>
            <w:pPr>
              <w:pStyle w:val="TableContents"/>
              <w:bidi w:val="0"/>
              <w:spacing w:before="0" w:after="283"/>
              <w:ind w:left="0" w:right="0" w:hanging="180"/>
              <w:jc w:val="left"/>
              <w:rPr/>
            </w:pPr>
            <w:r>
              <w:rPr/>
              <w:t> </w:t>
            </w:r>
          </w:p>
        </w:tc>
      </w:tr>
      <w:tr>
        <w:trPr/>
        <w:tc>
          <w:tcPr>
            <w:tcW w:w="1801"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2260"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Common Stock</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gridSpan w:val="2"/>
            <w:tcBorders/>
            <w:vAlign w:val="center"/>
          </w:tcPr>
          <w:p>
            <w:pPr>
              <w:pStyle w:val="TableContents"/>
              <w:bidi w:val="0"/>
              <w:spacing w:before="0" w:after="283"/>
              <w:jc w:val="center"/>
              <w:rPr>
                <w:b/>
              </w:rPr>
            </w:pPr>
            <w:r>
              <w:rPr>
                <w:b/>
              </w:rPr>
              <w:t>Paid-in-</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70" w:type="dxa"/>
            <w:gridSpan w:val="2"/>
            <w:tcBorders/>
            <w:vAlign w:val="center"/>
          </w:tcPr>
          <w:p>
            <w:pPr>
              <w:pStyle w:val="TableContents"/>
              <w:bidi w:val="0"/>
              <w:spacing w:before="0" w:after="283"/>
              <w:jc w:val="center"/>
              <w:rPr>
                <w:b/>
              </w:rPr>
            </w:pPr>
            <w:r>
              <w:rPr>
                <w:b/>
              </w:rPr>
              <w:t>Accumulated</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10" w:type="dxa"/>
            <w:gridSpan w:val="2"/>
            <w:tcBorders/>
            <w:vAlign w:val="center"/>
          </w:tcPr>
          <w:p>
            <w:pPr>
              <w:pStyle w:val="TableContents"/>
              <w:bidi w:val="0"/>
              <w:spacing w:before="0" w:after="283"/>
              <w:jc w:val="center"/>
              <w:rPr>
                <w:b/>
              </w:rPr>
            </w:pPr>
            <w:r>
              <w:rPr>
                <w:b/>
              </w:rPr>
              <w:t>Comprehensive</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43" w:type="dxa"/>
            <w:gridSpan w:val="2"/>
            <w:tcBorders/>
            <w:vAlign w:val="center"/>
          </w:tcPr>
          <w:p>
            <w:pPr>
              <w:pStyle w:val="TableContents"/>
              <w:bidi w:val="0"/>
              <w:spacing w:before="0" w:after="283"/>
              <w:jc w:val="center"/>
              <w:rPr>
                <w:b/>
              </w:rPr>
            </w:pPr>
            <w:r>
              <w:rPr>
                <w:b/>
              </w:rPr>
              <w:t>Equity</w:t>
            </w:r>
          </w:p>
        </w:tc>
        <w:tc>
          <w:tcPr>
            <w:tcW w:w="111" w:type="dxa"/>
            <w:tcBorders/>
            <w:vAlign w:val="center"/>
          </w:tcPr>
          <w:p>
            <w:pPr>
              <w:pStyle w:val="TableContents"/>
              <w:bidi w:val="0"/>
              <w:spacing w:before="0" w:after="283"/>
              <w:ind w:left="0" w:right="0" w:hanging="180"/>
              <w:jc w:val="left"/>
              <w:rPr/>
            </w:pPr>
            <w:r>
              <w:rPr/>
              <w:t> </w:t>
            </w:r>
          </w:p>
        </w:tc>
      </w:tr>
      <w:tr>
        <w:trPr/>
        <w:tc>
          <w:tcPr>
            <w:tcW w:w="1801"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28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Shares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6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Amount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Capital</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7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Deficit</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1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Income</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43"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(Deficit)</w:t>
            </w:r>
          </w:p>
        </w:tc>
        <w:tc>
          <w:tcPr>
            <w:tcW w:w="111" w:type="dxa"/>
            <w:tcBorders/>
            <w:vAlign w:val="center"/>
          </w:tcPr>
          <w:p>
            <w:pPr>
              <w:pStyle w:val="TableContents"/>
              <w:bidi w:val="0"/>
              <w:spacing w:before="0" w:after="283"/>
              <w:ind w:left="0" w:right="0" w:hanging="180"/>
              <w:jc w:val="left"/>
              <w:rPr/>
            </w:pPr>
            <w:r>
              <w:rPr/>
              <w:t> </w:t>
            </w:r>
          </w:p>
        </w:tc>
      </w:tr>
      <w:tr>
        <w:trPr/>
        <w:tc>
          <w:tcPr>
            <w:tcW w:w="1801" w:type="dxa"/>
            <w:tcBorders/>
            <w:shd w:fill="CCEEFF" w:val="clear"/>
            <w:vAlign w:val="center"/>
          </w:tcPr>
          <w:p>
            <w:pPr>
              <w:pStyle w:val="TableContents"/>
              <w:bidi w:val="0"/>
              <w:spacing w:before="0" w:after="283"/>
              <w:jc w:val="left"/>
              <w:rPr>
                <w:b/>
              </w:rPr>
            </w:pPr>
            <w:r>
              <w:rPr>
                <w:b/>
              </w:rPr>
              <w:t>Balance as of December 31, 2023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b/>
              </w:rPr>
            </w:pPr>
            <w:r>
              <w:rPr>
                <w:b/>
              </w:rPr>
              <w:t>49,065,361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1" w:type="dxa"/>
            <w:tcBorders/>
            <w:shd w:fill="CCEEFF" w:val="clear"/>
            <w:vAlign w:val="center"/>
          </w:tcPr>
          <w:p>
            <w:pPr>
              <w:pStyle w:val="TableContents"/>
              <w:bidi w:val="0"/>
              <w:spacing w:before="0" w:after="283"/>
              <w:jc w:val="left"/>
              <w:rPr>
                <w:b/>
              </w:rPr>
            </w:pPr>
            <w:r>
              <w:rPr>
                <w:b/>
              </w:rPr>
              <w:t>$</w:t>
            </w:r>
          </w:p>
        </w:tc>
        <w:tc>
          <w:tcPr>
            <w:tcW w:w="559" w:type="dxa"/>
            <w:tcBorders/>
            <w:shd w:fill="CCEEFF" w:val="clear"/>
            <w:vAlign w:val="center"/>
          </w:tcPr>
          <w:p>
            <w:pPr>
              <w:pStyle w:val="TableContents"/>
              <w:bidi w:val="0"/>
              <w:spacing w:before="0" w:after="283"/>
              <w:jc w:val="right"/>
              <w:rPr>
                <w:b/>
              </w:rPr>
            </w:pPr>
            <w:r>
              <w:rPr>
                <w:b/>
              </w:rPr>
              <w:t>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3" w:type="dxa"/>
            <w:tcBorders/>
            <w:shd w:fill="CCEEFF" w:val="clear"/>
            <w:vAlign w:val="center"/>
          </w:tcPr>
          <w:p>
            <w:pPr>
              <w:pStyle w:val="TableContents"/>
              <w:bidi w:val="0"/>
              <w:spacing w:before="0" w:after="283"/>
              <w:jc w:val="left"/>
              <w:rPr>
                <w:b/>
              </w:rPr>
            </w:pPr>
            <w:r>
              <w:rPr>
                <w:b/>
              </w:rPr>
              <w:t>$</w:t>
            </w:r>
          </w:p>
        </w:tc>
        <w:tc>
          <w:tcPr>
            <w:tcW w:w="937" w:type="dxa"/>
            <w:tcBorders/>
            <w:shd w:fill="CCEEFF" w:val="clear"/>
            <w:vAlign w:val="center"/>
          </w:tcPr>
          <w:p>
            <w:pPr>
              <w:pStyle w:val="TableContents"/>
              <w:bidi w:val="0"/>
              <w:spacing w:before="0" w:after="283"/>
              <w:jc w:val="right"/>
              <w:rPr>
                <w:b/>
              </w:rPr>
            </w:pPr>
            <w:r>
              <w:rPr>
                <w:b/>
              </w:rPr>
              <w:t>277,965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8" w:type="dxa"/>
            <w:tcBorders/>
            <w:shd w:fill="CCEEFF" w:val="clear"/>
            <w:vAlign w:val="center"/>
          </w:tcPr>
          <w:p>
            <w:pPr>
              <w:pStyle w:val="TableContents"/>
              <w:bidi w:val="0"/>
              <w:spacing w:before="0" w:after="283"/>
              <w:jc w:val="left"/>
              <w:rPr>
                <w:b/>
              </w:rPr>
            </w:pPr>
            <w:r>
              <w:rPr>
                <w:b/>
              </w:rPr>
              <w:t>$</w:t>
            </w:r>
          </w:p>
        </w:tc>
        <w:tc>
          <w:tcPr>
            <w:tcW w:w="1182" w:type="dxa"/>
            <w:tcBorders/>
            <w:shd w:fill="CCEEFF" w:val="clear"/>
            <w:vAlign w:val="center"/>
          </w:tcPr>
          <w:p>
            <w:pPr>
              <w:pStyle w:val="TableContents"/>
              <w:bidi w:val="0"/>
              <w:spacing w:before="0" w:after="283"/>
              <w:jc w:val="right"/>
              <w:rPr>
                <w:b/>
              </w:rPr>
            </w:pPr>
            <w:r>
              <w:rPr>
                <w:b/>
              </w:rPr>
              <w:t>(354,928</w:t>
            </w:r>
          </w:p>
        </w:tc>
        <w:tc>
          <w:tcPr>
            <w:tcW w:w="95" w:type="dxa"/>
            <w:tcBorders/>
            <w:shd w:fill="CCEEFF" w:val="clear"/>
            <w:vAlign w:val="center"/>
          </w:tcPr>
          <w:p>
            <w:pPr>
              <w:pStyle w:val="TableContents"/>
              <w:bidi w:val="0"/>
              <w:spacing w:before="0" w:after="283"/>
              <w:jc w:val="left"/>
              <w:rPr>
                <w:b/>
              </w:rPr>
            </w:pPr>
            <w:r>
              <w:rPr>
                <w:b/>
              </w:rPr>
              <w:t>)</w:t>
            </w:r>
          </w:p>
        </w:tc>
        <w:tc>
          <w:tcPr>
            <w:tcW w:w="60" w:type="dxa"/>
            <w:tcBorders/>
            <w:shd w:fill="CCEEFF" w:val="clear"/>
            <w:vAlign w:val="center"/>
          </w:tcPr>
          <w:p>
            <w:pPr>
              <w:pStyle w:val="TableContents"/>
              <w:bidi w:val="0"/>
              <w:spacing w:before="0" w:after="283"/>
              <w:jc w:val="left"/>
              <w:rPr/>
            </w:pPr>
            <w:r>
              <w:rPr/>
              <w:t> </w:t>
            </w:r>
          </w:p>
        </w:tc>
        <w:tc>
          <w:tcPr>
            <w:tcW w:w="432" w:type="dxa"/>
            <w:tcBorders/>
            <w:shd w:fill="CCEEFF" w:val="clear"/>
            <w:vAlign w:val="center"/>
          </w:tcPr>
          <w:p>
            <w:pPr>
              <w:pStyle w:val="TableContents"/>
              <w:bidi w:val="0"/>
              <w:spacing w:before="0" w:after="283"/>
              <w:jc w:val="left"/>
              <w:rPr>
                <w:b/>
              </w:rPr>
            </w:pPr>
            <w:r>
              <w:rPr>
                <w:b/>
              </w:rPr>
              <w:t>$</w:t>
            </w:r>
          </w:p>
        </w:tc>
        <w:tc>
          <w:tcPr>
            <w:tcW w:w="1178" w:type="dxa"/>
            <w:tcBorders/>
            <w:shd w:fill="CCEEFF" w:val="clear"/>
            <w:vAlign w:val="center"/>
          </w:tcPr>
          <w:p>
            <w:pPr>
              <w:pStyle w:val="TableContents"/>
              <w:bidi w:val="0"/>
              <w:spacing w:before="0" w:after="283"/>
              <w:jc w:val="right"/>
              <w:rPr>
                <w:b/>
              </w:rPr>
            </w:pPr>
            <w:r>
              <w:rPr>
                <w:b/>
              </w:rPr>
              <w:t>143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9" w:type="dxa"/>
            <w:tcBorders/>
            <w:shd w:fill="CCEEFF" w:val="clear"/>
            <w:vAlign w:val="center"/>
          </w:tcPr>
          <w:p>
            <w:pPr>
              <w:pStyle w:val="TableContents"/>
              <w:bidi w:val="0"/>
              <w:spacing w:before="0" w:after="283"/>
              <w:jc w:val="left"/>
              <w:rPr>
                <w:b/>
              </w:rPr>
            </w:pPr>
            <w:r>
              <w:rPr>
                <w:b/>
              </w:rPr>
              <w:t>$</w:t>
            </w:r>
          </w:p>
        </w:tc>
        <w:tc>
          <w:tcPr>
            <w:tcW w:w="1134" w:type="dxa"/>
            <w:tcBorders/>
            <w:shd w:fill="CCEEFF" w:val="clear"/>
            <w:vAlign w:val="center"/>
          </w:tcPr>
          <w:p>
            <w:pPr>
              <w:pStyle w:val="TableContents"/>
              <w:bidi w:val="0"/>
              <w:spacing w:before="0" w:after="283"/>
              <w:jc w:val="right"/>
              <w:rPr>
                <w:b/>
              </w:rPr>
            </w:pPr>
            <w:r>
              <w:rPr>
                <w:b/>
              </w:rPr>
              <w:t>(76,813</w:t>
            </w:r>
          </w:p>
        </w:tc>
        <w:tc>
          <w:tcPr>
            <w:tcW w:w="111" w:type="dxa"/>
            <w:tcBorders/>
            <w:shd w:fill="CCEEFF" w:val="clear"/>
            <w:vAlign w:val="center"/>
          </w:tcPr>
          <w:p>
            <w:pPr>
              <w:pStyle w:val="TableContents"/>
              <w:bidi w:val="0"/>
              <w:spacing w:before="0" w:after="283"/>
              <w:ind w:left="0" w:right="0" w:hanging="180"/>
              <w:jc w:val="left"/>
              <w:rPr>
                <w:b/>
              </w:rPr>
            </w:pPr>
            <w:r>
              <w:rPr>
                <w:b/>
              </w:rPr>
              <w:t>)</w:t>
            </w:r>
          </w:p>
        </w:tc>
      </w:tr>
      <w:tr>
        <w:trPr/>
        <w:tc>
          <w:tcPr>
            <w:tcW w:w="1801" w:type="dxa"/>
            <w:tcBorders/>
            <w:shd w:fill="FFFFFF" w:val="clear"/>
            <w:vAlign w:val="center"/>
          </w:tcPr>
          <w:p>
            <w:pPr>
              <w:pStyle w:val="TableContents"/>
              <w:bidi w:val="0"/>
              <w:spacing w:before="0" w:after="283"/>
              <w:jc w:val="left"/>
              <w:rPr/>
            </w:pPr>
            <w:r>
              <w:rPr/>
              <w:t>Exercise of common stock options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398,883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01" w:type="dxa"/>
            <w:tcBorders/>
            <w:shd w:fill="FFFFFF" w:val="clear"/>
            <w:vAlign w:val="center"/>
          </w:tcPr>
          <w:p>
            <w:pPr>
              <w:pStyle w:val="TableContents"/>
              <w:bidi w:val="0"/>
              <w:spacing w:before="0" w:after="283"/>
              <w:jc w:val="left"/>
              <w:rPr/>
            </w:pPr>
            <w:r>
              <w:rPr/>
              <w:t> </w:t>
            </w:r>
          </w:p>
        </w:tc>
        <w:tc>
          <w:tcPr>
            <w:tcW w:w="559"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3" w:type="dxa"/>
            <w:tcBorders/>
            <w:shd w:fill="FFFFFF" w:val="clear"/>
            <w:vAlign w:val="center"/>
          </w:tcPr>
          <w:p>
            <w:pPr>
              <w:pStyle w:val="TableContents"/>
              <w:bidi w:val="0"/>
              <w:spacing w:before="0" w:after="283"/>
              <w:jc w:val="left"/>
              <w:rPr/>
            </w:pPr>
            <w:r>
              <w:rPr/>
              <w:t> </w:t>
            </w:r>
          </w:p>
        </w:tc>
        <w:tc>
          <w:tcPr>
            <w:tcW w:w="937" w:type="dxa"/>
            <w:tcBorders/>
            <w:shd w:fill="FFFFFF" w:val="clear"/>
            <w:vAlign w:val="center"/>
          </w:tcPr>
          <w:p>
            <w:pPr>
              <w:pStyle w:val="TableContents"/>
              <w:bidi w:val="0"/>
              <w:spacing w:before="0" w:after="283"/>
              <w:jc w:val="right"/>
              <w:rPr/>
            </w:pPr>
            <w:r>
              <w:rPr/>
              <w:t>532</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8" w:type="dxa"/>
            <w:tcBorders/>
            <w:shd w:fill="FFFFFF" w:val="clear"/>
            <w:vAlign w:val="center"/>
          </w:tcPr>
          <w:p>
            <w:pPr>
              <w:pStyle w:val="TableContents"/>
              <w:bidi w:val="0"/>
              <w:spacing w:before="0" w:after="283"/>
              <w:jc w:val="left"/>
              <w:rPr/>
            </w:pPr>
            <w:r>
              <w:rPr/>
              <w:t> </w:t>
            </w:r>
          </w:p>
        </w:tc>
        <w:tc>
          <w:tcPr>
            <w:tcW w:w="1182"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32" w:type="dxa"/>
            <w:tcBorders/>
            <w:shd w:fill="FFFFFF" w:val="clear"/>
            <w:vAlign w:val="center"/>
          </w:tcPr>
          <w:p>
            <w:pPr>
              <w:pStyle w:val="TableContents"/>
              <w:bidi w:val="0"/>
              <w:spacing w:before="0" w:after="283"/>
              <w:jc w:val="left"/>
              <w:rPr/>
            </w:pPr>
            <w:r>
              <w:rPr/>
              <w:t> </w:t>
            </w:r>
          </w:p>
        </w:tc>
        <w:tc>
          <w:tcPr>
            <w:tcW w:w="1178"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9" w:type="dxa"/>
            <w:tcBorders/>
            <w:shd w:fill="FFFFFF" w:val="clear"/>
            <w:vAlign w:val="center"/>
          </w:tcPr>
          <w:p>
            <w:pPr>
              <w:pStyle w:val="TableContents"/>
              <w:bidi w:val="0"/>
              <w:spacing w:before="0" w:after="283"/>
              <w:jc w:val="left"/>
              <w:rPr/>
            </w:pPr>
            <w:r>
              <w:rPr/>
              <w:t> </w:t>
            </w:r>
          </w:p>
        </w:tc>
        <w:tc>
          <w:tcPr>
            <w:tcW w:w="1134" w:type="dxa"/>
            <w:tcBorders/>
            <w:shd w:fill="FFFFFF" w:val="clear"/>
            <w:vAlign w:val="center"/>
          </w:tcPr>
          <w:p>
            <w:pPr>
              <w:pStyle w:val="TableContents"/>
              <w:bidi w:val="0"/>
              <w:spacing w:before="0" w:after="283"/>
              <w:jc w:val="right"/>
              <w:rPr/>
            </w:pPr>
            <w:r>
              <w:rPr/>
              <w:t>532</w:t>
            </w:r>
          </w:p>
        </w:tc>
        <w:tc>
          <w:tcPr>
            <w:tcW w:w="111" w:type="dxa"/>
            <w:tcBorders/>
            <w:shd w:fill="FFFFFF" w:val="clear"/>
            <w:vAlign w:val="center"/>
          </w:tcPr>
          <w:p>
            <w:pPr>
              <w:pStyle w:val="TableContents"/>
              <w:bidi w:val="0"/>
              <w:spacing w:before="0" w:after="283"/>
              <w:ind w:left="0" w:right="0" w:hanging="180"/>
              <w:jc w:val="left"/>
              <w:rPr/>
            </w:pPr>
            <w:r>
              <w:rPr/>
              <w:t> </w:t>
            </w:r>
          </w:p>
        </w:tc>
      </w:tr>
      <w:tr>
        <w:trPr/>
        <w:tc>
          <w:tcPr>
            <w:tcW w:w="1801" w:type="dxa"/>
            <w:tcBorders/>
            <w:shd w:fill="CCEEFF" w:val="clear"/>
            <w:vAlign w:val="center"/>
          </w:tcPr>
          <w:p>
            <w:pPr>
              <w:pStyle w:val="TableContents"/>
              <w:bidi w:val="0"/>
              <w:spacing w:before="0" w:after="283"/>
              <w:jc w:val="left"/>
              <w:rPr/>
            </w:pPr>
            <w:r>
              <w:rPr/>
              <w:t>Vesting of restricted stock units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669,059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1" w:type="dxa"/>
            <w:tcBorders/>
            <w:shd w:fill="CCEEFF" w:val="clear"/>
            <w:vAlign w:val="center"/>
          </w:tcPr>
          <w:p>
            <w:pPr>
              <w:pStyle w:val="TableContents"/>
              <w:bidi w:val="0"/>
              <w:spacing w:before="0" w:after="283"/>
              <w:jc w:val="left"/>
              <w:rPr/>
            </w:pPr>
            <w:r>
              <w:rPr/>
              <w:t> </w:t>
            </w:r>
          </w:p>
        </w:tc>
        <w:tc>
          <w:tcPr>
            <w:tcW w:w="559"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3" w:type="dxa"/>
            <w:tcBorders/>
            <w:shd w:fill="CCEEFF" w:val="clear"/>
            <w:vAlign w:val="center"/>
          </w:tcPr>
          <w:p>
            <w:pPr>
              <w:pStyle w:val="TableContents"/>
              <w:bidi w:val="0"/>
              <w:spacing w:before="0" w:after="283"/>
              <w:jc w:val="left"/>
              <w:rPr/>
            </w:pPr>
            <w:r>
              <w:rPr/>
              <w:t> </w:t>
            </w:r>
          </w:p>
        </w:tc>
        <w:tc>
          <w:tcPr>
            <w:tcW w:w="937"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8" w:type="dxa"/>
            <w:tcBorders/>
            <w:shd w:fill="CCEEFF" w:val="clear"/>
            <w:vAlign w:val="center"/>
          </w:tcPr>
          <w:p>
            <w:pPr>
              <w:pStyle w:val="TableContents"/>
              <w:bidi w:val="0"/>
              <w:spacing w:before="0" w:after="283"/>
              <w:jc w:val="left"/>
              <w:rPr/>
            </w:pPr>
            <w:r>
              <w:rPr/>
              <w:t> </w:t>
            </w:r>
          </w:p>
        </w:tc>
        <w:tc>
          <w:tcPr>
            <w:tcW w:w="1182"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32" w:type="dxa"/>
            <w:tcBorders/>
            <w:shd w:fill="CCEEFF" w:val="clear"/>
            <w:vAlign w:val="center"/>
          </w:tcPr>
          <w:p>
            <w:pPr>
              <w:pStyle w:val="TableContents"/>
              <w:bidi w:val="0"/>
              <w:spacing w:before="0" w:after="283"/>
              <w:jc w:val="left"/>
              <w:rPr/>
            </w:pPr>
            <w:r>
              <w:rPr/>
              <w:t> </w:t>
            </w:r>
          </w:p>
        </w:tc>
        <w:tc>
          <w:tcPr>
            <w:tcW w:w="1178"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9" w:type="dxa"/>
            <w:tcBorders/>
            <w:shd w:fill="CCEEFF" w:val="clear"/>
            <w:vAlign w:val="center"/>
          </w:tcPr>
          <w:p>
            <w:pPr>
              <w:pStyle w:val="TableContents"/>
              <w:bidi w:val="0"/>
              <w:spacing w:before="0" w:after="283"/>
              <w:jc w:val="left"/>
              <w:rPr/>
            </w:pPr>
            <w:r>
              <w:rPr/>
              <w:t> </w:t>
            </w:r>
          </w:p>
        </w:tc>
        <w:tc>
          <w:tcPr>
            <w:tcW w:w="1134" w:type="dxa"/>
            <w:tcBorders/>
            <w:shd w:fill="CCEEFF" w:val="clear"/>
            <w:vAlign w:val="center"/>
          </w:tcPr>
          <w:p>
            <w:pPr>
              <w:pStyle w:val="TableContents"/>
              <w:bidi w:val="0"/>
              <w:spacing w:before="0" w:after="283"/>
              <w:jc w:val="right"/>
              <w:rPr/>
            </w:pPr>
            <w:r>
              <w:rPr/>
              <w:t>—</w:t>
            </w:r>
          </w:p>
        </w:tc>
        <w:tc>
          <w:tcPr>
            <w:tcW w:w="111" w:type="dxa"/>
            <w:tcBorders/>
            <w:shd w:fill="CCEEFF" w:val="clear"/>
            <w:vAlign w:val="center"/>
          </w:tcPr>
          <w:p>
            <w:pPr>
              <w:pStyle w:val="TableContents"/>
              <w:bidi w:val="0"/>
              <w:spacing w:before="0" w:after="283"/>
              <w:ind w:left="0" w:right="0" w:hanging="180"/>
              <w:jc w:val="left"/>
              <w:rPr/>
            </w:pPr>
            <w:r>
              <w:rPr/>
              <w:t> </w:t>
            </w:r>
          </w:p>
        </w:tc>
      </w:tr>
      <w:tr>
        <w:trPr/>
        <w:tc>
          <w:tcPr>
            <w:tcW w:w="1801" w:type="dxa"/>
            <w:tcBorders/>
            <w:shd w:fill="FFFFFF" w:val="clear"/>
            <w:vAlign w:val="center"/>
          </w:tcPr>
          <w:p>
            <w:pPr>
              <w:pStyle w:val="TableContents"/>
              <w:bidi w:val="0"/>
              <w:spacing w:before="0" w:after="283"/>
              <w:jc w:val="left"/>
              <w:rPr/>
            </w:pPr>
            <w:r>
              <w:rPr/>
              <w:t>Stock-based compensation</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01" w:type="dxa"/>
            <w:tcBorders/>
            <w:shd w:fill="FFFFFF" w:val="clear"/>
            <w:vAlign w:val="center"/>
          </w:tcPr>
          <w:p>
            <w:pPr>
              <w:pStyle w:val="TableContents"/>
              <w:bidi w:val="0"/>
              <w:spacing w:before="0" w:after="283"/>
              <w:jc w:val="left"/>
              <w:rPr/>
            </w:pPr>
            <w:r>
              <w:rPr/>
              <w:t> </w:t>
            </w:r>
          </w:p>
        </w:tc>
        <w:tc>
          <w:tcPr>
            <w:tcW w:w="559"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3" w:type="dxa"/>
            <w:tcBorders/>
            <w:shd w:fill="FFFFFF" w:val="clear"/>
            <w:vAlign w:val="center"/>
          </w:tcPr>
          <w:p>
            <w:pPr>
              <w:pStyle w:val="TableContents"/>
              <w:bidi w:val="0"/>
              <w:spacing w:before="0" w:after="283"/>
              <w:jc w:val="left"/>
              <w:rPr/>
            </w:pPr>
            <w:r>
              <w:rPr/>
              <w:t> </w:t>
            </w:r>
          </w:p>
        </w:tc>
        <w:tc>
          <w:tcPr>
            <w:tcW w:w="937" w:type="dxa"/>
            <w:tcBorders/>
            <w:shd w:fill="FFFFFF" w:val="clear"/>
            <w:vAlign w:val="center"/>
          </w:tcPr>
          <w:p>
            <w:pPr>
              <w:pStyle w:val="TableContents"/>
              <w:bidi w:val="0"/>
              <w:spacing w:before="0" w:after="283"/>
              <w:jc w:val="right"/>
              <w:rPr/>
            </w:pPr>
            <w:r>
              <w:rPr/>
              <w:t>3,067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8" w:type="dxa"/>
            <w:tcBorders/>
            <w:shd w:fill="FFFFFF" w:val="clear"/>
            <w:vAlign w:val="center"/>
          </w:tcPr>
          <w:p>
            <w:pPr>
              <w:pStyle w:val="TableContents"/>
              <w:bidi w:val="0"/>
              <w:spacing w:before="0" w:after="283"/>
              <w:jc w:val="left"/>
              <w:rPr/>
            </w:pPr>
            <w:r>
              <w:rPr/>
              <w:t> </w:t>
            </w:r>
          </w:p>
        </w:tc>
        <w:tc>
          <w:tcPr>
            <w:tcW w:w="1182"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32" w:type="dxa"/>
            <w:tcBorders/>
            <w:shd w:fill="FFFFFF" w:val="clear"/>
            <w:vAlign w:val="center"/>
          </w:tcPr>
          <w:p>
            <w:pPr>
              <w:pStyle w:val="TableContents"/>
              <w:bidi w:val="0"/>
              <w:spacing w:before="0" w:after="283"/>
              <w:jc w:val="left"/>
              <w:rPr/>
            </w:pPr>
            <w:r>
              <w:rPr/>
              <w:t> </w:t>
            </w:r>
          </w:p>
        </w:tc>
        <w:tc>
          <w:tcPr>
            <w:tcW w:w="1178"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9" w:type="dxa"/>
            <w:tcBorders/>
            <w:shd w:fill="FFFFFF" w:val="clear"/>
            <w:vAlign w:val="center"/>
          </w:tcPr>
          <w:p>
            <w:pPr>
              <w:pStyle w:val="TableContents"/>
              <w:bidi w:val="0"/>
              <w:spacing w:before="0" w:after="283"/>
              <w:jc w:val="left"/>
              <w:rPr/>
            </w:pPr>
            <w:r>
              <w:rPr/>
              <w:t> </w:t>
            </w:r>
          </w:p>
        </w:tc>
        <w:tc>
          <w:tcPr>
            <w:tcW w:w="1134" w:type="dxa"/>
            <w:tcBorders/>
            <w:shd w:fill="FFFFFF" w:val="clear"/>
            <w:vAlign w:val="center"/>
          </w:tcPr>
          <w:p>
            <w:pPr>
              <w:pStyle w:val="TableContents"/>
              <w:bidi w:val="0"/>
              <w:spacing w:before="0" w:after="283"/>
              <w:jc w:val="right"/>
              <w:rPr/>
            </w:pPr>
            <w:r>
              <w:rPr/>
              <w:t>3,067</w:t>
            </w:r>
          </w:p>
        </w:tc>
        <w:tc>
          <w:tcPr>
            <w:tcW w:w="111" w:type="dxa"/>
            <w:tcBorders/>
            <w:shd w:fill="FFFFFF" w:val="clear"/>
            <w:vAlign w:val="center"/>
          </w:tcPr>
          <w:p>
            <w:pPr>
              <w:pStyle w:val="TableContents"/>
              <w:bidi w:val="0"/>
              <w:spacing w:before="0" w:after="283"/>
              <w:ind w:left="0" w:right="0" w:hanging="180"/>
              <w:jc w:val="left"/>
              <w:rPr/>
            </w:pPr>
            <w:r>
              <w:rPr/>
              <w:t> </w:t>
            </w:r>
          </w:p>
        </w:tc>
      </w:tr>
      <w:tr>
        <w:trPr/>
        <w:tc>
          <w:tcPr>
            <w:tcW w:w="1801" w:type="dxa"/>
            <w:tcBorders/>
            <w:shd w:fill="CCEEFF" w:val="clear"/>
            <w:vAlign w:val="center"/>
          </w:tcPr>
          <w:p>
            <w:pPr>
              <w:pStyle w:val="TableContents"/>
              <w:bidi w:val="0"/>
              <w:spacing w:before="0" w:after="283"/>
              <w:jc w:val="left"/>
              <w:rPr/>
            </w:pPr>
            <w:r>
              <w:rPr/>
              <w:t>Issuance of common stock warrants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1" w:type="dxa"/>
            <w:tcBorders/>
            <w:shd w:fill="CCEEFF" w:val="clear"/>
            <w:vAlign w:val="center"/>
          </w:tcPr>
          <w:p>
            <w:pPr>
              <w:pStyle w:val="TableContents"/>
              <w:bidi w:val="0"/>
              <w:spacing w:before="0" w:after="283"/>
              <w:jc w:val="left"/>
              <w:rPr/>
            </w:pPr>
            <w:r>
              <w:rPr/>
              <w:t> </w:t>
            </w:r>
          </w:p>
        </w:tc>
        <w:tc>
          <w:tcPr>
            <w:tcW w:w="559"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3" w:type="dxa"/>
            <w:tcBorders/>
            <w:shd w:fill="CCEEFF" w:val="clear"/>
            <w:vAlign w:val="center"/>
          </w:tcPr>
          <w:p>
            <w:pPr>
              <w:pStyle w:val="TableContents"/>
              <w:bidi w:val="0"/>
              <w:spacing w:before="0" w:after="283"/>
              <w:jc w:val="left"/>
              <w:rPr/>
            </w:pPr>
            <w:r>
              <w:rPr/>
              <w:t> </w:t>
            </w:r>
          </w:p>
        </w:tc>
        <w:tc>
          <w:tcPr>
            <w:tcW w:w="937" w:type="dxa"/>
            <w:tcBorders/>
            <w:shd w:fill="CCEEFF" w:val="clear"/>
            <w:vAlign w:val="center"/>
          </w:tcPr>
          <w:p>
            <w:pPr>
              <w:pStyle w:val="TableContents"/>
              <w:bidi w:val="0"/>
              <w:spacing w:before="0" w:after="283"/>
              <w:jc w:val="right"/>
              <w:rPr/>
            </w:pPr>
            <w:r>
              <w:rPr/>
              <w:t>1,400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8" w:type="dxa"/>
            <w:tcBorders/>
            <w:shd w:fill="CCEEFF" w:val="clear"/>
            <w:vAlign w:val="center"/>
          </w:tcPr>
          <w:p>
            <w:pPr>
              <w:pStyle w:val="TableContents"/>
              <w:bidi w:val="0"/>
              <w:spacing w:before="0" w:after="283"/>
              <w:jc w:val="left"/>
              <w:rPr/>
            </w:pPr>
            <w:r>
              <w:rPr/>
              <w:t> </w:t>
            </w:r>
          </w:p>
        </w:tc>
        <w:tc>
          <w:tcPr>
            <w:tcW w:w="1182"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32" w:type="dxa"/>
            <w:tcBorders/>
            <w:shd w:fill="CCEEFF" w:val="clear"/>
            <w:vAlign w:val="center"/>
          </w:tcPr>
          <w:p>
            <w:pPr>
              <w:pStyle w:val="TableContents"/>
              <w:bidi w:val="0"/>
              <w:spacing w:before="0" w:after="283"/>
              <w:jc w:val="left"/>
              <w:rPr/>
            </w:pPr>
            <w:r>
              <w:rPr/>
              <w:t> </w:t>
            </w:r>
          </w:p>
        </w:tc>
        <w:tc>
          <w:tcPr>
            <w:tcW w:w="1178"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9" w:type="dxa"/>
            <w:tcBorders/>
            <w:shd w:fill="CCEEFF" w:val="clear"/>
            <w:vAlign w:val="center"/>
          </w:tcPr>
          <w:p>
            <w:pPr>
              <w:pStyle w:val="TableContents"/>
              <w:bidi w:val="0"/>
              <w:spacing w:before="0" w:after="283"/>
              <w:jc w:val="left"/>
              <w:rPr/>
            </w:pPr>
            <w:r>
              <w:rPr/>
              <w:t> </w:t>
            </w:r>
          </w:p>
        </w:tc>
        <w:tc>
          <w:tcPr>
            <w:tcW w:w="1134" w:type="dxa"/>
            <w:tcBorders/>
            <w:shd w:fill="CCEEFF" w:val="clear"/>
            <w:vAlign w:val="center"/>
          </w:tcPr>
          <w:p>
            <w:pPr>
              <w:pStyle w:val="TableContents"/>
              <w:bidi w:val="0"/>
              <w:spacing w:before="0" w:after="283"/>
              <w:jc w:val="right"/>
              <w:rPr/>
            </w:pPr>
            <w:r>
              <w:rPr/>
              <w:t>1,400</w:t>
            </w:r>
          </w:p>
        </w:tc>
        <w:tc>
          <w:tcPr>
            <w:tcW w:w="111" w:type="dxa"/>
            <w:tcBorders/>
            <w:shd w:fill="CCEEFF" w:val="clear"/>
            <w:vAlign w:val="center"/>
          </w:tcPr>
          <w:p>
            <w:pPr>
              <w:pStyle w:val="TableContents"/>
              <w:bidi w:val="0"/>
              <w:spacing w:before="0" w:after="283"/>
              <w:ind w:left="0" w:right="0" w:hanging="180"/>
              <w:jc w:val="left"/>
              <w:rPr/>
            </w:pPr>
            <w:r>
              <w:rPr/>
              <w:t> </w:t>
            </w:r>
          </w:p>
        </w:tc>
      </w:tr>
      <w:tr>
        <w:trPr/>
        <w:tc>
          <w:tcPr>
            <w:tcW w:w="1801" w:type="dxa"/>
            <w:tcBorders/>
            <w:shd w:fill="FFFFFF" w:val="clear"/>
            <w:vAlign w:val="center"/>
          </w:tcPr>
          <w:p>
            <w:pPr>
              <w:pStyle w:val="TableContents"/>
              <w:bidi w:val="0"/>
              <w:spacing w:before="0" w:after="283"/>
              <w:jc w:val="left"/>
              <w:rPr/>
            </w:pPr>
            <w:r>
              <w:rPr/>
              <w:t>Issuance of common stock warrants for services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01" w:type="dxa"/>
            <w:tcBorders/>
            <w:shd w:fill="FFFFFF" w:val="clear"/>
            <w:vAlign w:val="center"/>
          </w:tcPr>
          <w:p>
            <w:pPr>
              <w:pStyle w:val="TableContents"/>
              <w:bidi w:val="0"/>
              <w:spacing w:before="0" w:after="283"/>
              <w:jc w:val="left"/>
              <w:rPr/>
            </w:pPr>
            <w:r>
              <w:rPr/>
              <w:t> </w:t>
            </w:r>
          </w:p>
        </w:tc>
        <w:tc>
          <w:tcPr>
            <w:tcW w:w="559"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3" w:type="dxa"/>
            <w:tcBorders/>
            <w:shd w:fill="FFFFFF" w:val="clear"/>
            <w:vAlign w:val="center"/>
          </w:tcPr>
          <w:p>
            <w:pPr>
              <w:pStyle w:val="TableContents"/>
              <w:bidi w:val="0"/>
              <w:spacing w:before="0" w:after="283"/>
              <w:jc w:val="left"/>
              <w:rPr/>
            </w:pPr>
            <w:r>
              <w:rPr/>
              <w:t> </w:t>
            </w:r>
          </w:p>
        </w:tc>
        <w:tc>
          <w:tcPr>
            <w:tcW w:w="937" w:type="dxa"/>
            <w:tcBorders/>
            <w:shd w:fill="FFFFFF" w:val="clear"/>
            <w:vAlign w:val="center"/>
          </w:tcPr>
          <w:p>
            <w:pPr>
              <w:pStyle w:val="TableContents"/>
              <w:bidi w:val="0"/>
              <w:spacing w:before="0" w:after="283"/>
              <w:jc w:val="right"/>
              <w:rPr/>
            </w:pPr>
            <w:r>
              <w:rPr/>
              <w:t>9,179</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8" w:type="dxa"/>
            <w:tcBorders/>
            <w:shd w:fill="FFFFFF" w:val="clear"/>
            <w:vAlign w:val="center"/>
          </w:tcPr>
          <w:p>
            <w:pPr>
              <w:pStyle w:val="TableContents"/>
              <w:bidi w:val="0"/>
              <w:spacing w:before="0" w:after="283"/>
              <w:jc w:val="left"/>
              <w:rPr/>
            </w:pPr>
            <w:r>
              <w:rPr/>
              <w:t> </w:t>
            </w:r>
          </w:p>
        </w:tc>
        <w:tc>
          <w:tcPr>
            <w:tcW w:w="1182"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32" w:type="dxa"/>
            <w:tcBorders/>
            <w:shd w:fill="FFFFFF" w:val="clear"/>
            <w:vAlign w:val="center"/>
          </w:tcPr>
          <w:p>
            <w:pPr>
              <w:pStyle w:val="TableContents"/>
              <w:bidi w:val="0"/>
              <w:spacing w:before="0" w:after="283"/>
              <w:jc w:val="left"/>
              <w:rPr/>
            </w:pPr>
            <w:r>
              <w:rPr/>
              <w:t> </w:t>
            </w:r>
          </w:p>
        </w:tc>
        <w:tc>
          <w:tcPr>
            <w:tcW w:w="1178"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9" w:type="dxa"/>
            <w:tcBorders/>
            <w:shd w:fill="FFFFFF" w:val="clear"/>
            <w:vAlign w:val="center"/>
          </w:tcPr>
          <w:p>
            <w:pPr>
              <w:pStyle w:val="TableContents"/>
              <w:bidi w:val="0"/>
              <w:spacing w:before="0" w:after="283"/>
              <w:jc w:val="left"/>
              <w:rPr/>
            </w:pPr>
            <w:r>
              <w:rPr/>
              <w:t> </w:t>
            </w:r>
          </w:p>
        </w:tc>
        <w:tc>
          <w:tcPr>
            <w:tcW w:w="1134" w:type="dxa"/>
            <w:tcBorders/>
            <w:shd w:fill="FFFFFF" w:val="clear"/>
            <w:vAlign w:val="center"/>
          </w:tcPr>
          <w:p>
            <w:pPr>
              <w:pStyle w:val="TableContents"/>
              <w:bidi w:val="0"/>
              <w:spacing w:before="0" w:after="283"/>
              <w:jc w:val="right"/>
              <w:rPr/>
            </w:pPr>
            <w:r>
              <w:rPr/>
              <w:t>9,179</w:t>
            </w:r>
          </w:p>
        </w:tc>
        <w:tc>
          <w:tcPr>
            <w:tcW w:w="111" w:type="dxa"/>
            <w:tcBorders/>
            <w:shd w:fill="FFFFFF" w:val="clear"/>
            <w:vAlign w:val="center"/>
          </w:tcPr>
          <w:p>
            <w:pPr>
              <w:pStyle w:val="TableContents"/>
              <w:bidi w:val="0"/>
              <w:spacing w:before="0" w:after="283"/>
              <w:ind w:left="0" w:right="0" w:hanging="180"/>
              <w:jc w:val="left"/>
              <w:rPr/>
            </w:pPr>
            <w:r>
              <w:rPr/>
              <w:t> </w:t>
            </w:r>
          </w:p>
        </w:tc>
      </w:tr>
      <w:tr>
        <w:trPr/>
        <w:tc>
          <w:tcPr>
            <w:tcW w:w="1801" w:type="dxa"/>
            <w:tcBorders/>
            <w:shd w:fill="CCEEFF" w:val="clear"/>
            <w:vAlign w:val="center"/>
          </w:tcPr>
          <w:p>
            <w:pPr>
              <w:pStyle w:val="TableContents"/>
              <w:bidi w:val="0"/>
              <w:spacing w:before="0" w:after="283"/>
              <w:jc w:val="left"/>
              <w:rPr/>
            </w:pPr>
            <w:r>
              <w:rPr/>
              <w:t>Issuance of common stock upon conversion of SAFEs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13,888,889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1" w:type="dxa"/>
            <w:tcBorders/>
            <w:shd w:fill="CCEEFF" w:val="clear"/>
            <w:vAlign w:val="center"/>
          </w:tcPr>
          <w:p>
            <w:pPr>
              <w:pStyle w:val="TableContents"/>
              <w:bidi w:val="0"/>
              <w:spacing w:before="0" w:after="283"/>
              <w:jc w:val="left"/>
              <w:rPr/>
            </w:pPr>
            <w:r>
              <w:rPr/>
              <w:t> </w:t>
            </w:r>
          </w:p>
        </w:tc>
        <w:tc>
          <w:tcPr>
            <w:tcW w:w="559" w:type="dxa"/>
            <w:tcBorders/>
            <w:shd w:fill="CCEEFF" w:val="clear"/>
            <w:vAlign w:val="center"/>
          </w:tcPr>
          <w:p>
            <w:pPr>
              <w:pStyle w:val="TableContents"/>
              <w:bidi w:val="0"/>
              <w:spacing w:before="0" w:after="283"/>
              <w:jc w:val="right"/>
              <w:rPr/>
            </w:pPr>
            <w:r>
              <w:rPr/>
              <w:t>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3" w:type="dxa"/>
            <w:tcBorders/>
            <w:shd w:fill="CCEEFF" w:val="clear"/>
            <w:vAlign w:val="center"/>
          </w:tcPr>
          <w:p>
            <w:pPr>
              <w:pStyle w:val="TableContents"/>
              <w:bidi w:val="0"/>
              <w:spacing w:before="0" w:after="283"/>
              <w:jc w:val="left"/>
              <w:rPr/>
            </w:pPr>
            <w:r>
              <w:rPr/>
              <w:t> </w:t>
            </w:r>
          </w:p>
        </w:tc>
        <w:tc>
          <w:tcPr>
            <w:tcW w:w="937" w:type="dxa"/>
            <w:tcBorders/>
            <w:shd w:fill="CCEEFF" w:val="clear"/>
            <w:vAlign w:val="center"/>
          </w:tcPr>
          <w:p>
            <w:pPr>
              <w:pStyle w:val="TableContents"/>
              <w:bidi w:val="0"/>
              <w:spacing w:before="0" w:after="283"/>
              <w:jc w:val="right"/>
              <w:rPr/>
            </w:pPr>
            <w:r>
              <w:rPr/>
              <w:t>6,244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8" w:type="dxa"/>
            <w:tcBorders/>
            <w:shd w:fill="CCEEFF" w:val="clear"/>
            <w:vAlign w:val="center"/>
          </w:tcPr>
          <w:p>
            <w:pPr>
              <w:pStyle w:val="TableContents"/>
              <w:bidi w:val="0"/>
              <w:spacing w:before="0" w:after="283"/>
              <w:jc w:val="left"/>
              <w:rPr/>
            </w:pPr>
            <w:r>
              <w:rPr/>
              <w:t> </w:t>
            </w:r>
          </w:p>
        </w:tc>
        <w:tc>
          <w:tcPr>
            <w:tcW w:w="1182"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32" w:type="dxa"/>
            <w:tcBorders/>
            <w:shd w:fill="CCEEFF" w:val="clear"/>
            <w:vAlign w:val="center"/>
          </w:tcPr>
          <w:p>
            <w:pPr>
              <w:pStyle w:val="TableContents"/>
              <w:bidi w:val="0"/>
              <w:spacing w:before="0" w:after="283"/>
              <w:jc w:val="left"/>
              <w:rPr/>
            </w:pPr>
            <w:r>
              <w:rPr/>
              <w:t> </w:t>
            </w:r>
          </w:p>
        </w:tc>
        <w:tc>
          <w:tcPr>
            <w:tcW w:w="1178"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9" w:type="dxa"/>
            <w:tcBorders/>
            <w:shd w:fill="CCEEFF" w:val="clear"/>
            <w:vAlign w:val="center"/>
          </w:tcPr>
          <w:p>
            <w:pPr>
              <w:pStyle w:val="TableContents"/>
              <w:bidi w:val="0"/>
              <w:spacing w:before="0" w:after="283"/>
              <w:jc w:val="left"/>
              <w:rPr/>
            </w:pPr>
            <w:r>
              <w:rPr/>
              <w:t> </w:t>
            </w:r>
          </w:p>
        </w:tc>
        <w:tc>
          <w:tcPr>
            <w:tcW w:w="1134" w:type="dxa"/>
            <w:tcBorders/>
            <w:shd w:fill="CCEEFF" w:val="clear"/>
            <w:vAlign w:val="center"/>
          </w:tcPr>
          <w:p>
            <w:pPr>
              <w:pStyle w:val="TableContents"/>
              <w:bidi w:val="0"/>
              <w:spacing w:before="0" w:after="283"/>
              <w:jc w:val="right"/>
              <w:rPr/>
            </w:pPr>
            <w:r>
              <w:rPr/>
              <w:t>6,250</w:t>
            </w:r>
          </w:p>
        </w:tc>
        <w:tc>
          <w:tcPr>
            <w:tcW w:w="111" w:type="dxa"/>
            <w:tcBorders/>
            <w:shd w:fill="CCEEFF" w:val="clear"/>
            <w:vAlign w:val="center"/>
          </w:tcPr>
          <w:p>
            <w:pPr>
              <w:pStyle w:val="TableContents"/>
              <w:bidi w:val="0"/>
              <w:spacing w:before="0" w:after="283"/>
              <w:ind w:left="0" w:right="0" w:hanging="180"/>
              <w:jc w:val="left"/>
              <w:rPr/>
            </w:pPr>
            <w:r>
              <w:rPr/>
              <w:t> </w:t>
            </w:r>
          </w:p>
        </w:tc>
      </w:tr>
      <w:tr>
        <w:trPr/>
        <w:tc>
          <w:tcPr>
            <w:tcW w:w="1801" w:type="dxa"/>
            <w:tcBorders/>
            <w:shd w:fill="FFFFFF" w:val="clear"/>
            <w:vAlign w:val="center"/>
          </w:tcPr>
          <w:p>
            <w:pPr>
              <w:pStyle w:val="TableContents"/>
              <w:bidi w:val="0"/>
              <w:spacing w:before="0" w:after="283"/>
              <w:jc w:val="left"/>
              <w:rPr/>
            </w:pPr>
            <w:r>
              <w:rPr/>
              <w:t>Exercise of common stock warrants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5,343,616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01" w:type="dxa"/>
            <w:tcBorders/>
            <w:shd w:fill="FFFFFF" w:val="clear"/>
            <w:vAlign w:val="center"/>
          </w:tcPr>
          <w:p>
            <w:pPr>
              <w:pStyle w:val="TableContents"/>
              <w:bidi w:val="0"/>
              <w:spacing w:before="0" w:after="283"/>
              <w:jc w:val="left"/>
              <w:rPr/>
            </w:pPr>
            <w:r>
              <w:rPr/>
              <w:t> </w:t>
            </w:r>
          </w:p>
        </w:tc>
        <w:tc>
          <w:tcPr>
            <w:tcW w:w="559" w:type="dxa"/>
            <w:tcBorders/>
            <w:shd w:fill="FFFFFF" w:val="clear"/>
            <w:vAlign w:val="center"/>
          </w:tcPr>
          <w:p>
            <w:pPr>
              <w:pStyle w:val="TableContents"/>
              <w:bidi w:val="0"/>
              <w:spacing w:before="0" w:after="283"/>
              <w:jc w:val="right"/>
              <w:rPr/>
            </w:pPr>
            <w:r>
              <w:rPr/>
              <w:t>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3" w:type="dxa"/>
            <w:tcBorders/>
            <w:shd w:fill="FFFFFF" w:val="clear"/>
            <w:vAlign w:val="center"/>
          </w:tcPr>
          <w:p>
            <w:pPr>
              <w:pStyle w:val="TableContents"/>
              <w:bidi w:val="0"/>
              <w:spacing w:before="0" w:after="283"/>
              <w:jc w:val="left"/>
              <w:rPr/>
            </w:pPr>
            <w:r>
              <w:rPr/>
              <w:t> </w:t>
            </w:r>
          </w:p>
        </w:tc>
        <w:tc>
          <w:tcPr>
            <w:tcW w:w="937"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8" w:type="dxa"/>
            <w:tcBorders/>
            <w:shd w:fill="FFFFFF" w:val="clear"/>
            <w:vAlign w:val="center"/>
          </w:tcPr>
          <w:p>
            <w:pPr>
              <w:pStyle w:val="TableContents"/>
              <w:bidi w:val="0"/>
              <w:spacing w:before="0" w:after="283"/>
              <w:jc w:val="left"/>
              <w:rPr/>
            </w:pPr>
            <w:r>
              <w:rPr/>
              <w:t> </w:t>
            </w:r>
          </w:p>
        </w:tc>
        <w:tc>
          <w:tcPr>
            <w:tcW w:w="1182"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32" w:type="dxa"/>
            <w:tcBorders/>
            <w:shd w:fill="FFFFFF" w:val="clear"/>
            <w:vAlign w:val="center"/>
          </w:tcPr>
          <w:p>
            <w:pPr>
              <w:pStyle w:val="TableContents"/>
              <w:bidi w:val="0"/>
              <w:spacing w:before="0" w:after="283"/>
              <w:jc w:val="left"/>
              <w:rPr/>
            </w:pPr>
            <w:r>
              <w:rPr/>
              <w:t> </w:t>
            </w:r>
          </w:p>
        </w:tc>
        <w:tc>
          <w:tcPr>
            <w:tcW w:w="1178"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9" w:type="dxa"/>
            <w:tcBorders/>
            <w:shd w:fill="FFFFFF" w:val="clear"/>
            <w:vAlign w:val="center"/>
          </w:tcPr>
          <w:p>
            <w:pPr>
              <w:pStyle w:val="TableContents"/>
              <w:bidi w:val="0"/>
              <w:spacing w:before="0" w:after="283"/>
              <w:jc w:val="left"/>
              <w:rPr/>
            </w:pPr>
            <w:r>
              <w:rPr/>
              <w:t> </w:t>
            </w:r>
          </w:p>
        </w:tc>
        <w:tc>
          <w:tcPr>
            <w:tcW w:w="1134" w:type="dxa"/>
            <w:tcBorders/>
            <w:shd w:fill="FFFFFF" w:val="clear"/>
            <w:vAlign w:val="center"/>
          </w:tcPr>
          <w:p>
            <w:pPr>
              <w:pStyle w:val="TableContents"/>
              <w:bidi w:val="0"/>
              <w:spacing w:before="0" w:after="283"/>
              <w:jc w:val="right"/>
              <w:rPr/>
            </w:pPr>
            <w:r>
              <w:rPr/>
              <w:t>1</w:t>
            </w:r>
          </w:p>
        </w:tc>
        <w:tc>
          <w:tcPr>
            <w:tcW w:w="111" w:type="dxa"/>
            <w:tcBorders/>
            <w:shd w:fill="FFFFFF" w:val="clear"/>
            <w:vAlign w:val="center"/>
          </w:tcPr>
          <w:p>
            <w:pPr>
              <w:pStyle w:val="TableContents"/>
              <w:bidi w:val="0"/>
              <w:spacing w:before="0" w:after="283"/>
              <w:ind w:left="0" w:right="0" w:hanging="180"/>
              <w:jc w:val="left"/>
              <w:rPr/>
            </w:pPr>
            <w:r>
              <w:rPr/>
              <w:t> </w:t>
            </w:r>
          </w:p>
        </w:tc>
      </w:tr>
      <w:tr>
        <w:trPr/>
        <w:tc>
          <w:tcPr>
            <w:tcW w:w="1801" w:type="dxa"/>
            <w:tcBorders/>
            <w:shd w:fill="CCEEFF" w:val="clear"/>
            <w:vAlign w:val="center"/>
          </w:tcPr>
          <w:p>
            <w:pPr>
              <w:pStyle w:val="TableContents"/>
              <w:bidi w:val="0"/>
              <w:spacing w:before="0" w:after="283"/>
              <w:jc w:val="left"/>
              <w:rPr/>
            </w:pPr>
            <w:r>
              <w:rPr/>
              <w:t>Issuance of common stock for exchange of debt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1,500,000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1" w:type="dxa"/>
            <w:tcBorders/>
            <w:shd w:fill="CCEEFF" w:val="clear"/>
            <w:vAlign w:val="center"/>
          </w:tcPr>
          <w:p>
            <w:pPr>
              <w:pStyle w:val="TableContents"/>
              <w:bidi w:val="0"/>
              <w:spacing w:before="0" w:after="283"/>
              <w:jc w:val="left"/>
              <w:rPr/>
            </w:pPr>
            <w:r>
              <w:rPr/>
              <w:t> </w:t>
            </w:r>
          </w:p>
        </w:tc>
        <w:tc>
          <w:tcPr>
            <w:tcW w:w="559"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3" w:type="dxa"/>
            <w:tcBorders/>
            <w:shd w:fill="CCEEFF" w:val="clear"/>
            <w:vAlign w:val="center"/>
          </w:tcPr>
          <w:p>
            <w:pPr>
              <w:pStyle w:val="TableContents"/>
              <w:bidi w:val="0"/>
              <w:spacing w:before="0" w:after="283"/>
              <w:jc w:val="left"/>
              <w:rPr/>
            </w:pPr>
            <w:r>
              <w:rPr/>
              <w:t> </w:t>
            </w:r>
          </w:p>
        </w:tc>
        <w:tc>
          <w:tcPr>
            <w:tcW w:w="937" w:type="dxa"/>
            <w:tcBorders/>
            <w:shd w:fill="CCEEFF" w:val="clear"/>
            <w:vAlign w:val="center"/>
          </w:tcPr>
          <w:p>
            <w:pPr>
              <w:pStyle w:val="TableContents"/>
              <w:bidi w:val="0"/>
              <w:spacing w:before="0" w:after="283"/>
              <w:jc w:val="right"/>
              <w:rPr/>
            </w:pPr>
            <w:r>
              <w:rPr/>
              <w:t>2,220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8" w:type="dxa"/>
            <w:tcBorders/>
            <w:shd w:fill="CCEEFF" w:val="clear"/>
            <w:vAlign w:val="center"/>
          </w:tcPr>
          <w:p>
            <w:pPr>
              <w:pStyle w:val="TableContents"/>
              <w:bidi w:val="0"/>
              <w:spacing w:before="0" w:after="283"/>
              <w:jc w:val="left"/>
              <w:rPr/>
            </w:pPr>
            <w:r>
              <w:rPr/>
              <w:t> </w:t>
            </w:r>
          </w:p>
        </w:tc>
        <w:tc>
          <w:tcPr>
            <w:tcW w:w="1182"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32" w:type="dxa"/>
            <w:tcBorders/>
            <w:shd w:fill="CCEEFF" w:val="clear"/>
            <w:vAlign w:val="center"/>
          </w:tcPr>
          <w:p>
            <w:pPr>
              <w:pStyle w:val="TableContents"/>
              <w:bidi w:val="0"/>
              <w:spacing w:before="0" w:after="283"/>
              <w:jc w:val="left"/>
              <w:rPr/>
            </w:pPr>
            <w:r>
              <w:rPr/>
              <w:t> </w:t>
            </w:r>
          </w:p>
        </w:tc>
        <w:tc>
          <w:tcPr>
            <w:tcW w:w="1178"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9" w:type="dxa"/>
            <w:tcBorders/>
            <w:shd w:fill="CCEEFF" w:val="clear"/>
            <w:vAlign w:val="center"/>
          </w:tcPr>
          <w:p>
            <w:pPr>
              <w:pStyle w:val="TableContents"/>
              <w:bidi w:val="0"/>
              <w:spacing w:before="0" w:after="283"/>
              <w:jc w:val="left"/>
              <w:rPr/>
            </w:pPr>
            <w:r>
              <w:rPr/>
              <w:t> </w:t>
            </w:r>
          </w:p>
        </w:tc>
        <w:tc>
          <w:tcPr>
            <w:tcW w:w="1134" w:type="dxa"/>
            <w:tcBorders/>
            <w:shd w:fill="CCEEFF" w:val="clear"/>
            <w:vAlign w:val="center"/>
          </w:tcPr>
          <w:p>
            <w:pPr>
              <w:pStyle w:val="TableContents"/>
              <w:bidi w:val="0"/>
              <w:spacing w:before="0" w:after="283"/>
              <w:jc w:val="right"/>
              <w:rPr/>
            </w:pPr>
            <w:r>
              <w:rPr/>
              <w:t>2,220</w:t>
            </w:r>
          </w:p>
        </w:tc>
        <w:tc>
          <w:tcPr>
            <w:tcW w:w="111" w:type="dxa"/>
            <w:tcBorders/>
            <w:shd w:fill="CCEEFF" w:val="clear"/>
            <w:vAlign w:val="center"/>
          </w:tcPr>
          <w:p>
            <w:pPr>
              <w:pStyle w:val="TableContents"/>
              <w:bidi w:val="0"/>
              <w:spacing w:before="0" w:after="283"/>
              <w:ind w:left="0" w:right="0" w:hanging="180"/>
              <w:jc w:val="left"/>
              <w:rPr/>
            </w:pPr>
            <w:r>
              <w:rPr/>
              <w:t> </w:t>
            </w:r>
          </w:p>
        </w:tc>
      </w:tr>
      <w:tr>
        <w:trPr/>
        <w:tc>
          <w:tcPr>
            <w:tcW w:w="1801" w:type="dxa"/>
            <w:tcBorders/>
            <w:shd w:fill="FFFFFF" w:val="clear"/>
            <w:vAlign w:val="center"/>
          </w:tcPr>
          <w:p>
            <w:pPr>
              <w:pStyle w:val="TableContents"/>
              <w:bidi w:val="0"/>
              <w:spacing w:before="0" w:after="283"/>
              <w:jc w:val="left"/>
              <w:rPr/>
            </w:pPr>
            <w:r>
              <w:rPr/>
              <w:t>Issuance of common stock</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2,918,837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01" w:type="dxa"/>
            <w:tcBorders/>
            <w:shd w:fill="FFFFFF" w:val="clear"/>
            <w:vAlign w:val="center"/>
          </w:tcPr>
          <w:p>
            <w:pPr>
              <w:pStyle w:val="TableContents"/>
              <w:bidi w:val="0"/>
              <w:spacing w:before="0" w:after="283"/>
              <w:jc w:val="left"/>
              <w:rPr/>
            </w:pPr>
            <w:r>
              <w:rPr/>
              <w:t> </w:t>
            </w:r>
          </w:p>
        </w:tc>
        <w:tc>
          <w:tcPr>
            <w:tcW w:w="559"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3" w:type="dxa"/>
            <w:tcBorders/>
            <w:shd w:fill="FFFFFF" w:val="clear"/>
            <w:vAlign w:val="center"/>
          </w:tcPr>
          <w:p>
            <w:pPr>
              <w:pStyle w:val="TableContents"/>
              <w:bidi w:val="0"/>
              <w:spacing w:before="0" w:after="283"/>
              <w:jc w:val="left"/>
              <w:rPr/>
            </w:pPr>
            <w:r>
              <w:rPr/>
              <w:t> </w:t>
            </w:r>
          </w:p>
        </w:tc>
        <w:tc>
          <w:tcPr>
            <w:tcW w:w="937" w:type="dxa"/>
            <w:tcBorders/>
            <w:shd w:fill="FFFFFF" w:val="clear"/>
            <w:vAlign w:val="center"/>
          </w:tcPr>
          <w:p>
            <w:pPr>
              <w:pStyle w:val="TableContents"/>
              <w:bidi w:val="0"/>
              <w:spacing w:before="0" w:after="283"/>
              <w:jc w:val="right"/>
              <w:rPr/>
            </w:pPr>
            <w:r>
              <w:rPr/>
              <w:t>7,144</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8" w:type="dxa"/>
            <w:tcBorders/>
            <w:shd w:fill="FFFFFF" w:val="clear"/>
            <w:vAlign w:val="center"/>
          </w:tcPr>
          <w:p>
            <w:pPr>
              <w:pStyle w:val="TableContents"/>
              <w:bidi w:val="0"/>
              <w:spacing w:before="0" w:after="283"/>
              <w:jc w:val="left"/>
              <w:rPr/>
            </w:pPr>
            <w:r>
              <w:rPr/>
              <w:t> </w:t>
            </w:r>
          </w:p>
        </w:tc>
        <w:tc>
          <w:tcPr>
            <w:tcW w:w="1182"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32" w:type="dxa"/>
            <w:tcBorders/>
            <w:shd w:fill="FFFFFF" w:val="clear"/>
            <w:vAlign w:val="center"/>
          </w:tcPr>
          <w:p>
            <w:pPr>
              <w:pStyle w:val="TableContents"/>
              <w:bidi w:val="0"/>
              <w:spacing w:before="0" w:after="283"/>
              <w:jc w:val="left"/>
              <w:rPr/>
            </w:pPr>
            <w:r>
              <w:rPr/>
              <w:t> </w:t>
            </w:r>
          </w:p>
        </w:tc>
        <w:tc>
          <w:tcPr>
            <w:tcW w:w="1178"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9" w:type="dxa"/>
            <w:tcBorders/>
            <w:shd w:fill="FFFFFF" w:val="clear"/>
            <w:vAlign w:val="center"/>
          </w:tcPr>
          <w:p>
            <w:pPr>
              <w:pStyle w:val="TableContents"/>
              <w:bidi w:val="0"/>
              <w:spacing w:before="0" w:after="283"/>
              <w:jc w:val="left"/>
              <w:rPr/>
            </w:pPr>
            <w:r>
              <w:rPr/>
              <w:t> </w:t>
            </w:r>
          </w:p>
        </w:tc>
        <w:tc>
          <w:tcPr>
            <w:tcW w:w="1134" w:type="dxa"/>
            <w:tcBorders/>
            <w:shd w:fill="FFFFFF" w:val="clear"/>
            <w:vAlign w:val="center"/>
          </w:tcPr>
          <w:p>
            <w:pPr>
              <w:pStyle w:val="TableContents"/>
              <w:bidi w:val="0"/>
              <w:spacing w:before="0" w:after="283"/>
              <w:jc w:val="right"/>
              <w:rPr/>
            </w:pPr>
            <w:r>
              <w:rPr/>
              <w:t>7,144</w:t>
            </w:r>
          </w:p>
        </w:tc>
        <w:tc>
          <w:tcPr>
            <w:tcW w:w="111" w:type="dxa"/>
            <w:tcBorders/>
            <w:shd w:fill="FFFFFF" w:val="clear"/>
            <w:vAlign w:val="center"/>
          </w:tcPr>
          <w:p>
            <w:pPr>
              <w:pStyle w:val="TableContents"/>
              <w:bidi w:val="0"/>
              <w:spacing w:before="0" w:after="283"/>
              <w:ind w:left="0" w:right="0" w:hanging="180"/>
              <w:jc w:val="left"/>
              <w:rPr/>
            </w:pPr>
            <w:r>
              <w:rPr/>
              <w:t> </w:t>
            </w:r>
          </w:p>
        </w:tc>
      </w:tr>
      <w:tr>
        <w:trPr/>
        <w:tc>
          <w:tcPr>
            <w:tcW w:w="1801" w:type="dxa"/>
            <w:tcBorders/>
            <w:shd w:fill="CCEEFF" w:val="clear"/>
            <w:vAlign w:val="center"/>
          </w:tcPr>
          <w:p>
            <w:pPr>
              <w:pStyle w:val="TableContents"/>
              <w:bidi w:val="0"/>
              <w:spacing w:before="0" w:after="283"/>
              <w:jc w:val="left"/>
              <w:rPr/>
            </w:pPr>
            <w:r>
              <w:rPr/>
              <w:t>Modification of Warrant Agreement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1" w:type="dxa"/>
            <w:tcBorders/>
            <w:shd w:fill="CCEEFF" w:val="clear"/>
            <w:vAlign w:val="center"/>
          </w:tcPr>
          <w:p>
            <w:pPr>
              <w:pStyle w:val="TableContents"/>
              <w:bidi w:val="0"/>
              <w:spacing w:before="0" w:after="283"/>
              <w:jc w:val="left"/>
              <w:rPr/>
            </w:pPr>
            <w:r>
              <w:rPr/>
              <w:t> </w:t>
            </w:r>
          </w:p>
        </w:tc>
        <w:tc>
          <w:tcPr>
            <w:tcW w:w="559"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3" w:type="dxa"/>
            <w:tcBorders/>
            <w:shd w:fill="CCEEFF" w:val="clear"/>
            <w:vAlign w:val="center"/>
          </w:tcPr>
          <w:p>
            <w:pPr>
              <w:pStyle w:val="TableContents"/>
              <w:bidi w:val="0"/>
              <w:spacing w:before="0" w:after="283"/>
              <w:jc w:val="left"/>
              <w:rPr/>
            </w:pPr>
            <w:r>
              <w:rPr/>
              <w:t> </w:t>
            </w:r>
          </w:p>
        </w:tc>
        <w:tc>
          <w:tcPr>
            <w:tcW w:w="937" w:type="dxa"/>
            <w:tcBorders/>
            <w:shd w:fill="CCEEFF" w:val="clear"/>
            <w:vAlign w:val="center"/>
          </w:tcPr>
          <w:p>
            <w:pPr>
              <w:pStyle w:val="TableContents"/>
              <w:bidi w:val="0"/>
              <w:spacing w:before="0" w:after="283"/>
              <w:jc w:val="right"/>
              <w:rPr/>
            </w:pPr>
            <w:r>
              <w:rPr/>
              <w:t>7,306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8" w:type="dxa"/>
            <w:tcBorders/>
            <w:shd w:fill="CCEEFF" w:val="clear"/>
            <w:vAlign w:val="center"/>
          </w:tcPr>
          <w:p>
            <w:pPr>
              <w:pStyle w:val="TableContents"/>
              <w:bidi w:val="0"/>
              <w:spacing w:before="0" w:after="283"/>
              <w:jc w:val="left"/>
              <w:rPr/>
            </w:pPr>
            <w:r>
              <w:rPr/>
              <w:t> </w:t>
            </w:r>
          </w:p>
        </w:tc>
        <w:tc>
          <w:tcPr>
            <w:tcW w:w="1182"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32" w:type="dxa"/>
            <w:tcBorders/>
            <w:shd w:fill="CCEEFF" w:val="clear"/>
            <w:vAlign w:val="center"/>
          </w:tcPr>
          <w:p>
            <w:pPr>
              <w:pStyle w:val="TableContents"/>
              <w:bidi w:val="0"/>
              <w:spacing w:before="0" w:after="283"/>
              <w:jc w:val="left"/>
              <w:rPr/>
            </w:pPr>
            <w:r>
              <w:rPr/>
              <w:t> </w:t>
            </w:r>
          </w:p>
        </w:tc>
        <w:tc>
          <w:tcPr>
            <w:tcW w:w="1178"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9" w:type="dxa"/>
            <w:tcBorders/>
            <w:shd w:fill="CCEEFF" w:val="clear"/>
            <w:vAlign w:val="center"/>
          </w:tcPr>
          <w:p>
            <w:pPr>
              <w:pStyle w:val="TableContents"/>
              <w:bidi w:val="0"/>
              <w:spacing w:before="0" w:after="283"/>
              <w:jc w:val="left"/>
              <w:rPr/>
            </w:pPr>
            <w:r>
              <w:rPr/>
              <w:t> </w:t>
            </w:r>
          </w:p>
        </w:tc>
        <w:tc>
          <w:tcPr>
            <w:tcW w:w="1134" w:type="dxa"/>
            <w:tcBorders/>
            <w:shd w:fill="CCEEFF" w:val="clear"/>
            <w:vAlign w:val="center"/>
          </w:tcPr>
          <w:p>
            <w:pPr>
              <w:pStyle w:val="TableContents"/>
              <w:bidi w:val="0"/>
              <w:spacing w:before="0" w:after="283"/>
              <w:jc w:val="right"/>
              <w:rPr/>
            </w:pPr>
            <w:r>
              <w:rPr/>
              <w:t>7,306</w:t>
            </w:r>
          </w:p>
        </w:tc>
        <w:tc>
          <w:tcPr>
            <w:tcW w:w="111" w:type="dxa"/>
            <w:tcBorders/>
            <w:shd w:fill="CCEEFF" w:val="clear"/>
            <w:vAlign w:val="center"/>
          </w:tcPr>
          <w:p>
            <w:pPr>
              <w:pStyle w:val="TableContents"/>
              <w:bidi w:val="0"/>
              <w:spacing w:before="0" w:after="283"/>
              <w:ind w:left="0" w:right="0" w:hanging="180"/>
              <w:jc w:val="left"/>
              <w:rPr/>
            </w:pPr>
            <w:r>
              <w:rPr/>
              <w:t> </w:t>
            </w:r>
          </w:p>
        </w:tc>
      </w:tr>
      <w:tr>
        <w:trPr/>
        <w:tc>
          <w:tcPr>
            <w:tcW w:w="1801" w:type="dxa"/>
            <w:tcBorders/>
            <w:shd w:fill="FFFFFF" w:val="clear"/>
            <w:vAlign w:val="center"/>
          </w:tcPr>
          <w:p>
            <w:pPr>
              <w:pStyle w:val="TableContents"/>
              <w:bidi w:val="0"/>
              <w:spacing w:before="0" w:after="283"/>
              <w:jc w:val="left"/>
              <w:rPr/>
            </w:pPr>
            <w:r>
              <w:rPr/>
              <w:t>Offering costs of reverse recapitalization</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01" w:type="dxa"/>
            <w:tcBorders/>
            <w:shd w:fill="FFFFFF" w:val="clear"/>
            <w:vAlign w:val="center"/>
          </w:tcPr>
          <w:p>
            <w:pPr>
              <w:pStyle w:val="TableContents"/>
              <w:bidi w:val="0"/>
              <w:spacing w:before="0" w:after="283"/>
              <w:jc w:val="left"/>
              <w:rPr/>
            </w:pPr>
            <w:r>
              <w:rPr/>
              <w:t> </w:t>
            </w:r>
          </w:p>
        </w:tc>
        <w:tc>
          <w:tcPr>
            <w:tcW w:w="559"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3" w:type="dxa"/>
            <w:tcBorders/>
            <w:shd w:fill="FFFFFF" w:val="clear"/>
            <w:vAlign w:val="center"/>
          </w:tcPr>
          <w:p>
            <w:pPr>
              <w:pStyle w:val="TableContents"/>
              <w:bidi w:val="0"/>
              <w:spacing w:before="0" w:after="283"/>
              <w:jc w:val="left"/>
              <w:rPr/>
            </w:pPr>
            <w:r>
              <w:rPr/>
              <w:t> </w:t>
            </w:r>
          </w:p>
        </w:tc>
        <w:tc>
          <w:tcPr>
            <w:tcW w:w="937" w:type="dxa"/>
            <w:tcBorders/>
            <w:shd w:fill="FFFFFF" w:val="clear"/>
            <w:vAlign w:val="center"/>
          </w:tcPr>
          <w:p>
            <w:pPr>
              <w:pStyle w:val="TableContents"/>
              <w:bidi w:val="0"/>
              <w:spacing w:before="0" w:after="283"/>
              <w:jc w:val="right"/>
              <w:rPr/>
            </w:pPr>
            <w:r>
              <w:rPr/>
              <w:t>(1,396</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88" w:type="dxa"/>
            <w:tcBorders/>
            <w:shd w:fill="FFFFFF" w:val="clear"/>
            <w:vAlign w:val="center"/>
          </w:tcPr>
          <w:p>
            <w:pPr>
              <w:pStyle w:val="TableContents"/>
              <w:bidi w:val="0"/>
              <w:spacing w:before="0" w:after="283"/>
              <w:jc w:val="left"/>
              <w:rPr/>
            </w:pPr>
            <w:r>
              <w:rPr/>
              <w:t> </w:t>
            </w:r>
          </w:p>
        </w:tc>
        <w:tc>
          <w:tcPr>
            <w:tcW w:w="1182"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32" w:type="dxa"/>
            <w:tcBorders/>
            <w:shd w:fill="FFFFFF" w:val="clear"/>
            <w:vAlign w:val="center"/>
          </w:tcPr>
          <w:p>
            <w:pPr>
              <w:pStyle w:val="TableContents"/>
              <w:bidi w:val="0"/>
              <w:spacing w:before="0" w:after="283"/>
              <w:jc w:val="left"/>
              <w:rPr/>
            </w:pPr>
            <w:r>
              <w:rPr/>
              <w:t> </w:t>
            </w:r>
          </w:p>
        </w:tc>
        <w:tc>
          <w:tcPr>
            <w:tcW w:w="1178"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9" w:type="dxa"/>
            <w:tcBorders/>
            <w:shd w:fill="FFFFFF" w:val="clear"/>
            <w:vAlign w:val="center"/>
          </w:tcPr>
          <w:p>
            <w:pPr>
              <w:pStyle w:val="TableContents"/>
              <w:bidi w:val="0"/>
              <w:spacing w:before="0" w:after="283"/>
              <w:jc w:val="left"/>
              <w:rPr/>
            </w:pPr>
            <w:r>
              <w:rPr/>
              <w:t> </w:t>
            </w:r>
          </w:p>
        </w:tc>
        <w:tc>
          <w:tcPr>
            <w:tcW w:w="1134" w:type="dxa"/>
            <w:tcBorders/>
            <w:shd w:fill="FFFFFF" w:val="clear"/>
            <w:vAlign w:val="center"/>
          </w:tcPr>
          <w:p>
            <w:pPr>
              <w:pStyle w:val="TableContents"/>
              <w:bidi w:val="0"/>
              <w:spacing w:before="0" w:after="283"/>
              <w:jc w:val="right"/>
              <w:rPr/>
            </w:pPr>
            <w:r>
              <w:rPr/>
              <w:t>(1,396</w:t>
            </w:r>
          </w:p>
        </w:tc>
        <w:tc>
          <w:tcPr>
            <w:tcW w:w="111" w:type="dxa"/>
            <w:tcBorders/>
            <w:shd w:fill="FFFFFF" w:val="clear"/>
            <w:vAlign w:val="center"/>
          </w:tcPr>
          <w:p>
            <w:pPr>
              <w:pStyle w:val="TableContents"/>
              <w:bidi w:val="0"/>
              <w:spacing w:before="0" w:after="283"/>
              <w:ind w:left="0" w:right="0" w:hanging="180"/>
              <w:jc w:val="left"/>
              <w:rPr/>
            </w:pPr>
            <w:r>
              <w:rPr/>
              <w:t>)</w:t>
            </w:r>
          </w:p>
        </w:tc>
      </w:tr>
      <w:tr>
        <w:trPr/>
        <w:tc>
          <w:tcPr>
            <w:tcW w:w="1801" w:type="dxa"/>
            <w:tcBorders/>
            <w:shd w:fill="CCEEFF" w:val="clear"/>
            <w:vAlign w:val="center"/>
          </w:tcPr>
          <w:p>
            <w:pPr>
              <w:pStyle w:val="TableContents"/>
              <w:bidi w:val="0"/>
              <w:spacing w:before="0" w:after="283"/>
              <w:jc w:val="left"/>
              <w:rPr/>
            </w:pPr>
            <w:r>
              <w:rPr/>
              <w:t>Net loss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1" w:type="dxa"/>
            <w:tcBorders/>
            <w:shd w:fill="CCEEFF" w:val="clear"/>
            <w:vAlign w:val="center"/>
          </w:tcPr>
          <w:p>
            <w:pPr>
              <w:pStyle w:val="TableContents"/>
              <w:bidi w:val="0"/>
              <w:spacing w:before="0" w:after="283"/>
              <w:jc w:val="left"/>
              <w:rPr/>
            </w:pPr>
            <w:r>
              <w:rPr/>
              <w:t> </w:t>
            </w:r>
          </w:p>
        </w:tc>
        <w:tc>
          <w:tcPr>
            <w:tcW w:w="559"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3" w:type="dxa"/>
            <w:tcBorders/>
            <w:shd w:fill="CCEEFF" w:val="clear"/>
            <w:vAlign w:val="center"/>
          </w:tcPr>
          <w:p>
            <w:pPr>
              <w:pStyle w:val="TableContents"/>
              <w:bidi w:val="0"/>
              <w:spacing w:before="0" w:after="283"/>
              <w:jc w:val="left"/>
              <w:rPr/>
            </w:pPr>
            <w:r>
              <w:rPr/>
              <w:t> </w:t>
            </w:r>
          </w:p>
        </w:tc>
        <w:tc>
          <w:tcPr>
            <w:tcW w:w="937"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8" w:type="dxa"/>
            <w:tcBorders/>
            <w:shd w:fill="CCEEFF" w:val="clear"/>
            <w:vAlign w:val="center"/>
          </w:tcPr>
          <w:p>
            <w:pPr>
              <w:pStyle w:val="TableContents"/>
              <w:bidi w:val="0"/>
              <w:spacing w:before="0" w:after="283"/>
              <w:jc w:val="left"/>
              <w:rPr/>
            </w:pPr>
            <w:r>
              <w:rPr/>
              <w:t> </w:t>
            </w:r>
          </w:p>
        </w:tc>
        <w:tc>
          <w:tcPr>
            <w:tcW w:w="1182" w:type="dxa"/>
            <w:tcBorders/>
            <w:shd w:fill="CCEEFF" w:val="clear"/>
            <w:vAlign w:val="center"/>
          </w:tcPr>
          <w:p>
            <w:pPr>
              <w:pStyle w:val="TableContents"/>
              <w:bidi w:val="0"/>
              <w:spacing w:before="0" w:after="283"/>
              <w:jc w:val="right"/>
              <w:rPr/>
            </w:pPr>
            <w:r>
              <w:rPr/>
              <w:t>(56,451</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432" w:type="dxa"/>
            <w:tcBorders/>
            <w:shd w:fill="CCEEFF" w:val="clear"/>
            <w:vAlign w:val="center"/>
          </w:tcPr>
          <w:p>
            <w:pPr>
              <w:pStyle w:val="TableContents"/>
              <w:bidi w:val="0"/>
              <w:spacing w:before="0" w:after="283"/>
              <w:jc w:val="left"/>
              <w:rPr/>
            </w:pPr>
            <w:r>
              <w:rPr/>
              <w:t> </w:t>
            </w:r>
          </w:p>
        </w:tc>
        <w:tc>
          <w:tcPr>
            <w:tcW w:w="1178"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9" w:type="dxa"/>
            <w:tcBorders/>
            <w:shd w:fill="CCEEFF" w:val="clear"/>
            <w:vAlign w:val="center"/>
          </w:tcPr>
          <w:p>
            <w:pPr>
              <w:pStyle w:val="TableContents"/>
              <w:bidi w:val="0"/>
              <w:spacing w:before="0" w:after="283"/>
              <w:jc w:val="left"/>
              <w:rPr/>
            </w:pPr>
            <w:r>
              <w:rPr/>
              <w:t> </w:t>
            </w:r>
          </w:p>
        </w:tc>
        <w:tc>
          <w:tcPr>
            <w:tcW w:w="1134" w:type="dxa"/>
            <w:tcBorders/>
            <w:shd w:fill="CCEEFF" w:val="clear"/>
            <w:vAlign w:val="center"/>
          </w:tcPr>
          <w:p>
            <w:pPr>
              <w:pStyle w:val="TableContents"/>
              <w:bidi w:val="0"/>
              <w:spacing w:before="0" w:after="283"/>
              <w:jc w:val="right"/>
              <w:rPr/>
            </w:pPr>
            <w:r>
              <w:rPr/>
              <w:t>(56,451</w:t>
            </w:r>
          </w:p>
        </w:tc>
        <w:tc>
          <w:tcPr>
            <w:tcW w:w="111" w:type="dxa"/>
            <w:tcBorders/>
            <w:shd w:fill="CCEEFF" w:val="clear"/>
            <w:vAlign w:val="center"/>
          </w:tcPr>
          <w:p>
            <w:pPr>
              <w:pStyle w:val="TableContents"/>
              <w:bidi w:val="0"/>
              <w:spacing w:before="0" w:after="283"/>
              <w:ind w:left="0" w:right="0" w:hanging="180"/>
              <w:jc w:val="left"/>
              <w:rPr/>
            </w:pPr>
            <w:r>
              <w:rPr/>
              <w:t>)</w:t>
            </w:r>
          </w:p>
        </w:tc>
      </w:tr>
      <w:tr>
        <w:trPr/>
        <w:tc>
          <w:tcPr>
            <w:tcW w:w="1801" w:type="dxa"/>
            <w:tcBorders/>
            <w:shd w:fill="FFFFFF" w:val="clear"/>
            <w:vAlign w:val="center"/>
          </w:tcPr>
          <w:p>
            <w:pPr>
              <w:pStyle w:val="TableContents"/>
              <w:bidi w:val="0"/>
              <w:spacing w:before="0" w:after="283"/>
              <w:jc w:val="left"/>
              <w:rPr/>
            </w:pPr>
            <w:r>
              <w:rPr/>
              <w:t>Foreign currency translation adjustment</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20"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01"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559"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3"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937"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8"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82"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32"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78" w:type="dxa"/>
            <w:tcBorders>
              <w:bottom w:val="single" w:sz="12" w:space="0" w:color="000000"/>
            </w:tcBorders>
            <w:shd w:fill="FFFFFF" w:val="clear"/>
            <w:tcMar>
              <w:bottom w:w="28" w:type="dxa"/>
            </w:tcMar>
            <w:vAlign w:val="center"/>
          </w:tcPr>
          <w:p>
            <w:pPr>
              <w:pStyle w:val="TableContents"/>
              <w:bidi w:val="0"/>
              <w:spacing w:before="0" w:after="283"/>
              <w:jc w:val="right"/>
              <w:rPr/>
            </w:pPr>
            <w:r>
              <w:rPr/>
              <w:t>22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9"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34" w:type="dxa"/>
            <w:tcBorders>
              <w:bottom w:val="single" w:sz="12" w:space="0" w:color="000000"/>
            </w:tcBorders>
            <w:shd w:fill="FFFFFF" w:val="clear"/>
            <w:tcMar>
              <w:bottom w:w="28" w:type="dxa"/>
            </w:tcMar>
            <w:vAlign w:val="center"/>
          </w:tcPr>
          <w:p>
            <w:pPr>
              <w:pStyle w:val="TableContents"/>
              <w:bidi w:val="0"/>
              <w:spacing w:before="0" w:after="283"/>
              <w:jc w:val="right"/>
              <w:rPr/>
            </w:pPr>
            <w:r>
              <w:rPr/>
              <w:t>22</w:t>
            </w:r>
          </w:p>
        </w:tc>
        <w:tc>
          <w:tcPr>
            <w:tcW w:w="111" w:type="dxa"/>
            <w:tcBorders/>
            <w:shd w:fill="FFFFFF" w:val="clear"/>
            <w:vAlign w:val="center"/>
          </w:tcPr>
          <w:p>
            <w:pPr>
              <w:pStyle w:val="TableContents"/>
              <w:bidi w:val="0"/>
              <w:spacing w:before="0" w:after="283"/>
              <w:ind w:left="0" w:right="0" w:hanging="180"/>
              <w:jc w:val="left"/>
              <w:rPr/>
            </w:pPr>
            <w:r>
              <w:rPr/>
              <w:t> </w:t>
            </w:r>
          </w:p>
        </w:tc>
      </w:tr>
      <w:tr>
        <w:trPr/>
        <w:tc>
          <w:tcPr>
            <w:tcW w:w="1801" w:type="dxa"/>
            <w:tcBorders/>
            <w:shd w:fill="CCEEFF" w:val="clear"/>
            <w:vAlign w:val="center"/>
          </w:tcPr>
          <w:p>
            <w:pPr>
              <w:pStyle w:val="TableContents"/>
              <w:bidi w:val="0"/>
              <w:spacing w:before="0" w:after="283"/>
              <w:jc w:val="left"/>
              <w:rPr>
                <w:b/>
              </w:rPr>
            </w:pPr>
            <w:r>
              <w:rPr>
                <w:b/>
              </w:rPr>
              <w:t>Balance as of December 29, 2024</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20" w:type="dxa"/>
            <w:tcBorders>
              <w:bottom w:val="single" w:sz="12" w:space="0" w:color="000000"/>
            </w:tcBorders>
            <w:shd w:fill="CCEEFF" w:val="clear"/>
            <w:tcMar>
              <w:bottom w:w="28" w:type="dxa"/>
            </w:tcMar>
            <w:vAlign w:val="center"/>
          </w:tcPr>
          <w:p>
            <w:pPr>
              <w:pStyle w:val="TableContents"/>
              <w:bidi w:val="0"/>
              <w:spacing w:before="0" w:after="283"/>
              <w:jc w:val="right"/>
              <w:rPr>
                <w:b/>
              </w:rPr>
            </w:pPr>
            <w:r>
              <w:rPr>
                <w:b/>
              </w:rPr>
              <w:t>73,784,645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1"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559" w:type="dxa"/>
            <w:tcBorders>
              <w:bottom w:val="single" w:sz="12" w:space="0" w:color="000000"/>
            </w:tcBorders>
            <w:shd w:fill="CCEEFF" w:val="clear"/>
            <w:tcMar>
              <w:bottom w:w="28" w:type="dxa"/>
            </w:tcMar>
            <w:vAlign w:val="center"/>
          </w:tcPr>
          <w:p>
            <w:pPr>
              <w:pStyle w:val="TableContents"/>
              <w:bidi w:val="0"/>
              <w:spacing w:before="0" w:after="283"/>
              <w:jc w:val="right"/>
              <w:rPr>
                <w:b/>
              </w:rPr>
            </w:pPr>
            <w:r>
              <w:rPr>
                <w:b/>
              </w:rPr>
              <w:t>14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3"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37" w:type="dxa"/>
            <w:tcBorders>
              <w:bottom w:val="single" w:sz="12" w:space="0" w:color="000000"/>
            </w:tcBorders>
            <w:shd w:fill="CCEEFF" w:val="clear"/>
            <w:tcMar>
              <w:bottom w:w="28" w:type="dxa"/>
            </w:tcMar>
            <w:vAlign w:val="center"/>
          </w:tcPr>
          <w:p>
            <w:pPr>
              <w:pStyle w:val="TableContents"/>
              <w:bidi w:val="0"/>
              <w:spacing w:before="0" w:after="283"/>
              <w:jc w:val="right"/>
              <w:rPr>
                <w:b/>
              </w:rPr>
            </w:pPr>
            <w:r>
              <w:rPr>
                <w:b/>
              </w:rPr>
              <w:t>313,661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8"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82" w:type="dxa"/>
            <w:tcBorders>
              <w:bottom w:val="single" w:sz="12" w:space="0" w:color="000000"/>
            </w:tcBorders>
            <w:shd w:fill="CCEEFF" w:val="clear"/>
            <w:tcMar>
              <w:bottom w:w="28" w:type="dxa"/>
            </w:tcMar>
            <w:vAlign w:val="center"/>
          </w:tcPr>
          <w:p>
            <w:pPr>
              <w:pStyle w:val="TableContents"/>
              <w:bidi w:val="0"/>
              <w:spacing w:before="0" w:after="283"/>
              <w:jc w:val="right"/>
              <w:rPr>
                <w:b/>
              </w:rPr>
            </w:pPr>
            <w:r>
              <w:rPr>
                <w:b/>
              </w:rPr>
              <w:t>(411,379</w:t>
            </w:r>
          </w:p>
        </w:tc>
        <w:tc>
          <w:tcPr>
            <w:tcW w:w="95" w:type="dxa"/>
            <w:tcBorders/>
            <w:shd w:fill="CCEEFF" w:val="clear"/>
            <w:vAlign w:val="center"/>
          </w:tcPr>
          <w:p>
            <w:pPr>
              <w:pStyle w:val="TableContents"/>
              <w:bidi w:val="0"/>
              <w:spacing w:before="0" w:after="283"/>
              <w:jc w:val="left"/>
              <w:rPr>
                <w:b/>
              </w:rPr>
            </w:pPr>
            <w:r>
              <w:rPr>
                <w:b/>
              </w:rPr>
              <w:t>)</w:t>
            </w:r>
          </w:p>
        </w:tc>
        <w:tc>
          <w:tcPr>
            <w:tcW w:w="60" w:type="dxa"/>
            <w:tcBorders/>
            <w:shd w:fill="CCEEFF" w:val="clear"/>
            <w:vAlign w:val="center"/>
          </w:tcPr>
          <w:p>
            <w:pPr>
              <w:pStyle w:val="TableContents"/>
              <w:bidi w:val="0"/>
              <w:spacing w:before="0" w:after="283"/>
              <w:jc w:val="left"/>
              <w:rPr/>
            </w:pPr>
            <w:r>
              <w:rPr/>
              <w:t> </w:t>
            </w:r>
          </w:p>
        </w:tc>
        <w:tc>
          <w:tcPr>
            <w:tcW w:w="432"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78" w:type="dxa"/>
            <w:tcBorders>
              <w:bottom w:val="single" w:sz="12" w:space="0" w:color="000000"/>
            </w:tcBorders>
            <w:shd w:fill="CCEEFF" w:val="clear"/>
            <w:tcMar>
              <w:bottom w:w="28" w:type="dxa"/>
            </w:tcMar>
            <w:vAlign w:val="center"/>
          </w:tcPr>
          <w:p>
            <w:pPr>
              <w:pStyle w:val="TableContents"/>
              <w:bidi w:val="0"/>
              <w:spacing w:before="0" w:after="283"/>
              <w:jc w:val="right"/>
              <w:rPr>
                <w:b/>
              </w:rPr>
            </w:pPr>
            <w:r>
              <w:rPr>
                <w:b/>
              </w:rPr>
              <w:t>165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9"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34" w:type="dxa"/>
            <w:tcBorders>
              <w:bottom w:val="single" w:sz="12" w:space="0" w:color="000000"/>
            </w:tcBorders>
            <w:shd w:fill="CCEEFF" w:val="clear"/>
            <w:tcMar>
              <w:bottom w:w="28" w:type="dxa"/>
            </w:tcMar>
            <w:vAlign w:val="center"/>
          </w:tcPr>
          <w:p>
            <w:pPr>
              <w:pStyle w:val="TableContents"/>
              <w:bidi w:val="0"/>
              <w:spacing w:before="0" w:after="283"/>
              <w:jc w:val="right"/>
              <w:rPr>
                <w:b/>
              </w:rPr>
            </w:pPr>
            <w:r>
              <w:rPr>
                <w:b/>
              </w:rPr>
              <w:t>(97,539</w:t>
            </w:r>
          </w:p>
        </w:tc>
        <w:tc>
          <w:tcPr>
            <w:tcW w:w="111" w:type="dxa"/>
            <w:tcBorders/>
            <w:shd w:fill="CCEEFF" w:val="clear"/>
            <w:vAlign w:val="center"/>
          </w:tcPr>
          <w:p>
            <w:pPr>
              <w:pStyle w:val="TableContents"/>
              <w:bidi w:val="0"/>
              <w:spacing w:before="0" w:after="283"/>
              <w:ind w:left="0" w:right="0" w:hanging="180"/>
              <w:jc w:val="left"/>
              <w:rPr>
                <w:b/>
              </w:rPr>
            </w:pPr>
            <w:r>
              <w:rPr>
                <w:b/>
              </w:rPr>
              <w:t>)</w:t>
            </w:r>
          </w:p>
        </w:tc>
      </w:tr>
      <w:tr>
        <w:trPr/>
        <w:tc>
          <w:tcPr>
            <w:tcW w:w="1801" w:type="dxa"/>
            <w:tcBorders/>
            <w:shd w:fill="FFFFFF" w:val="clear"/>
            <w:vAlign w:val="center"/>
          </w:tcPr>
          <w:p>
            <w:pPr>
              <w:pStyle w:val="TableContents"/>
              <w:bidi w:val="0"/>
              <w:spacing w:before="0" w:after="283"/>
              <w:jc w:val="left"/>
              <w:rPr/>
            </w:pPr>
            <w:r>
              <w:rPr/>
              <w:t>Exercise of common stock options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730,265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01" w:type="dxa"/>
            <w:tcBorders/>
            <w:shd w:fill="FFFFFF" w:val="clear"/>
            <w:vAlign w:val="center"/>
          </w:tcPr>
          <w:p>
            <w:pPr>
              <w:pStyle w:val="TableContents"/>
              <w:bidi w:val="0"/>
              <w:spacing w:before="0" w:after="283"/>
              <w:jc w:val="left"/>
              <w:rPr/>
            </w:pPr>
            <w:r>
              <w:rPr/>
              <w:t> </w:t>
            </w:r>
          </w:p>
        </w:tc>
        <w:tc>
          <w:tcPr>
            <w:tcW w:w="559"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3" w:type="dxa"/>
            <w:tcBorders/>
            <w:shd w:fill="FFFFFF" w:val="clear"/>
            <w:vAlign w:val="center"/>
          </w:tcPr>
          <w:p>
            <w:pPr>
              <w:pStyle w:val="TableContents"/>
              <w:bidi w:val="0"/>
              <w:spacing w:before="0" w:after="283"/>
              <w:jc w:val="left"/>
              <w:rPr/>
            </w:pPr>
            <w:r>
              <w:rPr/>
              <w:t> </w:t>
            </w:r>
          </w:p>
        </w:tc>
        <w:tc>
          <w:tcPr>
            <w:tcW w:w="937" w:type="dxa"/>
            <w:tcBorders/>
            <w:shd w:fill="FFFFFF" w:val="clear"/>
            <w:vAlign w:val="center"/>
          </w:tcPr>
          <w:p>
            <w:pPr>
              <w:pStyle w:val="TableContents"/>
              <w:bidi w:val="0"/>
              <w:spacing w:before="0" w:after="283"/>
              <w:jc w:val="right"/>
              <w:rPr/>
            </w:pPr>
            <w:r>
              <w:rPr/>
              <w:t>480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8" w:type="dxa"/>
            <w:tcBorders/>
            <w:shd w:fill="FFFFFF" w:val="clear"/>
            <w:vAlign w:val="center"/>
          </w:tcPr>
          <w:p>
            <w:pPr>
              <w:pStyle w:val="TableContents"/>
              <w:bidi w:val="0"/>
              <w:spacing w:before="0" w:after="283"/>
              <w:jc w:val="left"/>
              <w:rPr/>
            </w:pPr>
            <w:r>
              <w:rPr/>
              <w:t> </w:t>
            </w:r>
          </w:p>
        </w:tc>
        <w:tc>
          <w:tcPr>
            <w:tcW w:w="1182"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32" w:type="dxa"/>
            <w:tcBorders/>
            <w:shd w:fill="FFFFFF" w:val="clear"/>
            <w:vAlign w:val="center"/>
          </w:tcPr>
          <w:p>
            <w:pPr>
              <w:pStyle w:val="TableContents"/>
              <w:bidi w:val="0"/>
              <w:spacing w:before="0" w:after="283"/>
              <w:jc w:val="left"/>
              <w:rPr/>
            </w:pPr>
            <w:r>
              <w:rPr/>
              <w:t> </w:t>
            </w:r>
          </w:p>
        </w:tc>
        <w:tc>
          <w:tcPr>
            <w:tcW w:w="1178"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9" w:type="dxa"/>
            <w:tcBorders/>
            <w:shd w:fill="FFFFFF" w:val="clear"/>
            <w:vAlign w:val="center"/>
          </w:tcPr>
          <w:p>
            <w:pPr>
              <w:pStyle w:val="TableContents"/>
              <w:bidi w:val="0"/>
              <w:spacing w:before="0" w:after="283"/>
              <w:jc w:val="left"/>
              <w:rPr/>
            </w:pPr>
            <w:r>
              <w:rPr/>
              <w:t> </w:t>
            </w:r>
          </w:p>
        </w:tc>
        <w:tc>
          <w:tcPr>
            <w:tcW w:w="1134" w:type="dxa"/>
            <w:tcBorders/>
            <w:shd w:fill="FFFFFF" w:val="clear"/>
            <w:vAlign w:val="center"/>
          </w:tcPr>
          <w:p>
            <w:pPr>
              <w:pStyle w:val="TableContents"/>
              <w:bidi w:val="0"/>
              <w:spacing w:before="0" w:after="283"/>
              <w:jc w:val="right"/>
              <w:rPr/>
            </w:pPr>
            <w:r>
              <w:rPr/>
              <w:t>480</w:t>
            </w:r>
          </w:p>
        </w:tc>
        <w:tc>
          <w:tcPr>
            <w:tcW w:w="111" w:type="dxa"/>
            <w:tcBorders/>
            <w:shd w:fill="FFFFFF" w:val="clear"/>
            <w:vAlign w:val="center"/>
          </w:tcPr>
          <w:p>
            <w:pPr>
              <w:pStyle w:val="TableContents"/>
              <w:bidi w:val="0"/>
              <w:spacing w:before="0" w:after="283"/>
              <w:ind w:left="0" w:right="0" w:hanging="180"/>
              <w:jc w:val="left"/>
              <w:rPr/>
            </w:pPr>
            <w:r>
              <w:rPr/>
              <w:t> </w:t>
            </w:r>
          </w:p>
        </w:tc>
      </w:tr>
      <w:tr>
        <w:trPr/>
        <w:tc>
          <w:tcPr>
            <w:tcW w:w="1801" w:type="dxa"/>
            <w:tcBorders/>
            <w:shd w:fill="CCEEFF" w:val="clear"/>
            <w:vAlign w:val="center"/>
          </w:tcPr>
          <w:p>
            <w:pPr>
              <w:pStyle w:val="TableContents"/>
              <w:bidi w:val="0"/>
              <w:spacing w:before="0" w:after="283"/>
              <w:jc w:val="left"/>
              <w:rPr/>
            </w:pPr>
            <w:r>
              <w:rPr/>
              <w:t>Stock-based compensation</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1" w:type="dxa"/>
            <w:tcBorders/>
            <w:shd w:fill="CCEEFF" w:val="clear"/>
            <w:vAlign w:val="center"/>
          </w:tcPr>
          <w:p>
            <w:pPr>
              <w:pStyle w:val="TableContents"/>
              <w:bidi w:val="0"/>
              <w:spacing w:before="0" w:after="283"/>
              <w:jc w:val="left"/>
              <w:rPr/>
            </w:pPr>
            <w:r>
              <w:rPr/>
              <w:t> </w:t>
            </w:r>
          </w:p>
        </w:tc>
        <w:tc>
          <w:tcPr>
            <w:tcW w:w="559"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3" w:type="dxa"/>
            <w:tcBorders/>
            <w:shd w:fill="CCEEFF" w:val="clear"/>
            <w:vAlign w:val="center"/>
          </w:tcPr>
          <w:p>
            <w:pPr>
              <w:pStyle w:val="TableContents"/>
              <w:bidi w:val="0"/>
              <w:spacing w:before="0" w:after="283"/>
              <w:jc w:val="left"/>
              <w:rPr/>
            </w:pPr>
            <w:r>
              <w:rPr/>
              <w:t> </w:t>
            </w:r>
          </w:p>
        </w:tc>
        <w:tc>
          <w:tcPr>
            <w:tcW w:w="937" w:type="dxa"/>
            <w:tcBorders/>
            <w:shd w:fill="CCEEFF" w:val="clear"/>
            <w:vAlign w:val="center"/>
          </w:tcPr>
          <w:p>
            <w:pPr>
              <w:pStyle w:val="TableContents"/>
              <w:bidi w:val="0"/>
              <w:spacing w:before="0" w:after="283"/>
              <w:jc w:val="right"/>
              <w:rPr/>
            </w:pPr>
            <w:r>
              <w:rPr/>
              <w:t>10,488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8" w:type="dxa"/>
            <w:tcBorders/>
            <w:shd w:fill="CCEEFF" w:val="clear"/>
            <w:vAlign w:val="center"/>
          </w:tcPr>
          <w:p>
            <w:pPr>
              <w:pStyle w:val="TableContents"/>
              <w:bidi w:val="0"/>
              <w:spacing w:before="0" w:after="283"/>
              <w:jc w:val="left"/>
              <w:rPr/>
            </w:pPr>
            <w:r>
              <w:rPr/>
              <w:t> </w:t>
            </w:r>
          </w:p>
        </w:tc>
        <w:tc>
          <w:tcPr>
            <w:tcW w:w="1182"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32" w:type="dxa"/>
            <w:tcBorders/>
            <w:shd w:fill="CCEEFF" w:val="clear"/>
            <w:vAlign w:val="center"/>
          </w:tcPr>
          <w:p>
            <w:pPr>
              <w:pStyle w:val="TableContents"/>
              <w:bidi w:val="0"/>
              <w:spacing w:before="0" w:after="283"/>
              <w:jc w:val="left"/>
              <w:rPr/>
            </w:pPr>
            <w:r>
              <w:rPr/>
              <w:t> </w:t>
            </w:r>
          </w:p>
        </w:tc>
        <w:tc>
          <w:tcPr>
            <w:tcW w:w="1178"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9" w:type="dxa"/>
            <w:tcBorders/>
            <w:shd w:fill="CCEEFF" w:val="clear"/>
            <w:vAlign w:val="center"/>
          </w:tcPr>
          <w:p>
            <w:pPr>
              <w:pStyle w:val="TableContents"/>
              <w:bidi w:val="0"/>
              <w:spacing w:before="0" w:after="283"/>
              <w:jc w:val="left"/>
              <w:rPr/>
            </w:pPr>
            <w:r>
              <w:rPr/>
              <w:t> </w:t>
            </w:r>
          </w:p>
        </w:tc>
        <w:tc>
          <w:tcPr>
            <w:tcW w:w="1134" w:type="dxa"/>
            <w:tcBorders/>
            <w:shd w:fill="CCEEFF" w:val="clear"/>
            <w:vAlign w:val="center"/>
          </w:tcPr>
          <w:p>
            <w:pPr>
              <w:pStyle w:val="TableContents"/>
              <w:bidi w:val="0"/>
              <w:spacing w:before="0" w:after="283"/>
              <w:jc w:val="right"/>
              <w:rPr/>
            </w:pPr>
            <w:r>
              <w:rPr/>
              <w:t>10,488</w:t>
            </w:r>
          </w:p>
        </w:tc>
        <w:tc>
          <w:tcPr>
            <w:tcW w:w="111" w:type="dxa"/>
            <w:tcBorders/>
            <w:shd w:fill="CCEEFF" w:val="clear"/>
            <w:vAlign w:val="center"/>
          </w:tcPr>
          <w:p>
            <w:pPr>
              <w:pStyle w:val="TableContents"/>
              <w:bidi w:val="0"/>
              <w:spacing w:before="0" w:after="283"/>
              <w:ind w:left="0" w:right="0" w:hanging="180"/>
              <w:jc w:val="left"/>
              <w:rPr/>
            </w:pPr>
            <w:r>
              <w:rPr/>
              <w:t> </w:t>
            </w:r>
          </w:p>
        </w:tc>
      </w:tr>
      <w:tr>
        <w:trPr/>
        <w:tc>
          <w:tcPr>
            <w:tcW w:w="1801" w:type="dxa"/>
            <w:tcBorders/>
            <w:shd w:fill="FFFFFF" w:val="clear"/>
            <w:vAlign w:val="center"/>
          </w:tcPr>
          <w:p>
            <w:pPr>
              <w:pStyle w:val="TableContents"/>
              <w:bidi w:val="0"/>
              <w:spacing w:before="0" w:after="283"/>
              <w:jc w:val="left"/>
              <w:rPr/>
            </w:pPr>
            <w:r>
              <w:rPr/>
              <w:t>Taxes paid related to net share settlements of equity awards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01" w:type="dxa"/>
            <w:tcBorders/>
            <w:shd w:fill="FFFFFF" w:val="clear"/>
            <w:vAlign w:val="center"/>
          </w:tcPr>
          <w:p>
            <w:pPr>
              <w:pStyle w:val="TableContents"/>
              <w:bidi w:val="0"/>
              <w:spacing w:before="0" w:after="283"/>
              <w:jc w:val="left"/>
              <w:rPr/>
            </w:pPr>
            <w:r>
              <w:rPr/>
              <w:t> </w:t>
            </w:r>
          </w:p>
        </w:tc>
        <w:tc>
          <w:tcPr>
            <w:tcW w:w="559"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3" w:type="dxa"/>
            <w:tcBorders/>
            <w:shd w:fill="FFFFFF" w:val="clear"/>
            <w:vAlign w:val="center"/>
          </w:tcPr>
          <w:p>
            <w:pPr>
              <w:pStyle w:val="TableContents"/>
              <w:bidi w:val="0"/>
              <w:spacing w:before="0" w:after="283"/>
              <w:jc w:val="left"/>
              <w:rPr/>
            </w:pPr>
            <w:r>
              <w:rPr/>
              <w:t> </w:t>
            </w:r>
          </w:p>
        </w:tc>
        <w:tc>
          <w:tcPr>
            <w:tcW w:w="937" w:type="dxa"/>
            <w:tcBorders/>
            <w:shd w:fill="FFFFFF" w:val="clear"/>
            <w:vAlign w:val="center"/>
          </w:tcPr>
          <w:p>
            <w:pPr>
              <w:pStyle w:val="TableContents"/>
              <w:bidi w:val="0"/>
              <w:spacing w:before="0" w:after="283"/>
              <w:jc w:val="right"/>
              <w:rPr/>
            </w:pPr>
            <w:r>
              <w:rPr/>
              <w:t>(1,898</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88" w:type="dxa"/>
            <w:tcBorders/>
            <w:shd w:fill="FFFFFF" w:val="clear"/>
            <w:vAlign w:val="center"/>
          </w:tcPr>
          <w:p>
            <w:pPr>
              <w:pStyle w:val="TableContents"/>
              <w:bidi w:val="0"/>
              <w:spacing w:before="0" w:after="283"/>
              <w:jc w:val="left"/>
              <w:rPr/>
            </w:pPr>
            <w:r>
              <w:rPr/>
              <w:t> </w:t>
            </w:r>
          </w:p>
        </w:tc>
        <w:tc>
          <w:tcPr>
            <w:tcW w:w="1182"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32" w:type="dxa"/>
            <w:tcBorders/>
            <w:shd w:fill="FFFFFF" w:val="clear"/>
            <w:vAlign w:val="center"/>
          </w:tcPr>
          <w:p>
            <w:pPr>
              <w:pStyle w:val="TableContents"/>
              <w:bidi w:val="0"/>
              <w:spacing w:before="0" w:after="283"/>
              <w:jc w:val="left"/>
              <w:rPr/>
            </w:pPr>
            <w:r>
              <w:rPr/>
              <w:t> </w:t>
            </w:r>
          </w:p>
        </w:tc>
        <w:tc>
          <w:tcPr>
            <w:tcW w:w="1178"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9" w:type="dxa"/>
            <w:tcBorders/>
            <w:shd w:fill="FFFFFF" w:val="clear"/>
            <w:vAlign w:val="center"/>
          </w:tcPr>
          <w:p>
            <w:pPr>
              <w:pStyle w:val="TableContents"/>
              <w:bidi w:val="0"/>
              <w:spacing w:before="0" w:after="283"/>
              <w:jc w:val="left"/>
              <w:rPr/>
            </w:pPr>
            <w:r>
              <w:rPr/>
              <w:t> </w:t>
            </w:r>
          </w:p>
        </w:tc>
        <w:tc>
          <w:tcPr>
            <w:tcW w:w="1134" w:type="dxa"/>
            <w:tcBorders/>
            <w:shd w:fill="FFFFFF" w:val="clear"/>
            <w:vAlign w:val="center"/>
          </w:tcPr>
          <w:p>
            <w:pPr>
              <w:pStyle w:val="TableContents"/>
              <w:bidi w:val="0"/>
              <w:spacing w:before="0" w:after="283"/>
              <w:jc w:val="right"/>
              <w:rPr/>
            </w:pPr>
            <w:r>
              <w:rPr/>
              <w:t>(1,898</w:t>
            </w:r>
          </w:p>
        </w:tc>
        <w:tc>
          <w:tcPr>
            <w:tcW w:w="111" w:type="dxa"/>
            <w:tcBorders/>
            <w:shd w:fill="FFFFFF" w:val="clear"/>
            <w:vAlign w:val="center"/>
          </w:tcPr>
          <w:p>
            <w:pPr>
              <w:pStyle w:val="TableContents"/>
              <w:bidi w:val="0"/>
              <w:spacing w:before="0" w:after="283"/>
              <w:ind w:left="0" w:right="0" w:hanging="180"/>
              <w:jc w:val="left"/>
              <w:rPr/>
            </w:pPr>
            <w:r>
              <w:rPr/>
              <w:t>)</w:t>
            </w:r>
          </w:p>
        </w:tc>
      </w:tr>
      <w:tr>
        <w:trPr/>
        <w:tc>
          <w:tcPr>
            <w:tcW w:w="1801" w:type="dxa"/>
            <w:tcBorders/>
            <w:shd w:fill="CCEEFF" w:val="clear"/>
            <w:vAlign w:val="center"/>
          </w:tcPr>
          <w:p>
            <w:pPr>
              <w:pStyle w:val="TableContents"/>
              <w:bidi w:val="0"/>
              <w:spacing w:before="0" w:after="283"/>
              <w:jc w:val="left"/>
              <w:rPr/>
            </w:pPr>
            <w:r>
              <w:rPr/>
              <w:t>Vesting of restricted stock units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4,632,211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1" w:type="dxa"/>
            <w:tcBorders/>
            <w:shd w:fill="CCEEFF" w:val="clear"/>
            <w:vAlign w:val="center"/>
          </w:tcPr>
          <w:p>
            <w:pPr>
              <w:pStyle w:val="TableContents"/>
              <w:bidi w:val="0"/>
              <w:spacing w:before="0" w:after="283"/>
              <w:jc w:val="left"/>
              <w:rPr/>
            </w:pPr>
            <w:r>
              <w:rPr/>
              <w:t> </w:t>
            </w:r>
          </w:p>
        </w:tc>
        <w:tc>
          <w:tcPr>
            <w:tcW w:w="559"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3" w:type="dxa"/>
            <w:tcBorders/>
            <w:shd w:fill="CCEEFF" w:val="clear"/>
            <w:vAlign w:val="center"/>
          </w:tcPr>
          <w:p>
            <w:pPr>
              <w:pStyle w:val="TableContents"/>
              <w:bidi w:val="0"/>
              <w:spacing w:before="0" w:after="283"/>
              <w:jc w:val="left"/>
              <w:rPr/>
            </w:pPr>
            <w:r>
              <w:rPr/>
              <w:t> </w:t>
            </w:r>
          </w:p>
        </w:tc>
        <w:tc>
          <w:tcPr>
            <w:tcW w:w="937"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8" w:type="dxa"/>
            <w:tcBorders/>
            <w:shd w:fill="CCEEFF" w:val="clear"/>
            <w:vAlign w:val="center"/>
          </w:tcPr>
          <w:p>
            <w:pPr>
              <w:pStyle w:val="TableContents"/>
              <w:bidi w:val="0"/>
              <w:spacing w:before="0" w:after="283"/>
              <w:jc w:val="left"/>
              <w:rPr/>
            </w:pPr>
            <w:r>
              <w:rPr/>
              <w:t> </w:t>
            </w:r>
          </w:p>
        </w:tc>
        <w:tc>
          <w:tcPr>
            <w:tcW w:w="1182"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32" w:type="dxa"/>
            <w:tcBorders/>
            <w:shd w:fill="CCEEFF" w:val="clear"/>
            <w:vAlign w:val="center"/>
          </w:tcPr>
          <w:p>
            <w:pPr>
              <w:pStyle w:val="TableContents"/>
              <w:bidi w:val="0"/>
              <w:spacing w:before="0" w:after="283"/>
              <w:jc w:val="left"/>
              <w:rPr/>
            </w:pPr>
            <w:r>
              <w:rPr/>
              <w:t> </w:t>
            </w:r>
          </w:p>
        </w:tc>
        <w:tc>
          <w:tcPr>
            <w:tcW w:w="1178"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9" w:type="dxa"/>
            <w:tcBorders/>
            <w:shd w:fill="CCEEFF" w:val="clear"/>
            <w:vAlign w:val="center"/>
          </w:tcPr>
          <w:p>
            <w:pPr>
              <w:pStyle w:val="TableContents"/>
              <w:bidi w:val="0"/>
              <w:spacing w:before="0" w:after="283"/>
              <w:jc w:val="left"/>
              <w:rPr/>
            </w:pPr>
            <w:r>
              <w:rPr/>
              <w:t> </w:t>
            </w:r>
          </w:p>
        </w:tc>
        <w:tc>
          <w:tcPr>
            <w:tcW w:w="1134" w:type="dxa"/>
            <w:tcBorders/>
            <w:shd w:fill="CCEEFF" w:val="clear"/>
            <w:vAlign w:val="center"/>
          </w:tcPr>
          <w:p>
            <w:pPr>
              <w:pStyle w:val="TableContents"/>
              <w:bidi w:val="0"/>
              <w:spacing w:before="0" w:after="283"/>
              <w:jc w:val="right"/>
              <w:rPr/>
            </w:pPr>
            <w:r>
              <w:rPr/>
              <w:t>—</w:t>
            </w:r>
          </w:p>
        </w:tc>
        <w:tc>
          <w:tcPr>
            <w:tcW w:w="111" w:type="dxa"/>
            <w:tcBorders/>
            <w:shd w:fill="CCEEFF" w:val="clear"/>
            <w:vAlign w:val="center"/>
          </w:tcPr>
          <w:p>
            <w:pPr>
              <w:pStyle w:val="TableContents"/>
              <w:bidi w:val="0"/>
              <w:spacing w:before="0" w:after="283"/>
              <w:ind w:left="0" w:right="0" w:hanging="180"/>
              <w:jc w:val="left"/>
              <w:rPr/>
            </w:pPr>
            <w:r>
              <w:rPr/>
              <w:t> </w:t>
            </w:r>
          </w:p>
        </w:tc>
      </w:tr>
      <w:tr>
        <w:trPr/>
        <w:tc>
          <w:tcPr>
            <w:tcW w:w="1801" w:type="dxa"/>
            <w:tcBorders/>
            <w:shd w:fill="FFFFFF" w:val="clear"/>
            <w:vAlign w:val="center"/>
          </w:tcPr>
          <w:p>
            <w:pPr>
              <w:pStyle w:val="TableContents"/>
              <w:bidi w:val="0"/>
              <w:spacing w:before="0" w:after="283"/>
              <w:jc w:val="left"/>
              <w:rPr/>
            </w:pPr>
            <w:r>
              <w:rPr/>
              <w:t>Exercise of common stock warrants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6,000,000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01" w:type="dxa"/>
            <w:tcBorders/>
            <w:shd w:fill="FFFFFF" w:val="clear"/>
            <w:vAlign w:val="center"/>
          </w:tcPr>
          <w:p>
            <w:pPr>
              <w:pStyle w:val="TableContents"/>
              <w:bidi w:val="0"/>
              <w:spacing w:before="0" w:after="283"/>
              <w:jc w:val="left"/>
              <w:rPr/>
            </w:pPr>
            <w:r>
              <w:rPr/>
              <w:t> </w:t>
            </w:r>
          </w:p>
        </w:tc>
        <w:tc>
          <w:tcPr>
            <w:tcW w:w="559"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3" w:type="dxa"/>
            <w:tcBorders/>
            <w:shd w:fill="FFFFFF" w:val="clear"/>
            <w:vAlign w:val="center"/>
          </w:tcPr>
          <w:p>
            <w:pPr>
              <w:pStyle w:val="TableContents"/>
              <w:bidi w:val="0"/>
              <w:spacing w:before="0" w:after="283"/>
              <w:jc w:val="left"/>
              <w:rPr/>
            </w:pPr>
            <w:r>
              <w:rPr/>
              <w:t> </w:t>
            </w:r>
          </w:p>
        </w:tc>
        <w:tc>
          <w:tcPr>
            <w:tcW w:w="937" w:type="dxa"/>
            <w:tcBorders/>
            <w:shd w:fill="FFFFFF" w:val="clear"/>
            <w:vAlign w:val="center"/>
          </w:tcPr>
          <w:p>
            <w:pPr>
              <w:pStyle w:val="TableContents"/>
              <w:bidi w:val="0"/>
              <w:spacing w:before="0" w:after="283"/>
              <w:jc w:val="right"/>
              <w:rPr/>
            </w:pPr>
            <w:r>
              <w:rPr/>
              <w:t>60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8" w:type="dxa"/>
            <w:tcBorders/>
            <w:shd w:fill="FFFFFF" w:val="clear"/>
            <w:vAlign w:val="center"/>
          </w:tcPr>
          <w:p>
            <w:pPr>
              <w:pStyle w:val="TableContents"/>
              <w:bidi w:val="0"/>
              <w:spacing w:before="0" w:after="283"/>
              <w:jc w:val="left"/>
              <w:rPr/>
            </w:pPr>
            <w:r>
              <w:rPr/>
              <w:t> </w:t>
            </w:r>
          </w:p>
        </w:tc>
        <w:tc>
          <w:tcPr>
            <w:tcW w:w="1182"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32" w:type="dxa"/>
            <w:tcBorders/>
            <w:shd w:fill="FFFFFF" w:val="clear"/>
            <w:vAlign w:val="center"/>
          </w:tcPr>
          <w:p>
            <w:pPr>
              <w:pStyle w:val="TableContents"/>
              <w:bidi w:val="0"/>
              <w:spacing w:before="0" w:after="283"/>
              <w:jc w:val="left"/>
              <w:rPr/>
            </w:pPr>
            <w:r>
              <w:rPr/>
              <w:t> </w:t>
            </w:r>
          </w:p>
        </w:tc>
        <w:tc>
          <w:tcPr>
            <w:tcW w:w="1178"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9" w:type="dxa"/>
            <w:tcBorders/>
            <w:shd w:fill="FFFFFF" w:val="clear"/>
            <w:vAlign w:val="center"/>
          </w:tcPr>
          <w:p>
            <w:pPr>
              <w:pStyle w:val="TableContents"/>
              <w:bidi w:val="0"/>
              <w:spacing w:before="0" w:after="283"/>
              <w:jc w:val="left"/>
              <w:rPr/>
            </w:pPr>
            <w:r>
              <w:rPr/>
              <w:t> </w:t>
            </w:r>
          </w:p>
        </w:tc>
        <w:tc>
          <w:tcPr>
            <w:tcW w:w="1134" w:type="dxa"/>
            <w:tcBorders/>
            <w:shd w:fill="FFFFFF" w:val="clear"/>
            <w:vAlign w:val="center"/>
          </w:tcPr>
          <w:p>
            <w:pPr>
              <w:pStyle w:val="TableContents"/>
              <w:bidi w:val="0"/>
              <w:spacing w:before="0" w:after="283"/>
              <w:jc w:val="right"/>
              <w:rPr/>
            </w:pPr>
            <w:r>
              <w:rPr/>
              <w:t>60</w:t>
            </w:r>
          </w:p>
        </w:tc>
        <w:tc>
          <w:tcPr>
            <w:tcW w:w="111" w:type="dxa"/>
            <w:tcBorders/>
            <w:shd w:fill="FFFFFF" w:val="clear"/>
            <w:vAlign w:val="center"/>
          </w:tcPr>
          <w:p>
            <w:pPr>
              <w:pStyle w:val="TableContents"/>
              <w:bidi w:val="0"/>
              <w:spacing w:before="0" w:after="283"/>
              <w:ind w:left="0" w:right="0" w:hanging="180"/>
              <w:jc w:val="left"/>
              <w:rPr/>
            </w:pPr>
            <w:r>
              <w:rPr/>
              <w:t> </w:t>
            </w:r>
          </w:p>
        </w:tc>
      </w:tr>
      <w:tr>
        <w:trPr/>
        <w:tc>
          <w:tcPr>
            <w:tcW w:w="1801" w:type="dxa"/>
            <w:tcBorders/>
            <w:shd w:fill="CCEEFF" w:val="clear"/>
            <w:vAlign w:val="center"/>
          </w:tcPr>
          <w:p>
            <w:pPr>
              <w:pStyle w:val="TableContents"/>
              <w:bidi w:val="0"/>
              <w:spacing w:before="0" w:after="283"/>
              <w:jc w:val="left"/>
              <w:rPr/>
            </w:pPr>
            <w:r>
              <w:rPr/>
              <w:t>Issuance of common stock as consideration for acquisition of businesses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13,577,258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1" w:type="dxa"/>
            <w:tcBorders/>
            <w:shd w:fill="CCEEFF" w:val="clear"/>
            <w:vAlign w:val="center"/>
          </w:tcPr>
          <w:p>
            <w:pPr>
              <w:pStyle w:val="TableContents"/>
              <w:bidi w:val="0"/>
              <w:spacing w:before="0" w:after="283"/>
              <w:jc w:val="left"/>
              <w:rPr/>
            </w:pPr>
            <w:r>
              <w:rPr/>
              <w:t> </w:t>
            </w:r>
          </w:p>
        </w:tc>
        <w:tc>
          <w:tcPr>
            <w:tcW w:w="559" w:type="dxa"/>
            <w:tcBorders/>
            <w:shd w:fill="CCEEFF" w:val="clear"/>
            <w:vAlign w:val="center"/>
          </w:tcPr>
          <w:p>
            <w:pPr>
              <w:pStyle w:val="TableContents"/>
              <w:bidi w:val="0"/>
              <w:spacing w:before="0" w:after="283"/>
              <w:jc w:val="right"/>
              <w:rPr/>
            </w:pPr>
            <w:r>
              <w:rPr/>
              <w:t>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3" w:type="dxa"/>
            <w:tcBorders/>
            <w:shd w:fill="CCEEFF" w:val="clear"/>
            <w:vAlign w:val="center"/>
          </w:tcPr>
          <w:p>
            <w:pPr>
              <w:pStyle w:val="TableContents"/>
              <w:bidi w:val="0"/>
              <w:spacing w:before="0" w:after="283"/>
              <w:jc w:val="left"/>
              <w:rPr/>
            </w:pPr>
            <w:r>
              <w:rPr/>
              <w:t> </w:t>
            </w:r>
          </w:p>
        </w:tc>
        <w:tc>
          <w:tcPr>
            <w:tcW w:w="937" w:type="dxa"/>
            <w:tcBorders/>
            <w:shd w:fill="CCEEFF" w:val="clear"/>
            <w:vAlign w:val="center"/>
          </w:tcPr>
          <w:p>
            <w:pPr>
              <w:pStyle w:val="TableContents"/>
              <w:bidi w:val="0"/>
              <w:spacing w:before="0" w:after="283"/>
              <w:jc w:val="right"/>
              <w:rPr/>
            </w:pPr>
            <w:r>
              <w:rPr/>
              <w:t>22,192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8" w:type="dxa"/>
            <w:tcBorders/>
            <w:shd w:fill="CCEEFF" w:val="clear"/>
            <w:vAlign w:val="center"/>
          </w:tcPr>
          <w:p>
            <w:pPr>
              <w:pStyle w:val="TableContents"/>
              <w:bidi w:val="0"/>
              <w:spacing w:before="0" w:after="283"/>
              <w:jc w:val="left"/>
              <w:rPr/>
            </w:pPr>
            <w:r>
              <w:rPr/>
              <w:t> </w:t>
            </w:r>
          </w:p>
        </w:tc>
        <w:tc>
          <w:tcPr>
            <w:tcW w:w="1182"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32" w:type="dxa"/>
            <w:tcBorders/>
            <w:shd w:fill="CCEEFF" w:val="clear"/>
            <w:vAlign w:val="center"/>
          </w:tcPr>
          <w:p>
            <w:pPr>
              <w:pStyle w:val="TableContents"/>
              <w:bidi w:val="0"/>
              <w:spacing w:before="0" w:after="283"/>
              <w:jc w:val="left"/>
              <w:rPr/>
            </w:pPr>
            <w:r>
              <w:rPr/>
              <w:t> </w:t>
            </w:r>
          </w:p>
        </w:tc>
        <w:tc>
          <w:tcPr>
            <w:tcW w:w="1178"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9" w:type="dxa"/>
            <w:tcBorders/>
            <w:shd w:fill="CCEEFF" w:val="clear"/>
            <w:vAlign w:val="center"/>
          </w:tcPr>
          <w:p>
            <w:pPr>
              <w:pStyle w:val="TableContents"/>
              <w:bidi w:val="0"/>
              <w:spacing w:before="0" w:after="283"/>
              <w:jc w:val="left"/>
              <w:rPr/>
            </w:pPr>
            <w:r>
              <w:rPr/>
              <w:t> </w:t>
            </w:r>
          </w:p>
        </w:tc>
        <w:tc>
          <w:tcPr>
            <w:tcW w:w="1134" w:type="dxa"/>
            <w:tcBorders/>
            <w:shd w:fill="CCEEFF" w:val="clear"/>
            <w:vAlign w:val="center"/>
          </w:tcPr>
          <w:p>
            <w:pPr>
              <w:pStyle w:val="TableContents"/>
              <w:bidi w:val="0"/>
              <w:spacing w:before="0" w:after="283"/>
              <w:jc w:val="right"/>
              <w:rPr/>
            </w:pPr>
            <w:r>
              <w:rPr/>
              <w:t>22,193</w:t>
            </w:r>
          </w:p>
        </w:tc>
        <w:tc>
          <w:tcPr>
            <w:tcW w:w="111" w:type="dxa"/>
            <w:tcBorders/>
            <w:shd w:fill="CCEEFF" w:val="clear"/>
            <w:vAlign w:val="center"/>
          </w:tcPr>
          <w:p>
            <w:pPr>
              <w:pStyle w:val="TableContents"/>
              <w:bidi w:val="0"/>
              <w:spacing w:before="0" w:after="283"/>
              <w:ind w:left="0" w:right="0" w:hanging="180"/>
              <w:jc w:val="left"/>
              <w:rPr/>
            </w:pPr>
            <w:r>
              <w:rPr/>
              <w:t> </w:t>
            </w:r>
          </w:p>
        </w:tc>
      </w:tr>
      <w:tr>
        <w:trPr/>
        <w:tc>
          <w:tcPr>
            <w:tcW w:w="1801" w:type="dxa"/>
            <w:tcBorders/>
            <w:shd w:fill="FFFFFF" w:val="clear"/>
            <w:vAlign w:val="center"/>
          </w:tcPr>
          <w:p>
            <w:pPr>
              <w:pStyle w:val="TableContents"/>
              <w:bidi w:val="0"/>
              <w:spacing w:before="0" w:after="283"/>
              <w:jc w:val="left"/>
              <w:rPr/>
            </w:pPr>
            <w:r>
              <w:rPr/>
              <w:t>Issuance of common stock</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4,010,000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01" w:type="dxa"/>
            <w:tcBorders/>
            <w:shd w:fill="FFFFFF" w:val="clear"/>
            <w:vAlign w:val="center"/>
          </w:tcPr>
          <w:p>
            <w:pPr>
              <w:pStyle w:val="TableContents"/>
              <w:bidi w:val="0"/>
              <w:spacing w:before="0" w:after="283"/>
              <w:jc w:val="left"/>
              <w:rPr/>
            </w:pPr>
            <w:r>
              <w:rPr/>
              <w:t> </w:t>
            </w:r>
          </w:p>
        </w:tc>
        <w:tc>
          <w:tcPr>
            <w:tcW w:w="559"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3" w:type="dxa"/>
            <w:tcBorders/>
            <w:shd w:fill="FFFFFF" w:val="clear"/>
            <w:vAlign w:val="center"/>
          </w:tcPr>
          <w:p>
            <w:pPr>
              <w:pStyle w:val="TableContents"/>
              <w:bidi w:val="0"/>
              <w:spacing w:before="0" w:after="283"/>
              <w:jc w:val="left"/>
              <w:rPr/>
            </w:pPr>
            <w:r>
              <w:rPr/>
              <w:t> </w:t>
            </w:r>
          </w:p>
        </w:tc>
        <w:tc>
          <w:tcPr>
            <w:tcW w:w="937" w:type="dxa"/>
            <w:tcBorders/>
            <w:shd w:fill="FFFFFF" w:val="clear"/>
            <w:vAlign w:val="center"/>
          </w:tcPr>
          <w:p>
            <w:pPr>
              <w:pStyle w:val="TableContents"/>
              <w:bidi w:val="0"/>
              <w:spacing w:before="0" w:after="283"/>
              <w:jc w:val="right"/>
              <w:rPr/>
            </w:pPr>
            <w:r>
              <w:rPr/>
              <w:t>6,741</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8" w:type="dxa"/>
            <w:tcBorders/>
            <w:shd w:fill="FFFFFF" w:val="clear"/>
            <w:vAlign w:val="center"/>
          </w:tcPr>
          <w:p>
            <w:pPr>
              <w:pStyle w:val="TableContents"/>
              <w:bidi w:val="0"/>
              <w:spacing w:before="0" w:after="283"/>
              <w:jc w:val="left"/>
              <w:rPr/>
            </w:pPr>
            <w:r>
              <w:rPr/>
              <w:t> </w:t>
            </w:r>
          </w:p>
        </w:tc>
        <w:tc>
          <w:tcPr>
            <w:tcW w:w="1182"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32" w:type="dxa"/>
            <w:tcBorders/>
            <w:shd w:fill="FFFFFF" w:val="clear"/>
            <w:vAlign w:val="center"/>
          </w:tcPr>
          <w:p>
            <w:pPr>
              <w:pStyle w:val="TableContents"/>
              <w:bidi w:val="0"/>
              <w:spacing w:before="0" w:after="283"/>
              <w:jc w:val="left"/>
              <w:rPr/>
            </w:pPr>
            <w:r>
              <w:rPr/>
              <w:t> </w:t>
            </w:r>
          </w:p>
        </w:tc>
        <w:tc>
          <w:tcPr>
            <w:tcW w:w="1178"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9" w:type="dxa"/>
            <w:tcBorders/>
            <w:shd w:fill="FFFFFF" w:val="clear"/>
            <w:vAlign w:val="center"/>
          </w:tcPr>
          <w:p>
            <w:pPr>
              <w:pStyle w:val="TableContents"/>
              <w:bidi w:val="0"/>
              <w:spacing w:before="0" w:after="283"/>
              <w:jc w:val="left"/>
              <w:rPr/>
            </w:pPr>
            <w:r>
              <w:rPr/>
              <w:t> </w:t>
            </w:r>
          </w:p>
        </w:tc>
        <w:tc>
          <w:tcPr>
            <w:tcW w:w="1134" w:type="dxa"/>
            <w:tcBorders/>
            <w:shd w:fill="FFFFFF" w:val="clear"/>
            <w:vAlign w:val="center"/>
          </w:tcPr>
          <w:p>
            <w:pPr>
              <w:pStyle w:val="TableContents"/>
              <w:bidi w:val="0"/>
              <w:spacing w:before="0" w:after="283"/>
              <w:jc w:val="right"/>
              <w:rPr/>
            </w:pPr>
            <w:r>
              <w:rPr/>
              <w:t>6,741</w:t>
            </w:r>
          </w:p>
        </w:tc>
        <w:tc>
          <w:tcPr>
            <w:tcW w:w="111" w:type="dxa"/>
            <w:tcBorders/>
            <w:shd w:fill="FFFFFF" w:val="clear"/>
            <w:vAlign w:val="center"/>
          </w:tcPr>
          <w:p>
            <w:pPr>
              <w:pStyle w:val="TableContents"/>
              <w:bidi w:val="0"/>
              <w:spacing w:before="0" w:after="283"/>
              <w:ind w:left="0" w:right="0" w:hanging="180"/>
              <w:jc w:val="left"/>
              <w:rPr/>
            </w:pPr>
            <w:r>
              <w:rPr/>
              <w:t> </w:t>
            </w:r>
          </w:p>
        </w:tc>
      </w:tr>
      <w:tr>
        <w:trPr/>
        <w:tc>
          <w:tcPr>
            <w:tcW w:w="1801" w:type="dxa"/>
            <w:tcBorders/>
            <w:shd w:fill="CCEEFF" w:val="clear"/>
            <w:vAlign w:val="center"/>
          </w:tcPr>
          <w:p>
            <w:pPr>
              <w:pStyle w:val="TableContents"/>
              <w:bidi w:val="0"/>
              <w:spacing w:before="0" w:after="283"/>
              <w:jc w:val="left"/>
              <w:rPr/>
            </w:pPr>
            <w:r>
              <w:rPr/>
              <w:t>Conversion of 7.0% senior unsecured convertible notes for shares of common stock</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8,600,580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1" w:type="dxa"/>
            <w:tcBorders/>
            <w:shd w:fill="CCEEFF" w:val="clear"/>
            <w:vAlign w:val="center"/>
          </w:tcPr>
          <w:p>
            <w:pPr>
              <w:pStyle w:val="TableContents"/>
              <w:bidi w:val="0"/>
              <w:spacing w:before="0" w:after="283"/>
              <w:jc w:val="left"/>
              <w:rPr/>
            </w:pPr>
            <w:r>
              <w:rPr/>
              <w:t> </w:t>
            </w:r>
          </w:p>
        </w:tc>
        <w:tc>
          <w:tcPr>
            <w:tcW w:w="559" w:type="dxa"/>
            <w:tcBorders/>
            <w:shd w:fill="CCEEFF" w:val="clear"/>
            <w:vAlign w:val="center"/>
          </w:tcPr>
          <w:p>
            <w:pPr>
              <w:pStyle w:val="TableContents"/>
              <w:bidi w:val="0"/>
              <w:spacing w:before="0" w:after="283"/>
              <w:jc w:val="right"/>
              <w:rPr/>
            </w:pPr>
            <w:r>
              <w:rPr/>
              <w:t>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3" w:type="dxa"/>
            <w:tcBorders/>
            <w:shd w:fill="CCEEFF" w:val="clear"/>
            <w:vAlign w:val="center"/>
          </w:tcPr>
          <w:p>
            <w:pPr>
              <w:pStyle w:val="TableContents"/>
              <w:bidi w:val="0"/>
              <w:spacing w:before="0" w:after="283"/>
              <w:jc w:val="left"/>
              <w:rPr/>
            </w:pPr>
            <w:r>
              <w:rPr/>
              <w:t> </w:t>
            </w:r>
          </w:p>
        </w:tc>
        <w:tc>
          <w:tcPr>
            <w:tcW w:w="937" w:type="dxa"/>
            <w:tcBorders/>
            <w:shd w:fill="CCEEFF" w:val="clear"/>
            <w:vAlign w:val="center"/>
          </w:tcPr>
          <w:p>
            <w:pPr>
              <w:pStyle w:val="TableContents"/>
              <w:bidi w:val="0"/>
              <w:spacing w:before="0" w:after="283"/>
              <w:jc w:val="right"/>
              <w:rPr/>
            </w:pPr>
            <w:r>
              <w:rPr/>
              <w:t>14,684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8" w:type="dxa"/>
            <w:tcBorders/>
            <w:shd w:fill="CCEEFF" w:val="clear"/>
            <w:vAlign w:val="center"/>
          </w:tcPr>
          <w:p>
            <w:pPr>
              <w:pStyle w:val="TableContents"/>
              <w:bidi w:val="0"/>
              <w:spacing w:before="0" w:after="283"/>
              <w:jc w:val="left"/>
              <w:rPr/>
            </w:pPr>
            <w:r>
              <w:rPr/>
              <w:t> </w:t>
            </w:r>
          </w:p>
        </w:tc>
        <w:tc>
          <w:tcPr>
            <w:tcW w:w="1182"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32" w:type="dxa"/>
            <w:tcBorders/>
            <w:shd w:fill="CCEEFF" w:val="clear"/>
            <w:vAlign w:val="center"/>
          </w:tcPr>
          <w:p>
            <w:pPr>
              <w:pStyle w:val="TableContents"/>
              <w:bidi w:val="0"/>
              <w:spacing w:before="0" w:after="283"/>
              <w:jc w:val="left"/>
              <w:rPr/>
            </w:pPr>
            <w:r>
              <w:rPr/>
              <w:t> </w:t>
            </w:r>
          </w:p>
        </w:tc>
        <w:tc>
          <w:tcPr>
            <w:tcW w:w="1178"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9" w:type="dxa"/>
            <w:tcBorders/>
            <w:shd w:fill="CCEEFF" w:val="clear"/>
            <w:vAlign w:val="center"/>
          </w:tcPr>
          <w:p>
            <w:pPr>
              <w:pStyle w:val="TableContents"/>
              <w:bidi w:val="0"/>
              <w:spacing w:before="0" w:after="283"/>
              <w:jc w:val="left"/>
              <w:rPr/>
            </w:pPr>
            <w:r>
              <w:rPr/>
              <w:t> </w:t>
            </w:r>
          </w:p>
        </w:tc>
        <w:tc>
          <w:tcPr>
            <w:tcW w:w="1134" w:type="dxa"/>
            <w:tcBorders/>
            <w:shd w:fill="CCEEFF" w:val="clear"/>
            <w:vAlign w:val="center"/>
          </w:tcPr>
          <w:p>
            <w:pPr>
              <w:pStyle w:val="TableContents"/>
              <w:bidi w:val="0"/>
              <w:spacing w:before="0" w:after="283"/>
              <w:jc w:val="right"/>
              <w:rPr/>
            </w:pPr>
            <w:r>
              <w:rPr/>
              <w:t>14,685</w:t>
            </w:r>
          </w:p>
        </w:tc>
        <w:tc>
          <w:tcPr>
            <w:tcW w:w="111" w:type="dxa"/>
            <w:tcBorders/>
            <w:shd w:fill="CCEEFF" w:val="clear"/>
            <w:vAlign w:val="center"/>
          </w:tcPr>
          <w:p>
            <w:pPr>
              <w:pStyle w:val="TableContents"/>
              <w:bidi w:val="0"/>
              <w:spacing w:before="0" w:after="283"/>
              <w:ind w:left="0" w:right="0" w:hanging="180"/>
              <w:jc w:val="left"/>
              <w:rPr/>
            </w:pPr>
            <w:r>
              <w:rPr/>
              <w:t> </w:t>
            </w:r>
          </w:p>
        </w:tc>
      </w:tr>
      <w:tr>
        <w:trPr/>
        <w:tc>
          <w:tcPr>
            <w:tcW w:w="1801" w:type="dxa"/>
            <w:tcBorders/>
            <w:shd w:fill="FFFFFF" w:val="clear"/>
            <w:vAlign w:val="center"/>
          </w:tcPr>
          <w:p>
            <w:pPr>
              <w:pStyle w:val="TableContents"/>
              <w:bidi w:val="0"/>
              <w:spacing w:before="0" w:after="283"/>
              <w:jc w:val="left"/>
              <w:rPr/>
            </w:pPr>
            <w:r>
              <w:rPr/>
              <w:t>Net loss</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20"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01"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559"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3"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937"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8"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82" w:type="dxa"/>
            <w:tcBorders>
              <w:bottom w:val="single" w:sz="12" w:space="0" w:color="000000"/>
            </w:tcBorders>
            <w:shd w:fill="FFFFFF" w:val="clear"/>
            <w:tcMar>
              <w:bottom w:w="28" w:type="dxa"/>
            </w:tcMar>
            <w:vAlign w:val="center"/>
          </w:tcPr>
          <w:p>
            <w:pPr>
              <w:pStyle w:val="TableContents"/>
              <w:bidi w:val="0"/>
              <w:spacing w:before="0" w:after="283"/>
              <w:jc w:val="right"/>
              <w:rPr/>
            </w:pPr>
            <w:r>
              <w:rPr/>
              <w:t>(45,354</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432"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78"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9"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34" w:type="dxa"/>
            <w:tcBorders>
              <w:bottom w:val="single" w:sz="12" w:space="0" w:color="000000"/>
            </w:tcBorders>
            <w:shd w:fill="FFFFFF" w:val="clear"/>
            <w:tcMar>
              <w:bottom w:w="28" w:type="dxa"/>
            </w:tcMar>
            <w:vAlign w:val="center"/>
          </w:tcPr>
          <w:p>
            <w:pPr>
              <w:pStyle w:val="TableContents"/>
              <w:bidi w:val="0"/>
              <w:spacing w:before="0" w:after="283"/>
              <w:jc w:val="right"/>
              <w:rPr/>
            </w:pPr>
            <w:r>
              <w:rPr/>
              <w:t>(45,354</w:t>
            </w:r>
          </w:p>
        </w:tc>
        <w:tc>
          <w:tcPr>
            <w:tcW w:w="111" w:type="dxa"/>
            <w:tcBorders/>
            <w:shd w:fill="FFFFFF" w:val="clear"/>
            <w:vAlign w:val="center"/>
          </w:tcPr>
          <w:p>
            <w:pPr>
              <w:pStyle w:val="TableContents"/>
              <w:bidi w:val="0"/>
              <w:spacing w:before="0" w:after="283"/>
              <w:ind w:left="0" w:right="0" w:hanging="180"/>
              <w:jc w:val="left"/>
              <w:rPr/>
            </w:pPr>
            <w:r>
              <w:rPr/>
              <w:t>)</w:t>
            </w:r>
          </w:p>
        </w:tc>
      </w:tr>
      <w:tr>
        <w:trPr/>
        <w:tc>
          <w:tcPr>
            <w:tcW w:w="1801" w:type="dxa"/>
            <w:tcBorders/>
            <w:shd w:fill="CCEEFF" w:val="clear"/>
            <w:vAlign w:val="center"/>
          </w:tcPr>
          <w:p>
            <w:pPr>
              <w:pStyle w:val="TableContents"/>
              <w:bidi w:val="0"/>
              <w:spacing w:before="0" w:after="283"/>
              <w:jc w:val="left"/>
              <w:rPr>
                <w:b/>
              </w:rPr>
            </w:pPr>
            <w:r>
              <w:rPr>
                <w:b/>
              </w:rPr>
              <w:t>Balance as of December 28, 2025</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1220" w:type="dxa"/>
            <w:tcBorders>
              <w:bottom w:val="double" w:sz="10" w:space="0" w:color="000000"/>
            </w:tcBorders>
            <w:shd w:fill="CCEEFF" w:val="clear"/>
            <w:tcMar>
              <w:bottom w:w="28" w:type="dxa"/>
            </w:tcMar>
            <w:vAlign w:val="center"/>
          </w:tcPr>
          <w:p>
            <w:pPr>
              <w:pStyle w:val="TableContents"/>
              <w:bidi w:val="0"/>
              <w:spacing w:before="0" w:after="283"/>
              <w:jc w:val="right"/>
              <w:rPr>
                <w:b/>
              </w:rPr>
            </w:pPr>
            <w:r>
              <w:rPr>
                <w:b/>
              </w:rPr>
              <w:t>111,334,959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1"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559" w:type="dxa"/>
            <w:tcBorders>
              <w:bottom w:val="double" w:sz="10" w:space="0" w:color="000000"/>
            </w:tcBorders>
            <w:shd w:fill="CCEEFF" w:val="clear"/>
            <w:tcMar>
              <w:bottom w:w="28" w:type="dxa"/>
            </w:tcMar>
            <w:vAlign w:val="center"/>
          </w:tcPr>
          <w:p>
            <w:pPr>
              <w:pStyle w:val="TableContents"/>
              <w:bidi w:val="0"/>
              <w:spacing w:before="0" w:after="283"/>
              <w:jc w:val="right"/>
              <w:rPr>
                <w:b/>
              </w:rPr>
            </w:pPr>
            <w:r>
              <w:rPr>
                <w:b/>
              </w:rPr>
              <w:t>16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3"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937" w:type="dxa"/>
            <w:tcBorders>
              <w:bottom w:val="double" w:sz="10" w:space="0" w:color="000000"/>
            </w:tcBorders>
            <w:shd w:fill="CCEEFF" w:val="clear"/>
            <w:tcMar>
              <w:bottom w:w="28" w:type="dxa"/>
            </w:tcMar>
            <w:vAlign w:val="center"/>
          </w:tcPr>
          <w:p>
            <w:pPr>
              <w:pStyle w:val="TableContents"/>
              <w:bidi w:val="0"/>
              <w:spacing w:before="0" w:after="283"/>
              <w:jc w:val="right"/>
              <w:rPr>
                <w:b/>
              </w:rPr>
            </w:pPr>
            <w:r>
              <w:rPr>
                <w:b/>
              </w:rPr>
              <w:t>366,408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8"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1182" w:type="dxa"/>
            <w:tcBorders>
              <w:bottom w:val="double" w:sz="10" w:space="0" w:color="000000"/>
            </w:tcBorders>
            <w:shd w:fill="CCEEFF" w:val="clear"/>
            <w:tcMar>
              <w:bottom w:w="28" w:type="dxa"/>
            </w:tcMar>
            <w:vAlign w:val="center"/>
          </w:tcPr>
          <w:p>
            <w:pPr>
              <w:pStyle w:val="TableContents"/>
              <w:bidi w:val="0"/>
              <w:spacing w:before="0" w:after="283"/>
              <w:jc w:val="right"/>
              <w:rPr>
                <w:b/>
              </w:rPr>
            </w:pPr>
            <w:r>
              <w:rPr>
                <w:b/>
              </w:rPr>
              <w:t>(456,733</w:t>
            </w:r>
          </w:p>
        </w:tc>
        <w:tc>
          <w:tcPr>
            <w:tcW w:w="95" w:type="dxa"/>
            <w:tcBorders/>
            <w:shd w:fill="CCEEFF" w:val="clear"/>
            <w:vAlign w:val="center"/>
          </w:tcPr>
          <w:p>
            <w:pPr>
              <w:pStyle w:val="TableContents"/>
              <w:bidi w:val="0"/>
              <w:spacing w:before="0" w:after="283"/>
              <w:jc w:val="left"/>
              <w:rPr>
                <w:b/>
              </w:rPr>
            </w:pPr>
            <w:r>
              <w:rPr>
                <w:b/>
              </w:rPr>
              <w:t>)</w:t>
            </w:r>
          </w:p>
        </w:tc>
        <w:tc>
          <w:tcPr>
            <w:tcW w:w="60" w:type="dxa"/>
            <w:tcBorders/>
            <w:shd w:fill="CCEEFF" w:val="clear"/>
            <w:vAlign w:val="center"/>
          </w:tcPr>
          <w:p>
            <w:pPr>
              <w:pStyle w:val="TableContents"/>
              <w:bidi w:val="0"/>
              <w:spacing w:before="0" w:after="283"/>
              <w:jc w:val="left"/>
              <w:rPr/>
            </w:pPr>
            <w:r>
              <w:rPr/>
              <w:t> </w:t>
            </w:r>
          </w:p>
        </w:tc>
        <w:tc>
          <w:tcPr>
            <w:tcW w:w="432"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1178" w:type="dxa"/>
            <w:tcBorders>
              <w:bottom w:val="double" w:sz="10" w:space="0" w:color="000000"/>
            </w:tcBorders>
            <w:shd w:fill="CCEEFF" w:val="clear"/>
            <w:tcMar>
              <w:bottom w:w="28" w:type="dxa"/>
            </w:tcMar>
            <w:vAlign w:val="center"/>
          </w:tcPr>
          <w:p>
            <w:pPr>
              <w:pStyle w:val="TableContents"/>
              <w:bidi w:val="0"/>
              <w:spacing w:before="0" w:after="283"/>
              <w:jc w:val="right"/>
              <w:rPr>
                <w:b/>
              </w:rPr>
            </w:pPr>
            <w:r>
              <w:rPr>
                <w:b/>
              </w:rPr>
              <w:t>165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9"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1134" w:type="dxa"/>
            <w:tcBorders>
              <w:bottom w:val="double" w:sz="10" w:space="0" w:color="000000"/>
            </w:tcBorders>
            <w:shd w:fill="CCEEFF" w:val="clear"/>
            <w:tcMar>
              <w:bottom w:w="28" w:type="dxa"/>
            </w:tcMar>
            <w:vAlign w:val="center"/>
          </w:tcPr>
          <w:p>
            <w:pPr>
              <w:pStyle w:val="TableContents"/>
              <w:bidi w:val="0"/>
              <w:spacing w:before="0" w:after="283"/>
              <w:jc w:val="right"/>
              <w:rPr>
                <w:b/>
              </w:rPr>
            </w:pPr>
            <w:r>
              <w:rPr>
                <w:b/>
              </w:rPr>
              <w:t>(90,144</w:t>
            </w:r>
          </w:p>
        </w:tc>
        <w:tc>
          <w:tcPr>
            <w:tcW w:w="111" w:type="dxa"/>
            <w:tcBorders/>
            <w:shd w:fill="CCEEFF" w:val="clear"/>
            <w:vAlign w:val="center"/>
          </w:tcPr>
          <w:p>
            <w:pPr>
              <w:pStyle w:val="TableContents"/>
              <w:bidi w:val="0"/>
              <w:spacing w:before="0" w:after="283"/>
              <w:jc w:val="left"/>
              <w:rPr>
                <w:b/>
              </w:rPr>
            </w:pPr>
            <w:r>
              <w:rPr>
                <w:b/>
              </w:rPr>
              <w:t>)</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accompanying notes are an integral part of these consolidated financial statements.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center"/>
        <w:rPr>
          <w:sz w:val="20"/>
          <w:bdr w:val="single" w:sz="12" w:space="1" w:color="000000"/>
        </w:rPr>
      </w:pPr>
      <w:r>
        <w:rPr>
          <w:sz w:val="20"/>
          <w:bdr w:val="single" w:sz="12" w:space="1" w:color="000000"/>
        </w:rPr>
        <w:t>F-53</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31" w:name="C_005"/>
      <w:bookmarkEnd w:id="31"/>
      <w:r>
        <w:rPr>
          <w:rFonts w:ascii="Times New Roman;Times;Serif" w:hAnsi="Times New Roman;Times;Serif"/>
          <w:b/>
          <w:i w:val="false"/>
          <w:caps w:val="false"/>
          <w:smallCaps w:val="false"/>
          <w:sz w:val="20"/>
        </w:rPr>
        <w:t>SUNPOWER INC.</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Consolidated Statements of Cash Flows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r>
        <w:rPr>
          <w:rFonts w:ascii="Times New Roman;Times;Serif" w:hAnsi="Times New Roman;Times;Serif"/>
          <w:b/>
          <w:i/>
          <w:caps w:val="false"/>
          <w:smallCaps w:val="false"/>
          <w:sz w:val="20"/>
        </w:rPr>
        <w:t>in thousands, except number of shares</w:t>
      </w:r>
      <w:r>
        <w:rPr>
          <w:rFonts w:ascii="Times New Roman;Times;Serif" w:hAnsi="Times New Roman;Times;Serif"/>
          <w:b/>
          <w:i w:val="false"/>
          <w:caps w:val="false"/>
          <w:smallCaps w:val="false"/>
          <w:sz w:val="20"/>
        </w:rPr>
        <w:t>)</w:t>
      </w:r>
    </w:p>
    <w:p>
      <w:pPr>
        <w:pStyle w:val="TextBody"/>
        <w:bidi w:val="0"/>
        <w:spacing w:before="0" w:after="0"/>
        <w:ind w:left="0" w:right="0" w:hanging="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100"/>
        <w:gridCol w:w="60"/>
        <w:gridCol w:w="217"/>
        <w:gridCol w:w="1178"/>
        <w:gridCol w:w="95"/>
        <w:gridCol w:w="60"/>
        <w:gridCol w:w="206"/>
        <w:gridCol w:w="1188"/>
        <w:gridCol w:w="101"/>
      </w:tblGrid>
      <w:tr>
        <w:trPr/>
        <w:tc>
          <w:tcPr>
            <w:tcW w:w="71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944"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Fiscal Year Ended</w:t>
            </w:r>
          </w:p>
        </w:tc>
        <w:tc>
          <w:tcPr>
            <w:tcW w:w="101" w:type="dxa"/>
            <w:tcBorders/>
            <w:vAlign w:val="center"/>
          </w:tcPr>
          <w:p>
            <w:pPr>
              <w:pStyle w:val="TableContents"/>
              <w:bidi w:val="0"/>
              <w:spacing w:before="0" w:after="283"/>
              <w:jc w:val="left"/>
              <w:rPr/>
            </w:pPr>
            <w:r>
              <w:rPr/>
              <w:t> </w:t>
            </w:r>
          </w:p>
        </w:tc>
      </w:tr>
      <w:tr>
        <w:trPr/>
        <w:tc>
          <w:tcPr>
            <w:tcW w:w="710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395" w:type="dxa"/>
            <w:gridSpan w:val="2"/>
            <w:tcBorders/>
            <w:vAlign w:val="center"/>
          </w:tcPr>
          <w:p>
            <w:pPr>
              <w:pStyle w:val="TableContents"/>
              <w:bidi w:val="0"/>
              <w:spacing w:before="0" w:after="283"/>
              <w:jc w:val="center"/>
              <w:rPr>
                <w:b/>
              </w:rPr>
            </w:pPr>
            <w:r>
              <w:rPr>
                <w:b/>
              </w:rPr>
              <w:t>December 28,</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94" w:type="dxa"/>
            <w:gridSpan w:val="2"/>
            <w:tcBorders/>
            <w:vAlign w:val="center"/>
          </w:tcPr>
          <w:p>
            <w:pPr>
              <w:pStyle w:val="TableContents"/>
              <w:bidi w:val="0"/>
              <w:spacing w:before="0" w:after="283"/>
              <w:jc w:val="center"/>
              <w:rPr>
                <w:b/>
              </w:rPr>
            </w:pPr>
            <w:r>
              <w:rPr>
                <w:b/>
              </w:rPr>
              <w:t>December 29,</w:t>
            </w:r>
          </w:p>
        </w:tc>
        <w:tc>
          <w:tcPr>
            <w:tcW w:w="101" w:type="dxa"/>
            <w:tcBorders/>
            <w:vAlign w:val="center"/>
          </w:tcPr>
          <w:p>
            <w:pPr>
              <w:pStyle w:val="TableContents"/>
              <w:bidi w:val="0"/>
              <w:spacing w:before="0" w:after="283"/>
              <w:jc w:val="left"/>
              <w:rPr/>
            </w:pPr>
            <w:r>
              <w:rPr/>
              <w:t> </w:t>
            </w:r>
          </w:p>
        </w:tc>
      </w:tr>
      <w:tr>
        <w:trPr/>
        <w:tc>
          <w:tcPr>
            <w:tcW w:w="710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39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2025</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94"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2024</w:t>
            </w:r>
          </w:p>
        </w:tc>
        <w:tc>
          <w:tcPr>
            <w:tcW w:w="101" w:type="dxa"/>
            <w:tcBorders/>
            <w:vAlign w:val="center"/>
          </w:tcPr>
          <w:p>
            <w:pPr>
              <w:pStyle w:val="TableContents"/>
              <w:bidi w:val="0"/>
              <w:spacing w:before="0" w:after="283"/>
              <w:jc w:val="left"/>
              <w:rPr/>
            </w:pPr>
            <w:r>
              <w:rPr/>
              <w:t> </w:t>
            </w:r>
          </w:p>
        </w:tc>
      </w:tr>
      <w:tr>
        <w:trPr/>
        <w:tc>
          <w:tcPr>
            <w:tcW w:w="7100" w:type="dxa"/>
            <w:tcBorders/>
            <w:vAlign w:val="center"/>
          </w:tcPr>
          <w:p>
            <w:pPr>
              <w:pStyle w:val="TableContents"/>
              <w:bidi w:val="0"/>
              <w:spacing w:before="0" w:after="283"/>
              <w:jc w:val="left"/>
              <w:rPr>
                <w:b/>
              </w:rPr>
            </w:pPr>
            <w:r>
              <w:rPr>
                <w:b/>
              </w:rPr>
              <w:t>Cash flows from operating activities from continuing operations</w:t>
            </w:r>
          </w:p>
        </w:tc>
        <w:tc>
          <w:tcPr>
            <w:tcW w:w="60" w:type="dxa"/>
            <w:tcBorders/>
            <w:vAlign w:val="center"/>
          </w:tcPr>
          <w:p>
            <w:pPr>
              <w:pStyle w:val="TableContents"/>
              <w:bidi w:val="0"/>
              <w:spacing w:before="0" w:after="283"/>
              <w:jc w:val="left"/>
              <w:rPr/>
            </w:pPr>
            <w:r>
              <w:rPr/>
              <w:t> </w:t>
            </w:r>
          </w:p>
        </w:tc>
        <w:tc>
          <w:tcPr>
            <w:tcW w:w="1395" w:type="dxa"/>
            <w:gridSpan w:val="2"/>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94" w:type="dxa"/>
            <w:gridSpan w:val="2"/>
            <w:tcBorders/>
            <w:vAlign w:val="center"/>
          </w:tcPr>
          <w:p>
            <w:pPr>
              <w:pStyle w:val="TableContents"/>
              <w:bidi w:val="0"/>
              <w:spacing w:before="0" w:after="283"/>
              <w:jc w:val="left"/>
              <w:rPr/>
            </w:pPr>
            <w:r>
              <w:rPr/>
              <w:t> </w:t>
            </w:r>
          </w:p>
        </w:tc>
        <w:tc>
          <w:tcPr>
            <w:tcW w:w="101" w:type="dxa"/>
            <w:tcBorders/>
            <w:vAlign w:val="center"/>
          </w:tcPr>
          <w:p>
            <w:pPr>
              <w:pStyle w:val="TableContents"/>
              <w:bidi w:val="0"/>
              <w:spacing w:before="0" w:after="283"/>
              <w:ind w:left="0" w:right="0" w:hanging="180"/>
              <w:jc w:val="left"/>
              <w:rPr/>
            </w:pPr>
            <w:r>
              <w:rPr/>
              <w:t> </w:t>
            </w:r>
          </w:p>
        </w:tc>
      </w:tr>
      <w:tr>
        <w:trPr/>
        <w:tc>
          <w:tcPr>
            <w:tcW w:w="7100" w:type="dxa"/>
            <w:tcBorders/>
            <w:shd w:fill="CCEEFF" w:val="clear"/>
            <w:vAlign w:val="center"/>
          </w:tcPr>
          <w:p>
            <w:pPr>
              <w:pStyle w:val="TableContents"/>
              <w:bidi w:val="0"/>
              <w:spacing w:before="0" w:after="283"/>
              <w:jc w:val="left"/>
              <w:rPr/>
            </w:pPr>
            <w:r>
              <w:rPr/>
              <w:t>Net loss</w:t>
            </w:r>
          </w:p>
        </w:tc>
        <w:tc>
          <w:tcPr>
            <w:tcW w:w="60" w:type="dxa"/>
            <w:tcBorders/>
            <w:shd w:fill="CCEEFF" w:val="clear"/>
            <w:vAlign w:val="center"/>
          </w:tcPr>
          <w:p>
            <w:pPr>
              <w:pStyle w:val="TableContents"/>
              <w:bidi w:val="0"/>
              <w:spacing w:before="0" w:after="283"/>
              <w:jc w:val="left"/>
              <w:rPr/>
            </w:pPr>
            <w:r>
              <w:rPr/>
              <w:t> </w:t>
            </w:r>
          </w:p>
        </w:tc>
        <w:tc>
          <w:tcPr>
            <w:tcW w:w="217" w:type="dxa"/>
            <w:tcBorders/>
            <w:shd w:fill="CCEEFF" w:val="clear"/>
            <w:vAlign w:val="center"/>
          </w:tcPr>
          <w:p>
            <w:pPr>
              <w:pStyle w:val="TableContents"/>
              <w:bidi w:val="0"/>
              <w:spacing w:before="0" w:after="283"/>
              <w:jc w:val="left"/>
              <w:rPr/>
            </w:pPr>
            <w:r>
              <w:rPr/>
              <w:t>$</w:t>
            </w:r>
          </w:p>
        </w:tc>
        <w:tc>
          <w:tcPr>
            <w:tcW w:w="1178" w:type="dxa"/>
            <w:tcBorders/>
            <w:shd w:fill="CCEEFF" w:val="clear"/>
            <w:vAlign w:val="center"/>
          </w:tcPr>
          <w:p>
            <w:pPr>
              <w:pStyle w:val="TableContents"/>
              <w:bidi w:val="0"/>
              <w:spacing w:before="0" w:after="283"/>
              <w:jc w:val="right"/>
              <w:rPr/>
            </w:pPr>
            <w:r>
              <w:rPr/>
              <w:t>(45,354</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206" w:type="dxa"/>
            <w:tcBorders/>
            <w:shd w:fill="CCEEFF" w:val="clear"/>
            <w:vAlign w:val="center"/>
          </w:tcPr>
          <w:p>
            <w:pPr>
              <w:pStyle w:val="TableContents"/>
              <w:bidi w:val="0"/>
              <w:spacing w:before="0" w:after="283"/>
              <w:jc w:val="left"/>
              <w:rPr/>
            </w:pPr>
            <w:r>
              <w:rPr/>
              <w:t>$</w:t>
            </w:r>
          </w:p>
        </w:tc>
        <w:tc>
          <w:tcPr>
            <w:tcW w:w="1188" w:type="dxa"/>
            <w:tcBorders/>
            <w:shd w:fill="CCEEFF" w:val="clear"/>
            <w:vAlign w:val="center"/>
          </w:tcPr>
          <w:p>
            <w:pPr>
              <w:pStyle w:val="TableContents"/>
              <w:bidi w:val="0"/>
              <w:spacing w:before="0" w:after="283"/>
              <w:jc w:val="right"/>
              <w:rPr/>
            </w:pPr>
            <w:r>
              <w:rPr/>
              <w:t>(56,451</w:t>
            </w:r>
          </w:p>
        </w:tc>
        <w:tc>
          <w:tcPr>
            <w:tcW w:w="101" w:type="dxa"/>
            <w:tcBorders/>
            <w:shd w:fill="CCEEFF" w:val="clear"/>
            <w:vAlign w:val="center"/>
          </w:tcPr>
          <w:p>
            <w:pPr>
              <w:pStyle w:val="TableContents"/>
              <w:bidi w:val="0"/>
              <w:spacing w:before="0" w:after="283"/>
              <w:ind w:left="0" w:right="0" w:hanging="180"/>
              <w:jc w:val="left"/>
              <w:rPr/>
            </w:pPr>
            <w:r>
              <w:rPr/>
              <w:t>)</w:t>
            </w:r>
          </w:p>
        </w:tc>
      </w:tr>
      <w:tr>
        <w:trPr/>
        <w:tc>
          <w:tcPr>
            <w:tcW w:w="7100" w:type="dxa"/>
            <w:tcBorders/>
            <w:shd w:fill="FFFFFF" w:val="clear"/>
            <w:vAlign w:val="center"/>
          </w:tcPr>
          <w:p>
            <w:pPr>
              <w:pStyle w:val="TableContents"/>
              <w:bidi w:val="0"/>
              <w:spacing w:before="0" w:after="283"/>
              <w:jc w:val="left"/>
              <w:rPr/>
            </w:pPr>
            <w:r>
              <w:rPr/>
              <w:t>Loss from discontinued operations, net of income taxes</w:t>
            </w:r>
          </w:p>
        </w:tc>
        <w:tc>
          <w:tcPr>
            <w:tcW w:w="60" w:type="dxa"/>
            <w:tcBorders/>
            <w:shd w:fill="FFFFFF" w:val="clear"/>
            <w:vAlign w:val="center"/>
          </w:tcPr>
          <w:p>
            <w:pPr>
              <w:pStyle w:val="TableContents"/>
              <w:bidi w:val="0"/>
              <w:spacing w:before="0" w:after="283"/>
              <w:jc w:val="left"/>
              <w:rPr/>
            </w:pPr>
            <w:r>
              <w:rPr/>
              <w:t> </w:t>
            </w:r>
          </w:p>
        </w:tc>
        <w:tc>
          <w:tcPr>
            <w:tcW w:w="217"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78" w:type="dxa"/>
            <w:tcBorders>
              <w:bottom w:val="single" w:sz="12" w:space="0" w:color="000000"/>
            </w:tcBorders>
            <w:shd w:fill="FFFFFF" w:val="clear"/>
            <w:tcMar>
              <w:bottom w:w="28" w:type="dxa"/>
            </w:tcMar>
            <w:vAlign w:val="center"/>
          </w:tcPr>
          <w:p>
            <w:pPr>
              <w:pStyle w:val="TableContents"/>
              <w:bidi w:val="0"/>
              <w:spacing w:before="0" w:after="283"/>
              <w:jc w:val="right"/>
              <w:rPr/>
            </w:pPr>
            <w:r>
              <w:rPr/>
              <w:t>(1,100</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206"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88" w:type="dxa"/>
            <w:tcBorders>
              <w:bottom w:val="single" w:sz="12" w:space="0" w:color="000000"/>
            </w:tcBorders>
            <w:shd w:fill="FFFFFF" w:val="clear"/>
            <w:tcMar>
              <w:bottom w:w="28" w:type="dxa"/>
            </w:tcMar>
            <w:vAlign w:val="center"/>
          </w:tcPr>
          <w:p>
            <w:pPr>
              <w:pStyle w:val="TableContents"/>
              <w:bidi w:val="0"/>
              <w:spacing w:before="0" w:after="283"/>
              <w:jc w:val="right"/>
              <w:rPr/>
            </w:pPr>
            <w:r>
              <w:rPr/>
              <w:t>(2,007</w:t>
            </w:r>
          </w:p>
        </w:tc>
        <w:tc>
          <w:tcPr>
            <w:tcW w:w="101" w:type="dxa"/>
            <w:tcBorders/>
            <w:shd w:fill="FFFFFF" w:val="clear"/>
            <w:vAlign w:val="center"/>
          </w:tcPr>
          <w:p>
            <w:pPr>
              <w:pStyle w:val="TableContents"/>
              <w:bidi w:val="0"/>
              <w:spacing w:before="0" w:after="283"/>
              <w:ind w:left="0" w:right="0" w:hanging="180"/>
              <w:jc w:val="left"/>
              <w:rPr/>
            </w:pPr>
            <w:r>
              <w:rPr/>
              <w:t>)</w:t>
            </w:r>
          </w:p>
        </w:tc>
      </w:tr>
      <w:tr>
        <w:trPr/>
        <w:tc>
          <w:tcPr>
            <w:tcW w:w="7100" w:type="dxa"/>
            <w:tcBorders/>
            <w:shd w:fill="CCEEFF" w:val="clear"/>
            <w:vAlign w:val="center"/>
          </w:tcPr>
          <w:p>
            <w:pPr>
              <w:pStyle w:val="TableContents"/>
              <w:bidi w:val="0"/>
              <w:spacing w:before="0" w:after="283"/>
              <w:jc w:val="left"/>
              <w:rPr/>
            </w:pPr>
            <w:r>
              <w:rPr/>
              <w:t>Net loss from continuing operations, net of tax</w:t>
            </w:r>
          </w:p>
        </w:tc>
        <w:tc>
          <w:tcPr>
            <w:tcW w:w="60" w:type="dxa"/>
            <w:tcBorders/>
            <w:shd w:fill="CCEEFF" w:val="clear"/>
            <w:vAlign w:val="center"/>
          </w:tcPr>
          <w:p>
            <w:pPr>
              <w:pStyle w:val="TableContents"/>
              <w:bidi w:val="0"/>
              <w:spacing w:before="0" w:after="283"/>
              <w:jc w:val="left"/>
              <w:rPr/>
            </w:pPr>
            <w:r>
              <w:rPr/>
              <w:t> </w:t>
            </w:r>
          </w:p>
        </w:tc>
        <w:tc>
          <w:tcPr>
            <w:tcW w:w="217"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78" w:type="dxa"/>
            <w:tcBorders>
              <w:bottom w:val="single" w:sz="12" w:space="0" w:color="000000"/>
            </w:tcBorders>
            <w:shd w:fill="CCEEFF" w:val="clear"/>
            <w:tcMar>
              <w:bottom w:w="28" w:type="dxa"/>
            </w:tcMar>
            <w:vAlign w:val="center"/>
          </w:tcPr>
          <w:p>
            <w:pPr>
              <w:pStyle w:val="TableContents"/>
              <w:bidi w:val="0"/>
              <w:spacing w:before="0" w:after="283"/>
              <w:jc w:val="right"/>
              <w:rPr/>
            </w:pPr>
            <w:r>
              <w:rPr/>
              <w:t>(44,254</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206"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88" w:type="dxa"/>
            <w:tcBorders>
              <w:bottom w:val="single" w:sz="12" w:space="0" w:color="000000"/>
            </w:tcBorders>
            <w:shd w:fill="CCEEFF" w:val="clear"/>
            <w:tcMar>
              <w:bottom w:w="28" w:type="dxa"/>
            </w:tcMar>
            <w:vAlign w:val="center"/>
          </w:tcPr>
          <w:p>
            <w:pPr>
              <w:pStyle w:val="TableContents"/>
              <w:bidi w:val="0"/>
              <w:spacing w:before="0" w:after="283"/>
              <w:jc w:val="right"/>
              <w:rPr/>
            </w:pPr>
            <w:r>
              <w:rPr/>
              <w:t>(54,444</w:t>
            </w:r>
          </w:p>
        </w:tc>
        <w:tc>
          <w:tcPr>
            <w:tcW w:w="101" w:type="dxa"/>
            <w:tcBorders/>
            <w:shd w:fill="CCEEFF" w:val="clear"/>
            <w:vAlign w:val="center"/>
          </w:tcPr>
          <w:p>
            <w:pPr>
              <w:pStyle w:val="TableContents"/>
              <w:bidi w:val="0"/>
              <w:spacing w:before="0" w:after="283"/>
              <w:ind w:left="0" w:right="0" w:hanging="180"/>
              <w:jc w:val="left"/>
              <w:rPr/>
            </w:pPr>
            <w:r>
              <w:rPr/>
              <w:t>)</w:t>
            </w:r>
          </w:p>
        </w:tc>
      </w:tr>
      <w:tr>
        <w:trPr/>
        <w:tc>
          <w:tcPr>
            <w:tcW w:w="7100" w:type="dxa"/>
            <w:tcBorders/>
            <w:shd w:fill="FFFFFF" w:val="clear"/>
            <w:vAlign w:val="center"/>
          </w:tcPr>
          <w:p>
            <w:pPr>
              <w:pStyle w:val="TableContents"/>
              <w:bidi w:val="0"/>
              <w:spacing w:before="0" w:after="283"/>
              <w:jc w:val="left"/>
              <w:rPr/>
            </w:pPr>
            <w:r>
              <w:rPr/>
              <w:t>Adjustments to reconcile net loss from continuing operations to net cash used in operating activities:</w:t>
            </w:r>
          </w:p>
        </w:tc>
        <w:tc>
          <w:tcPr>
            <w:tcW w:w="60" w:type="dxa"/>
            <w:tcBorders/>
            <w:shd w:fill="FFFFFF" w:val="clear"/>
            <w:vAlign w:val="center"/>
          </w:tcPr>
          <w:p>
            <w:pPr>
              <w:pStyle w:val="TableContents"/>
              <w:bidi w:val="0"/>
              <w:spacing w:before="0" w:after="283"/>
              <w:jc w:val="left"/>
              <w:rPr/>
            </w:pPr>
            <w:r>
              <w:rPr/>
              <w:t> </w:t>
            </w:r>
          </w:p>
        </w:tc>
        <w:tc>
          <w:tcPr>
            <w:tcW w:w="217" w:type="dxa"/>
            <w:tcBorders/>
            <w:shd w:fill="FFFFFF" w:val="clear"/>
            <w:vAlign w:val="center"/>
          </w:tcPr>
          <w:p>
            <w:pPr>
              <w:pStyle w:val="TableContents"/>
              <w:bidi w:val="0"/>
              <w:spacing w:before="0" w:after="283"/>
              <w:jc w:val="left"/>
              <w:rPr/>
            </w:pPr>
            <w:r>
              <w:rPr/>
              <w:t> </w:t>
            </w:r>
          </w:p>
        </w:tc>
        <w:tc>
          <w:tcPr>
            <w:tcW w:w="1178"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6" w:type="dxa"/>
            <w:tcBorders/>
            <w:shd w:fill="FFFFFF" w:val="clear"/>
            <w:vAlign w:val="center"/>
          </w:tcPr>
          <w:p>
            <w:pPr>
              <w:pStyle w:val="TableContents"/>
              <w:bidi w:val="0"/>
              <w:spacing w:before="0" w:after="283"/>
              <w:jc w:val="left"/>
              <w:rPr/>
            </w:pPr>
            <w:r>
              <w:rPr/>
              <w:t> </w:t>
            </w:r>
          </w:p>
        </w:tc>
        <w:tc>
          <w:tcPr>
            <w:tcW w:w="1188" w:type="dxa"/>
            <w:tcBorders/>
            <w:shd w:fill="FFFFFF" w:val="clear"/>
            <w:vAlign w:val="center"/>
          </w:tcPr>
          <w:p>
            <w:pPr>
              <w:pStyle w:val="TableContents"/>
              <w:bidi w:val="0"/>
              <w:spacing w:before="0" w:after="283"/>
              <w:jc w:val="right"/>
              <w:rPr/>
            </w:pPr>
            <w:r>
              <w:rPr/>
              <w:t> </w:t>
            </w:r>
          </w:p>
        </w:tc>
        <w:tc>
          <w:tcPr>
            <w:tcW w:w="101" w:type="dxa"/>
            <w:tcBorders/>
            <w:shd w:fill="FFFFFF" w:val="clear"/>
            <w:vAlign w:val="center"/>
          </w:tcPr>
          <w:p>
            <w:pPr>
              <w:pStyle w:val="TableContents"/>
              <w:bidi w:val="0"/>
              <w:spacing w:before="0" w:after="283"/>
              <w:ind w:left="0" w:right="0" w:hanging="180"/>
              <w:jc w:val="left"/>
              <w:rPr/>
            </w:pPr>
            <w:r>
              <w:rPr/>
              <w:t> </w:t>
            </w:r>
          </w:p>
        </w:tc>
      </w:tr>
      <w:tr>
        <w:trPr/>
        <w:tc>
          <w:tcPr>
            <w:tcW w:w="7100" w:type="dxa"/>
            <w:tcBorders/>
            <w:shd w:fill="CCEEFF" w:val="clear"/>
            <w:vAlign w:val="center"/>
          </w:tcPr>
          <w:p>
            <w:pPr>
              <w:pStyle w:val="TableContents"/>
              <w:bidi w:val="0"/>
              <w:spacing w:before="0" w:after="283"/>
              <w:jc w:val="left"/>
              <w:rPr/>
            </w:pPr>
            <w:r>
              <w:rPr/>
              <w:t>Stock-based compensation expense</w:t>
            </w:r>
          </w:p>
        </w:tc>
        <w:tc>
          <w:tcPr>
            <w:tcW w:w="60" w:type="dxa"/>
            <w:tcBorders/>
            <w:shd w:fill="CCEEFF" w:val="clear"/>
            <w:vAlign w:val="center"/>
          </w:tcPr>
          <w:p>
            <w:pPr>
              <w:pStyle w:val="TableContents"/>
              <w:bidi w:val="0"/>
              <w:spacing w:before="0" w:after="283"/>
              <w:jc w:val="left"/>
              <w:rPr/>
            </w:pPr>
            <w:r>
              <w:rPr/>
              <w:t> </w:t>
            </w:r>
          </w:p>
        </w:tc>
        <w:tc>
          <w:tcPr>
            <w:tcW w:w="217" w:type="dxa"/>
            <w:tcBorders/>
            <w:shd w:fill="CCEEFF" w:val="clear"/>
            <w:vAlign w:val="center"/>
          </w:tcPr>
          <w:p>
            <w:pPr>
              <w:pStyle w:val="TableContents"/>
              <w:bidi w:val="0"/>
              <w:spacing w:before="0" w:after="283"/>
              <w:jc w:val="left"/>
              <w:rPr/>
            </w:pPr>
            <w:r>
              <w:rPr/>
              <w:t> </w:t>
            </w:r>
          </w:p>
        </w:tc>
        <w:tc>
          <w:tcPr>
            <w:tcW w:w="1178" w:type="dxa"/>
            <w:tcBorders/>
            <w:shd w:fill="CCEEFF" w:val="clear"/>
            <w:vAlign w:val="center"/>
          </w:tcPr>
          <w:p>
            <w:pPr>
              <w:pStyle w:val="TableContents"/>
              <w:bidi w:val="0"/>
              <w:spacing w:before="0" w:after="283"/>
              <w:jc w:val="right"/>
              <w:rPr/>
            </w:pPr>
            <w:r>
              <w:rPr/>
              <w:t>10,488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6" w:type="dxa"/>
            <w:tcBorders/>
            <w:shd w:fill="CCEEFF" w:val="clear"/>
            <w:vAlign w:val="center"/>
          </w:tcPr>
          <w:p>
            <w:pPr>
              <w:pStyle w:val="TableContents"/>
              <w:bidi w:val="0"/>
              <w:spacing w:before="0" w:after="283"/>
              <w:jc w:val="left"/>
              <w:rPr/>
            </w:pPr>
            <w:r>
              <w:rPr/>
              <w:t> </w:t>
            </w:r>
          </w:p>
        </w:tc>
        <w:tc>
          <w:tcPr>
            <w:tcW w:w="1188" w:type="dxa"/>
            <w:tcBorders/>
            <w:shd w:fill="CCEEFF" w:val="clear"/>
            <w:vAlign w:val="center"/>
          </w:tcPr>
          <w:p>
            <w:pPr>
              <w:pStyle w:val="TableContents"/>
              <w:bidi w:val="0"/>
              <w:spacing w:before="0" w:after="283"/>
              <w:jc w:val="right"/>
              <w:rPr/>
            </w:pPr>
            <w:r>
              <w:rPr/>
              <w:t>3,067</w:t>
            </w:r>
          </w:p>
        </w:tc>
        <w:tc>
          <w:tcPr>
            <w:tcW w:w="101" w:type="dxa"/>
            <w:tcBorders/>
            <w:shd w:fill="CCEEFF" w:val="clear"/>
            <w:vAlign w:val="center"/>
          </w:tcPr>
          <w:p>
            <w:pPr>
              <w:pStyle w:val="TableContents"/>
              <w:bidi w:val="0"/>
              <w:spacing w:before="0" w:after="283"/>
              <w:ind w:left="0" w:right="0" w:hanging="180"/>
              <w:jc w:val="left"/>
              <w:rPr/>
            </w:pPr>
            <w:r>
              <w:rPr/>
              <w:t> </w:t>
            </w:r>
          </w:p>
        </w:tc>
      </w:tr>
      <w:tr>
        <w:trPr/>
        <w:tc>
          <w:tcPr>
            <w:tcW w:w="7100" w:type="dxa"/>
            <w:tcBorders/>
            <w:shd w:fill="FFFFFF" w:val="clear"/>
            <w:vAlign w:val="center"/>
          </w:tcPr>
          <w:p>
            <w:pPr>
              <w:pStyle w:val="TableContents"/>
              <w:bidi w:val="0"/>
              <w:spacing w:before="0" w:after="283"/>
              <w:jc w:val="left"/>
              <w:rPr/>
            </w:pPr>
            <w:r>
              <w:rPr/>
              <w:t>Non-cash lease expense</w:t>
            </w:r>
          </w:p>
        </w:tc>
        <w:tc>
          <w:tcPr>
            <w:tcW w:w="60" w:type="dxa"/>
            <w:tcBorders/>
            <w:shd w:fill="FFFFFF" w:val="clear"/>
            <w:vAlign w:val="center"/>
          </w:tcPr>
          <w:p>
            <w:pPr>
              <w:pStyle w:val="TableContents"/>
              <w:bidi w:val="0"/>
              <w:spacing w:before="0" w:after="283"/>
              <w:jc w:val="left"/>
              <w:rPr/>
            </w:pPr>
            <w:r>
              <w:rPr/>
              <w:t> </w:t>
            </w:r>
          </w:p>
        </w:tc>
        <w:tc>
          <w:tcPr>
            <w:tcW w:w="217" w:type="dxa"/>
            <w:tcBorders/>
            <w:shd w:fill="FFFFFF" w:val="clear"/>
            <w:vAlign w:val="center"/>
          </w:tcPr>
          <w:p>
            <w:pPr>
              <w:pStyle w:val="TableContents"/>
              <w:bidi w:val="0"/>
              <w:spacing w:before="0" w:after="283"/>
              <w:jc w:val="left"/>
              <w:rPr/>
            </w:pPr>
            <w:r>
              <w:rPr/>
              <w:t> </w:t>
            </w:r>
          </w:p>
        </w:tc>
        <w:tc>
          <w:tcPr>
            <w:tcW w:w="1178" w:type="dxa"/>
            <w:tcBorders/>
            <w:shd w:fill="FFFFFF" w:val="clear"/>
            <w:vAlign w:val="center"/>
          </w:tcPr>
          <w:p>
            <w:pPr>
              <w:pStyle w:val="TableContents"/>
              <w:bidi w:val="0"/>
              <w:spacing w:before="0" w:after="283"/>
              <w:jc w:val="right"/>
              <w:rPr/>
            </w:pPr>
            <w:r>
              <w:rPr/>
              <w:t>1,365</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6" w:type="dxa"/>
            <w:tcBorders/>
            <w:shd w:fill="FFFFFF" w:val="clear"/>
            <w:vAlign w:val="center"/>
          </w:tcPr>
          <w:p>
            <w:pPr>
              <w:pStyle w:val="TableContents"/>
              <w:bidi w:val="0"/>
              <w:spacing w:before="0" w:after="283"/>
              <w:jc w:val="left"/>
              <w:rPr/>
            </w:pPr>
            <w:r>
              <w:rPr/>
              <w:t> </w:t>
            </w:r>
          </w:p>
        </w:tc>
        <w:tc>
          <w:tcPr>
            <w:tcW w:w="1188" w:type="dxa"/>
            <w:tcBorders/>
            <w:shd w:fill="FFFFFF" w:val="clear"/>
            <w:vAlign w:val="center"/>
          </w:tcPr>
          <w:p>
            <w:pPr>
              <w:pStyle w:val="TableContents"/>
              <w:bidi w:val="0"/>
              <w:spacing w:before="0" w:after="283"/>
              <w:jc w:val="right"/>
              <w:rPr/>
            </w:pPr>
            <w:r>
              <w:rPr/>
              <w:t>816</w:t>
            </w:r>
          </w:p>
        </w:tc>
        <w:tc>
          <w:tcPr>
            <w:tcW w:w="101" w:type="dxa"/>
            <w:tcBorders/>
            <w:shd w:fill="FFFFFF" w:val="clear"/>
            <w:vAlign w:val="center"/>
          </w:tcPr>
          <w:p>
            <w:pPr>
              <w:pStyle w:val="TableContents"/>
              <w:bidi w:val="0"/>
              <w:spacing w:before="0" w:after="283"/>
              <w:ind w:left="0" w:right="0" w:hanging="180"/>
              <w:jc w:val="left"/>
              <w:rPr/>
            </w:pPr>
            <w:r>
              <w:rPr/>
              <w:t> </w:t>
            </w:r>
          </w:p>
        </w:tc>
      </w:tr>
      <w:tr>
        <w:trPr/>
        <w:tc>
          <w:tcPr>
            <w:tcW w:w="7100" w:type="dxa"/>
            <w:tcBorders/>
            <w:shd w:fill="CCEEFF" w:val="clear"/>
            <w:vAlign w:val="center"/>
          </w:tcPr>
          <w:p>
            <w:pPr>
              <w:pStyle w:val="TableContents"/>
              <w:bidi w:val="0"/>
              <w:spacing w:before="0" w:after="283"/>
              <w:jc w:val="left"/>
              <w:rPr/>
            </w:pPr>
            <w:r>
              <w:rPr/>
              <w:t>Depreciation and amortization</w:t>
            </w:r>
          </w:p>
        </w:tc>
        <w:tc>
          <w:tcPr>
            <w:tcW w:w="60" w:type="dxa"/>
            <w:tcBorders/>
            <w:shd w:fill="CCEEFF" w:val="clear"/>
            <w:vAlign w:val="center"/>
          </w:tcPr>
          <w:p>
            <w:pPr>
              <w:pStyle w:val="TableContents"/>
              <w:bidi w:val="0"/>
              <w:spacing w:before="0" w:after="283"/>
              <w:jc w:val="left"/>
              <w:rPr/>
            </w:pPr>
            <w:r>
              <w:rPr/>
              <w:t> </w:t>
            </w:r>
          </w:p>
        </w:tc>
        <w:tc>
          <w:tcPr>
            <w:tcW w:w="217" w:type="dxa"/>
            <w:tcBorders/>
            <w:shd w:fill="CCEEFF" w:val="clear"/>
            <w:vAlign w:val="center"/>
          </w:tcPr>
          <w:p>
            <w:pPr>
              <w:pStyle w:val="TableContents"/>
              <w:bidi w:val="0"/>
              <w:spacing w:before="0" w:after="283"/>
              <w:jc w:val="left"/>
              <w:rPr/>
            </w:pPr>
            <w:r>
              <w:rPr/>
              <w:t> </w:t>
            </w:r>
          </w:p>
        </w:tc>
        <w:tc>
          <w:tcPr>
            <w:tcW w:w="1178" w:type="dxa"/>
            <w:tcBorders/>
            <w:shd w:fill="CCEEFF" w:val="clear"/>
            <w:vAlign w:val="center"/>
          </w:tcPr>
          <w:p>
            <w:pPr>
              <w:pStyle w:val="TableContents"/>
              <w:bidi w:val="0"/>
              <w:spacing w:before="0" w:after="283"/>
              <w:jc w:val="right"/>
              <w:rPr/>
            </w:pPr>
            <w:r>
              <w:rPr/>
              <w:t>9,126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6" w:type="dxa"/>
            <w:tcBorders/>
            <w:shd w:fill="CCEEFF" w:val="clear"/>
            <w:vAlign w:val="center"/>
          </w:tcPr>
          <w:p>
            <w:pPr>
              <w:pStyle w:val="TableContents"/>
              <w:bidi w:val="0"/>
              <w:spacing w:before="0" w:after="283"/>
              <w:jc w:val="left"/>
              <w:rPr/>
            </w:pPr>
            <w:r>
              <w:rPr/>
              <w:t> </w:t>
            </w:r>
          </w:p>
        </w:tc>
        <w:tc>
          <w:tcPr>
            <w:tcW w:w="1188" w:type="dxa"/>
            <w:tcBorders/>
            <w:shd w:fill="CCEEFF" w:val="clear"/>
            <w:vAlign w:val="center"/>
          </w:tcPr>
          <w:p>
            <w:pPr>
              <w:pStyle w:val="TableContents"/>
              <w:bidi w:val="0"/>
              <w:spacing w:before="0" w:after="283"/>
              <w:jc w:val="right"/>
              <w:rPr/>
            </w:pPr>
            <w:r>
              <w:rPr/>
              <w:t>2,736</w:t>
            </w:r>
          </w:p>
        </w:tc>
        <w:tc>
          <w:tcPr>
            <w:tcW w:w="101" w:type="dxa"/>
            <w:tcBorders/>
            <w:shd w:fill="CCEEFF" w:val="clear"/>
            <w:vAlign w:val="center"/>
          </w:tcPr>
          <w:p>
            <w:pPr>
              <w:pStyle w:val="TableContents"/>
              <w:bidi w:val="0"/>
              <w:spacing w:before="0" w:after="283"/>
              <w:ind w:left="0" w:right="0" w:hanging="180"/>
              <w:jc w:val="left"/>
              <w:rPr/>
            </w:pPr>
            <w:r>
              <w:rPr/>
              <w:t> </w:t>
            </w:r>
          </w:p>
        </w:tc>
      </w:tr>
      <w:tr>
        <w:trPr/>
        <w:tc>
          <w:tcPr>
            <w:tcW w:w="7100" w:type="dxa"/>
            <w:tcBorders/>
            <w:shd w:fill="FFFFFF" w:val="clear"/>
            <w:vAlign w:val="center"/>
          </w:tcPr>
          <w:p>
            <w:pPr>
              <w:pStyle w:val="TableContents"/>
              <w:bidi w:val="0"/>
              <w:spacing w:before="0" w:after="283"/>
              <w:jc w:val="left"/>
              <w:rPr>
                <w:sz w:val="20"/>
              </w:rPr>
            </w:pPr>
            <w:r>
              <w:rPr>
                <w:sz w:val="20"/>
              </w:rPr>
              <w:t>Amortization of debt issuance costs</w:t>
            </w:r>
            <w:r>
              <w:rPr>
                <w:position w:val="7"/>
                <w:sz w:val="16"/>
                <w:sz w:val="20"/>
              </w:rPr>
              <w:t>(1)</w:t>
            </w:r>
          </w:p>
        </w:tc>
        <w:tc>
          <w:tcPr>
            <w:tcW w:w="60" w:type="dxa"/>
            <w:tcBorders/>
            <w:shd w:fill="FFFFFF" w:val="clear"/>
            <w:vAlign w:val="center"/>
          </w:tcPr>
          <w:p>
            <w:pPr>
              <w:pStyle w:val="TableContents"/>
              <w:bidi w:val="0"/>
              <w:spacing w:before="0" w:after="283"/>
              <w:jc w:val="left"/>
              <w:rPr/>
            </w:pPr>
            <w:r>
              <w:rPr/>
              <w:t> </w:t>
            </w:r>
          </w:p>
        </w:tc>
        <w:tc>
          <w:tcPr>
            <w:tcW w:w="217" w:type="dxa"/>
            <w:tcBorders/>
            <w:shd w:fill="FFFFFF" w:val="clear"/>
            <w:vAlign w:val="center"/>
          </w:tcPr>
          <w:p>
            <w:pPr>
              <w:pStyle w:val="TableContents"/>
              <w:bidi w:val="0"/>
              <w:spacing w:before="0" w:after="283"/>
              <w:jc w:val="left"/>
              <w:rPr/>
            </w:pPr>
            <w:r>
              <w:rPr/>
              <w:t> </w:t>
            </w:r>
          </w:p>
        </w:tc>
        <w:tc>
          <w:tcPr>
            <w:tcW w:w="1178" w:type="dxa"/>
            <w:tcBorders/>
            <w:shd w:fill="FFFFFF" w:val="clear"/>
            <w:vAlign w:val="center"/>
          </w:tcPr>
          <w:p>
            <w:pPr>
              <w:pStyle w:val="TableContents"/>
              <w:bidi w:val="0"/>
              <w:spacing w:before="0" w:after="283"/>
              <w:jc w:val="right"/>
              <w:rPr/>
            </w:pPr>
            <w:r>
              <w:rPr/>
              <w:t>15,341</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6" w:type="dxa"/>
            <w:tcBorders/>
            <w:shd w:fill="FFFFFF" w:val="clear"/>
            <w:vAlign w:val="center"/>
          </w:tcPr>
          <w:p>
            <w:pPr>
              <w:pStyle w:val="TableContents"/>
              <w:bidi w:val="0"/>
              <w:spacing w:before="0" w:after="283"/>
              <w:jc w:val="left"/>
              <w:rPr/>
            </w:pPr>
            <w:r>
              <w:rPr/>
              <w:t> </w:t>
            </w:r>
          </w:p>
        </w:tc>
        <w:tc>
          <w:tcPr>
            <w:tcW w:w="1188" w:type="dxa"/>
            <w:tcBorders/>
            <w:shd w:fill="FFFFFF" w:val="clear"/>
            <w:vAlign w:val="center"/>
          </w:tcPr>
          <w:p>
            <w:pPr>
              <w:pStyle w:val="TableContents"/>
              <w:bidi w:val="0"/>
              <w:spacing w:before="0" w:after="283"/>
              <w:jc w:val="right"/>
              <w:rPr/>
            </w:pPr>
            <w:r>
              <w:rPr/>
              <w:t>5,842</w:t>
            </w:r>
          </w:p>
        </w:tc>
        <w:tc>
          <w:tcPr>
            <w:tcW w:w="101" w:type="dxa"/>
            <w:tcBorders/>
            <w:shd w:fill="FFFFFF" w:val="clear"/>
            <w:vAlign w:val="center"/>
          </w:tcPr>
          <w:p>
            <w:pPr>
              <w:pStyle w:val="TableContents"/>
              <w:bidi w:val="0"/>
              <w:spacing w:before="0" w:after="283"/>
              <w:ind w:left="0" w:right="0" w:hanging="180"/>
              <w:jc w:val="left"/>
              <w:rPr/>
            </w:pPr>
            <w:r>
              <w:rPr/>
              <w:t> </w:t>
            </w:r>
          </w:p>
        </w:tc>
      </w:tr>
      <w:tr>
        <w:trPr/>
        <w:tc>
          <w:tcPr>
            <w:tcW w:w="7100" w:type="dxa"/>
            <w:tcBorders/>
            <w:shd w:fill="CCEEFF" w:val="clear"/>
            <w:vAlign w:val="center"/>
          </w:tcPr>
          <w:p>
            <w:pPr>
              <w:pStyle w:val="TableContents"/>
              <w:bidi w:val="0"/>
              <w:spacing w:before="0" w:after="283"/>
              <w:jc w:val="left"/>
              <w:rPr/>
            </w:pPr>
            <w:r>
              <w:rPr/>
              <w:t>Deferred income tax provision</w:t>
            </w:r>
          </w:p>
        </w:tc>
        <w:tc>
          <w:tcPr>
            <w:tcW w:w="60" w:type="dxa"/>
            <w:tcBorders/>
            <w:shd w:fill="CCEEFF" w:val="clear"/>
            <w:vAlign w:val="center"/>
          </w:tcPr>
          <w:p>
            <w:pPr>
              <w:pStyle w:val="TableContents"/>
              <w:bidi w:val="0"/>
              <w:spacing w:before="0" w:after="283"/>
              <w:jc w:val="left"/>
              <w:rPr/>
            </w:pPr>
            <w:r>
              <w:rPr/>
              <w:t> </w:t>
            </w:r>
          </w:p>
        </w:tc>
        <w:tc>
          <w:tcPr>
            <w:tcW w:w="217" w:type="dxa"/>
            <w:tcBorders/>
            <w:shd w:fill="CCEEFF" w:val="clear"/>
            <w:vAlign w:val="center"/>
          </w:tcPr>
          <w:p>
            <w:pPr>
              <w:pStyle w:val="TableContents"/>
              <w:bidi w:val="0"/>
              <w:spacing w:before="0" w:after="283"/>
              <w:jc w:val="left"/>
              <w:rPr/>
            </w:pPr>
            <w:r>
              <w:rPr/>
              <w:t> </w:t>
            </w:r>
          </w:p>
        </w:tc>
        <w:tc>
          <w:tcPr>
            <w:tcW w:w="1178" w:type="dxa"/>
            <w:tcBorders/>
            <w:shd w:fill="CCEEFF" w:val="clear"/>
            <w:vAlign w:val="center"/>
          </w:tcPr>
          <w:p>
            <w:pPr>
              <w:pStyle w:val="TableContents"/>
              <w:bidi w:val="0"/>
              <w:spacing w:before="0" w:after="283"/>
              <w:jc w:val="right"/>
              <w:rPr/>
            </w:pPr>
            <w:r>
              <w:rPr/>
              <w:t>1,300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6" w:type="dxa"/>
            <w:tcBorders/>
            <w:shd w:fill="CCEEFF" w:val="clear"/>
            <w:vAlign w:val="center"/>
          </w:tcPr>
          <w:p>
            <w:pPr>
              <w:pStyle w:val="TableContents"/>
              <w:bidi w:val="0"/>
              <w:spacing w:before="0" w:after="283"/>
              <w:jc w:val="left"/>
              <w:rPr/>
            </w:pPr>
            <w:r>
              <w:rPr/>
              <w:t> </w:t>
            </w:r>
          </w:p>
        </w:tc>
        <w:tc>
          <w:tcPr>
            <w:tcW w:w="1188" w:type="dxa"/>
            <w:tcBorders/>
            <w:shd w:fill="CCEEFF" w:val="clear"/>
            <w:vAlign w:val="center"/>
          </w:tcPr>
          <w:p>
            <w:pPr>
              <w:pStyle w:val="TableContents"/>
              <w:bidi w:val="0"/>
              <w:spacing w:before="0" w:after="283"/>
              <w:jc w:val="right"/>
              <w:rPr/>
            </w:pPr>
            <w:r>
              <w:rPr/>
              <w:t>—</w:t>
            </w:r>
          </w:p>
        </w:tc>
        <w:tc>
          <w:tcPr>
            <w:tcW w:w="101" w:type="dxa"/>
            <w:tcBorders/>
            <w:shd w:fill="CCEEFF" w:val="clear"/>
            <w:vAlign w:val="center"/>
          </w:tcPr>
          <w:p>
            <w:pPr>
              <w:pStyle w:val="TableContents"/>
              <w:bidi w:val="0"/>
              <w:spacing w:before="0" w:after="283"/>
              <w:ind w:left="0" w:right="0" w:hanging="180"/>
              <w:jc w:val="left"/>
              <w:rPr/>
            </w:pPr>
            <w:r>
              <w:rPr/>
              <w:t> </w:t>
            </w:r>
          </w:p>
        </w:tc>
      </w:tr>
      <w:tr>
        <w:trPr/>
        <w:tc>
          <w:tcPr>
            <w:tcW w:w="7100" w:type="dxa"/>
            <w:tcBorders/>
            <w:shd w:fill="FFFFFF" w:val="clear"/>
            <w:vAlign w:val="center"/>
          </w:tcPr>
          <w:p>
            <w:pPr>
              <w:pStyle w:val="TableContents"/>
              <w:bidi w:val="0"/>
              <w:spacing w:before="0" w:after="283"/>
              <w:jc w:val="left"/>
              <w:rPr/>
            </w:pPr>
            <w:r>
              <w:rPr/>
              <w:t>Provision for credit losses</w:t>
            </w:r>
          </w:p>
        </w:tc>
        <w:tc>
          <w:tcPr>
            <w:tcW w:w="60" w:type="dxa"/>
            <w:tcBorders/>
            <w:shd w:fill="FFFFFF" w:val="clear"/>
            <w:vAlign w:val="center"/>
          </w:tcPr>
          <w:p>
            <w:pPr>
              <w:pStyle w:val="TableContents"/>
              <w:bidi w:val="0"/>
              <w:spacing w:before="0" w:after="283"/>
              <w:jc w:val="left"/>
              <w:rPr/>
            </w:pPr>
            <w:r>
              <w:rPr/>
              <w:t> </w:t>
            </w:r>
          </w:p>
        </w:tc>
        <w:tc>
          <w:tcPr>
            <w:tcW w:w="217" w:type="dxa"/>
            <w:tcBorders/>
            <w:shd w:fill="FFFFFF" w:val="clear"/>
            <w:vAlign w:val="center"/>
          </w:tcPr>
          <w:p>
            <w:pPr>
              <w:pStyle w:val="TableContents"/>
              <w:bidi w:val="0"/>
              <w:spacing w:before="0" w:after="283"/>
              <w:jc w:val="left"/>
              <w:rPr/>
            </w:pPr>
            <w:r>
              <w:rPr/>
              <w:t> </w:t>
            </w:r>
          </w:p>
        </w:tc>
        <w:tc>
          <w:tcPr>
            <w:tcW w:w="1178" w:type="dxa"/>
            <w:tcBorders/>
            <w:shd w:fill="FFFFFF" w:val="clear"/>
            <w:vAlign w:val="center"/>
          </w:tcPr>
          <w:p>
            <w:pPr>
              <w:pStyle w:val="TableContents"/>
              <w:bidi w:val="0"/>
              <w:spacing w:before="0" w:after="283"/>
              <w:jc w:val="right"/>
              <w:rPr/>
            </w:pPr>
            <w:r>
              <w:rPr/>
              <w:t>3,554</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6" w:type="dxa"/>
            <w:tcBorders/>
            <w:shd w:fill="FFFFFF" w:val="clear"/>
            <w:vAlign w:val="center"/>
          </w:tcPr>
          <w:p>
            <w:pPr>
              <w:pStyle w:val="TableContents"/>
              <w:bidi w:val="0"/>
              <w:spacing w:before="0" w:after="283"/>
              <w:jc w:val="left"/>
              <w:rPr/>
            </w:pPr>
            <w:r>
              <w:rPr/>
              <w:t> </w:t>
            </w:r>
          </w:p>
        </w:tc>
        <w:tc>
          <w:tcPr>
            <w:tcW w:w="1188" w:type="dxa"/>
            <w:tcBorders/>
            <w:shd w:fill="FFFFFF" w:val="clear"/>
            <w:vAlign w:val="center"/>
          </w:tcPr>
          <w:p>
            <w:pPr>
              <w:pStyle w:val="TableContents"/>
              <w:bidi w:val="0"/>
              <w:spacing w:before="0" w:after="283"/>
              <w:jc w:val="right"/>
              <w:rPr/>
            </w:pPr>
            <w:r>
              <w:rPr/>
              <w:t>9,132</w:t>
            </w:r>
          </w:p>
        </w:tc>
        <w:tc>
          <w:tcPr>
            <w:tcW w:w="101" w:type="dxa"/>
            <w:tcBorders/>
            <w:shd w:fill="FFFFFF" w:val="clear"/>
            <w:vAlign w:val="center"/>
          </w:tcPr>
          <w:p>
            <w:pPr>
              <w:pStyle w:val="TableContents"/>
              <w:bidi w:val="0"/>
              <w:spacing w:before="0" w:after="283"/>
              <w:ind w:left="0" w:right="0" w:hanging="180"/>
              <w:jc w:val="left"/>
              <w:rPr/>
            </w:pPr>
            <w:r>
              <w:rPr/>
              <w:t> </w:t>
            </w:r>
          </w:p>
        </w:tc>
      </w:tr>
      <w:tr>
        <w:trPr/>
        <w:tc>
          <w:tcPr>
            <w:tcW w:w="7100" w:type="dxa"/>
            <w:tcBorders/>
            <w:shd w:fill="CCEEFF" w:val="clear"/>
            <w:vAlign w:val="center"/>
          </w:tcPr>
          <w:p>
            <w:pPr>
              <w:pStyle w:val="TableContents"/>
              <w:bidi w:val="0"/>
              <w:spacing w:before="0" w:after="283"/>
              <w:jc w:val="left"/>
              <w:rPr/>
            </w:pPr>
            <w:r>
              <w:rPr/>
              <w:t>Change in fair value of SAFE Agreements with related party</w:t>
            </w:r>
          </w:p>
        </w:tc>
        <w:tc>
          <w:tcPr>
            <w:tcW w:w="60" w:type="dxa"/>
            <w:tcBorders/>
            <w:shd w:fill="CCEEFF" w:val="clear"/>
            <w:vAlign w:val="center"/>
          </w:tcPr>
          <w:p>
            <w:pPr>
              <w:pStyle w:val="TableContents"/>
              <w:bidi w:val="0"/>
              <w:spacing w:before="0" w:after="283"/>
              <w:jc w:val="left"/>
              <w:rPr/>
            </w:pPr>
            <w:r>
              <w:rPr/>
              <w:t> </w:t>
            </w:r>
          </w:p>
        </w:tc>
        <w:tc>
          <w:tcPr>
            <w:tcW w:w="217" w:type="dxa"/>
            <w:tcBorders/>
            <w:shd w:fill="CCEEFF" w:val="clear"/>
            <w:vAlign w:val="center"/>
          </w:tcPr>
          <w:p>
            <w:pPr>
              <w:pStyle w:val="TableContents"/>
              <w:bidi w:val="0"/>
              <w:spacing w:before="0" w:after="283"/>
              <w:jc w:val="left"/>
              <w:rPr/>
            </w:pPr>
            <w:r>
              <w:rPr/>
              <w:t> </w:t>
            </w:r>
          </w:p>
        </w:tc>
        <w:tc>
          <w:tcPr>
            <w:tcW w:w="1178" w:type="dxa"/>
            <w:tcBorders/>
            <w:shd w:fill="CCEEFF" w:val="clear"/>
            <w:vAlign w:val="center"/>
          </w:tcPr>
          <w:p>
            <w:pPr>
              <w:pStyle w:val="TableContents"/>
              <w:bidi w:val="0"/>
              <w:spacing w:before="0" w:after="283"/>
              <w:jc w:val="right"/>
              <w:rPr/>
            </w:pPr>
            <w:r>
              <w:rPr/>
              <w:t>151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6" w:type="dxa"/>
            <w:tcBorders/>
            <w:shd w:fill="CCEEFF" w:val="clear"/>
            <w:vAlign w:val="center"/>
          </w:tcPr>
          <w:p>
            <w:pPr>
              <w:pStyle w:val="TableContents"/>
              <w:bidi w:val="0"/>
              <w:spacing w:before="0" w:after="283"/>
              <w:jc w:val="left"/>
              <w:rPr/>
            </w:pPr>
            <w:r>
              <w:rPr/>
              <w:t> </w:t>
            </w:r>
          </w:p>
        </w:tc>
        <w:tc>
          <w:tcPr>
            <w:tcW w:w="1188" w:type="dxa"/>
            <w:tcBorders/>
            <w:shd w:fill="CCEEFF" w:val="clear"/>
            <w:vAlign w:val="center"/>
          </w:tcPr>
          <w:p>
            <w:pPr>
              <w:pStyle w:val="TableContents"/>
              <w:bidi w:val="0"/>
              <w:spacing w:before="0" w:after="283"/>
              <w:jc w:val="right"/>
              <w:rPr/>
            </w:pPr>
            <w:r>
              <w:rPr/>
              <w:t>(616</w:t>
            </w:r>
          </w:p>
        </w:tc>
        <w:tc>
          <w:tcPr>
            <w:tcW w:w="101" w:type="dxa"/>
            <w:tcBorders/>
            <w:shd w:fill="CCEEFF" w:val="clear"/>
            <w:vAlign w:val="center"/>
          </w:tcPr>
          <w:p>
            <w:pPr>
              <w:pStyle w:val="TableContents"/>
              <w:bidi w:val="0"/>
              <w:spacing w:before="0" w:after="283"/>
              <w:ind w:left="0" w:right="0" w:hanging="180"/>
              <w:jc w:val="left"/>
              <w:rPr/>
            </w:pPr>
            <w:r>
              <w:rPr/>
              <w:t>)</w:t>
            </w:r>
          </w:p>
        </w:tc>
      </w:tr>
      <w:tr>
        <w:trPr/>
        <w:tc>
          <w:tcPr>
            <w:tcW w:w="7100" w:type="dxa"/>
            <w:tcBorders/>
            <w:shd w:fill="FFFFFF" w:val="clear"/>
            <w:vAlign w:val="center"/>
          </w:tcPr>
          <w:p>
            <w:pPr>
              <w:pStyle w:val="TableContents"/>
              <w:bidi w:val="0"/>
              <w:spacing w:before="0" w:after="283"/>
              <w:jc w:val="left"/>
              <w:rPr/>
            </w:pPr>
            <w:r>
              <w:rPr/>
              <w:t>Loss on conversion of SAFE Agreements to shares of common stock with related party</w:t>
            </w:r>
          </w:p>
        </w:tc>
        <w:tc>
          <w:tcPr>
            <w:tcW w:w="60" w:type="dxa"/>
            <w:tcBorders/>
            <w:shd w:fill="FFFFFF" w:val="clear"/>
            <w:vAlign w:val="center"/>
          </w:tcPr>
          <w:p>
            <w:pPr>
              <w:pStyle w:val="TableContents"/>
              <w:bidi w:val="0"/>
              <w:spacing w:before="0" w:after="283"/>
              <w:jc w:val="left"/>
              <w:rPr/>
            </w:pPr>
            <w:r>
              <w:rPr/>
              <w:t> </w:t>
            </w:r>
          </w:p>
        </w:tc>
        <w:tc>
          <w:tcPr>
            <w:tcW w:w="217" w:type="dxa"/>
            <w:tcBorders/>
            <w:shd w:fill="FFFFFF" w:val="clear"/>
            <w:vAlign w:val="center"/>
          </w:tcPr>
          <w:p>
            <w:pPr>
              <w:pStyle w:val="TableContents"/>
              <w:bidi w:val="0"/>
              <w:spacing w:before="0" w:after="283"/>
              <w:jc w:val="left"/>
              <w:rPr/>
            </w:pPr>
            <w:r>
              <w:rPr/>
              <w:t> </w:t>
            </w:r>
          </w:p>
        </w:tc>
        <w:tc>
          <w:tcPr>
            <w:tcW w:w="1178"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6" w:type="dxa"/>
            <w:tcBorders/>
            <w:shd w:fill="FFFFFF" w:val="clear"/>
            <w:vAlign w:val="center"/>
          </w:tcPr>
          <w:p>
            <w:pPr>
              <w:pStyle w:val="TableContents"/>
              <w:bidi w:val="0"/>
              <w:spacing w:before="0" w:after="283"/>
              <w:jc w:val="left"/>
              <w:rPr/>
            </w:pPr>
            <w:r>
              <w:rPr/>
              <w:t> </w:t>
            </w:r>
          </w:p>
        </w:tc>
        <w:tc>
          <w:tcPr>
            <w:tcW w:w="1188" w:type="dxa"/>
            <w:tcBorders/>
            <w:shd w:fill="FFFFFF" w:val="clear"/>
            <w:vAlign w:val="center"/>
          </w:tcPr>
          <w:p>
            <w:pPr>
              <w:pStyle w:val="TableContents"/>
              <w:bidi w:val="0"/>
              <w:spacing w:before="0" w:after="283"/>
              <w:jc w:val="right"/>
              <w:rPr/>
            </w:pPr>
            <w:r>
              <w:rPr/>
              <w:t>1,250</w:t>
            </w:r>
          </w:p>
        </w:tc>
        <w:tc>
          <w:tcPr>
            <w:tcW w:w="101" w:type="dxa"/>
            <w:tcBorders/>
            <w:shd w:fill="FFFFFF" w:val="clear"/>
            <w:vAlign w:val="center"/>
          </w:tcPr>
          <w:p>
            <w:pPr>
              <w:pStyle w:val="TableContents"/>
              <w:bidi w:val="0"/>
              <w:spacing w:before="0" w:after="283"/>
              <w:ind w:left="0" w:right="0" w:hanging="180"/>
              <w:jc w:val="left"/>
              <w:rPr/>
            </w:pPr>
            <w:r>
              <w:rPr/>
              <w:t> </w:t>
            </w:r>
          </w:p>
        </w:tc>
      </w:tr>
      <w:tr>
        <w:trPr/>
        <w:tc>
          <w:tcPr>
            <w:tcW w:w="7100" w:type="dxa"/>
            <w:tcBorders/>
            <w:shd w:fill="CCEEFF" w:val="clear"/>
            <w:vAlign w:val="center"/>
          </w:tcPr>
          <w:p>
            <w:pPr>
              <w:pStyle w:val="TableContents"/>
              <w:bidi w:val="0"/>
              <w:spacing w:before="0" w:after="283"/>
              <w:jc w:val="left"/>
              <w:rPr/>
            </w:pPr>
            <w:r>
              <w:rPr/>
              <w:t>Change in fair value of deferred consideration</w:t>
            </w:r>
          </w:p>
        </w:tc>
        <w:tc>
          <w:tcPr>
            <w:tcW w:w="60" w:type="dxa"/>
            <w:tcBorders/>
            <w:shd w:fill="CCEEFF" w:val="clear"/>
            <w:vAlign w:val="center"/>
          </w:tcPr>
          <w:p>
            <w:pPr>
              <w:pStyle w:val="TableContents"/>
              <w:bidi w:val="0"/>
              <w:spacing w:before="0" w:after="283"/>
              <w:jc w:val="left"/>
              <w:rPr/>
            </w:pPr>
            <w:r>
              <w:rPr/>
              <w:t> </w:t>
            </w:r>
          </w:p>
        </w:tc>
        <w:tc>
          <w:tcPr>
            <w:tcW w:w="217" w:type="dxa"/>
            <w:tcBorders/>
            <w:shd w:fill="CCEEFF" w:val="clear"/>
            <w:vAlign w:val="center"/>
          </w:tcPr>
          <w:p>
            <w:pPr>
              <w:pStyle w:val="TableContents"/>
              <w:bidi w:val="0"/>
              <w:spacing w:before="0" w:after="283"/>
              <w:jc w:val="left"/>
              <w:rPr/>
            </w:pPr>
            <w:r>
              <w:rPr/>
              <w:t> </w:t>
            </w:r>
          </w:p>
        </w:tc>
        <w:tc>
          <w:tcPr>
            <w:tcW w:w="1178" w:type="dxa"/>
            <w:tcBorders/>
            <w:shd w:fill="CCEEFF" w:val="clear"/>
            <w:vAlign w:val="center"/>
          </w:tcPr>
          <w:p>
            <w:pPr>
              <w:pStyle w:val="TableContents"/>
              <w:bidi w:val="0"/>
              <w:spacing w:before="0" w:after="283"/>
              <w:jc w:val="right"/>
              <w:rPr/>
            </w:pPr>
            <w:r>
              <w:rPr/>
              <w:t>(560</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206" w:type="dxa"/>
            <w:tcBorders/>
            <w:shd w:fill="CCEEFF" w:val="clear"/>
            <w:vAlign w:val="center"/>
          </w:tcPr>
          <w:p>
            <w:pPr>
              <w:pStyle w:val="TableContents"/>
              <w:bidi w:val="0"/>
              <w:spacing w:before="0" w:after="283"/>
              <w:jc w:val="left"/>
              <w:rPr/>
            </w:pPr>
            <w:r>
              <w:rPr/>
              <w:t> </w:t>
            </w:r>
          </w:p>
        </w:tc>
        <w:tc>
          <w:tcPr>
            <w:tcW w:w="1188" w:type="dxa"/>
            <w:tcBorders/>
            <w:shd w:fill="CCEEFF" w:val="clear"/>
            <w:vAlign w:val="center"/>
          </w:tcPr>
          <w:p>
            <w:pPr>
              <w:pStyle w:val="TableContents"/>
              <w:bidi w:val="0"/>
              <w:spacing w:before="0" w:after="283"/>
              <w:jc w:val="right"/>
              <w:rPr/>
            </w:pPr>
            <w:r>
              <w:rPr/>
              <w:t>—</w:t>
            </w:r>
          </w:p>
        </w:tc>
        <w:tc>
          <w:tcPr>
            <w:tcW w:w="101" w:type="dxa"/>
            <w:tcBorders/>
            <w:shd w:fill="CCEEFF" w:val="clear"/>
            <w:vAlign w:val="center"/>
          </w:tcPr>
          <w:p>
            <w:pPr>
              <w:pStyle w:val="TableContents"/>
              <w:bidi w:val="0"/>
              <w:spacing w:before="0" w:after="283"/>
              <w:ind w:left="0" w:right="0" w:hanging="180"/>
              <w:jc w:val="left"/>
              <w:rPr/>
            </w:pPr>
            <w:r>
              <w:rPr/>
              <w:t> </w:t>
            </w:r>
          </w:p>
        </w:tc>
      </w:tr>
      <w:tr>
        <w:trPr/>
        <w:tc>
          <w:tcPr>
            <w:tcW w:w="7100" w:type="dxa"/>
            <w:tcBorders/>
            <w:shd w:fill="FFFFFF" w:val="clear"/>
            <w:vAlign w:val="center"/>
          </w:tcPr>
          <w:p>
            <w:pPr>
              <w:pStyle w:val="TableContents"/>
              <w:bidi w:val="0"/>
              <w:spacing w:before="0" w:after="283"/>
              <w:jc w:val="left"/>
              <w:rPr>
                <w:sz w:val="20"/>
              </w:rPr>
            </w:pPr>
            <w:r>
              <w:rPr>
                <w:sz w:val="20"/>
              </w:rPr>
              <w:t>Loss on issuance of derivative liability</w:t>
            </w:r>
            <w:r>
              <w:rPr>
                <w:position w:val="7"/>
                <w:sz w:val="16"/>
                <w:sz w:val="20"/>
              </w:rPr>
              <w:t>(2)</w:t>
            </w:r>
          </w:p>
        </w:tc>
        <w:tc>
          <w:tcPr>
            <w:tcW w:w="60" w:type="dxa"/>
            <w:tcBorders/>
            <w:shd w:fill="FFFFFF" w:val="clear"/>
            <w:vAlign w:val="center"/>
          </w:tcPr>
          <w:p>
            <w:pPr>
              <w:pStyle w:val="TableContents"/>
              <w:bidi w:val="0"/>
              <w:spacing w:before="0" w:after="283"/>
              <w:jc w:val="left"/>
              <w:rPr/>
            </w:pPr>
            <w:r>
              <w:rPr/>
              <w:t> </w:t>
            </w:r>
          </w:p>
        </w:tc>
        <w:tc>
          <w:tcPr>
            <w:tcW w:w="217" w:type="dxa"/>
            <w:tcBorders/>
            <w:shd w:fill="FFFFFF" w:val="clear"/>
            <w:vAlign w:val="center"/>
          </w:tcPr>
          <w:p>
            <w:pPr>
              <w:pStyle w:val="TableContents"/>
              <w:bidi w:val="0"/>
              <w:spacing w:before="0" w:after="283"/>
              <w:jc w:val="left"/>
              <w:rPr/>
            </w:pPr>
            <w:r>
              <w:rPr/>
              <w:t> </w:t>
            </w:r>
          </w:p>
        </w:tc>
        <w:tc>
          <w:tcPr>
            <w:tcW w:w="1178"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6" w:type="dxa"/>
            <w:tcBorders/>
            <w:shd w:fill="FFFFFF" w:val="clear"/>
            <w:vAlign w:val="center"/>
          </w:tcPr>
          <w:p>
            <w:pPr>
              <w:pStyle w:val="TableContents"/>
              <w:bidi w:val="0"/>
              <w:spacing w:before="0" w:after="283"/>
              <w:jc w:val="left"/>
              <w:rPr/>
            </w:pPr>
            <w:r>
              <w:rPr/>
              <w:t> </w:t>
            </w:r>
          </w:p>
        </w:tc>
        <w:tc>
          <w:tcPr>
            <w:tcW w:w="1188" w:type="dxa"/>
            <w:tcBorders/>
            <w:shd w:fill="FFFFFF" w:val="clear"/>
            <w:vAlign w:val="center"/>
          </w:tcPr>
          <w:p>
            <w:pPr>
              <w:pStyle w:val="TableContents"/>
              <w:bidi w:val="0"/>
              <w:spacing w:before="0" w:after="283"/>
              <w:jc w:val="right"/>
              <w:rPr/>
            </w:pPr>
            <w:r>
              <w:rPr/>
              <w:t>24,688</w:t>
            </w:r>
          </w:p>
        </w:tc>
        <w:tc>
          <w:tcPr>
            <w:tcW w:w="101" w:type="dxa"/>
            <w:tcBorders/>
            <w:shd w:fill="FFFFFF" w:val="clear"/>
            <w:vAlign w:val="center"/>
          </w:tcPr>
          <w:p>
            <w:pPr>
              <w:pStyle w:val="TableContents"/>
              <w:bidi w:val="0"/>
              <w:spacing w:before="0" w:after="283"/>
              <w:ind w:left="0" w:right="0" w:hanging="180"/>
              <w:jc w:val="left"/>
              <w:rPr/>
            </w:pPr>
            <w:r>
              <w:rPr/>
              <w:t> </w:t>
            </w:r>
          </w:p>
        </w:tc>
      </w:tr>
      <w:tr>
        <w:trPr/>
        <w:tc>
          <w:tcPr>
            <w:tcW w:w="7100" w:type="dxa"/>
            <w:tcBorders/>
            <w:shd w:fill="CCEEFF" w:val="clear"/>
            <w:vAlign w:val="center"/>
          </w:tcPr>
          <w:p>
            <w:pPr>
              <w:pStyle w:val="TableContents"/>
              <w:bidi w:val="0"/>
              <w:spacing w:before="0" w:after="283"/>
              <w:jc w:val="left"/>
              <w:rPr>
                <w:sz w:val="20"/>
              </w:rPr>
            </w:pPr>
            <w:r>
              <w:rPr>
                <w:sz w:val="20"/>
              </w:rPr>
              <w:t>Change in fair value of derivative liabilities</w:t>
            </w:r>
            <w:r>
              <w:rPr>
                <w:position w:val="7"/>
                <w:sz w:val="16"/>
                <w:sz w:val="20"/>
              </w:rPr>
              <w:t>(3)</w:t>
            </w:r>
          </w:p>
        </w:tc>
        <w:tc>
          <w:tcPr>
            <w:tcW w:w="60" w:type="dxa"/>
            <w:tcBorders/>
            <w:shd w:fill="CCEEFF" w:val="clear"/>
            <w:vAlign w:val="center"/>
          </w:tcPr>
          <w:p>
            <w:pPr>
              <w:pStyle w:val="TableContents"/>
              <w:bidi w:val="0"/>
              <w:spacing w:before="0" w:after="283"/>
              <w:jc w:val="left"/>
              <w:rPr/>
            </w:pPr>
            <w:r>
              <w:rPr/>
              <w:t> </w:t>
            </w:r>
          </w:p>
        </w:tc>
        <w:tc>
          <w:tcPr>
            <w:tcW w:w="217" w:type="dxa"/>
            <w:tcBorders/>
            <w:shd w:fill="CCEEFF" w:val="clear"/>
            <w:vAlign w:val="center"/>
          </w:tcPr>
          <w:p>
            <w:pPr>
              <w:pStyle w:val="TableContents"/>
              <w:bidi w:val="0"/>
              <w:spacing w:before="0" w:after="283"/>
              <w:jc w:val="left"/>
              <w:rPr/>
            </w:pPr>
            <w:r>
              <w:rPr/>
              <w:t> </w:t>
            </w:r>
          </w:p>
        </w:tc>
        <w:tc>
          <w:tcPr>
            <w:tcW w:w="1178" w:type="dxa"/>
            <w:tcBorders/>
            <w:shd w:fill="CCEEFF" w:val="clear"/>
            <w:vAlign w:val="center"/>
          </w:tcPr>
          <w:p>
            <w:pPr>
              <w:pStyle w:val="TableContents"/>
              <w:bidi w:val="0"/>
              <w:spacing w:before="0" w:after="283"/>
              <w:jc w:val="right"/>
              <w:rPr/>
            </w:pPr>
            <w:r>
              <w:rPr/>
              <w:t>(11,490</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206" w:type="dxa"/>
            <w:tcBorders/>
            <w:shd w:fill="CCEEFF" w:val="clear"/>
            <w:vAlign w:val="center"/>
          </w:tcPr>
          <w:p>
            <w:pPr>
              <w:pStyle w:val="TableContents"/>
              <w:bidi w:val="0"/>
              <w:spacing w:before="0" w:after="283"/>
              <w:jc w:val="left"/>
              <w:rPr/>
            </w:pPr>
            <w:r>
              <w:rPr/>
              <w:t> </w:t>
            </w:r>
          </w:p>
        </w:tc>
        <w:tc>
          <w:tcPr>
            <w:tcW w:w="1188" w:type="dxa"/>
            <w:tcBorders/>
            <w:shd w:fill="CCEEFF" w:val="clear"/>
            <w:vAlign w:val="center"/>
          </w:tcPr>
          <w:p>
            <w:pPr>
              <w:pStyle w:val="TableContents"/>
              <w:bidi w:val="0"/>
              <w:spacing w:before="0" w:after="283"/>
              <w:jc w:val="right"/>
              <w:rPr/>
            </w:pPr>
            <w:r>
              <w:rPr/>
              <w:t>(33,986</w:t>
            </w:r>
          </w:p>
        </w:tc>
        <w:tc>
          <w:tcPr>
            <w:tcW w:w="101" w:type="dxa"/>
            <w:tcBorders/>
            <w:shd w:fill="CCEEFF" w:val="clear"/>
            <w:vAlign w:val="center"/>
          </w:tcPr>
          <w:p>
            <w:pPr>
              <w:pStyle w:val="TableContents"/>
              <w:bidi w:val="0"/>
              <w:spacing w:before="0" w:after="283"/>
              <w:ind w:left="0" w:right="0" w:hanging="180"/>
              <w:jc w:val="left"/>
              <w:rPr/>
            </w:pPr>
            <w:r>
              <w:rPr/>
              <w:t>)</w:t>
            </w:r>
          </w:p>
        </w:tc>
      </w:tr>
      <w:tr>
        <w:trPr/>
        <w:tc>
          <w:tcPr>
            <w:tcW w:w="7100" w:type="dxa"/>
            <w:tcBorders/>
            <w:shd w:fill="FFFFFF" w:val="clear"/>
            <w:vAlign w:val="center"/>
          </w:tcPr>
          <w:p>
            <w:pPr>
              <w:pStyle w:val="TableContents"/>
              <w:bidi w:val="0"/>
              <w:spacing w:before="0" w:after="283"/>
              <w:jc w:val="left"/>
              <w:rPr/>
            </w:pPr>
            <w:r>
              <w:rPr/>
              <w:t>Change in fair value of warrant liabilities</w:t>
            </w:r>
          </w:p>
        </w:tc>
        <w:tc>
          <w:tcPr>
            <w:tcW w:w="60" w:type="dxa"/>
            <w:tcBorders/>
            <w:shd w:fill="FFFFFF" w:val="clear"/>
            <w:vAlign w:val="center"/>
          </w:tcPr>
          <w:p>
            <w:pPr>
              <w:pStyle w:val="TableContents"/>
              <w:bidi w:val="0"/>
              <w:spacing w:before="0" w:after="283"/>
              <w:jc w:val="left"/>
              <w:rPr/>
            </w:pPr>
            <w:r>
              <w:rPr/>
              <w:t> </w:t>
            </w:r>
          </w:p>
        </w:tc>
        <w:tc>
          <w:tcPr>
            <w:tcW w:w="217" w:type="dxa"/>
            <w:tcBorders/>
            <w:shd w:fill="FFFFFF" w:val="clear"/>
            <w:vAlign w:val="center"/>
          </w:tcPr>
          <w:p>
            <w:pPr>
              <w:pStyle w:val="TableContents"/>
              <w:bidi w:val="0"/>
              <w:spacing w:before="0" w:after="283"/>
              <w:jc w:val="left"/>
              <w:rPr/>
            </w:pPr>
            <w:r>
              <w:rPr/>
              <w:t> </w:t>
            </w:r>
          </w:p>
        </w:tc>
        <w:tc>
          <w:tcPr>
            <w:tcW w:w="1178" w:type="dxa"/>
            <w:tcBorders/>
            <w:shd w:fill="FFFFFF" w:val="clear"/>
            <w:vAlign w:val="center"/>
          </w:tcPr>
          <w:p>
            <w:pPr>
              <w:pStyle w:val="TableContents"/>
              <w:bidi w:val="0"/>
              <w:spacing w:before="0" w:after="283"/>
              <w:jc w:val="right"/>
              <w:rPr/>
            </w:pPr>
            <w:r>
              <w:rPr/>
              <w:t>2,800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6" w:type="dxa"/>
            <w:tcBorders/>
            <w:shd w:fill="FFFFFF" w:val="clear"/>
            <w:vAlign w:val="center"/>
          </w:tcPr>
          <w:p>
            <w:pPr>
              <w:pStyle w:val="TableContents"/>
              <w:bidi w:val="0"/>
              <w:spacing w:before="0" w:after="283"/>
              <w:jc w:val="left"/>
              <w:rPr/>
            </w:pPr>
            <w:r>
              <w:rPr/>
              <w:t> </w:t>
            </w:r>
          </w:p>
        </w:tc>
        <w:tc>
          <w:tcPr>
            <w:tcW w:w="1188" w:type="dxa"/>
            <w:tcBorders/>
            <w:shd w:fill="FFFFFF" w:val="clear"/>
            <w:vAlign w:val="center"/>
          </w:tcPr>
          <w:p>
            <w:pPr>
              <w:pStyle w:val="TableContents"/>
              <w:bidi w:val="0"/>
              <w:spacing w:before="0" w:after="283"/>
              <w:jc w:val="right"/>
              <w:rPr/>
            </w:pPr>
            <w:r>
              <w:rPr/>
              <w:t>(2,921</w:t>
            </w:r>
          </w:p>
        </w:tc>
        <w:tc>
          <w:tcPr>
            <w:tcW w:w="101" w:type="dxa"/>
            <w:tcBorders/>
            <w:shd w:fill="FFFFFF" w:val="clear"/>
            <w:vAlign w:val="center"/>
          </w:tcPr>
          <w:p>
            <w:pPr>
              <w:pStyle w:val="TableContents"/>
              <w:bidi w:val="0"/>
              <w:spacing w:before="0" w:after="283"/>
              <w:ind w:left="0" w:right="0" w:hanging="180"/>
              <w:jc w:val="left"/>
              <w:rPr/>
            </w:pPr>
            <w:r>
              <w:rPr/>
              <w:t>)</w:t>
            </w:r>
          </w:p>
        </w:tc>
      </w:tr>
      <w:tr>
        <w:trPr/>
        <w:tc>
          <w:tcPr>
            <w:tcW w:w="7100" w:type="dxa"/>
            <w:tcBorders/>
            <w:shd w:fill="CCEEFF" w:val="clear"/>
            <w:vAlign w:val="center"/>
          </w:tcPr>
          <w:p>
            <w:pPr>
              <w:pStyle w:val="TableContents"/>
              <w:bidi w:val="0"/>
              <w:spacing w:before="0" w:after="283"/>
              <w:jc w:val="left"/>
              <w:rPr>
                <w:sz w:val="20"/>
              </w:rPr>
            </w:pPr>
            <w:r>
              <w:rPr>
                <w:sz w:val="20"/>
              </w:rPr>
              <w:t>Change in fair value of forward purchase agreement liabilities</w:t>
            </w:r>
            <w:r>
              <w:rPr>
                <w:position w:val="7"/>
                <w:sz w:val="16"/>
                <w:sz w:val="20"/>
              </w:rPr>
              <w:t>(4)</w:t>
            </w:r>
          </w:p>
        </w:tc>
        <w:tc>
          <w:tcPr>
            <w:tcW w:w="60" w:type="dxa"/>
            <w:tcBorders/>
            <w:shd w:fill="CCEEFF" w:val="clear"/>
            <w:vAlign w:val="center"/>
          </w:tcPr>
          <w:p>
            <w:pPr>
              <w:pStyle w:val="TableContents"/>
              <w:bidi w:val="0"/>
              <w:spacing w:before="0" w:after="283"/>
              <w:jc w:val="left"/>
              <w:rPr/>
            </w:pPr>
            <w:r>
              <w:rPr/>
              <w:t> </w:t>
            </w:r>
          </w:p>
        </w:tc>
        <w:tc>
          <w:tcPr>
            <w:tcW w:w="217" w:type="dxa"/>
            <w:tcBorders/>
            <w:shd w:fill="CCEEFF" w:val="clear"/>
            <w:vAlign w:val="center"/>
          </w:tcPr>
          <w:p>
            <w:pPr>
              <w:pStyle w:val="TableContents"/>
              <w:bidi w:val="0"/>
              <w:spacing w:before="0" w:after="283"/>
              <w:jc w:val="left"/>
              <w:rPr/>
            </w:pPr>
            <w:r>
              <w:rPr/>
              <w:t> </w:t>
            </w:r>
          </w:p>
        </w:tc>
        <w:tc>
          <w:tcPr>
            <w:tcW w:w="1178" w:type="dxa"/>
            <w:tcBorders/>
            <w:shd w:fill="CCEEFF" w:val="clear"/>
            <w:vAlign w:val="center"/>
          </w:tcPr>
          <w:p>
            <w:pPr>
              <w:pStyle w:val="TableContents"/>
              <w:bidi w:val="0"/>
              <w:spacing w:before="0" w:after="283"/>
              <w:jc w:val="right"/>
              <w:rPr/>
            </w:pPr>
            <w:r>
              <w:rPr/>
              <w:t>471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6" w:type="dxa"/>
            <w:tcBorders/>
            <w:shd w:fill="CCEEFF" w:val="clear"/>
            <w:vAlign w:val="center"/>
          </w:tcPr>
          <w:p>
            <w:pPr>
              <w:pStyle w:val="TableContents"/>
              <w:bidi w:val="0"/>
              <w:spacing w:before="0" w:after="283"/>
              <w:jc w:val="left"/>
              <w:rPr/>
            </w:pPr>
            <w:r>
              <w:rPr/>
              <w:t> </w:t>
            </w:r>
          </w:p>
        </w:tc>
        <w:tc>
          <w:tcPr>
            <w:tcW w:w="1188" w:type="dxa"/>
            <w:tcBorders/>
            <w:shd w:fill="CCEEFF" w:val="clear"/>
            <w:vAlign w:val="center"/>
          </w:tcPr>
          <w:p>
            <w:pPr>
              <w:pStyle w:val="TableContents"/>
              <w:bidi w:val="0"/>
              <w:spacing w:before="0" w:after="283"/>
              <w:jc w:val="right"/>
              <w:rPr/>
            </w:pPr>
            <w:r>
              <w:rPr/>
              <w:t>(337</w:t>
            </w:r>
          </w:p>
        </w:tc>
        <w:tc>
          <w:tcPr>
            <w:tcW w:w="101" w:type="dxa"/>
            <w:tcBorders/>
            <w:shd w:fill="CCEEFF" w:val="clear"/>
            <w:vAlign w:val="center"/>
          </w:tcPr>
          <w:p>
            <w:pPr>
              <w:pStyle w:val="TableContents"/>
              <w:bidi w:val="0"/>
              <w:spacing w:before="0" w:after="283"/>
              <w:ind w:left="0" w:right="0" w:hanging="180"/>
              <w:jc w:val="left"/>
              <w:rPr/>
            </w:pPr>
            <w:r>
              <w:rPr/>
              <w:t>)</w:t>
            </w:r>
          </w:p>
        </w:tc>
      </w:tr>
      <w:tr>
        <w:trPr/>
        <w:tc>
          <w:tcPr>
            <w:tcW w:w="7100" w:type="dxa"/>
            <w:tcBorders/>
            <w:shd w:fill="FFFFFF" w:val="clear"/>
            <w:vAlign w:val="center"/>
          </w:tcPr>
          <w:p>
            <w:pPr>
              <w:pStyle w:val="TableContents"/>
              <w:bidi w:val="0"/>
              <w:spacing w:before="0" w:after="283"/>
              <w:jc w:val="left"/>
              <w:rPr/>
            </w:pPr>
            <w:r>
              <w:rPr/>
              <w:t>Non-cash expense in connection with warrants issued for vendor services</w:t>
            </w:r>
          </w:p>
        </w:tc>
        <w:tc>
          <w:tcPr>
            <w:tcW w:w="60" w:type="dxa"/>
            <w:tcBorders/>
            <w:shd w:fill="FFFFFF" w:val="clear"/>
            <w:vAlign w:val="center"/>
          </w:tcPr>
          <w:p>
            <w:pPr>
              <w:pStyle w:val="TableContents"/>
              <w:bidi w:val="0"/>
              <w:spacing w:before="0" w:after="283"/>
              <w:jc w:val="left"/>
              <w:rPr/>
            </w:pPr>
            <w:r>
              <w:rPr/>
              <w:t> </w:t>
            </w:r>
          </w:p>
        </w:tc>
        <w:tc>
          <w:tcPr>
            <w:tcW w:w="217" w:type="dxa"/>
            <w:tcBorders/>
            <w:shd w:fill="FFFFFF" w:val="clear"/>
            <w:vAlign w:val="center"/>
          </w:tcPr>
          <w:p>
            <w:pPr>
              <w:pStyle w:val="TableContents"/>
              <w:bidi w:val="0"/>
              <w:spacing w:before="0" w:after="283"/>
              <w:jc w:val="left"/>
              <w:rPr/>
            </w:pPr>
            <w:r>
              <w:rPr/>
              <w:t> </w:t>
            </w:r>
          </w:p>
        </w:tc>
        <w:tc>
          <w:tcPr>
            <w:tcW w:w="1178"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6" w:type="dxa"/>
            <w:tcBorders/>
            <w:shd w:fill="FFFFFF" w:val="clear"/>
            <w:vAlign w:val="center"/>
          </w:tcPr>
          <w:p>
            <w:pPr>
              <w:pStyle w:val="TableContents"/>
              <w:bidi w:val="0"/>
              <w:spacing w:before="0" w:after="283"/>
              <w:jc w:val="left"/>
              <w:rPr/>
            </w:pPr>
            <w:r>
              <w:rPr/>
              <w:t> </w:t>
            </w:r>
          </w:p>
        </w:tc>
        <w:tc>
          <w:tcPr>
            <w:tcW w:w="1188" w:type="dxa"/>
            <w:tcBorders/>
            <w:shd w:fill="FFFFFF" w:val="clear"/>
            <w:vAlign w:val="center"/>
          </w:tcPr>
          <w:p>
            <w:pPr>
              <w:pStyle w:val="TableContents"/>
              <w:bidi w:val="0"/>
              <w:spacing w:before="0" w:after="283"/>
              <w:jc w:val="right"/>
              <w:rPr/>
            </w:pPr>
            <w:r>
              <w:rPr/>
              <w:t>9,179</w:t>
            </w:r>
          </w:p>
        </w:tc>
        <w:tc>
          <w:tcPr>
            <w:tcW w:w="101" w:type="dxa"/>
            <w:tcBorders/>
            <w:shd w:fill="FFFFFF" w:val="clear"/>
            <w:vAlign w:val="center"/>
          </w:tcPr>
          <w:p>
            <w:pPr>
              <w:pStyle w:val="TableContents"/>
              <w:bidi w:val="0"/>
              <w:spacing w:before="0" w:after="283"/>
              <w:ind w:left="0" w:right="0" w:hanging="180"/>
              <w:jc w:val="left"/>
              <w:rPr/>
            </w:pPr>
            <w:r>
              <w:rPr/>
              <w:t> </w:t>
            </w:r>
          </w:p>
        </w:tc>
      </w:tr>
      <w:tr>
        <w:trPr/>
        <w:tc>
          <w:tcPr>
            <w:tcW w:w="7100" w:type="dxa"/>
            <w:tcBorders/>
            <w:shd w:fill="CCEEFF" w:val="clear"/>
            <w:vAlign w:val="center"/>
          </w:tcPr>
          <w:p>
            <w:pPr>
              <w:pStyle w:val="TableContents"/>
              <w:bidi w:val="0"/>
              <w:spacing w:before="0" w:after="283"/>
              <w:jc w:val="left"/>
              <w:rPr/>
            </w:pPr>
            <w:r>
              <w:rPr/>
              <w:t>Loss on impairments and disposals</w:t>
            </w:r>
          </w:p>
        </w:tc>
        <w:tc>
          <w:tcPr>
            <w:tcW w:w="60" w:type="dxa"/>
            <w:tcBorders/>
            <w:shd w:fill="CCEEFF" w:val="clear"/>
            <w:vAlign w:val="center"/>
          </w:tcPr>
          <w:p>
            <w:pPr>
              <w:pStyle w:val="TableContents"/>
              <w:bidi w:val="0"/>
              <w:spacing w:before="0" w:after="283"/>
              <w:jc w:val="left"/>
              <w:rPr/>
            </w:pPr>
            <w:r>
              <w:rPr/>
              <w:t> </w:t>
            </w:r>
          </w:p>
        </w:tc>
        <w:tc>
          <w:tcPr>
            <w:tcW w:w="217" w:type="dxa"/>
            <w:tcBorders/>
            <w:shd w:fill="CCEEFF" w:val="clear"/>
            <w:vAlign w:val="center"/>
          </w:tcPr>
          <w:p>
            <w:pPr>
              <w:pStyle w:val="TableContents"/>
              <w:bidi w:val="0"/>
              <w:spacing w:before="0" w:after="283"/>
              <w:jc w:val="left"/>
              <w:rPr/>
            </w:pPr>
            <w:r>
              <w:rPr/>
              <w:t> </w:t>
            </w:r>
          </w:p>
        </w:tc>
        <w:tc>
          <w:tcPr>
            <w:tcW w:w="1178" w:type="dxa"/>
            <w:tcBorders/>
            <w:shd w:fill="CCEEFF" w:val="clear"/>
            <w:vAlign w:val="center"/>
          </w:tcPr>
          <w:p>
            <w:pPr>
              <w:pStyle w:val="TableContents"/>
              <w:bidi w:val="0"/>
              <w:spacing w:before="0" w:after="283"/>
              <w:jc w:val="right"/>
              <w:rPr/>
            </w:pPr>
            <w:r>
              <w:rPr/>
              <w:t>113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6" w:type="dxa"/>
            <w:tcBorders/>
            <w:shd w:fill="CCEEFF" w:val="clear"/>
            <w:vAlign w:val="center"/>
          </w:tcPr>
          <w:p>
            <w:pPr>
              <w:pStyle w:val="TableContents"/>
              <w:bidi w:val="0"/>
              <w:spacing w:before="0" w:after="283"/>
              <w:jc w:val="left"/>
              <w:rPr/>
            </w:pPr>
            <w:r>
              <w:rPr/>
              <w:t> </w:t>
            </w:r>
          </w:p>
        </w:tc>
        <w:tc>
          <w:tcPr>
            <w:tcW w:w="1188" w:type="dxa"/>
            <w:tcBorders/>
            <w:shd w:fill="CCEEFF" w:val="clear"/>
            <w:vAlign w:val="center"/>
          </w:tcPr>
          <w:p>
            <w:pPr>
              <w:pStyle w:val="TableContents"/>
              <w:bidi w:val="0"/>
              <w:spacing w:before="0" w:after="283"/>
              <w:jc w:val="right"/>
              <w:rPr/>
            </w:pPr>
            <w:r>
              <w:rPr/>
              <w:t>3,827</w:t>
            </w:r>
          </w:p>
        </w:tc>
        <w:tc>
          <w:tcPr>
            <w:tcW w:w="101" w:type="dxa"/>
            <w:tcBorders/>
            <w:shd w:fill="CCEEFF" w:val="clear"/>
            <w:vAlign w:val="center"/>
          </w:tcPr>
          <w:p>
            <w:pPr>
              <w:pStyle w:val="TableContents"/>
              <w:bidi w:val="0"/>
              <w:spacing w:before="0" w:after="283"/>
              <w:ind w:left="0" w:right="0" w:hanging="180"/>
              <w:jc w:val="left"/>
              <w:rPr/>
            </w:pPr>
            <w:r>
              <w:rPr/>
              <w:t> </w:t>
            </w:r>
          </w:p>
        </w:tc>
      </w:tr>
      <w:tr>
        <w:trPr/>
        <w:tc>
          <w:tcPr>
            <w:tcW w:w="7100" w:type="dxa"/>
            <w:tcBorders/>
            <w:shd w:fill="FFFFFF" w:val="clear"/>
            <w:vAlign w:val="center"/>
          </w:tcPr>
          <w:p>
            <w:pPr>
              <w:pStyle w:val="TableContents"/>
              <w:bidi w:val="0"/>
              <w:spacing w:before="0" w:after="283"/>
              <w:jc w:val="left"/>
              <w:rPr>
                <w:sz w:val="20"/>
              </w:rPr>
            </w:pPr>
            <w:r>
              <w:rPr>
                <w:sz w:val="20"/>
              </w:rPr>
              <w:t>Non-cash income</w:t>
            </w:r>
            <w:r>
              <w:rPr>
                <w:position w:val="7"/>
                <w:sz w:val="16"/>
                <w:sz w:val="20"/>
              </w:rPr>
              <w:t>(5)</w:t>
            </w:r>
          </w:p>
        </w:tc>
        <w:tc>
          <w:tcPr>
            <w:tcW w:w="60" w:type="dxa"/>
            <w:tcBorders/>
            <w:shd w:fill="FFFFFF" w:val="clear"/>
            <w:vAlign w:val="center"/>
          </w:tcPr>
          <w:p>
            <w:pPr>
              <w:pStyle w:val="TableContents"/>
              <w:bidi w:val="0"/>
              <w:spacing w:before="0" w:after="283"/>
              <w:jc w:val="left"/>
              <w:rPr/>
            </w:pPr>
            <w:r>
              <w:rPr/>
              <w:t> </w:t>
            </w:r>
          </w:p>
        </w:tc>
        <w:tc>
          <w:tcPr>
            <w:tcW w:w="217" w:type="dxa"/>
            <w:tcBorders/>
            <w:shd w:fill="FFFFFF" w:val="clear"/>
            <w:vAlign w:val="center"/>
          </w:tcPr>
          <w:p>
            <w:pPr>
              <w:pStyle w:val="TableContents"/>
              <w:bidi w:val="0"/>
              <w:spacing w:before="0" w:after="283"/>
              <w:jc w:val="left"/>
              <w:rPr/>
            </w:pPr>
            <w:r>
              <w:rPr/>
              <w:t> </w:t>
            </w:r>
          </w:p>
        </w:tc>
        <w:tc>
          <w:tcPr>
            <w:tcW w:w="1178" w:type="dxa"/>
            <w:tcBorders/>
            <w:shd w:fill="FFFFFF" w:val="clear"/>
            <w:vAlign w:val="center"/>
          </w:tcPr>
          <w:p>
            <w:pPr>
              <w:pStyle w:val="TableContents"/>
              <w:bidi w:val="0"/>
              <w:spacing w:before="0" w:after="283"/>
              <w:jc w:val="right"/>
              <w:rPr/>
            </w:pPr>
            <w:r>
              <w:rPr/>
              <w:t>(628</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206" w:type="dxa"/>
            <w:tcBorders/>
            <w:shd w:fill="FFFFFF" w:val="clear"/>
            <w:vAlign w:val="center"/>
          </w:tcPr>
          <w:p>
            <w:pPr>
              <w:pStyle w:val="TableContents"/>
              <w:bidi w:val="0"/>
              <w:spacing w:before="0" w:after="283"/>
              <w:jc w:val="left"/>
              <w:rPr/>
            </w:pPr>
            <w:r>
              <w:rPr/>
              <w:t> </w:t>
            </w:r>
          </w:p>
        </w:tc>
        <w:tc>
          <w:tcPr>
            <w:tcW w:w="1188" w:type="dxa"/>
            <w:tcBorders/>
            <w:shd w:fill="FFFFFF" w:val="clear"/>
            <w:vAlign w:val="center"/>
          </w:tcPr>
          <w:p>
            <w:pPr>
              <w:pStyle w:val="TableContents"/>
              <w:bidi w:val="0"/>
              <w:spacing w:before="0" w:after="283"/>
              <w:jc w:val="right"/>
              <w:rPr/>
            </w:pPr>
            <w:r>
              <w:rPr/>
              <w:t>—</w:t>
            </w:r>
          </w:p>
        </w:tc>
        <w:tc>
          <w:tcPr>
            <w:tcW w:w="101" w:type="dxa"/>
            <w:tcBorders/>
            <w:shd w:fill="FFFFFF" w:val="clear"/>
            <w:vAlign w:val="center"/>
          </w:tcPr>
          <w:p>
            <w:pPr>
              <w:pStyle w:val="TableContents"/>
              <w:bidi w:val="0"/>
              <w:spacing w:before="0" w:after="283"/>
              <w:ind w:left="0" w:right="0" w:hanging="180"/>
              <w:jc w:val="left"/>
              <w:rPr/>
            </w:pPr>
            <w:r>
              <w:rPr/>
              <w:t> </w:t>
            </w:r>
          </w:p>
        </w:tc>
      </w:tr>
      <w:tr>
        <w:trPr/>
        <w:tc>
          <w:tcPr>
            <w:tcW w:w="7100" w:type="dxa"/>
            <w:tcBorders/>
            <w:shd w:fill="CCEEFF" w:val="clear"/>
            <w:vAlign w:val="center"/>
          </w:tcPr>
          <w:p>
            <w:pPr>
              <w:pStyle w:val="TableContents"/>
              <w:bidi w:val="0"/>
              <w:spacing w:before="0" w:after="283"/>
              <w:jc w:val="left"/>
              <w:rPr/>
            </w:pPr>
            <w:r>
              <w:rPr/>
              <w:t>Non-cash interest expense</w:t>
            </w:r>
          </w:p>
        </w:tc>
        <w:tc>
          <w:tcPr>
            <w:tcW w:w="60" w:type="dxa"/>
            <w:tcBorders/>
            <w:shd w:fill="CCEEFF" w:val="clear"/>
            <w:vAlign w:val="center"/>
          </w:tcPr>
          <w:p>
            <w:pPr>
              <w:pStyle w:val="TableContents"/>
              <w:bidi w:val="0"/>
              <w:spacing w:before="0" w:after="283"/>
              <w:jc w:val="left"/>
              <w:rPr/>
            </w:pPr>
            <w:r>
              <w:rPr/>
              <w:t> </w:t>
            </w:r>
          </w:p>
        </w:tc>
        <w:tc>
          <w:tcPr>
            <w:tcW w:w="217" w:type="dxa"/>
            <w:tcBorders/>
            <w:shd w:fill="CCEEFF" w:val="clear"/>
            <w:vAlign w:val="center"/>
          </w:tcPr>
          <w:p>
            <w:pPr>
              <w:pStyle w:val="TableContents"/>
              <w:bidi w:val="0"/>
              <w:spacing w:before="0" w:after="283"/>
              <w:jc w:val="left"/>
              <w:rPr/>
            </w:pPr>
            <w:r>
              <w:rPr/>
              <w:t> </w:t>
            </w:r>
          </w:p>
        </w:tc>
        <w:tc>
          <w:tcPr>
            <w:tcW w:w="1178"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6" w:type="dxa"/>
            <w:tcBorders/>
            <w:shd w:fill="CCEEFF" w:val="clear"/>
            <w:vAlign w:val="center"/>
          </w:tcPr>
          <w:p>
            <w:pPr>
              <w:pStyle w:val="TableContents"/>
              <w:bidi w:val="0"/>
              <w:spacing w:before="0" w:after="283"/>
              <w:jc w:val="left"/>
              <w:rPr/>
            </w:pPr>
            <w:r>
              <w:rPr/>
              <w:t> </w:t>
            </w:r>
          </w:p>
        </w:tc>
        <w:tc>
          <w:tcPr>
            <w:tcW w:w="1188" w:type="dxa"/>
            <w:tcBorders/>
            <w:shd w:fill="CCEEFF" w:val="clear"/>
            <w:vAlign w:val="center"/>
          </w:tcPr>
          <w:p>
            <w:pPr>
              <w:pStyle w:val="TableContents"/>
              <w:bidi w:val="0"/>
              <w:spacing w:before="0" w:after="283"/>
              <w:jc w:val="right"/>
              <w:rPr/>
            </w:pPr>
            <w:r>
              <w:rPr/>
              <w:t>1,757</w:t>
            </w:r>
          </w:p>
        </w:tc>
        <w:tc>
          <w:tcPr>
            <w:tcW w:w="101" w:type="dxa"/>
            <w:tcBorders/>
            <w:shd w:fill="CCEEFF" w:val="clear"/>
            <w:vAlign w:val="center"/>
          </w:tcPr>
          <w:p>
            <w:pPr>
              <w:pStyle w:val="TableContents"/>
              <w:bidi w:val="0"/>
              <w:spacing w:before="0" w:after="283"/>
              <w:ind w:left="0" w:right="0" w:hanging="180"/>
              <w:jc w:val="left"/>
              <w:rPr/>
            </w:pPr>
            <w:r>
              <w:rPr/>
              <w:t> </w:t>
            </w:r>
          </w:p>
        </w:tc>
      </w:tr>
      <w:tr>
        <w:trPr/>
        <w:tc>
          <w:tcPr>
            <w:tcW w:w="7100" w:type="dxa"/>
            <w:tcBorders/>
            <w:shd w:fill="FFFFFF" w:val="clear"/>
            <w:vAlign w:val="center"/>
          </w:tcPr>
          <w:p>
            <w:pPr>
              <w:pStyle w:val="TableContents"/>
              <w:bidi w:val="0"/>
              <w:spacing w:before="0" w:after="283"/>
              <w:jc w:val="left"/>
              <w:rPr>
                <w:sz w:val="20"/>
              </w:rPr>
            </w:pPr>
            <w:r>
              <w:rPr>
                <w:sz w:val="20"/>
              </w:rPr>
              <w:t xml:space="preserve">Gain on troubled debt restructuring </w:t>
            </w:r>
            <w:r>
              <w:rPr>
                <w:position w:val="7"/>
                <w:sz w:val="16"/>
                <w:sz w:val="20"/>
              </w:rPr>
              <w:t>(6)</w:t>
            </w:r>
          </w:p>
        </w:tc>
        <w:tc>
          <w:tcPr>
            <w:tcW w:w="60" w:type="dxa"/>
            <w:tcBorders/>
            <w:shd w:fill="FFFFFF" w:val="clear"/>
            <w:vAlign w:val="center"/>
          </w:tcPr>
          <w:p>
            <w:pPr>
              <w:pStyle w:val="TableContents"/>
              <w:bidi w:val="0"/>
              <w:spacing w:before="0" w:after="283"/>
              <w:jc w:val="left"/>
              <w:rPr/>
            </w:pPr>
            <w:r>
              <w:rPr/>
              <w:t> </w:t>
            </w:r>
          </w:p>
        </w:tc>
        <w:tc>
          <w:tcPr>
            <w:tcW w:w="217" w:type="dxa"/>
            <w:tcBorders/>
            <w:shd w:fill="FFFFFF" w:val="clear"/>
            <w:vAlign w:val="center"/>
          </w:tcPr>
          <w:p>
            <w:pPr>
              <w:pStyle w:val="TableContents"/>
              <w:bidi w:val="0"/>
              <w:spacing w:before="0" w:after="283"/>
              <w:jc w:val="left"/>
              <w:rPr/>
            </w:pPr>
            <w:r>
              <w:rPr/>
              <w:t> </w:t>
            </w:r>
          </w:p>
        </w:tc>
        <w:tc>
          <w:tcPr>
            <w:tcW w:w="1178"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6" w:type="dxa"/>
            <w:tcBorders/>
            <w:shd w:fill="FFFFFF" w:val="clear"/>
            <w:vAlign w:val="center"/>
          </w:tcPr>
          <w:p>
            <w:pPr>
              <w:pStyle w:val="TableContents"/>
              <w:bidi w:val="0"/>
              <w:spacing w:before="0" w:after="283"/>
              <w:jc w:val="left"/>
              <w:rPr/>
            </w:pPr>
            <w:r>
              <w:rPr/>
              <w:t> </w:t>
            </w:r>
          </w:p>
        </w:tc>
        <w:tc>
          <w:tcPr>
            <w:tcW w:w="1188" w:type="dxa"/>
            <w:tcBorders/>
            <w:shd w:fill="FFFFFF" w:val="clear"/>
            <w:vAlign w:val="center"/>
          </w:tcPr>
          <w:p>
            <w:pPr>
              <w:pStyle w:val="TableContents"/>
              <w:bidi w:val="0"/>
              <w:spacing w:before="0" w:after="283"/>
              <w:jc w:val="right"/>
              <w:rPr/>
            </w:pPr>
            <w:r>
              <w:rPr/>
              <w:t>(22,337</w:t>
            </w:r>
          </w:p>
        </w:tc>
        <w:tc>
          <w:tcPr>
            <w:tcW w:w="101" w:type="dxa"/>
            <w:tcBorders/>
            <w:shd w:fill="FFFFFF" w:val="clear"/>
            <w:vAlign w:val="center"/>
          </w:tcPr>
          <w:p>
            <w:pPr>
              <w:pStyle w:val="TableContents"/>
              <w:bidi w:val="0"/>
              <w:spacing w:before="0" w:after="283"/>
              <w:ind w:left="0" w:right="0" w:hanging="180"/>
              <w:jc w:val="left"/>
              <w:rPr/>
            </w:pPr>
            <w:r>
              <w:rPr/>
              <w:t>)</w:t>
            </w:r>
          </w:p>
        </w:tc>
      </w:tr>
      <w:tr>
        <w:trPr/>
        <w:tc>
          <w:tcPr>
            <w:tcW w:w="7100" w:type="dxa"/>
            <w:tcBorders/>
            <w:shd w:fill="CCEEFF" w:val="clear"/>
            <w:vAlign w:val="center"/>
          </w:tcPr>
          <w:p>
            <w:pPr>
              <w:pStyle w:val="TableContents"/>
              <w:bidi w:val="0"/>
              <w:spacing w:before="0" w:after="283"/>
              <w:jc w:val="left"/>
              <w:rPr>
                <w:sz w:val="20"/>
              </w:rPr>
            </w:pPr>
            <w:r>
              <w:rPr>
                <w:sz w:val="20"/>
              </w:rPr>
              <w:t>Accretion of debt in CS Solis</w:t>
            </w:r>
            <w:r>
              <w:rPr>
                <w:position w:val="7"/>
                <w:sz w:val="16"/>
                <w:sz w:val="20"/>
              </w:rPr>
              <w:t>(7)</w:t>
            </w:r>
          </w:p>
        </w:tc>
        <w:tc>
          <w:tcPr>
            <w:tcW w:w="60" w:type="dxa"/>
            <w:tcBorders/>
            <w:shd w:fill="CCEEFF" w:val="clear"/>
            <w:vAlign w:val="center"/>
          </w:tcPr>
          <w:p>
            <w:pPr>
              <w:pStyle w:val="TableContents"/>
              <w:bidi w:val="0"/>
              <w:spacing w:before="0" w:after="283"/>
              <w:jc w:val="left"/>
              <w:rPr/>
            </w:pPr>
            <w:r>
              <w:rPr/>
              <w:t> </w:t>
            </w:r>
          </w:p>
        </w:tc>
        <w:tc>
          <w:tcPr>
            <w:tcW w:w="217" w:type="dxa"/>
            <w:tcBorders/>
            <w:shd w:fill="CCEEFF" w:val="clear"/>
            <w:vAlign w:val="center"/>
          </w:tcPr>
          <w:p>
            <w:pPr>
              <w:pStyle w:val="TableContents"/>
              <w:bidi w:val="0"/>
              <w:spacing w:before="0" w:after="283"/>
              <w:jc w:val="left"/>
              <w:rPr/>
            </w:pPr>
            <w:r>
              <w:rPr/>
              <w:t> </w:t>
            </w:r>
          </w:p>
        </w:tc>
        <w:tc>
          <w:tcPr>
            <w:tcW w:w="1178"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6" w:type="dxa"/>
            <w:tcBorders/>
            <w:shd w:fill="CCEEFF" w:val="clear"/>
            <w:vAlign w:val="center"/>
          </w:tcPr>
          <w:p>
            <w:pPr>
              <w:pStyle w:val="TableContents"/>
              <w:bidi w:val="0"/>
              <w:spacing w:before="0" w:after="283"/>
              <w:jc w:val="left"/>
              <w:rPr/>
            </w:pPr>
            <w:r>
              <w:rPr/>
              <w:t> </w:t>
            </w:r>
          </w:p>
        </w:tc>
        <w:tc>
          <w:tcPr>
            <w:tcW w:w="1188" w:type="dxa"/>
            <w:tcBorders/>
            <w:shd w:fill="CCEEFF" w:val="clear"/>
            <w:vAlign w:val="center"/>
          </w:tcPr>
          <w:p>
            <w:pPr>
              <w:pStyle w:val="TableContents"/>
              <w:bidi w:val="0"/>
              <w:spacing w:before="0" w:after="283"/>
              <w:jc w:val="right"/>
              <w:rPr/>
            </w:pPr>
            <w:r>
              <w:rPr/>
              <w:t>3,872</w:t>
            </w:r>
          </w:p>
        </w:tc>
        <w:tc>
          <w:tcPr>
            <w:tcW w:w="101" w:type="dxa"/>
            <w:tcBorders/>
            <w:shd w:fill="CCEEFF" w:val="clear"/>
            <w:vAlign w:val="center"/>
          </w:tcPr>
          <w:p>
            <w:pPr>
              <w:pStyle w:val="TableContents"/>
              <w:bidi w:val="0"/>
              <w:spacing w:before="0" w:after="283"/>
              <w:ind w:left="0" w:right="0" w:hanging="180"/>
              <w:jc w:val="left"/>
              <w:rPr/>
            </w:pPr>
            <w:r>
              <w:rPr/>
              <w:t> </w:t>
            </w:r>
          </w:p>
        </w:tc>
      </w:tr>
      <w:tr>
        <w:trPr/>
        <w:tc>
          <w:tcPr>
            <w:tcW w:w="7100" w:type="dxa"/>
            <w:tcBorders/>
            <w:shd w:fill="FFFFFF" w:val="clear"/>
            <w:vAlign w:val="center"/>
          </w:tcPr>
          <w:p>
            <w:pPr>
              <w:pStyle w:val="TableContents"/>
              <w:bidi w:val="0"/>
              <w:spacing w:before="0" w:after="283"/>
              <w:jc w:val="left"/>
              <w:rPr/>
            </w:pPr>
            <w:r>
              <w:rPr/>
              <w:t>Other financing costs</w:t>
            </w:r>
          </w:p>
        </w:tc>
        <w:tc>
          <w:tcPr>
            <w:tcW w:w="60" w:type="dxa"/>
            <w:tcBorders/>
            <w:shd w:fill="FFFFFF" w:val="clear"/>
            <w:vAlign w:val="center"/>
          </w:tcPr>
          <w:p>
            <w:pPr>
              <w:pStyle w:val="TableContents"/>
              <w:bidi w:val="0"/>
              <w:spacing w:before="0" w:after="283"/>
              <w:jc w:val="left"/>
              <w:rPr/>
            </w:pPr>
            <w:r>
              <w:rPr/>
              <w:t> </w:t>
            </w:r>
          </w:p>
        </w:tc>
        <w:tc>
          <w:tcPr>
            <w:tcW w:w="217" w:type="dxa"/>
            <w:tcBorders/>
            <w:shd w:fill="FFFFFF" w:val="clear"/>
            <w:vAlign w:val="center"/>
          </w:tcPr>
          <w:p>
            <w:pPr>
              <w:pStyle w:val="TableContents"/>
              <w:bidi w:val="0"/>
              <w:spacing w:before="0" w:after="283"/>
              <w:jc w:val="left"/>
              <w:rPr/>
            </w:pPr>
            <w:r>
              <w:rPr/>
              <w:t> </w:t>
            </w:r>
          </w:p>
        </w:tc>
        <w:tc>
          <w:tcPr>
            <w:tcW w:w="1178"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6" w:type="dxa"/>
            <w:tcBorders/>
            <w:shd w:fill="FFFFFF" w:val="clear"/>
            <w:vAlign w:val="center"/>
          </w:tcPr>
          <w:p>
            <w:pPr>
              <w:pStyle w:val="TableContents"/>
              <w:bidi w:val="0"/>
              <w:spacing w:before="0" w:after="283"/>
              <w:jc w:val="left"/>
              <w:rPr/>
            </w:pPr>
            <w:r>
              <w:rPr/>
              <w:t> </w:t>
            </w:r>
          </w:p>
        </w:tc>
        <w:tc>
          <w:tcPr>
            <w:tcW w:w="1188" w:type="dxa"/>
            <w:tcBorders/>
            <w:shd w:fill="FFFFFF" w:val="clear"/>
            <w:vAlign w:val="center"/>
          </w:tcPr>
          <w:p>
            <w:pPr>
              <w:pStyle w:val="TableContents"/>
              <w:bidi w:val="0"/>
              <w:spacing w:before="0" w:after="283"/>
              <w:jc w:val="right"/>
              <w:rPr/>
            </w:pPr>
            <w:r>
              <w:rPr/>
              <w:t>450</w:t>
            </w:r>
          </w:p>
        </w:tc>
        <w:tc>
          <w:tcPr>
            <w:tcW w:w="101" w:type="dxa"/>
            <w:tcBorders/>
            <w:shd w:fill="FFFFFF" w:val="clear"/>
            <w:vAlign w:val="center"/>
          </w:tcPr>
          <w:p>
            <w:pPr>
              <w:pStyle w:val="TableContents"/>
              <w:bidi w:val="0"/>
              <w:spacing w:before="0" w:after="283"/>
              <w:ind w:left="0" w:right="0" w:hanging="180"/>
              <w:jc w:val="left"/>
              <w:rPr/>
            </w:pPr>
            <w:r>
              <w:rPr/>
              <w:t> </w:t>
            </w:r>
          </w:p>
        </w:tc>
      </w:tr>
      <w:tr>
        <w:trPr/>
        <w:tc>
          <w:tcPr>
            <w:tcW w:w="7100" w:type="dxa"/>
            <w:tcBorders/>
            <w:shd w:fill="CCEEFF" w:val="clear"/>
            <w:vAlign w:val="center"/>
          </w:tcPr>
          <w:p>
            <w:pPr>
              <w:pStyle w:val="TableContents"/>
              <w:bidi w:val="0"/>
              <w:spacing w:before="0" w:after="283"/>
              <w:jc w:val="left"/>
              <w:rPr/>
            </w:pPr>
            <w:r>
              <w:rPr/>
              <w:t>Changes in operating assets and liabilities, net of acquisitions:</w:t>
            </w:r>
          </w:p>
        </w:tc>
        <w:tc>
          <w:tcPr>
            <w:tcW w:w="60" w:type="dxa"/>
            <w:tcBorders/>
            <w:shd w:fill="CCEEFF" w:val="clear"/>
            <w:vAlign w:val="center"/>
          </w:tcPr>
          <w:p>
            <w:pPr>
              <w:pStyle w:val="TableContents"/>
              <w:bidi w:val="0"/>
              <w:spacing w:before="0" w:after="283"/>
              <w:jc w:val="left"/>
              <w:rPr/>
            </w:pPr>
            <w:r>
              <w:rPr/>
              <w:t> </w:t>
            </w:r>
          </w:p>
        </w:tc>
        <w:tc>
          <w:tcPr>
            <w:tcW w:w="217" w:type="dxa"/>
            <w:tcBorders/>
            <w:shd w:fill="CCEEFF" w:val="clear"/>
            <w:vAlign w:val="center"/>
          </w:tcPr>
          <w:p>
            <w:pPr>
              <w:pStyle w:val="TableContents"/>
              <w:bidi w:val="0"/>
              <w:spacing w:before="0" w:after="283"/>
              <w:jc w:val="left"/>
              <w:rPr/>
            </w:pPr>
            <w:r>
              <w:rPr/>
              <w:t> </w:t>
            </w:r>
          </w:p>
        </w:tc>
        <w:tc>
          <w:tcPr>
            <w:tcW w:w="1178"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6" w:type="dxa"/>
            <w:tcBorders/>
            <w:shd w:fill="CCEEFF" w:val="clear"/>
            <w:vAlign w:val="center"/>
          </w:tcPr>
          <w:p>
            <w:pPr>
              <w:pStyle w:val="TableContents"/>
              <w:bidi w:val="0"/>
              <w:spacing w:before="0" w:after="283"/>
              <w:jc w:val="left"/>
              <w:rPr/>
            </w:pPr>
            <w:r>
              <w:rPr/>
              <w:t> </w:t>
            </w:r>
          </w:p>
        </w:tc>
        <w:tc>
          <w:tcPr>
            <w:tcW w:w="1188" w:type="dxa"/>
            <w:tcBorders/>
            <w:shd w:fill="CCEEFF" w:val="clear"/>
            <w:vAlign w:val="center"/>
          </w:tcPr>
          <w:p>
            <w:pPr>
              <w:pStyle w:val="TableContents"/>
              <w:bidi w:val="0"/>
              <w:spacing w:before="0" w:after="283"/>
              <w:jc w:val="right"/>
              <w:rPr/>
            </w:pPr>
            <w:r>
              <w:rPr/>
              <w:t> </w:t>
            </w:r>
          </w:p>
        </w:tc>
        <w:tc>
          <w:tcPr>
            <w:tcW w:w="101" w:type="dxa"/>
            <w:tcBorders/>
            <w:shd w:fill="CCEEFF" w:val="clear"/>
            <w:vAlign w:val="center"/>
          </w:tcPr>
          <w:p>
            <w:pPr>
              <w:pStyle w:val="TableContents"/>
              <w:bidi w:val="0"/>
              <w:spacing w:before="0" w:after="283"/>
              <w:ind w:left="0" w:right="0" w:hanging="180"/>
              <w:jc w:val="left"/>
              <w:rPr/>
            </w:pPr>
            <w:r>
              <w:rPr/>
              <w:t> </w:t>
            </w:r>
          </w:p>
        </w:tc>
      </w:tr>
      <w:tr>
        <w:trPr/>
        <w:tc>
          <w:tcPr>
            <w:tcW w:w="7100" w:type="dxa"/>
            <w:tcBorders/>
            <w:shd w:fill="FFFFFF" w:val="clear"/>
            <w:vAlign w:val="center"/>
          </w:tcPr>
          <w:p>
            <w:pPr>
              <w:pStyle w:val="TableContents"/>
              <w:bidi w:val="0"/>
              <w:spacing w:before="0" w:after="283"/>
              <w:jc w:val="left"/>
              <w:rPr/>
            </w:pPr>
            <w:r>
              <w:rPr/>
              <w:t>Accounts receivable</w:t>
            </w:r>
          </w:p>
        </w:tc>
        <w:tc>
          <w:tcPr>
            <w:tcW w:w="60" w:type="dxa"/>
            <w:tcBorders/>
            <w:shd w:fill="FFFFFF" w:val="clear"/>
            <w:vAlign w:val="center"/>
          </w:tcPr>
          <w:p>
            <w:pPr>
              <w:pStyle w:val="TableContents"/>
              <w:bidi w:val="0"/>
              <w:spacing w:before="0" w:after="283"/>
              <w:jc w:val="left"/>
              <w:rPr/>
            </w:pPr>
            <w:r>
              <w:rPr/>
              <w:t> </w:t>
            </w:r>
          </w:p>
        </w:tc>
        <w:tc>
          <w:tcPr>
            <w:tcW w:w="217" w:type="dxa"/>
            <w:tcBorders/>
            <w:shd w:fill="FFFFFF" w:val="clear"/>
            <w:vAlign w:val="center"/>
          </w:tcPr>
          <w:p>
            <w:pPr>
              <w:pStyle w:val="TableContents"/>
              <w:bidi w:val="0"/>
              <w:spacing w:before="0" w:after="283"/>
              <w:jc w:val="left"/>
              <w:rPr/>
            </w:pPr>
            <w:r>
              <w:rPr/>
              <w:t> </w:t>
            </w:r>
          </w:p>
        </w:tc>
        <w:tc>
          <w:tcPr>
            <w:tcW w:w="1178" w:type="dxa"/>
            <w:tcBorders/>
            <w:shd w:fill="FFFFFF" w:val="clear"/>
            <w:vAlign w:val="center"/>
          </w:tcPr>
          <w:p>
            <w:pPr>
              <w:pStyle w:val="TableContents"/>
              <w:bidi w:val="0"/>
              <w:spacing w:before="0" w:after="283"/>
              <w:jc w:val="right"/>
              <w:rPr/>
            </w:pPr>
            <w:r>
              <w:rPr/>
              <w:t>(38,756</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206" w:type="dxa"/>
            <w:tcBorders/>
            <w:shd w:fill="FFFFFF" w:val="clear"/>
            <w:vAlign w:val="center"/>
          </w:tcPr>
          <w:p>
            <w:pPr>
              <w:pStyle w:val="TableContents"/>
              <w:bidi w:val="0"/>
              <w:spacing w:before="0" w:after="283"/>
              <w:jc w:val="left"/>
              <w:rPr/>
            </w:pPr>
            <w:r>
              <w:rPr/>
              <w:t> </w:t>
            </w:r>
          </w:p>
        </w:tc>
        <w:tc>
          <w:tcPr>
            <w:tcW w:w="1188" w:type="dxa"/>
            <w:tcBorders/>
            <w:shd w:fill="FFFFFF" w:val="clear"/>
            <w:vAlign w:val="center"/>
          </w:tcPr>
          <w:p>
            <w:pPr>
              <w:pStyle w:val="TableContents"/>
              <w:bidi w:val="0"/>
              <w:spacing w:before="0" w:after="283"/>
              <w:jc w:val="right"/>
              <w:rPr/>
            </w:pPr>
            <w:r>
              <w:rPr/>
              <w:t>3,306</w:t>
            </w:r>
          </w:p>
        </w:tc>
        <w:tc>
          <w:tcPr>
            <w:tcW w:w="101" w:type="dxa"/>
            <w:tcBorders/>
            <w:shd w:fill="FFFFFF" w:val="clear"/>
            <w:vAlign w:val="center"/>
          </w:tcPr>
          <w:p>
            <w:pPr>
              <w:pStyle w:val="TableContents"/>
              <w:bidi w:val="0"/>
              <w:spacing w:before="0" w:after="283"/>
              <w:ind w:left="0" w:right="0" w:hanging="180"/>
              <w:jc w:val="left"/>
              <w:rPr/>
            </w:pPr>
            <w:r>
              <w:rPr/>
              <w:t> </w:t>
            </w:r>
          </w:p>
        </w:tc>
      </w:tr>
      <w:tr>
        <w:trPr/>
        <w:tc>
          <w:tcPr>
            <w:tcW w:w="7100" w:type="dxa"/>
            <w:tcBorders/>
            <w:shd w:fill="CCEEFF" w:val="clear"/>
            <w:vAlign w:val="center"/>
          </w:tcPr>
          <w:p>
            <w:pPr>
              <w:pStyle w:val="TableContents"/>
              <w:bidi w:val="0"/>
              <w:spacing w:before="0" w:after="283"/>
              <w:jc w:val="left"/>
              <w:rPr/>
            </w:pPr>
            <w:r>
              <w:rPr/>
              <w:t>Contract assets, current portion</w:t>
            </w:r>
          </w:p>
        </w:tc>
        <w:tc>
          <w:tcPr>
            <w:tcW w:w="60" w:type="dxa"/>
            <w:tcBorders/>
            <w:shd w:fill="CCEEFF" w:val="clear"/>
            <w:vAlign w:val="center"/>
          </w:tcPr>
          <w:p>
            <w:pPr>
              <w:pStyle w:val="TableContents"/>
              <w:bidi w:val="0"/>
              <w:spacing w:before="0" w:after="283"/>
              <w:jc w:val="left"/>
              <w:rPr/>
            </w:pPr>
            <w:r>
              <w:rPr/>
              <w:t> </w:t>
            </w:r>
          </w:p>
        </w:tc>
        <w:tc>
          <w:tcPr>
            <w:tcW w:w="217" w:type="dxa"/>
            <w:tcBorders/>
            <w:shd w:fill="CCEEFF" w:val="clear"/>
            <w:vAlign w:val="center"/>
          </w:tcPr>
          <w:p>
            <w:pPr>
              <w:pStyle w:val="TableContents"/>
              <w:bidi w:val="0"/>
              <w:spacing w:before="0" w:after="283"/>
              <w:jc w:val="left"/>
              <w:rPr/>
            </w:pPr>
            <w:r>
              <w:rPr/>
              <w:t> </w:t>
            </w:r>
          </w:p>
        </w:tc>
        <w:tc>
          <w:tcPr>
            <w:tcW w:w="1178" w:type="dxa"/>
            <w:tcBorders/>
            <w:shd w:fill="CCEEFF" w:val="clear"/>
            <w:vAlign w:val="center"/>
          </w:tcPr>
          <w:p>
            <w:pPr>
              <w:pStyle w:val="TableContents"/>
              <w:bidi w:val="0"/>
              <w:spacing w:before="0" w:after="283"/>
              <w:jc w:val="right"/>
              <w:rPr/>
            </w:pPr>
            <w:r>
              <w:rPr/>
              <w:t>8,472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6" w:type="dxa"/>
            <w:tcBorders/>
            <w:shd w:fill="CCEEFF" w:val="clear"/>
            <w:vAlign w:val="center"/>
          </w:tcPr>
          <w:p>
            <w:pPr>
              <w:pStyle w:val="TableContents"/>
              <w:bidi w:val="0"/>
              <w:spacing w:before="0" w:after="283"/>
              <w:jc w:val="left"/>
              <w:rPr/>
            </w:pPr>
            <w:r>
              <w:rPr/>
              <w:t> </w:t>
            </w:r>
          </w:p>
        </w:tc>
        <w:tc>
          <w:tcPr>
            <w:tcW w:w="1188" w:type="dxa"/>
            <w:tcBorders/>
            <w:shd w:fill="CCEEFF" w:val="clear"/>
            <w:vAlign w:val="center"/>
          </w:tcPr>
          <w:p>
            <w:pPr>
              <w:pStyle w:val="TableContents"/>
              <w:bidi w:val="0"/>
              <w:spacing w:before="0" w:after="283"/>
              <w:jc w:val="right"/>
              <w:rPr/>
            </w:pPr>
            <w:r>
              <w:rPr/>
              <w:t>(21,451</w:t>
            </w:r>
          </w:p>
        </w:tc>
        <w:tc>
          <w:tcPr>
            <w:tcW w:w="101" w:type="dxa"/>
            <w:tcBorders/>
            <w:shd w:fill="CCEEFF" w:val="clear"/>
            <w:vAlign w:val="center"/>
          </w:tcPr>
          <w:p>
            <w:pPr>
              <w:pStyle w:val="TableContents"/>
              <w:bidi w:val="0"/>
              <w:spacing w:before="0" w:after="283"/>
              <w:ind w:left="0" w:right="0" w:hanging="180"/>
              <w:jc w:val="left"/>
              <w:rPr/>
            </w:pPr>
            <w:r>
              <w:rPr/>
              <w:t>)</w:t>
            </w:r>
          </w:p>
        </w:tc>
      </w:tr>
      <w:tr>
        <w:trPr/>
        <w:tc>
          <w:tcPr>
            <w:tcW w:w="7100" w:type="dxa"/>
            <w:tcBorders/>
            <w:shd w:fill="FFFFFF" w:val="clear"/>
            <w:vAlign w:val="center"/>
          </w:tcPr>
          <w:p>
            <w:pPr>
              <w:pStyle w:val="TableContents"/>
              <w:bidi w:val="0"/>
              <w:spacing w:before="0" w:after="283"/>
              <w:jc w:val="left"/>
              <w:rPr/>
            </w:pPr>
            <w:r>
              <w:rPr/>
              <w:t>Inventories</w:t>
            </w:r>
          </w:p>
        </w:tc>
        <w:tc>
          <w:tcPr>
            <w:tcW w:w="60" w:type="dxa"/>
            <w:tcBorders/>
            <w:shd w:fill="FFFFFF" w:val="clear"/>
            <w:vAlign w:val="center"/>
          </w:tcPr>
          <w:p>
            <w:pPr>
              <w:pStyle w:val="TableContents"/>
              <w:bidi w:val="0"/>
              <w:spacing w:before="0" w:after="283"/>
              <w:jc w:val="left"/>
              <w:rPr/>
            </w:pPr>
            <w:r>
              <w:rPr/>
              <w:t> </w:t>
            </w:r>
          </w:p>
        </w:tc>
        <w:tc>
          <w:tcPr>
            <w:tcW w:w="217" w:type="dxa"/>
            <w:tcBorders/>
            <w:shd w:fill="FFFFFF" w:val="clear"/>
            <w:vAlign w:val="center"/>
          </w:tcPr>
          <w:p>
            <w:pPr>
              <w:pStyle w:val="TableContents"/>
              <w:bidi w:val="0"/>
              <w:spacing w:before="0" w:after="283"/>
              <w:jc w:val="left"/>
              <w:rPr/>
            </w:pPr>
            <w:r>
              <w:rPr/>
              <w:t> </w:t>
            </w:r>
          </w:p>
        </w:tc>
        <w:tc>
          <w:tcPr>
            <w:tcW w:w="1178" w:type="dxa"/>
            <w:tcBorders/>
            <w:shd w:fill="FFFFFF" w:val="clear"/>
            <w:vAlign w:val="center"/>
          </w:tcPr>
          <w:p>
            <w:pPr>
              <w:pStyle w:val="TableContents"/>
              <w:bidi w:val="0"/>
              <w:spacing w:before="0" w:after="283"/>
              <w:jc w:val="right"/>
              <w:rPr/>
            </w:pPr>
            <w:r>
              <w:rPr/>
              <w:t>38,417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6" w:type="dxa"/>
            <w:tcBorders/>
            <w:shd w:fill="FFFFFF" w:val="clear"/>
            <w:vAlign w:val="center"/>
          </w:tcPr>
          <w:p>
            <w:pPr>
              <w:pStyle w:val="TableContents"/>
              <w:bidi w:val="0"/>
              <w:spacing w:before="0" w:after="283"/>
              <w:jc w:val="left"/>
              <w:rPr/>
            </w:pPr>
            <w:r>
              <w:rPr/>
              <w:t> </w:t>
            </w:r>
          </w:p>
        </w:tc>
        <w:tc>
          <w:tcPr>
            <w:tcW w:w="1188" w:type="dxa"/>
            <w:tcBorders/>
            <w:shd w:fill="FFFFFF" w:val="clear"/>
            <w:vAlign w:val="center"/>
          </w:tcPr>
          <w:p>
            <w:pPr>
              <w:pStyle w:val="TableContents"/>
              <w:bidi w:val="0"/>
              <w:spacing w:before="0" w:after="283"/>
              <w:jc w:val="right"/>
              <w:rPr/>
            </w:pPr>
            <w:r>
              <w:rPr/>
              <w:t>8,654</w:t>
            </w:r>
          </w:p>
        </w:tc>
        <w:tc>
          <w:tcPr>
            <w:tcW w:w="101" w:type="dxa"/>
            <w:tcBorders/>
            <w:shd w:fill="FFFFFF" w:val="clear"/>
            <w:vAlign w:val="center"/>
          </w:tcPr>
          <w:p>
            <w:pPr>
              <w:pStyle w:val="TableContents"/>
              <w:bidi w:val="0"/>
              <w:spacing w:before="0" w:after="283"/>
              <w:ind w:left="0" w:right="0" w:hanging="180"/>
              <w:jc w:val="left"/>
              <w:rPr/>
            </w:pPr>
            <w:r>
              <w:rPr/>
              <w:t> </w:t>
            </w:r>
          </w:p>
        </w:tc>
      </w:tr>
      <w:tr>
        <w:trPr/>
        <w:tc>
          <w:tcPr>
            <w:tcW w:w="7100" w:type="dxa"/>
            <w:tcBorders/>
            <w:shd w:fill="CCEEFF" w:val="clear"/>
            <w:vAlign w:val="center"/>
          </w:tcPr>
          <w:p>
            <w:pPr>
              <w:pStyle w:val="TableContents"/>
              <w:bidi w:val="0"/>
              <w:spacing w:before="0" w:after="283"/>
              <w:jc w:val="left"/>
              <w:rPr/>
            </w:pPr>
            <w:r>
              <w:rPr/>
              <w:t>Prepaid expenses and other current assets</w:t>
            </w:r>
          </w:p>
        </w:tc>
        <w:tc>
          <w:tcPr>
            <w:tcW w:w="60" w:type="dxa"/>
            <w:tcBorders/>
            <w:shd w:fill="CCEEFF" w:val="clear"/>
            <w:vAlign w:val="center"/>
          </w:tcPr>
          <w:p>
            <w:pPr>
              <w:pStyle w:val="TableContents"/>
              <w:bidi w:val="0"/>
              <w:spacing w:before="0" w:after="283"/>
              <w:jc w:val="left"/>
              <w:rPr/>
            </w:pPr>
            <w:r>
              <w:rPr/>
              <w:t> </w:t>
            </w:r>
          </w:p>
        </w:tc>
        <w:tc>
          <w:tcPr>
            <w:tcW w:w="217" w:type="dxa"/>
            <w:tcBorders/>
            <w:shd w:fill="CCEEFF" w:val="clear"/>
            <w:vAlign w:val="center"/>
          </w:tcPr>
          <w:p>
            <w:pPr>
              <w:pStyle w:val="TableContents"/>
              <w:bidi w:val="0"/>
              <w:spacing w:before="0" w:after="283"/>
              <w:jc w:val="left"/>
              <w:rPr/>
            </w:pPr>
            <w:r>
              <w:rPr/>
              <w:t> </w:t>
            </w:r>
          </w:p>
        </w:tc>
        <w:tc>
          <w:tcPr>
            <w:tcW w:w="1178" w:type="dxa"/>
            <w:tcBorders/>
            <w:shd w:fill="CCEEFF" w:val="clear"/>
            <w:vAlign w:val="center"/>
          </w:tcPr>
          <w:p>
            <w:pPr>
              <w:pStyle w:val="TableContents"/>
              <w:bidi w:val="0"/>
              <w:spacing w:before="0" w:after="283"/>
              <w:jc w:val="right"/>
              <w:rPr/>
            </w:pPr>
            <w:r>
              <w:rPr/>
              <w:t>(4,871</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206" w:type="dxa"/>
            <w:tcBorders/>
            <w:shd w:fill="CCEEFF" w:val="clear"/>
            <w:vAlign w:val="center"/>
          </w:tcPr>
          <w:p>
            <w:pPr>
              <w:pStyle w:val="TableContents"/>
              <w:bidi w:val="0"/>
              <w:spacing w:before="0" w:after="283"/>
              <w:jc w:val="left"/>
              <w:rPr/>
            </w:pPr>
            <w:r>
              <w:rPr/>
              <w:t> </w:t>
            </w:r>
          </w:p>
        </w:tc>
        <w:tc>
          <w:tcPr>
            <w:tcW w:w="1188" w:type="dxa"/>
            <w:tcBorders/>
            <w:shd w:fill="CCEEFF" w:val="clear"/>
            <w:vAlign w:val="center"/>
          </w:tcPr>
          <w:p>
            <w:pPr>
              <w:pStyle w:val="TableContents"/>
              <w:bidi w:val="0"/>
              <w:spacing w:before="0" w:after="283"/>
              <w:jc w:val="right"/>
              <w:rPr/>
            </w:pPr>
            <w:r>
              <w:rPr/>
              <w:t>(170</w:t>
            </w:r>
          </w:p>
        </w:tc>
        <w:tc>
          <w:tcPr>
            <w:tcW w:w="101" w:type="dxa"/>
            <w:tcBorders/>
            <w:shd w:fill="CCEEFF" w:val="clear"/>
            <w:vAlign w:val="center"/>
          </w:tcPr>
          <w:p>
            <w:pPr>
              <w:pStyle w:val="TableContents"/>
              <w:bidi w:val="0"/>
              <w:spacing w:before="0" w:after="283"/>
              <w:ind w:left="0" w:right="0" w:hanging="180"/>
              <w:jc w:val="left"/>
              <w:rPr/>
            </w:pPr>
            <w:r>
              <w:rPr/>
              <w:t>)</w:t>
            </w:r>
          </w:p>
        </w:tc>
      </w:tr>
      <w:tr>
        <w:trPr/>
        <w:tc>
          <w:tcPr>
            <w:tcW w:w="7100" w:type="dxa"/>
            <w:tcBorders/>
            <w:shd w:fill="FFFFFF" w:val="clear"/>
            <w:vAlign w:val="center"/>
          </w:tcPr>
          <w:p>
            <w:pPr>
              <w:pStyle w:val="TableContents"/>
              <w:bidi w:val="0"/>
              <w:spacing w:before="0" w:after="283"/>
              <w:jc w:val="left"/>
              <w:rPr/>
            </w:pPr>
            <w:r>
              <w:rPr/>
              <w:t>Other noncurrent assets</w:t>
            </w:r>
          </w:p>
        </w:tc>
        <w:tc>
          <w:tcPr>
            <w:tcW w:w="60" w:type="dxa"/>
            <w:tcBorders/>
            <w:shd w:fill="FFFFFF" w:val="clear"/>
            <w:vAlign w:val="center"/>
          </w:tcPr>
          <w:p>
            <w:pPr>
              <w:pStyle w:val="TableContents"/>
              <w:bidi w:val="0"/>
              <w:spacing w:before="0" w:after="283"/>
              <w:jc w:val="left"/>
              <w:rPr/>
            </w:pPr>
            <w:r>
              <w:rPr/>
              <w:t> </w:t>
            </w:r>
          </w:p>
        </w:tc>
        <w:tc>
          <w:tcPr>
            <w:tcW w:w="217" w:type="dxa"/>
            <w:tcBorders/>
            <w:shd w:fill="FFFFFF" w:val="clear"/>
            <w:vAlign w:val="center"/>
          </w:tcPr>
          <w:p>
            <w:pPr>
              <w:pStyle w:val="TableContents"/>
              <w:bidi w:val="0"/>
              <w:spacing w:before="0" w:after="283"/>
              <w:jc w:val="left"/>
              <w:rPr/>
            </w:pPr>
            <w:r>
              <w:rPr/>
              <w:t> </w:t>
            </w:r>
          </w:p>
        </w:tc>
        <w:tc>
          <w:tcPr>
            <w:tcW w:w="1178" w:type="dxa"/>
            <w:tcBorders/>
            <w:shd w:fill="FFFFFF" w:val="clear"/>
            <w:vAlign w:val="center"/>
          </w:tcPr>
          <w:p>
            <w:pPr>
              <w:pStyle w:val="TableContents"/>
              <w:bidi w:val="0"/>
              <w:spacing w:before="0" w:after="283"/>
              <w:jc w:val="right"/>
              <w:rPr/>
            </w:pPr>
            <w:r>
              <w:rPr/>
              <w:t>(664</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206" w:type="dxa"/>
            <w:tcBorders/>
            <w:shd w:fill="FFFFFF" w:val="clear"/>
            <w:vAlign w:val="center"/>
          </w:tcPr>
          <w:p>
            <w:pPr>
              <w:pStyle w:val="TableContents"/>
              <w:bidi w:val="0"/>
              <w:spacing w:before="0" w:after="283"/>
              <w:jc w:val="left"/>
              <w:rPr/>
            </w:pPr>
            <w:r>
              <w:rPr/>
              <w:t> </w:t>
            </w:r>
          </w:p>
        </w:tc>
        <w:tc>
          <w:tcPr>
            <w:tcW w:w="1188" w:type="dxa"/>
            <w:tcBorders/>
            <w:shd w:fill="FFFFFF" w:val="clear"/>
            <w:vAlign w:val="center"/>
          </w:tcPr>
          <w:p>
            <w:pPr>
              <w:pStyle w:val="TableContents"/>
              <w:bidi w:val="0"/>
              <w:spacing w:before="0" w:after="283"/>
              <w:jc w:val="right"/>
              <w:rPr/>
            </w:pPr>
            <w:r>
              <w:rPr/>
              <w:t>111</w:t>
            </w:r>
          </w:p>
        </w:tc>
        <w:tc>
          <w:tcPr>
            <w:tcW w:w="101" w:type="dxa"/>
            <w:tcBorders/>
            <w:shd w:fill="FFFFFF" w:val="clear"/>
            <w:vAlign w:val="center"/>
          </w:tcPr>
          <w:p>
            <w:pPr>
              <w:pStyle w:val="TableContents"/>
              <w:bidi w:val="0"/>
              <w:spacing w:before="0" w:after="283"/>
              <w:ind w:left="0" w:right="0" w:hanging="180"/>
              <w:jc w:val="left"/>
              <w:rPr/>
            </w:pPr>
            <w:r>
              <w:rPr/>
              <w:t> </w:t>
            </w:r>
          </w:p>
        </w:tc>
      </w:tr>
      <w:tr>
        <w:trPr/>
        <w:tc>
          <w:tcPr>
            <w:tcW w:w="7100" w:type="dxa"/>
            <w:tcBorders/>
            <w:shd w:fill="CCEEFF" w:val="clear"/>
            <w:vAlign w:val="center"/>
          </w:tcPr>
          <w:p>
            <w:pPr>
              <w:pStyle w:val="TableContents"/>
              <w:bidi w:val="0"/>
              <w:spacing w:before="0" w:after="283"/>
              <w:jc w:val="left"/>
              <w:rPr/>
            </w:pPr>
            <w:r>
              <w:rPr/>
              <w:t>Accounts payable</w:t>
            </w:r>
          </w:p>
        </w:tc>
        <w:tc>
          <w:tcPr>
            <w:tcW w:w="60" w:type="dxa"/>
            <w:tcBorders/>
            <w:shd w:fill="CCEEFF" w:val="clear"/>
            <w:vAlign w:val="center"/>
          </w:tcPr>
          <w:p>
            <w:pPr>
              <w:pStyle w:val="TableContents"/>
              <w:bidi w:val="0"/>
              <w:spacing w:before="0" w:after="283"/>
              <w:jc w:val="left"/>
              <w:rPr/>
            </w:pPr>
            <w:r>
              <w:rPr/>
              <w:t> </w:t>
            </w:r>
          </w:p>
        </w:tc>
        <w:tc>
          <w:tcPr>
            <w:tcW w:w="217" w:type="dxa"/>
            <w:tcBorders/>
            <w:shd w:fill="CCEEFF" w:val="clear"/>
            <w:vAlign w:val="center"/>
          </w:tcPr>
          <w:p>
            <w:pPr>
              <w:pStyle w:val="TableContents"/>
              <w:bidi w:val="0"/>
              <w:spacing w:before="0" w:after="283"/>
              <w:jc w:val="left"/>
              <w:rPr/>
            </w:pPr>
            <w:r>
              <w:rPr/>
              <w:t> </w:t>
            </w:r>
          </w:p>
        </w:tc>
        <w:tc>
          <w:tcPr>
            <w:tcW w:w="1178" w:type="dxa"/>
            <w:tcBorders/>
            <w:shd w:fill="CCEEFF" w:val="clear"/>
            <w:vAlign w:val="center"/>
          </w:tcPr>
          <w:p>
            <w:pPr>
              <w:pStyle w:val="TableContents"/>
              <w:bidi w:val="0"/>
              <w:spacing w:before="0" w:after="283"/>
              <w:jc w:val="right"/>
              <w:rPr/>
            </w:pPr>
            <w:r>
              <w:rPr/>
              <w:t>15,251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6" w:type="dxa"/>
            <w:tcBorders/>
            <w:shd w:fill="CCEEFF" w:val="clear"/>
            <w:vAlign w:val="center"/>
          </w:tcPr>
          <w:p>
            <w:pPr>
              <w:pStyle w:val="TableContents"/>
              <w:bidi w:val="0"/>
              <w:spacing w:before="0" w:after="283"/>
              <w:jc w:val="left"/>
              <w:rPr/>
            </w:pPr>
            <w:r>
              <w:rPr/>
              <w:t> </w:t>
            </w:r>
          </w:p>
        </w:tc>
        <w:tc>
          <w:tcPr>
            <w:tcW w:w="1188" w:type="dxa"/>
            <w:tcBorders/>
            <w:shd w:fill="CCEEFF" w:val="clear"/>
            <w:vAlign w:val="center"/>
          </w:tcPr>
          <w:p>
            <w:pPr>
              <w:pStyle w:val="TableContents"/>
              <w:bidi w:val="0"/>
              <w:spacing w:before="0" w:after="283"/>
              <w:jc w:val="right"/>
              <w:rPr/>
            </w:pPr>
            <w:r>
              <w:rPr/>
              <w:t>(10,412</w:t>
            </w:r>
          </w:p>
        </w:tc>
        <w:tc>
          <w:tcPr>
            <w:tcW w:w="101" w:type="dxa"/>
            <w:tcBorders/>
            <w:shd w:fill="CCEEFF" w:val="clear"/>
            <w:vAlign w:val="center"/>
          </w:tcPr>
          <w:p>
            <w:pPr>
              <w:pStyle w:val="TableContents"/>
              <w:bidi w:val="0"/>
              <w:spacing w:before="0" w:after="283"/>
              <w:ind w:left="0" w:right="0" w:hanging="180"/>
              <w:jc w:val="left"/>
              <w:rPr/>
            </w:pPr>
            <w:r>
              <w:rPr/>
              <w:t>)</w:t>
            </w:r>
          </w:p>
        </w:tc>
      </w:tr>
      <w:tr>
        <w:trPr/>
        <w:tc>
          <w:tcPr>
            <w:tcW w:w="7100" w:type="dxa"/>
            <w:tcBorders/>
            <w:shd w:fill="FFFFFF" w:val="clear"/>
            <w:vAlign w:val="center"/>
          </w:tcPr>
          <w:p>
            <w:pPr>
              <w:pStyle w:val="TableContents"/>
              <w:bidi w:val="0"/>
              <w:spacing w:before="0" w:after="283"/>
              <w:jc w:val="left"/>
              <w:rPr/>
            </w:pPr>
            <w:r>
              <w:rPr/>
              <w:t>Accrued expenses and other current liabilities</w:t>
            </w:r>
          </w:p>
        </w:tc>
        <w:tc>
          <w:tcPr>
            <w:tcW w:w="60" w:type="dxa"/>
            <w:tcBorders/>
            <w:shd w:fill="FFFFFF" w:val="clear"/>
            <w:vAlign w:val="center"/>
          </w:tcPr>
          <w:p>
            <w:pPr>
              <w:pStyle w:val="TableContents"/>
              <w:bidi w:val="0"/>
              <w:spacing w:before="0" w:after="283"/>
              <w:jc w:val="left"/>
              <w:rPr/>
            </w:pPr>
            <w:r>
              <w:rPr/>
              <w:t> </w:t>
            </w:r>
          </w:p>
        </w:tc>
        <w:tc>
          <w:tcPr>
            <w:tcW w:w="217" w:type="dxa"/>
            <w:tcBorders/>
            <w:shd w:fill="FFFFFF" w:val="clear"/>
            <w:vAlign w:val="center"/>
          </w:tcPr>
          <w:p>
            <w:pPr>
              <w:pStyle w:val="TableContents"/>
              <w:bidi w:val="0"/>
              <w:spacing w:before="0" w:after="283"/>
              <w:jc w:val="left"/>
              <w:rPr/>
            </w:pPr>
            <w:r>
              <w:rPr/>
              <w:t> </w:t>
            </w:r>
          </w:p>
        </w:tc>
        <w:tc>
          <w:tcPr>
            <w:tcW w:w="1178" w:type="dxa"/>
            <w:tcBorders/>
            <w:shd w:fill="FFFFFF" w:val="clear"/>
            <w:vAlign w:val="center"/>
          </w:tcPr>
          <w:p>
            <w:pPr>
              <w:pStyle w:val="TableContents"/>
              <w:bidi w:val="0"/>
              <w:spacing w:before="0" w:after="283"/>
              <w:jc w:val="right"/>
              <w:rPr/>
            </w:pPr>
            <w:r>
              <w:rPr/>
              <w:t>(15,913</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206" w:type="dxa"/>
            <w:tcBorders/>
            <w:shd w:fill="FFFFFF" w:val="clear"/>
            <w:vAlign w:val="center"/>
          </w:tcPr>
          <w:p>
            <w:pPr>
              <w:pStyle w:val="TableContents"/>
              <w:bidi w:val="0"/>
              <w:spacing w:before="0" w:after="283"/>
              <w:jc w:val="left"/>
              <w:rPr/>
            </w:pPr>
            <w:r>
              <w:rPr/>
              <w:t> </w:t>
            </w:r>
          </w:p>
        </w:tc>
        <w:tc>
          <w:tcPr>
            <w:tcW w:w="1188" w:type="dxa"/>
            <w:tcBorders/>
            <w:shd w:fill="FFFFFF" w:val="clear"/>
            <w:vAlign w:val="center"/>
          </w:tcPr>
          <w:p>
            <w:pPr>
              <w:pStyle w:val="TableContents"/>
              <w:bidi w:val="0"/>
              <w:spacing w:before="0" w:after="283"/>
              <w:jc w:val="right"/>
              <w:rPr/>
            </w:pPr>
            <w:r>
              <w:rPr/>
              <w:t>14,071</w:t>
            </w:r>
          </w:p>
        </w:tc>
        <w:tc>
          <w:tcPr>
            <w:tcW w:w="101" w:type="dxa"/>
            <w:tcBorders/>
            <w:shd w:fill="FFFFFF" w:val="clear"/>
            <w:vAlign w:val="center"/>
          </w:tcPr>
          <w:p>
            <w:pPr>
              <w:pStyle w:val="TableContents"/>
              <w:bidi w:val="0"/>
              <w:spacing w:before="0" w:after="283"/>
              <w:ind w:left="0" w:right="0" w:hanging="180"/>
              <w:jc w:val="left"/>
              <w:rPr/>
            </w:pPr>
            <w:r>
              <w:rPr/>
              <w:t> </w:t>
            </w:r>
          </w:p>
        </w:tc>
      </w:tr>
      <w:tr>
        <w:trPr/>
        <w:tc>
          <w:tcPr>
            <w:tcW w:w="7100" w:type="dxa"/>
            <w:tcBorders/>
            <w:shd w:fill="CCEEFF" w:val="clear"/>
            <w:vAlign w:val="center"/>
          </w:tcPr>
          <w:p>
            <w:pPr>
              <w:pStyle w:val="TableContents"/>
              <w:bidi w:val="0"/>
              <w:spacing w:before="0" w:after="283"/>
              <w:jc w:val="left"/>
              <w:rPr/>
            </w:pPr>
            <w:r>
              <w:rPr/>
              <w:t>Operating lease liabilities</w:t>
            </w:r>
          </w:p>
        </w:tc>
        <w:tc>
          <w:tcPr>
            <w:tcW w:w="60" w:type="dxa"/>
            <w:tcBorders/>
            <w:shd w:fill="CCEEFF" w:val="clear"/>
            <w:vAlign w:val="center"/>
          </w:tcPr>
          <w:p>
            <w:pPr>
              <w:pStyle w:val="TableContents"/>
              <w:bidi w:val="0"/>
              <w:spacing w:before="0" w:after="283"/>
              <w:jc w:val="left"/>
              <w:rPr/>
            </w:pPr>
            <w:r>
              <w:rPr/>
              <w:t> </w:t>
            </w:r>
          </w:p>
        </w:tc>
        <w:tc>
          <w:tcPr>
            <w:tcW w:w="217" w:type="dxa"/>
            <w:tcBorders/>
            <w:shd w:fill="CCEEFF" w:val="clear"/>
            <w:vAlign w:val="center"/>
          </w:tcPr>
          <w:p>
            <w:pPr>
              <w:pStyle w:val="TableContents"/>
              <w:bidi w:val="0"/>
              <w:spacing w:before="0" w:after="283"/>
              <w:jc w:val="left"/>
              <w:rPr/>
            </w:pPr>
            <w:r>
              <w:rPr/>
              <w:t> </w:t>
            </w:r>
          </w:p>
        </w:tc>
        <w:tc>
          <w:tcPr>
            <w:tcW w:w="1178" w:type="dxa"/>
            <w:tcBorders/>
            <w:shd w:fill="CCEEFF" w:val="clear"/>
            <w:vAlign w:val="center"/>
          </w:tcPr>
          <w:p>
            <w:pPr>
              <w:pStyle w:val="TableContents"/>
              <w:bidi w:val="0"/>
              <w:spacing w:before="0" w:after="283"/>
              <w:jc w:val="right"/>
              <w:rPr/>
            </w:pPr>
            <w:r>
              <w:rPr/>
              <w:t>(1,523</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206" w:type="dxa"/>
            <w:tcBorders/>
            <w:shd w:fill="CCEEFF" w:val="clear"/>
            <w:vAlign w:val="center"/>
          </w:tcPr>
          <w:p>
            <w:pPr>
              <w:pStyle w:val="TableContents"/>
              <w:bidi w:val="0"/>
              <w:spacing w:before="0" w:after="283"/>
              <w:jc w:val="left"/>
              <w:rPr/>
            </w:pPr>
            <w:r>
              <w:rPr/>
              <w:t> </w:t>
            </w:r>
          </w:p>
        </w:tc>
        <w:tc>
          <w:tcPr>
            <w:tcW w:w="1188" w:type="dxa"/>
            <w:tcBorders/>
            <w:shd w:fill="CCEEFF" w:val="clear"/>
            <w:vAlign w:val="center"/>
          </w:tcPr>
          <w:p>
            <w:pPr>
              <w:pStyle w:val="TableContents"/>
              <w:bidi w:val="0"/>
              <w:spacing w:before="0" w:after="283"/>
              <w:jc w:val="right"/>
              <w:rPr/>
            </w:pPr>
            <w:r>
              <w:rPr/>
              <w:t>(849</w:t>
            </w:r>
          </w:p>
        </w:tc>
        <w:tc>
          <w:tcPr>
            <w:tcW w:w="101" w:type="dxa"/>
            <w:tcBorders/>
            <w:shd w:fill="CCEEFF" w:val="clear"/>
            <w:vAlign w:val="center"/>
          </w:tcPr>
          <w:p>
            <w:pPr>
              <w:pStyle w:val="TableContents"/>
              <w:bidi w:val="0"/>
              <w:spacing w:before="0" w:after="283"/>
              <w:ind w:left="0" w:right="0" w:hanging="180"/>
              <w:jc w:val="left"/>
              <w:rPr/>
            </w:pPr>
            <w:r>
              <w:rPr/>
              <w:t>)</w:t>
            </w:r>
          </w:p>
        </w:tc>
      </w:tr>
      <w:tr>
        <w:trPr/>
        <w:tc>
          <w:tcPr>
            <w:tcW w:w="7100" w:type="dxa"/>
            <w:tcBorders/>
            <w:shd w:fill="FFFFFF" w:val="clear"/>
            <w:vAlign w:val="center"/>
          </w:tcPr>
          <w:p>
            <w:pPr>
              <w:pStyle w:val="TableContents"/>
              <w:bidi w:val="0"/>
              <w:spacing w:before="0" w:after="283"/>
              <w:jc w:val="left"/>
              <w:rPr/>
            </w:pPr>
            <w:r>
              <w:rPr/>
              <w:t>Warranty provision, noncurrent</w:t>
            </w:r>
          </w:p>
        </w:tc>
        <w:tc>
          <w:tcPr>
            <w:tcW w:w="60" w:type="dxa"/>
            <w:tcBorders/>
            <w:shd w:fill="FFFFFF" w:val="clear"/>
            <w:vAlign w:val="center"/>
          </w:tcPr>
          <w:p>
            <w:pPr>
              <w:pStyle w:val="TableContents"/>
              <w:bidi w:val="0"/>
              <w:spacing w:before="0" w:after="283"/>
              <w:jc w:val="left"/>
              <w:rPr/>
            </w:pPr>
            <w:r>
              <w:rPr/>
              <w:t> </w:t>
            </w:r>
          </w:p>
        </w:tc>
        <w:tc>
          <w:tcPr>
            <w:tcW w:w="217" w:type="dxa"/>
            <w:tcBorders/>
            <w:shd w:fill="FFFFFF" w:val="clear"/>
            <w:vAlign w:val="center"/>
          </w:tcPr>
          <w:p>
            <w:pPr>
              <w:pStyle w:val="TableContents"/>
              <w:bidi w:val="0"/>
              <w:spacing w:before="0" w:after="283"/>
              <w:jc w:val="left"/>
              <w:rPr/>
            </w:pPr>
            <w:r>
              <w:rPr/>
              <w:t> </w:t>
            </w:r>
          </w:p>
        </w:tc>
        <w:tc>
          <w:tcPr>
            <w:tcW w:w="1178" w:type="dxa"/>
            <w:tcBorders/>
            <w:shd w:fill="FFFFFF" w:val="clear"/>
            <w:vAlign w:val="center"/>
          </w:tcPr>
          <w:p>
            <w:pPr>
              <w:pStyle w:val="TableContents"/>
              <w:bidi w:val="0"/>
              <w:spacing w:before="0" w:after="283"/>
              <w:jc w:val="right"/>
              <w:rPr/>
            </w:pPr>
            <w:r>
              <w:rPr/>
              <w:t>(378</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206" w:type="dxa"/>
            <w:tcBorders/>
            <w:shd w:fill="FFFFFF" w:val="clear"/>
            <w:vAlign w:val="center"/>
          </w:tcPr>
          <w:p>
            <w:pPr>
              <w:pStyle w:val="TableContents"/>
              <w:bidi w:val="0"/>
              <w:spacing w:before="0" w:after="283"/>
              <w:jc w:val="left"/>
              <w:rPr/>
            </w:pPr>
            <w:r>
              <w:rPr/>
              <w:t> </w:t>
            </w:r>
          </w:p>
        </w:tc>
        <w:tc>
          <w:tcPr>
            <w:tcW w:w="1188" w:type="dxa"/>
            <w:tcBorders/>
            <w:shd w:fill="FFFFFF" w:val="clear"/>
            <w:vAlign w:val="center"/>
          </w:tcPr>
          <w:p>
            <w:pPr>
              <w:pStyle w:val="TableContents"/>
              <w:bidi w:val="0"/>
              <w:spacing w:before="0" w:after="283"/>
              <w:jc w:val="right"/>
              <w:rPr/>
            </w:pPr>
            <w:r>
              <w:rPr/>
              <w:t>21</w:t>
            </w:r>
          </w:p>
        </w:tc>
        <w:tc>
          <w:tcPr>
            <w:tcW w:w="101" w:type="dxa"/>
            <w:tcBorders/>
            <w:shd w:fill="FFFFFF" w:val="clear"/>
            <w:vAlign w:val="center"/>
          </w:tcPr>
          <w:p>
            <w:pPr>
              <w:pStyle w:val="TableContents"/>
              <w:bidi w:val="0"/>
              <w:spacing w:before="0" w:after="283"/>
              <w:ind w:left="0" w:right="0" w:hanging="180"/>
              <w:jc w:val="left"/>
              <w:rPr/>
            </w:pPr>
            <w:r>
              <w:rPr/>
              <w:t> </w:t>
            </w:r>
          </w:p>
        </w:tc>
      </w:tr>
      <w:tr>
        <w:trPr/>
        <w:tc>
          <w:tcPr>
            <w:tcW w:w="7100" w:type="dxa"/>
            <w:tcBorders/>
            <w:shd w:fill="CCEEFF" w:val="clear"/>
            <w:vAlign w:val="center"/>
          </w:tcPr>
          <w:p>
            <w:pPr>
              <w:pStyle w:val="TableContents"/>
              <w:bidi w:val="0"/>
              <w:spacing w:before="0" w:after="283"/>
              <w:jc w:val="left"/>
              <w:rPr/>
            </w:pPr>
            <w:r>
              <w:rPr/>
              <w:t>Contract liabilities</w:t>
            </w:r>
          </w:p>
        </w:tc>
        <w:tc>
          <w:tcPr>
            <w:tcW w:w="60" w:type="dxa"/>
            <w:tcBorders/>
            <w:shd w:fill="CCEEFF" w:val="clear"/>
            <w:vAlign w:val="center"/>
          </w:tcPr>
          <w:p>
            <w:pPr>
              <w:pStyle w:val="TableContents"/>
              <w:bidi w:val="0"/>
              <w:spacing w:before="0" w:after="283"/>
              <w:jc w:val="left"/>
              <w:rPr/>
            </w:pPr>
            <w:r>
              <w:rPr/>
              <w:t> </w:t>
            </w:r>
          </w:p>
        </w:tc>
        <w:tc>
          <w:tcPr>
            <w:tcW w:w="217"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78" w:type="dxa"/>
            <w:tcBorders>
              <w:bottom w:val="single" w:sz="12" w:space="0" w:color="000000"/>
            </w:tcBorders>
            <w:shd w:fill="CCEEFF" w:val="clear"/>
            <w:tcMar>
              <w:bottom w:w="28" w:type="dxa"/>
            </w:tcMar>
            <w:vAlign w:val="center"/>
          </w:tcPr>
          <w:p>
            <w:pPr>
              <w:pStyle w:val="TableContents"/>
              <w:bidi w:val="0"/>
              <w:spacing w:before="0" w:after="283"/>
              <w:jc w:val="right"/>
              <w:rPr/>
            </w:pPr>
            <w:r>
              <w:rPr/>
              <w:t>(3,139</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206"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88" w:type="dxa"/>
            <w:tcBorders>
              <w:bottom w:val="single" w:sz="12" w:space="0" w:color="000000"/>
            </w:tcBorders>
            <w:shd w:fill="CCEEFF" w:val="clear"/>
            <w:tcMar>
              <w:bottom w:w="28" w:type="dxa"/>
            </w:tcMar>
            <w:vAlign w:val="center"/>
          </w:tcPr>
          <w:p>
            <w:pPr>
              <w:pStyle w:val="TableContents"/>
              <w:bidi w:val="0"/>
              <w:spacing w:before="0" w:after="283"/>
              <w:jc w:val="right"/>
              <w:rPr/>
            </w:pPr>
            <w:r>
              <w:rPr/>
              <w:t>82</w:t>
            </w:r>
          </w:p>
        </w:tc>
        <w:tc>
          <w:tcPr>
            <w:tcW w:w="101" w:type="dxa"/>
            <w:tcBorders/>
            <w:shd w:fill="CCEEFF" w:val="clear"/>
            <w:vAlign w:val="center"/>
          </w:tcPr>
          <w:p>
            <w:pPr>
              <w:pStyle w:val="TableContents"/>
              <w:bidi w:val="0"/>
              <w:spacing w:before="0" w:after="283"/>
              <w:ind w:left="0" w:right="0" w:hanging="180"/>
              <w:jc w:val="left"/>
              <w:rPr/>
            </w:pPr>
            <w:r>
              <w:rPr/>
              <w:t> </w:t>
            </w:r>
          </w:p>
        </w:tc>
      </w:tr>
      <w:tr>
        <w:trPr/>
        <w:tc>
          <w:tcPr>
            <w:tcW w:w="7100" w:type="dxa"/>
            <w:tcBorders/>
            <w:shd w:fill="FFFFFF" w:val="clear"/>
            <w:vAlign w:val="center"/>
          </w:tcPr>
          <w:p>
            <w:pPr>
              <w:pStyle w:val="TableContents"/>
              <w:bidi w:val="0"/>
              <w:spacing w:before="0" w:after="283"/>
              <w:jc w:val="left"/>
              <w:rPr/>
            </w:pPr>
            <w:r>
              <w:rPr/>
              <w:t>Net cash used in operating activities from continuing operations</w:t>
            </w:r>
          </w:p>
        </w:tc>
        <w:tc>
          <w:tcPr>
            <w:tcW w:w="60" w:type="dxa"/>
            <w:tcBorders/>
            <w:shd w:fill="FFFFFF" w:val="clear"/>
            <w:vAlign w:val="center"/>
          </w:tcPr>
          <w:p>
            <w:pPr>
              <w:pStyle w:val="TableContents"/>
              <w:bidi w:val="0"/>
              <w:spacing w:before="0" w:after="283"/>
              <w:jc w:val="left"/>
              <w:rPr/>
            </w:pPr>
            <w:r>
              <w:rPr/>
              <w:t> </w:t>
            </w:r>
          </w:p>
        </w:tc>
        <w:tc>
          <w:tcPr>
            <w:tcW w:w="217"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78" w:type="dxa"/>
            <w:tcBorders>
              <w:bottom w:val="single" w:sz="12" w:space="0" w:color="000000"/>
            </w:tcBorders>
            <w:shd w:fill="FFFFFF" w:val="clear"/>
            <w:tcMar>
              <w:bottom w:w="28" w:type="dxa"/>
            </w:tcMar>
            <w:vAlign w:val="center"/>
          </w:tcPr>
          <w:p>
            <w:pPr>
              <w:pStyle w:val="TableContents"/>
              <w:bidi w:val="0"/>
              <w:spacing w:before="0" w:after="283"/>
              <w:jc w:val="right"/>
              <w:rPr/>
            </w:pPr>
            <w:r>
              <w:rPr/>
              <w:t>(15,327</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206"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88" w:type="dxa"/>
            <w:tcBorders>
              <w:bottom w:val="single" w:sz="12" w:space="0" w:color="000000"/>
            </w:tcBorders>
            <w:shd w:fill="FFFFFF" w:val="clear"/>
            <w:tcMar>
              <w:bottom w:w="28" w:type="dxa"/>
            </w:tcMar>
            <w:vAlign w:val="center"/>
          </w:tcPr>
          <w:p>
            <w:pPr>
              <w:pStyle w:val="TableContents"/>
              <w:bidi w:val="0"/>
              <w:spacing w:before="0" w:after="283"/>
              <w:jc w:val="right"/>
              <w:rPr/>
            </w:pPr>
            <w:r>
              <w:rPr/>
              <w:t>(54,662</w:t>
            </w:r>
          </w:p>
        </w:tc>
        <w:tc>
          <w:tcPr>
            <w:tcW w:w="101" w:type="dxa"/>
            <w:tcBorders/>
            <w:shd w:fill="FFFFFF" w:val="clear"/>
            <w:vAlign w:val="center"/>
          </w:tcPr>
          <w:p>
            <w:pPr>
              <w:pStyle w:val="TableContents"/>
              <w:bidi w:val="0"/>
              <w:spacing w:before="0" w:after="283"/>
              <w:ind w:left="0" w:right="0" w:hanging="180"/>
              <w:jc w:val="left"/>
              <w:rPr/>
            </w:pPr>
            <w:r>
              <w:rPr/>
              <w:t>)</w:t>
            </w:r>
          </w:p>
        </w:tc>
      </w:tr>
      <w:tr>
        <w:trPr/>
        <w:tc>
          <w:tcPr>
            <w:tcW w:w="7100" w:type="dxa"/>
            <w:tcBorders/>
            <w:shd w:fill="CCEEFF" w:val="clear"/>
            <w:vAlign w:val="center"/>
          </w:tcPr>
          <w:p>
            <w:pPr>
              <w:pStyle w:val="TableContents"/>
              <w:bidi w:val="0"/>
              <w:spacing w:before="0" w:after="283"/>
              <w:jc w:val="left"/>
              <w:rPr>
                <w:b/>
              </w:rPr>
            </w:pPr>
            <w:r>
              <w:rPr>
                <w:b/>
              </w:rPr>
              <w:t>Cash flows from investing activities from continuing operations</w:t>
            </w:r>
          </w:p>
        </w:tc>
        <w:tc>
          <w:tcPr>
            <w:tcW w:w="60" w:type="dxa"/>
            <w:tcBorders/>
            <w:shd w:fill="CCEEFF" w:val="clear"/>
            <w:vAlign w:val="center"/>
          </w:tcPr>
          <w:p>
            <w:pPr>
              <w:pStyle w:val="TableContents"/>
              <w:bidi w:val="0"/>
              <w:spacing w:before="0" w:after="283"/>
              <w:jc w:val="left"/>
              <w:rPr/>
            </w:pPr>
            <w:r>
              <w:rPr/>
              <w:t> </w:t>
            </w:r>
          </w:p>
        </w:tc>
        <w:tc>
          <w:tcPr>
            <w:tcW w:w="217" w:type="dxa"/>
            <w:tcBorders/>
            <w:shd w:fill="CCEEFF" w:val="clear"/>
            <w:vAlign w:val="center"/>
          </w:tcPr>
          <w:p>
            <w:pPr>
              <w:pStyle w:val="TableContents"/>
              <w:bidi w:val="0"/>
              <w:spacing w:before="0" w:after="283"/>
              <w:jc w:val="left"/>
              <w:rPr/>
            </w:pPr>
            <w:r>
              <w:rPr/>
              <w:t> </w:t>
            </w:r>
          </w:p>
        </w:tc>
        <w:tc>
          <w:tcPr>
            <w:tcW w:w="1178"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6" w:type="dxa"/>
            <w:tcBorders/>
            <w:shd w:fill="CCEEFF" w:val="clear"/>
            <w:vAlign w:val="center"/>
          </w:tcPr>
          <w:p>
            <w:pPr>
              <w:pStyle w:val="TableContents"/>
              <w:bidi w:val="0"/>
              <w:spacing w:before="0" w:after="283"/>
              <w:jc w:val="left"/>
              <w:rPr/>
            </w:pPr>
            <w:r>
              <w:rPr/>
              <w:t> </w:t>
            </w:r>
          </w:p>
        </w:tc>
        <w:tc>
          <w:tcPr>
            <w:tcW w:w="1188" w:type="dxa"/>
            <w:tcBorders/>
            <w:shd w:fill="CCEEFF" w:val="clear"/>
            <w:vAlign w:val="center"/>
          </w:tcPr>
          <w:p>
            <w:pPr>
              <w:pStyle w:val="TableContents"/>
              <w:bidi w:val="0"/>
              <w:spacing w:before="0" w:after="283"/>
              <w:jc w:val="right"/>
              <w:rPr/>
            </w:pPr>
            <w:r>
              <w:rPr/>
              <w:t> </w:t>
            </w:r>
          </w:p>
        </w:tc>
        <w:tc>
          <w:tcPr>
            <w:tcW w:w="101" w:type="dxa"/>
            <w:tcBorders/>
            <w:shd w:fill="CCEEFF" w:val="clear"/>
            <w:vAlign w:val="center"/>
          </w:tcPr>
          <w:p>
            <w:pPr>
              <w:pStyle w:val="TableContents"/>
              <w:bidi w:val="0"/>
              <w:spacing w:before="0" w:after="283"/>
              <w:ind w:left="0" w:right="0" w:hanging="180"/>
              <w:jc w:val="left"/>
              <w:rPr/>
            </w:pPr>
            <w:r>
              <w:rPr/>
              <w:t> </w:t>
            </w:r>
          </w:p>
        </w:tc>
      </w:tr>
      <w:tr>
        <w:trPr/>
        <w:tc>
          <w:tcPr>
            <w:tcW w:w="7100" w:type="dxa"/>
            <w:tcBorders/>
            <w:shd w:fill="FFFFFF" w:val="clear"/>
            <w:vAlign w:val="center"/>
          </w:tcPr>
          <w:p>
            <w:pPr>
              <w:pStyle w:val="TableContents"/>
              <w:bidi w:val="0"/>
              <w:spacing w:before="0" w:after="283"/>
              <w:jc w:val="left"/>
              <w:rPr/>
            </w:pPr>
            <w:r>
              <w:rPr/>
              <w:t>Capitalization of internal-use-software costs</w:t>
            </w:r>
          </w:p>
        </w:tc>
        <w:tc>
          <w:tcPr>
            <w:tcW w:w="60" w:type="dxa"/>
            <w:tcBorders/>
            <w:shd w:fill="FFFFFF" w:val="clear"/>
            <w:vAlign w:val="center"/>
          </w:tcPr>
          <w:p>
            <w:pPr>
              <w:pStyle w:val="TableContents"/>
              <w:bidi w:val="0"/>
              <w:spacing w:before="0" w:after="283"/>
              <w:jc w:val="left"/>
              <w:rPr/>
            </w:pPr>
            <w:r>
              <w:rPr/>
              <w:t> </w:t>
            </w:r>
          </w:p>
        </w:tc>
        <w:tc>
          <w:tcPr>
            <w:tcW w:w="217" w:type="dxa"/>
            <w:tcBorders/>
            <w:shd w:fill="FFFFFF" w:val="clear"/>
            <w:vAlign w:val="center"/>
          </w:tcPr>
          <w:p>
            <w:pPr>
              <w:pStyle w:val="TableContents"/>
              <w:bidi w:val="0"/>
              <w:spacing w:before="0" w:after="283"/>
              <w:jc w:val="left"/>
              <w:rPr/>
            </w:pPr>
            <w:r>
              <w:rPr/>
              <w:t> </w:t>
            </w:r>
          </w:p>
        </w:tc>
        <w:tc>
          <w:tcPr>
            <w:tcW w:w="1178"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6" w:type="dxa"/>
            <w:tcBorders/>
            <w:shd w:fill="FFFFFF" w:val="clear"/>
            <w:vAlign w:val="center"/>
          </w:tcPr>
          <w:p>
            <w:pPr>
              <w:pStyle w:val="TableContents"/>
              <w:bidi w:val="0"/>
              <w:spacing w:before="0" w:after="283"/>
              <w:jc w:val="left"/>
              <w:rPr/>
            </w:pPr>
            <w:r>
              <w:rPr/>
              <w:t> </w:t>
            </w:r>
          </w:p>
        </w:tc>
        <w:tc>
          <w:tcPr>
            <w:tcW w:w="1188" w:type="dxa"/>
            <w:tcBorders/>
            <w:shd w:fill="FFFFFF" w:val="clear"/>
            <w:vAlign w:val="center"/>
          </w:tcPr>
          <w:p>
            <w:pPr>
              <w:pStyle w:val="TableContents"/>
              <w:bidi w:val="0"/>
              <w:spacing w:before="0" w:after="283"/>
              <w:jc w:val="right"/>
              <w:rPr/>
            </w:pPr>
            <w:r>
              <w:rPr/>
              <w:t>(1,157</w:t>
            </w:r>
          </w:p>
        </w:tc>
        <w:tc>
          <w:tcPr>
            <w:tcW w:w="101" w:type="dxa"/>
            <w:tcBorders/>
            <w:shd w:fill="FFFFFF" w:val="clear"/>
            <w:vAlign w:val="center"/>
          </w:tcPr>
          <w:p>
            <w:pPr>
              <w:pStyle w:val="TableContents"/>
              <w:bidi w:val="0"/>
              <w:spacing w:before="0" w:after="283"/>
              <w:ind w:left="0" w:right="0" w:hanging="180"/>
              <w:jc w:val="left"/>
              <w:rPr/>
            </w:pPr>
            <w:r>
              <w:rPr/>
              <w:t>)</w:t>
            </w:r>
          </w:p>
        </w:tc>
      </w:tr>
      <w:tr>
        <w:trPr/>
        <w:tc>
          <w:tcPr>
            <w:tcW w:w="7100" w:type="dxa"/>
            <w:tcBorders/>
            <w:shd w:fill="CCEEFF" w:val="clear"/>
            <w:vAlign w:val="center"/>
          </w:tcPr>
          <w:p>
            <w:pPr>
              <w:pStyle w:val="TableContents"/>
              <w:bidi w:val="0"/>
              <w:spacing w:before="0" w:after="283"/>
              <w:jc w:val="left"/>
              <w:rPr/>
            </w:pPr>
            <w:r>
              <w:rPr/>
              <w:t>Cash paid for acquisitions; net of cash acquired</w:t>
            </w:r>
          </w:p>
        </w:tc>
        <w:tc>
          <w:tcPr>
            <w:tcW w:w="60" w:type="dxa"/>
            <w:tcBorders/>
            <w:shd w:fill="CCEEFF" w:val="clear"/>
            <w:vAlign w:val="center"/>
          </w:tcPr>
          <w:p>
            <w:pPr>
              <w:pStyle w:val="TableContents"/>
              <w:bidi w:val="0"/>
              <w:spacing w:before="0" w:after="283"/>
              <w:jc w:val="left"/>
              <w:rPr/>
            </w:pPr>
            <w:r>
              <w:rPr/>
              <w:t> </w:t>
            </w:r>
          </w:p>
        </w:tc>
        <w:tc>
          <w:tcPr>
            <w:tcW w:w="217"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78" w:type="dxa"/>
            <w:tcBorders>
              <w:bottom w:val="single" w:sz="12" w:space="0" w:color="000000"/>
            </w:tcBorders>
            <w:shd w:fill="CCEEFF" w:val="clear"/>
            <w:tcMar>
              <w:bottom w:w="28" w:type="dxa"/>
            </w:tcMar>
            <w:vAlign w:val="center"/>
          </w:tcPr>
          <w:p>
            <w:pPr>
              <w:pStyle w:val="TableContents"/>
              <w:bidi w:val="0"/>
              <w:spacing w:before="0" w:after="283"/>
              <w:jc w:val="right"/>
              <w:rPr/>
            </w:pPr>
            <w:r>
              <w:rPr/>
              <w:t>(19,339</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206"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88" w:type="dxa"/>
            <w:tcBorders>
              <w:bottom w:val="single" w:sz="12" w:space="0" w:color="000000"/>
            </w:tcBorders>
            <w:shd w:fill="CCEEFF" w:val="clear"/>
            <w:tcMar>
              <w:bottom w:w="28" w:type="dxa"/>
            </w:tcMar>
            <w:vAlign w:val="center"/>
          </w:tcPr>
          <w:p>
            <w:pPr>
              <w:pStyle w:val="TableContents"/>
              <w:bidi w:val="0"/>
              <w:spacing w:before="0" w:after="283"/>
              <w:jc w:val="right"/>
              <w:rPr/>
            </w:pPr>
            <w:r>
              <w:rPr/>
              <w:t>(53,500</w:t>
            </w:r>
          </w:p>
        </w:tc>
        <w:tc>
          <w:tcPr>
            <w:tcW w:w="101" w:type="dxa"/>
            <w:tcBorders/>
            <w:shd w:fill="CCEEFF" w:val="clear"/>
            <w:vAlign w:val="center"/>
          </w:tcPr>
          <w:p>
            <w:pPr>
              <w:pStyle w:val="TableContents"/>
              <w:bidi w:val="0"/>
              <w:spacing w:before="0" w:after="283"/>
              <w:ind w:left="0" w:right="0" w:hanging="180"/>
              <w:jc w:val="left"/>
              <w:rPr/>
            </w:pPr>
            <w:r>
              <w:rPr/>
              <w:t>)</w:t>
            </w:r>
          </w:p>
        </w:tc>
      </w:tr>
      <w:tr>
        <w:trPr/>
        <w:tc>
          <w:tcPr>
            <w:tcW w:w="7100" w:type="dxa"/>
            <w:tcBorders/>
            <w:shd w:fill="FFFFFF" w:val="clear"/>
            <w:vAlign w:val="center"/>
          </w:tcPr>
          <w:p>
            <w:pPr>
              <w:pStyle w:val="TableContents"/>
              <w:bidi w:val="0"/>
              <w:spacing w:before="0" w:after="283"/>
              <w:jc w:val="left"/>
              <w:rPr/>
            </w:pPr>
            <w:r>
              <w:rPr/>
              <w:t>Net cash used in investing activities from continuing operations</w:t>
            </w:r>
          </w:p>
        </w:tc>
        <w:tc>
          <w:tcPr>
            <w:tcW w:w="60" w:type="dxa"/>
            <w:tcBorders/>
            <w:shd w:fill="FFFFFF" w:val="clear"/>
            <w:vAlign w:val="center"/>
          </w:tcPr>
          <w:p>
            <w:pPr>
              <w:pStyle w:val="TableContents"/>
              <w:bidi w:val="0"/>
              <w:spacing w:before="0" w:after="283"/>
              <w:jc w:val="left"/>
              <w:rPr/>
            </w:pPr>
            <w:r>
              <w:rPr/>
              <w:t> </w:t>
            </w:r>
          </w:p>
        </w:tc>
        <w:tc>
          <w:tcPr>
            <w:tcW w:w="217"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78" w:type="dxa"/>
            <w:tcBorders>
              <w:bottom w:val="single" w:sz="12" w:space="0" w:color="000000"/>
            </w:tcBorders>
            <w:shd w:fill="FFFFFF" w:val="clear"/>
            <w:tcMar>
              <w:bottom w:w="28" w:type="dxa"/>
            </w:tcMar>
            <w:vAlign w:val="center"/>
          </w:tcPr>
          <w:p>
            <w:pPr>
              <w:pStyle w:val="TableContents"/>
              <w:bidi w:val="0"/>
              <w:spacing w:before="0" w:after="283"/>
              <w:jc w:val="right"/>
              <w:rPr/>
            </w:pPr>
            <w:r>
              <w:rPr/>
              <w:t>(19,339</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206"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88" w:type="dxa"/>
            <w:tcBorders>
              <w:bottom w:val="single" w:sz="12" w:space="0" w:color="000000"/>
            </w:tcBorders>
            <w:shd w:fill="FFFFFF" w:val="clear"/>
            <w:tcMar>
              <w:bottom w:w="28" w:type="dxa"/>
            </w:tcMar>
            <w:vAlign w:val="center"/>
          </w:tcPr>
          <w:p>
            <w:pPr>
              <w:pStyle w:val="TableContents"/>
              <w:bidi w:val="0"/>
              <w:spacing w:before="0" w:after="283"/>
              <w:jc w:val="right"/>
              <w:rPr/>
            </w:pPr>
            <w:r>
              <w:rPr/>
              <w:t>(54,657</w:t>
            </w:r>
          </w:p>
        </w:tc>
        <w:tc>
          <w:tcPr>
            <w:tcW w:w="101" w:type="dxa"/>
            <w:tcBorders/>
            <w:shd w:fill="FFFFFF" w:val="clear"/>
            <w:vAlign w:val="center"/>
          </w:tcPr>
          <w:p>
            <w:pPr>
              <w:pStyle w:val="TableContents"/>
              <w:bidi w:val="0"/>
              <w:spacing w:before="0" w:after="283"/>
              <w:ind w:left="0" w:right="0" w:hanging="180"/>
              <w:jc w:val="left"/>
              <w:rPr/>
            </w:pPr>
            <w:r>
              <w:rPr/>
              <w:t>)</w:t>
            </w:r>
          </w:p>
        </w:tc>
      </w:tr>
      <w:tr>
        <w:trPr/>
        <w:tc>
          <w:tcPr>
            <w:tcW w:w="7100" w:type="dxa"/>
            <w:tcBorders/>
            <w:shd w:fill="CCEEFF" w:val="clear"/>
            <w:vAlign w:val="center"/>
          </w:tcPr>
          <w:p>
            <w:pPr>
              <w:pStyle w:val="TableContents"/>
              <w:bidi w:val="0"/>
              <w:spacing w:before="0" w:after="283"/>
              <w:jc w:val="left"/>
              <w:rPr>
                <w:b/>
              </w:rPr>
            </w:pPr>
            <w:r>
              <w:rPr>
                <w:b/>
              </w:rPr>
              <w:t>Cash flows from financing activities from continuing operations</w:t>
            </w:r>
          </w:p>
        </w:tc>
        <w:tc>
          <w:tcPr>
            <w:tcW w:w="60" w:type="dxa"/>
            <w:tcBorders/>
            <w:shd w:fill="CCEEFF" w:val="clear"/>
            <w:vAlign w:val="center"/>
          </w:tcPr>
          <w:p>
            <w:pPr>
              <w:pStyle w:val="TableContents"/>
              <w:bidi w:val="0"/>
              <w:spacing w:before="0" w:after="283"/>
              <w:jc w:val="left"/>
              <w:rPr/>
            </w:pPr>
            <w:r>
              <w:rPr/>
              <w:t> </w:t>
            </w:r>
          </w:p>
        </w:tc>
        <w:tc>
          <w:tcPr>
            <w:tcW w:w="217" w:type="dxa"/>
            <w:tcBorders/>
            <w:shd w:fill="CCEEFF" w:val="clear"/>
            <w:vAlign w:val="center"/>
          </w:tcPr>
          <w:p>
            <w:pPr>
              <w:pStyle w:val="TableContents"/>
              <w:bidi w:val="0"/>
              <w:spacing w:before="0" w:after="283"/>
              <w:jc w:val="left"/>
              <w:rPr/>
            </w:pPr>
            <w:r>
              <w:rPr/>
              <w:t> </w:t>
            </w:r>
          </w:p>
        </w:tc>
        <w:tc>
          <w:tcPr>
            <w:tcW w:w="1178"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6" w:type="dxa"/>
            <w:tcBorders/>
            <w:shd w:fill="CCEEFF" w:val="clear"/>
            <w:vAlign w:val="center"/>
          </w:tcPr>
          <w:p>
            <w:pPr>
              <w:pStyle w:val="TableContents"/>
              <w:bidi w:val="0"/>
              <w:spacing w:before="0" w:after="283"/>
              <w:jc w:val="left"/>
              <w:rPr/>
            </w:pPr>
            <w:r>
              <w:rPr/>
              <w:t> </w:t>
            </w:r>
          </w:p>
        </w:tc>
        <w:tc>
          <w:tcPr>
            <w:tcW w:w="1188" w:type="dxa"/>
            <w:tcBorders/>
            <w:shd w:fill="CCEEFF" w:val="clear"/>
            <w:vAlign w:val="center"/>
          </w:tcPr>
          <w:p>
            <w:pPr>
              <w:pStyle w:val="TableContents"/>
              <w:bidi w:val="0"/>
              <w:spacing w:before="0" w:after="283"/>
              <w:jc w:val="right"/>
              <w:rPr/>
            </w:pPr>
            <w:r>
              <w:rPr/>
              <w:t> </w:t>
            </w:r>
          </w:p>
        </w:tc>
        <w:tc>
          <w:tcPr>
            <w:tcW w:w="101" w:type="dxa"/>
            <w:tcBorders/>
            <w:shd w:fill="CCEEFF" w:val="clear"/>
            <w:vAlign w:val="center"/>
          </w:tcPr>
          <w:p>
            <w:pPr>
              <w:pStyle w:val="TableContents"/>
              <w:bidi w:val="0"/>
              <w:spacing w:before="0" w:after="283"/>
              <w:ind w:left="0" w:right="0" w:hanging="180"/>
              <w:jc w:val="left"/>
              <w:rPr/>
            </w:pPr>
            <w:r>
              <w:rPr/>
              <w:t> </w:t>
            </w:r>
          </w:p>
        </w:tc>
      </w:tr>
      <w:tr>
        <w:trPr/>
        <w:tc>
          <w:tcPr>
            <w:tcW w:w="7100" w:type="dxa"/>
            <w:tcBorders/>
            <w:shd w:fill="FFFFFF" w:val="clear"/>
            <w:vAlign w:val="center"/>
          </w:tcPr>
          <w:p>
            <w:pPr>
              <w:pStyle w:val="TableContents"/>
              <w:bidi w:val="0"/>
              <w:spacing w:before="0" w:after="283"/>
              <w:jc w:val="left"/>
              <w:rPr/>
            </w:pPr>
            <w:r>
              <w:rPr/>
              <w:t>Proceeds from issuance of convertible notes, net of issuance cost</w:t>
            </w:r>
          </w:p>
        </w:tc>
        <w:tc>
          <w:tcPr>
            <w:tcW w:w="60" w:type="dxa"/>
            <w:tcBorders/>
            <w:shd w:fill="FFFFFF" w:val="clear"/>
            <w:vAlign w:val="center"/>
          </w:tcPr>
          <w:p>
            <w:pPr>
              <w:pStyle w:val="TableContents"/>
              <w:bidi w:val="0"/>
              <w:spacing w:before="0" w:after="283"/>
              <w:jc w:val="left"/>
              <w:rPr/>
            </w:pPr>
            <w:r>
              <w:rPr/>
              <w:t> </w:t>
            </w:r>
          </w:p>
        </w:tc>
        <w:tc>
          <w:tcPr>
            <w:tcW w:w="217" w:type="dxa"/>
            <w:tcBorders/>
            <w:shd w:fill="FFFFFF" w:val="clear"/>
            <w:vAlign w:val="center"/>
          </w:tcPr>
          <w:p>
            <w:pPr>
              <w:pStyle w:val="TableContents"/>
              <w:bidi w:val="0"/>
              <w:spacing w:before="0" w:after="283"/>
              <w:jc w:val="left"/>
              <w:rPr/>
            </w:pPr>
            <w:r>
              <w:rPr/>
              <w:t> </w:t>
            </w:r>
          </w:p>
        </w:tc>
        <w:tc>
          <w:tcPr>
            <w:tcW w:w="1178" w:type="dxa"/>
            <w:tcBorders/>
            <w:shd w:fill="FFFFFF" w:val="clear"/>
            <w:vAlign w:val="center"/>
          </w:tcPr>
          <w:p>
            <w:pPr>
              <w:pStyle w:val="TableContents"/>
              <w:bidi w:val="0"/>
              <w:spacing w:before="0" w:after="283"/>
              <w:jc w:val="right"/>
              <w:rPr/>
            </w:pPr>
            <w:r>
              <w:rPr/>
              <w:t>20,000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6" w:type="dxa"/>
            <w:tcBorders/>
            <w:shd w:fill="FFFFFF" w:val="clear"/>
            <w:vAlign w:val="center"/>
          </w:tcPr>
          <w:p>
            <w:pPr>
              <w:pStyle w:val="TableContents"/>
              <w:bidi w:val="0"/>
              <w:spacing w:before="0" w:after="283"/>
              <w:jc w:val="left"/>
              <w:rPr/>
            </w:pPr>
            <w:r>
              <w:rPr/>
              <w:t> </w:t>
            </w:r>
          </w:p>
        </w:tc>
        <w:tc>
          <w:tcPr>
            <w:tcW w:w="1188" w:type="dxa"/>
            <w:tcBorders/>
            <w:shd w:fill="FFFFFF" w:val="clear"/>
            <w:vAlign w:val="center"/>
          </w:tcPr>
          <w:p>
            <w:pPr>
              <w:pStyle w:val="TableContents"/>
              <w:bidi w:val="0"/>
              <w:spacing w:before="0" w:after="283"/>
              <w:jc w:val="right"/>
              <w:rPr/>
            </w:pPr>
            <w:r>
              <w:rPr/>
              <w:t>81,725</w:t>
            </w:r>
          </w:p>
        </w:tc>
        <w:tc>
          <w:tcPr>
            <w:tcW w:w="101" w:type="dxa"/>
            <w:tcBorders/>
            <w:shd w:fill="FFFFFF" w:val="clear"/>
            <w:vAlign w:val="center"/>
          </w:tcPr>
          <w:p>
            <w:pPr>
              <w:pStyle w:val="TableContents"/>
              <w:bidi w:val="0"/>
              <w:spacing w:before="0" w:after="283"/>
              <w:ind w:left="0" w:right="0" w:hanging="180"/>
              <w:jc w:val="left"/>
              <w:rPr/>
            </w:pPr>
            <w:r>
              <w:rPr/>
              <w:t> </w:t>
            </w:r>
          </w:p>
        </w:tc>
      </w:tr>
      <w:tr>
        <w:trPr/>
        <w:tc>
          <w:tcPr>
            <w:tcW w:w="7100" w:type="dxa"/>
            <w:tcBorders/>
            <w:shd w:fill="CCEEFF" w:val="clear"/>
            <w:vAlign w:val="center"/>
          </w:tcPr>
          <w:p>
            <w:pPr>
              <w:pStyle w:val="TableContents"/>
              <w:bidi w:val="0"/>
              <w:spacing w:before="0" w:after="283"/>
              <w:jc w:val="left"/>
              <w:rPr/>
            </w:pPr>
            <w:r>
              <w:rPr/>
              <w:t>Proceeds from issuance of convertible notes to related parties</w:t>
            </w:r>
          </w:p>
        </w:tc>
        <w:tc>
          <w:tcPr>
            <w:tcW w:w="60" w:type="dxa"/>
            <w:tcBorders/>
            <w:shd w:fill="CCEEFF" w:val="clear"/>
            <w:vAlign w:val="center"/>
          </w:tcPr>
          <w:p>
            <w:pPr>
              <w:pStyle w:val="TableContents"/>
              <w:bidi w:val="0"/>
              <w:spacing w:before="0" w:after="283"/>
              <w:jc w:val="left"/>
              <w:rPr/>
            </w:pPr>
            <w:r>
              <w:rPr/>
              <w:t> </w:t>
            </w:r>
          </w:p>
        </w:tc>
        <w:tc>
          <w:tcPr>
            <w:tcW w:w="217" w:type="dxa"/>
            <w:tcBorders/>
            <w:shd w:fill="CCEEFF" w:val="clear"/>
            <w:vAlign w:val="center"/>
          </w:tcPr>
          <w:p>
            <w:pPr>
              <w:pStyle w:val="TableContents"/>
              <w:bidi w:val="0"/>
              <w:spacing w:before="0" w:after="283"/>
              <w:jc w:val="left"/>
              <w:rPr/>
            </w:pPr>
            <w:r>
              <w:rPr/>
              <w:t> </w:t>
            </w:r>
          </w:p>
        </w:tc>
        <w:tc>
          <w:tcPr>
            <w:tcW w:w="1178" w:type="dxa"/>
            <w:tcBorders/>
            <w:shd w:fill="CCEEFF" w:val="clear"/>
            <w:vAlign w:val="center"/>
          </w:tcPr>
          <w:p>
            <w:pPr>
              <w:pStyle w:val="TableContents"/>
              <w:bidi w:val="0"/>
              <w:spacing w:before="0" w:after="283"/>
              <w:jc w:val="right"/>
              <w:rPr/>
            </w:pPr>
            <w:r>
              <w:rPr/>
              <w:t>7,000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6" w:type="dxa"/>
            <w:tcBorders/>
            <w:shd w:fill="CCEEFF" w:val="clear"/>
            <w:vAlign w:val="center"/>
          </w:tcPr>
          <w:p>
            <w:pPr>
              <w:pStyle w:val="TableContents"/>
              <w:bidi w:val="0"/>
              <w:spacing w:before="0" w:after="283"/>
              <w:jc w:val="left"/>
              <w:rPr/>
            </w:pPr>
            <w:r>
              <w:rPr/>
              <w:t> </w:t>
            </w:r>
          </w:p>
        </w:tc>
        <w:tc>
          <w:tcPr>
            <w:tcW w:w="1188" w:type="dxa"/>
            <w:tcBorders/>
            <w:shd w:fill="CCEEFF" w:val="clear"/>
            <w:vAlign w:val="center"/>
          </w:tcPr>
          <w:p>
            <w:pPr>
              <w:pStyle w:val="TableContents"/>
              <w:bidi w:val="0"/>
              <w:spacing w:before="0" w:after="283"/>
              <w:jc w:val="right"/>
              <w:rPr/>
            </w:pPr>
            <w:r>
              <w:rPr/>
              <w:t>26,000</w:t>
            </w:r>
          </w:p>
        </w:tc>
        <w:tc>
          <w:tcPr>
            <w:tcW w:w="101" w:type="dxa"/>
            <w:tcBorders/>
            <w:shd w:fill="CCEEFF" w:val="clear"/>
            <w:vAlign w:val="center"/>
          </w:tcPr>
          <w:p>
            <w:pPr>
              <w:pStyle w:val="TableContents"/>
              <w:bidi w:val="0"/>
              <w:spacing w:before="0" w:after="283"/>
              <w:ind w:left="0" w:right="0" w:hanging="180"/>
              <w:jc w:val="left"/>
              <w:rPr/>
            </w:pPr>
            <w:r>
              <w:rPr/>
              <w:t> </w:t>
            </w:r>
          </w:p>
        </w:tc>
      </w:tr>
      <w:tr>
        <w:trPr/>
        <w:tc>
          <w:tcPr>
            <w:tcW w:w="7100" w:type="dxa"/>
            <w:tcBorders/>
            <w:shd w:fill="FFFFFF" w:val="clear"/>
            <w:vAlign w:val="center"/>
          </w:tcPr>
          <w:p>
            <w:pPr>
              <w:pStyle w:val="TableContents"/>
              <w:bidi w:val="0"/>
              <w:spacing w:before="0" w:after="283"/>
              <w:jc w:val="left"/>
              <w:rPr/>
            </w:pPr>
            <w:r>
              <w:rPr/>
              <w:t>Payment of debt issuance costs</w:t>
            </w:r>
          </w:p>
        </w:tc>
        <w:tc>
          <w:tcPr>
            <w:tcW w:w="60" w:type="dxa"/>
            <w:tcBorders/>
            <w:shd w:fill="FFFFFF" w:val="clear"/>
            <w:vAlign w:val="center"/>
          </w:tcPr>
          <w:p>
            <w:pPr>
              <w:pStyle w:val="TableContents"/>
              <w:bidi w:val="0"/>
              <w:spacing w:before="0" w:after="283"/>
              <w:jc w:val="left"/>
              <w:rPr/>
            </w:pPr>
            <w:r>
              <w:rPr/>
              <w:t> </w:t>
            </w:r>
          </w:p>
        </w:tc>
        <w:tc>
          <w:tcPr>
            <w:tcW w:w="217" w:type="dxa"/>
            <w:tcBorders/>
            <w:shd w:fill="FFFFFF" w:val="clear"/>
            <w:vAlign w:val="center"/>
          </w:tcPr>
          <w:p>
            <w:pPr>
              <w:pStyle w:val="TableContents"/>
              <w:bidi w:val="0"/>
              <w:spacing w:before="0" w:after="283"/>
              <w:jc w:val="left"/>
              <w:rPr/>
            </w:pPr>
            <w:r>
              <w:rPr/>
              <w:t> </w:t>
            </w:r>
          </w:p>
        </w:tc>
        <w:tc>
          <w:tcPr>
            <w:tcW w:w="1178" w:type="dxa"/>
            <w:tcBorders/>
            <w:shd w:fill="FFFFFF" w:val="clear"/>
            <w:vAlign w:val="center"/>
          </w:tcPr>
          <w:p>
            <w:pPr>
              <w:pStyle w:val="TableContents"/>
              <w:bidi w:val="0"/>
              <w:spacing w:before="0" w:after="283"/>
              <w:jc w:val="right"/>
              <w:rPr/>
            </w:pPr>
            <w:r>
              <w:rPr/>
              <w:t>(200</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206" w:type="dxa"/>
            <w:tcBorders/>
            <w:shd w:fill="FFFFFF" w:val="clear"/>
            <w:vAlign w:val="center"/>
          </w:tcPr>
          <w:p>
            <w:pPr>
              <w:pStyle w:val="TableContents"/>
              <w:bidi w:val="0"/>
              <w:spacing w:before="0" w:after="283"/>
              <w:jc w:val="left"/>
              <w:rPr/>
            </w:pPr>
            <w:r>
              <w:rPr/>
              <w:t> </w:t>
            </w:r>
          </w:p>
        </w:tc>
        <w:tc>
          <w:tcPr>
            <w:tcW w:w="1188" w:type="dxa"/>
            <w:tcBorders/>
            <w:shd w:fill="FFFFFF" w:val="clear"/>
            <w:vAlign w:val="center"/>
          </w:tcPr>
          <w:p>
            <w:pPr>
              <w:pStyle w:val="TableContents"/>
              <w:bidi w:val="0"/>
              <w:spacing w:before="0" w:after="283"/>
              <w:jc w:val="right"/>
              <w:rPr/>
            </w:pPr>
            <w:r>
              <w:rPr/>
              <w:t>—</w:t>
            </w:r>
          </w:p>
        </w:tc>
        <w:tc>
          <w:tcPr>
            <w:tcW w:w="101" w:type="dxa"/>
            <w:tcBorders/>
            <w:shd w:fill="FFFFFF" w:val="clear"/>
            <w:vAlign w:val="center"/>
          </w:tcPr>
          <w:p>
            <w:pPr>
              <w:pStyle w:val="TableContents"/>
              <w:bidi w:val="0"/>
              <w:spacing w:before="0" w:after="283"/>
              <w:ind w:left="0" w:right="0" w:hanging="180"/>
              <w:jc w:val="left"/>
              <w:rPr/>
            </w:pPr>
            <w:r>
              <w:rPr/>
              <w:t> </w:t>
            </w:r>
          </w:p>
        </w:tc>
      </w:tr>
      <w:tr>
        <w:trPr/>
        <w:tc>
          <w:tcPr>
            <w:tcW w:w="7100" w:type="dxa"/>
            <w:tcBorders/>
            <w:shd w:fill="CCEEFF" w:val="clear"/>
            <w:vAlign w:val="center"/>
          </w:tcPr>
          <w:p>
            <w:pPr>
              <w:pStyle w:val="TableContents"/>
              <w:bidi w:val="0"/>
              <w:spacing w:before="0" w:after="283"/>
              <w:jc w:val="left"/>
              <w:rPr/>
            </w:pPr>
            <w:r>
              <w:rPr/>
              <w:t>Proceeds from issuance of SAFE agreements with related party</w:t>
            </w:r>
          </w:p>
        </w:tc>
        <w:tc>
          <w:tcPr>
            <w:tcW w:w="60" w:type="dxa"/>
            <w:tcBorders/>
            <w:shd w:fill="CCEEFF" w:val="clear"/>
            <w:vAlign w:val="center"/>
          </w:tcPr>
          <w:p>
            <w:pPr>
              <w:pStyle w:val="TableContents"/>
              <w:bidi w:val="0"/>
              <w:spacing w:before="0" w:after="283"/>
              <w:jc w:val="left"/>
              <w:rPr/>
            </w:pPr>
            <w:r>
              <w:rPr/>
              <w:t> </w:t>
            </w:r>
          </w:p>
        </w:tc>
        <w:tc>
          <w:tcPr>
            <w:tcW w:w="217" w:type="dxa"/>
            <w:tcBorders/>
            <w:shd w:fill="CCEEFF" w:val="clear"/>
            <w:vAlign w:val="center"/>
          </w:tcPr>
          <w:p>
            <w:pPr>
              <w:pStyle w:val="TableContents"/>
              <w:bidi w:val="0"/>
              <w:spacing w:before="0" w:after="283"/>
              <w:jc w:val="left"/>
              <w:rPr/>
            </w:pPr>
            <w:r>
              <w:rPr/>
              <w:t> </w:t>
            </w:r>
          </w:p>
        </w:tc>
        <w:tc>
          <w:tcPr>
            <w:tcW w:w="1178"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6" w:type="dxa"/>
            <w:tcBorders/>
            <w:shd w:fill="CCEEFF" w:val="clear"/>
            <w:vAlign w:val="center"/>
          </w:tcPr>
          <w:p>
            <w:pPr>
              <w:pStyle w:val="TableContents"/>
              <w:bidi w:val="0"/>
              <w:spacing w:before="0" w:after="283"/>
              <w:jc w:val="left"/>
              <w:rPr/>
            </w:pPr>
            <w:r>
              <w:rPr/>
              <w:t> </w:t>
            </w:r>
          </w:p>
        </w:tc>
        <w:tc>
          <w:tcPr>
            <w:tcW w:w="1188" w:type="dxa"/>
            <w:tcBorders/>
            <w:shd w:fill="CCEEFF" w:val="clear"/>
            <w:vAlign w:val="center"/>
          </w:tcPr>
          <w:p>
            <w:pPr>
              <w:pStyle w:val="TableContents"/>
              <w:bidi w:val="0"/>
              <w:spacing w:before="0" w:after="283"/>
              <w:jc w:val="right"/>
              <w:rPr/>
            </w:pPr>
            <w:r>
              <w:rPr/>
              <w:t>6,000</w:t>
            </w:r>
          </w:p>
        </w:tc>
        <w:tc>
          <w:tcPr>
            <w:tcW w:w="101" w:type="dxa"/>
            <w:tcBorders/>
            <w:shd w:fill="CCEEFF" w:val="clear"/>
            <w:vAlign w:val="center"/>
          </w:tcPr>
          <w:p>
            <w:pPr>
              <w:pStyle w:val="TableContents"/>
              <w:bidi w:val="0"/>
              <w:spacing w:before="0" w:after="283"/>
              <w:ind w:left="0" w:right="0" w:hanging="180"/>
              <w:jc w:val="left"/>
              <w:rPr/>
            </w:pPr>
            <w:r>
              <w:rPr/>
              <w:t> </w:t>
            </w:r>
          </w:p>
        </w:tc>
      </w:tr>
      <w:tr>
        <w:trPr/>
        <w:tc>
          <w:tcPr>
            <w:tcW w:w="7100" w:type="dxa"/>
            <w:tcBorders/>
            <w:shd w:fill="FFFFFF" w:val="clear"/>
            <w:vAlign w:val="center"/>
          </w:tcPr>
          <w:p>
            <w:pPr>
              <w:pStyle w:val="TableContents"/>
              <w:bidi w:val="0"/>
              <w:spacing w:before="0" w:after="283"/>
              <w:jc w:val="left"/>
              <w:rPr/>
            </w:pPr>
            <w:r>
              <w:rPr/>
              <w:t>Proceeds from issuance of common stock</w:t>
            </w:r>
          </w:p>
        </w:tc>
        <w:tc>
          <w:tcPr>
            <w:tcW w:w="60" w:type="dxa"/>
            <w:tcBorders/>
            <w:shd w:fill="FFFFFF" w:val="clear"/>
            <w:vAlign w:val="center"/>
          </w:tcPr>
          <w:p>
            <w:pPr>
              <w:pStyle w:val="TableContents"/>
              <w:bidi w:val="0"/>
              <w:spacing w:before="0" w:after="283"/>
              <w:jc w:val="left"/>
              <w:rPr/>
            </w:pPr>
            <w:r>
              <w:rPr/>
              <w:t> </w:t>
            </w:r>
          </w:p>
        </w:tc>
        <w:tc>
          <w:tcPr>
            <w:tcW w:w="217" w:type="dxa"/>
            <w:tcBorders/>
            <w:shd w:fill="FFFFFF" w:val="clear"/>
            <w:vAlign w:val="center"/>
          </w:tcPr>
          <w:p>
            <w:pPr>
              <w:pStyle w:val="TableContents"/>
              <w:bidi w:val="0"/>
              <w:spacing w:before="0" w:after="283"/>
              <w:jc w:val="left"/>
              <w:rPr/>
            </w:pPr>
            <w:r>
              <w:rPr/>
              <w:t> </w:t>
            </w:r>
          </w:p>
        </w:tc>
        <w:tc>
          <w:tcPr>
            <w:tcW w:w="1178" w:type="dxa"/>
            <w:tcBorders/>
            <w:shd w:fill="FFFFFF" w:val="clear"/>
            <w:vAlign w:val="center"/>
          </w:tcPr>
          <w:p>
            <w:pPr>
              <w:pStyle w:val="TableContents"/>
              <w:bidi w:val="0"/>
              <w:spacing w:before="0" w:after="283"/>
              <w:jc w:val="right"/>
              <w:rPr/>
            </w:pPr>
            <w:r>
              <w:rPr/>
              <w:t>6,741</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6" w:type="dxa"/>
            <w:tcBorders/>
            <w:shd w:fill="FFFFFF" w:val="clear"/>
            <w:vAlign w:val="center"/>
          </w:tcPr>
          <w:p>
            <w:pPr>
              <w:pStyle w:val="TableContents"/>
              <w:bidi w:val="0"/>
              <w:spacing w:before="0" w:after="283"/>
              <w:jc w:val="left"/>
              <w:rPr/>
            </w:pPr>
            <w:r>
              <w:rPr/>
              <w:t> </w:t>
            </w:r>
          </w:p>
        </w:tc>
        <w:tc>
          <w:tcPr>
            <w:tcW w:w="1188" w:type="dxa"/>
            <w:tcBorders/>
            <w:shd w:fill="FFFFFF" w:val="clear"/>
            <w:vAlign w:val="center"/>
          </w:tcPr>
          <w:p>
            <w:pPr>
              <w:pStyle w:val="TableContents"/>
              <w:bidi w:val="0"/>
              <w:spacing w:before="0" w:after="283"/>
              <w:jc w:val="right"/>
              <w:rPr/>
            </w:pPr>
            <w:r>
              <w:rPr/>
              <w:t>6,694</w:t>
            </w:r>
          </w:p>
        </w:tc>
        <w:tc>
          <w:tcPr>
            <w:tcW w:w="101" w:type="dxa"/>
            <w:tcBorders/>
            <w:shd w:fill="FFFFFF" w:val="clear"/>
            <w:vAlign w:val="center"/>
          </w:tcPr>
          <w:p>
            <w:pPr>
              <w:pStyle w:val="TableContents"/>
              <w:bidi w:val="0"/>
              <w:spacing w:before="0" w:after="283"/>
              <w:ind w:left="0" w:right="0" w:hanging="180"/>
              <w:jc w:val="left"/>
              <w:rPr/>
            </w:pPr>
            <w:r>
              <w:rPr/>
              <w:t> </w:t>
            </w:r>
          </w:p>
        </w:tc>
      </w:tr>
      <w:tr>
        <w:trPr/>
        <w:tc>
          <w:tcPr>
            <w:tcW w:w="7100" w:type="dxa"/>
            <w:tcBorders/>
            <w:shd w:fill="CCEEFF" w:val="clear"/>
            <w:vAlign w:val="center"/>
          </w:tcPr>
          <w:p>
            <w:pPr>
              <w:pStyle w:val="TableContents"/>
              <w:bidi w:val="0"/>
              <w:spacing w:before="0" w:after="283"/>
              <w:jc w:val="left"/>
              <w:rPr/>
            </w:pPr>
            <w:r>
              <w:rPr/>
              <w:t>Proceeds from exercise of common stock options</w:t>
            </w:r>
          </w:p>
        </w:tc>
        <w:tc>
          <w:tcPr>
            <w:tcW w:w="60" w:type="dxa"/>
            <w:tcBorders/>
            <w:shd w:fill="CCEEFF" w:val="clear"/>
            <w:vAlign w:val="center"/>
          </w:tcPr>
          <w:p>
            <w:pPr>
              <w:pStyle w:val="TableContents"/>
              <w:bidi w:val="0"/>
              <w:spacing w:before="0" w:after="283"/>
              <w:jc w:val="left"/>
              <w:rPr/>
            </w:pPr>
            <w:r>
              <w:rPr/>
              <w:t> </w:t>
            </w:r>
          </w:p>
        </w:tc>
        <w:tc>
          <w:tcPr>
            <w:tcW w:w="217" w:type="dxa"/>
            <w:tcBorders/>
            <w:shd w:fill="CCEEFF" w:val="clear"/>
            <w:vAlign w:val="center"/>
          </w:tcPr>
          <w:p>
            <w:pPr>
              <w:pStyle w:val="TableContents"/>
              <w:bidi w:val="0"/>
              <w:spacing w:before="0" w:after="283"/>
              <w:jc w:val="left"/>
              <w:rPr/>
            </w:pPr>
            <w:r>
              <w:rPr/>
              <w:t> </w:t>
            </w:r>
          </w:p>
        </w:tc>
        <w:tc>
          <w:tcPr>
            <w:tcW w:w="1178" w:type="dxa"/>
            <w:tcBorders/>
            <w:shd w:fill="CCEEFF" w:val="clear"/>
            <w:vAlign w:val="center"/>
          </w:tcPr>
          <w:p>
            <w:pPr>
              <w:pStyle w:val="TableContents"/>
              <w:bidi w:val="0"/>
              <w:spacing w:before="0" w:after="283"/>
              <w:jc w:val="right"/>
              <w:rPr/>
            </w:pPr>
            <w:r>
              <w:rPr/>
              <w:t>480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6" w:type="dxa"/>
            <w:tcBorders/>
            <w:shd w:fill="CCEEFF" w:val="clear"/>
            <w:vAlign w:val="center"/>
          </w:tcPr>
          <w:p>
            <w:pPr>
              <w:pStyle w:val="TableContents"/>
              <w:bidi w:val="0"/>
              <w:spacing w:before="0" w:after="283"/>
              <w:jc w:val="left"/>
              <w:rPr/>
            </w:pPr>
            <w:r>
              <w:rPr/>
              <w:t> </w:t>
            </w:r>
          </w:p>
        </w:tc>
        <w:tc>
          <w:tcPr>
            <w:tcW w:w="1188" w:type="dxa"/>
            <w:tcBorders/>
            <w:shd w:fill="CCEEFF" w:val="clear"/>
            <w:vAlign w:val="center"/>
          </w:tcPr>
          <w:p>
            <w:pPr>
              <w:pStyle w:val="TableContents"/>
              <w:bidi w:val="0"/>
              <w:spacing w:before="0" w:after="283"/>
              <w:jc w:val="right"/>
              <w:rPr/>
            </w:pPr>
            <w:r>
              <w:rPr/>
              <w:t>532</w:t>
            </w:r>
          </w:p>
        </w:tc>
        <w:tc>
          <w:tcPr>
            <w:tcW w:w="101" w:type="dxa"/>
            <w:tcBorders/>
            <w:shd w:fill="CCEEFF" w:val="clear"/>
            <w:vAlign w:val="center"/>
          </w:tcPr>
          <w:p>
            <w:pPr>
              <w:pStyle w:val="TableContents"/>
              <w:bidi w:val="0"/>
              <w:spacing w:before="0" w:after="283"/>
              <w:ind w:left="0" w:right="0" w:hanging="180"/>
              <w:jc w:val="left"/>
              <w:rPr/>
            </w:pPr>
            <w:r>
              <w:rPr/>
              <w:t> </w:t>
            </w:r>
          </w:p>
        </w:tc>
      </w:tr>
      <w:tr>
        <w:trPr/>
        <w:tc>
          <w:tcPr>
            <w:tcW w:w="7100" w:type="dxa"/>
            <w:tcBorders/>
            <w:shd w:fill="FFFFFF" w:val="clear"/>
            <w:vAlign w:val="center"/>
          </w:tcPr>
          <w:p>
            <w:pPr>
              <w:pStyle w:val="TableContents"/>
              <w:bidi w:val="0"/>
              <w:spacing w:before="0" w:after="283"/>
              <w:jc w:val="left"/>
              <w:rPr/>
            </w:pPr>
            <w:r>
              <w:rPr/>
              <w:t>Proceeds from exercise of warrant for common stock</w:t>
            </w:r>
          </w:p>
        </w:tc>
        <w:tc>
          <w:tcPr>
            <w:tcW w:w="60" w:type="dxa"/>
            <w:tcBorders/>
            <w:shd w:fill="FFFFFF" w:val="clear"/>
            <w:vAlign w:val="center"/>
          </w:tcPr>
          <w:p>
            <w:pPr>
              <w:pStyle w:val="TableContents"/>
              <w:bidi w:val="0"/>
              <w:spacing w:before="0" w:after="283"/>
              <w:jc w:val="left"/>
              <w:rPr/>
            </w:pPr>
            <w:r>
              <w:rPr/>
              <w:t> </w:t>
            </w:r>
          </w:p>
        </w:tc>
        <w:tc>
          <w:tcPr>
            <w:tcW w:w="217" w:type="dxa"/>
            <w:tcBorders/>
            <w:shd w:fill="FFFFFF" w:val="clear"/>
            <w:vAlign w:val="center"/>
          </w:tcPr>
          <w:p>
            <w:pPr>
              <w:pStyle w:val="TableContents"/>
              <w:bidi w:val="0"/>
              <w:spacing w:before="0" w:after="283"/>
              <w:jc w:val="left"/>
              <w:rPr/>
            </w:pPr>
            <w:r>
              <w:rPr/>
              <w:t> </w:t>
            </w:r>
          </w:p>
        </w:tc>
        <w:tc>
          <w:tcPr>
            <w:tcW w:w="1178" w:type="dxa"/>
            <w:tcBorders/>
            <w:shd w:fill="FFFFFF" w:val="clear"/>
            <w:vAlign w:val="center"/>
          </w:tcPr>
          <w:p>
            <w:pPr>
              <w:pStyle w:val="TableContents"/>
              <w:bidi w:val="0"/>
              <w:spacing w:before="0" w:after="283"/>
              <w:jc w:val="right"/>
              <w:rPr/>
            </w:pPr>
            <w:r>
              <w:rPr/>
              <w:t>60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6" w:type="dxa"/>
            <w:tcBorders/>
            <w:shd w:fill="FFFFFF" w:val="clear"/>
            <w:vAlign w:val="center"/>
          </w:tcPr>
          <w:p>
            <w:pPr>
              <w:pStyle w:val="TableContents"/>
              <w:bidi w:val="0"/>
              <w:spacing w:before="0" w:after="283"/>
              <w:jc w:val="left"/>
              <w:rPr/>
            </w:pPr>
            <w:r>
              <w:rPr/>
              <w:t> </w:t>
            </w:r>
          </w:p>
        </w:tc>
        <w:tc>
          <w:tcPr>
            <w:tcW w:w="1188" w:type="dxa"/>
            <w:tcBorders/>
            <w:shd w:fill="FFFFFF" w:val="clear"/>
            <w:vAlign w:val="center"/>
          </w:tcPr>
          <w:p>
            <w:pPr>
              <w:pStyle w:val="TableContents"/>
              <w:bidi w:val="0"/>
              <w:spacing w:before="0" w:after="283"/>
              <w:jc w:val="right"/>
              <w:rPr/>
            </w:pPr>
            <w:r>
              <w:rPr/>
              <w:t>—</w:t>
            </w:r>
          </w:p>
        </w:tc>
        <w:tc>
          <w:tcPr>
            <w:tcW w:w="101" w:type="dxa"/>
            <w:tcBorders/>
            <w:shd w:fill="FFFFFF" w:val="clear"/>
            <w:vAlign w:val="center"/>
          </w:tcPr>
          <w:p>
            <w:pPr>
              <w:pStyle w:val="TableContents"/>
              <w:bidi w:val="0"/>
              <w:spacing w:before="0" w:after="283"/>
              <w:ind w:left="0" w:right="0" w:hanging="180"/>
              <w:jc w:val="left"/>
              <w:rPr/>
            </w:pPr>
            <w:r>
              <w:rPr/>
              <w:t> </w:t>
            </w:r>
          </w:p>
        </w:tc>
      </w:tr>
      <w:tr>
        <w:trPr/>
        <w:tc>
          <w:tcPr>
            <w:tcW w:w="7100" w:type="dxa"/>
            <w:tcBorders/>
            <w:shd w:fill="CCEEFF" w:val="clear"/>
            <w:vAlign w:val="center"/>
          </w:tcPr>
          <w:p>
            <w:pPr>
              <w:pStyle w:val="TableContents"/>
              <w:bidi w:val="0"/>
              <w:spacing w:before="0" w:after="283"/>
              <w:jc w:val="left"/>
              <w:rPr/>
            </w:pPr>
            <w:r>
              <w:rPr/>
              <w:t>Investor financing deposit – related party</w:t>
            </w:r>
          </w:p>
        </w:tc>
        <w:tc>
          <w:tcPr>
            <w:tcW w:w="60" w:type="dxa"/>
            <w:tcBorders/>
            <w:shd w:fill="CCEEFF" w:val="clear"/>
            <w:vAlign w:val="center"/>
          </w:tcPr>
          <w:p>
            <w:pPr>
              <w:pStyle w:val="TableContents"/>
              <w:bidi w:val="0"/>
              <w:spacing w:before="0" w:after="283"/>
              <w:jc w:val="left"/>
              <w:rPr/>
            </w:pPr>
            <w:r>
              <w:rPr/>
              <w:t> </w:t>
            </w:r>
          </w:p>
        </w:tc>
        <w:tc>
          <w:tcPr>
            <w:tcW w:w="217" w:type="dxa"/>
            <w:tcBorders/>
            <w:shd w:fill="CCEEFF" w:val="clear"/>
            <w:vAlign w:val="center"/>
          </w:tcPr>
          <w:p>
            <w:pPr>
              <w:pStyle w:val="TableContents"/>
              <w:bidi w:val="0"/>
              <w:spacing w:before="0" w:after="283"/>
              <w:jc w:val="left"/>
              <w:rPr/>
            </w:pPr>
            <w:r>
              <w:rPr/>
              <w:t> </w:t>
            </w:r>
          </w:p>
        </w:tc>
        <w:tc>
          <w:tcPr>
            <w:tcW w:w="1178" w:type="dxa"/>
            <w:tcBorders/>
            <w:shd w:fill="CCEEFF" w:val="clear"/>
            <w:vAlign w:val="center"/>
          </w:tcPr>
          <w:p>
            <w:pPr>
              <w:pStyle w:val="TableContents"/>
              <w:bidi w:val="0"/>
              <w:spacing w:before="0" w:after="283"/>
              <w:jc w:val="right"/>
              <w:rPr/>
            </w:pPr>
            <w:r>
              <w:rPr/>
              <w:t>2,000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6" w:type="dxa"/>
            <w:tcBorders/>
            <w:shd w:fill="CCEEFF" w:val="clear"/>
            <w:vAlign w:val="center"/>
          </w:tcPr>
          <w:p>
            <w:pPr>
              <w:pStyle w:val="TableContents"/>
              <w:bidi w:val="0"/>
              <w:spacing w:before="0" w:after="283"/>
              <w:jc w:val="left"/>
              <w:rPr/>
            </w:pPr>
            <w:r>
              <w:rPr/>
              <w:t> </w:t>
            </w:r>
          </w:p>
        </w:tc>
        <w:tc>
          <w:tcPr>
            <w:tcW w:w="1188" w:type="dxa"/>
            <w:tcBorders/>
            <w:shd w:fill="CCEEFF" w:val="clear"/>
            <w:vAlign w:val="center"/>
          </w:tcPr>
          <w:p>
            <w:pPr>
              <w:pStyle w:val="TableContents"/>
              <w:bidi w:val="0"/>
              <w:spacing w:before="0" w:after="283"/>
              <w:jc w:val="right"/>
              <w:rPr/>
            </w:pPr>
            <w:r>
              <w:rPr/>
              <w:t>—</w:t>
            </w:r>
          </w:p>
        </w:tc>
        <w:tc>
          <w:tcPr>
            <w:tcW w:w="101" w:type="dxa"/>
            <w:tcBorders/>
            <w:shd w:fill="CCEEFF" w:val="clear"/>
            <w:vAlign w:val="center"/>
          </w:tcPr>
          <w:p>
            <w:pPr>
              <w:pStyle w:val="TableContents"/>
              <w:bidi w:val="0"/>
              <w:spacing w:before="0" w:after="283"/>
              <w:ind w:left="0" w:right="0" w:hanging="180"/>
              <w:jc w:val="left"/>
              <w:rPr/>
            </w:pPr>
            <w:r>
              <w:rPr/>
              <w:t> </w:t>
            </w:r>
          </w:p>
        </w:tc>
      </w:tr>
      <w:tr>
        <w:trPr/>
        <w:tc>
          <w:tcPr>
            <w:tcW w:w="7100" w:type="dxa"/>
            <w:tcBorders/>
            <w:shd w:fill="FFFFFF" w:val="clear"/>
            <w:vAlign w:val="center"/>
          </w:tcPr>
          <w:p>
            <w:pPr>
              <w:pStyle w:val="TableContents"/>
              <w:bidi w:val="0"/>
              <w:spacing w:before="0" w:after="283"/>
              <w:jc w:val="left"/>
              <w:rPr/>
            </w:pPr>
            <w:r>
              <w:rPr/>
              <w:t>Taxes paid related to net share settlement of equity awards</w:t>
            </w:r>
          </w:p>
        </w:tc>
        <w:tc>
          <w:tcPr>
            <w:tcW w:w="60" w:type="dxa"/>
            <w:tcBorders/>
            <w:shd w:fill="FFFFFF" w:val="clear"/>
            <w:vAlign w:val="center"/>
          </w:tcPr>
          <w:p>
            <w:pPr>
              <w:pStyle w:val="TableContents"/>
              <w:bidi w:val="0"/>
              <w:spacing w:before="0" w:after="283"/>
              <w:jc w:val="left"/>
              <w:rPr/>
            </w:pPr>
            <w:r>
              <w:rPr/>
              <w:t> </w:t>
            </w:r>
          </w:p>
        </w:tc>
        <w:tc>
          <w:tcPr>
            <w:tcW w:w="217" w:type="dxa"/>
            <w:tcBorders/>
            <w:shd w:fill="FFFFFF" w:val="clear"/>
            <w:vAlign w:val="center"/>
          </w:tcPr>
          <w:p>
            <w:pPr>
              <w:pStyle w:val="TableContents"/>
              <w:bidi w:val="0"/>
              <w:spacing w:before="0" w:after="283"/>
              <w:jc w:val="left"/>
              <w:rPr/>
            </w:pPr>
            <w:r>
              <w:rPr/>
              <w:t> </w:t>
            </w:r>
          </w:p>
        </w:tc>
        <w:tc>
          <w:tcPr>
            <w:tcW w:w="1178" w:type="dxa"/>
            <w:tcBorders/>
            <w:shd w:fill="FFFFFF" w:val="clear"/>
            <w:vAlign w:val="center"/>
          </w:tcPr>
          <w:p>
            <w:pPr>
              <w:pStyle w:val="TableContents"/>
              <w:bidi w:val="0"/>
              <w:spacing w:before="0" w:after="283"/>
              <w:jc w:val="right"/>
              <w:rPr/>
            </w:pPr>
            <w:r>
              <w:rPr/>
              <w:t>(727</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206" w:type="dxa"/>
            <w:tcBorders/>
            <w:shd w:fill="FFFFFF" w:val="clear"/>
            <w:vAlign w:val="center"/>
          </w:tcPr>
          <w:p>
            <w:pPr>
              <w:pStyle w:val="TableContents"/>
              <w:bidi w:val="0"/>
              <w:spacing w:before="0" w:after="283"/>
              <w:jc w:val="left"/>
              <w:rPr/>
            </w:pPr>
            <w:r>
              <w:rPr/>
              <w:t> </w:t>
            </w:r>
          </w:p>
        </w:tc>
        <w:tc>
          <w:tcPr>
            <w:tcW w:w="1188" w:type="dxa"/>
            <w:tcBorders/>
            <w:shd w:fill="FFFFFF" w:val="clear"/>
            <w:vAlign w:val="center"/>
          </w:tcPr>
          <w:p>
            <w:pPr>
              <w:pStyle w:val="TableContents"/>
              <w:bidi w:val="0"/>
              <w:spacing w:before="0" w:after="283"/>
              <w:jc w:val="right"/>
              <w:rPr/>
            </w:pPr>
            <w:r>
              <w:rPr/>
              <w:t>—</w:t>
            </w:r>
          </w:p>
        </w:tc>
        <w:tc>
          <w:tcPr>
            <w:tcW w:w="101" w:type="dxa"/>
            <w:tcBorders/>
            <w:shd w:fill="FFFFFF" w:val="clear"/>
            <w:vAlign w:val="center"/>
          </w:tcPr>
          <w:p>
            <w:pPr>
              <w:pStyle w:val="TableContents"/>
              <w:bidi w:val="0"/>
              <w:spacing w:before="0" w:after="283"/>
              <w:ind w:left="0" w:right="0" w:hanging="180"/>
              <w:jc w:val="left"/>
              <w:rPr/>
            </w:pPr>
            <w:r>
              <w:rPr/>
              <w:t> </w:t>
            </w:r>
          </w:p>
        </w:tc>
      </w:tr>
      <w:tr>
        <w:trPr/>
        <w:tc>
          <w:tcPr>
            <w:tcW w:w="7100" w:type="dxa"/>
            <w:tcBorders/>
            <w:shd w:fill="CCEEFF" w:val="clear"/>
            <w:vAlign w:val="center"/>
          </w:tcPr>
          <w:p>
            <w:pPr>
              <w:pStyle w:val="TableContents"/>
              <w:bidi w:val="0"/>
              <w:spacing w:before="0" w:after="283"/>
              <w:jc w:val="left"/>
              <w:rPr/>
            </w:pPr>
            <w:r>
              <w:rPr/>
              <w:t>Principal repayment of notes payable</w:t>
            </w:r>
          </w:p>
        </w:tc>
        <w:tc>
          <w:tcPr>
            <w:tcW w:w="60" w:type="dxa"/>
            <w:tcBorders/>
            <w:shd w:fill="CCEEFF" w:val="clear"/>
            <w:vAlign w:val="center"/>
          </w:tcPr>
          <w:p>
            <w:pPr>
              <w:pStyle w:val="TableContents"/>
              <w:bidi w:val="0"/>
              <w:spacing w:before="0" w:after="283"/>
              <w:jc w:val="left"/>
              <w:rPr/>
            </w:pPr>
            <w:r>
              <w:rPr/>
              <w:t> </w:t>
            </w:r>
          </w:p>
        </w:tc>
        <w:tc>
          <w:tcPr>
            <w:tcW w:w="217" w:type="dxa"/>
            <w:tcBorders/>
            <w:shd w:fill="CCEEFF" w:val="clear"/>
            <w:vAlign w:val="center"/>
          </w:tcPr>
          <w:p>
            <w:pPr>
              <w:pStyle w:val="TableContents"/>
              <w:bidi w:val="0"/>
              <w:spacing w:before="0" w:after="283"/>
              <w:jc w:val="left"/>
              <w:rPr/>
            </w:pPr>
            <w:r>
              <w:rPr/>
              <w:t> </w:t>
            </w:r>
          </w:p>
        </w:tc>
        <w:tc>
          <w:tcPr>
            <w:tcW w:w="1178" w:type="dxa"/>
            <w:tcBorders/>
            <w:shd w:fill="CCEEFF" w:val="clear"/>
            <w:vAlign w:val="center"/>
          </w:tcPr>
          <w:p>
            <w:pPr>
              <w:pStyle w:val="TableContents"/>
              <w:bidi w:val="0"/>
              <w:spacing w:before="0" w:after="283"/>
              <w:jc w:val="right"/>
              <w:rPr/>
            </w:pPr>
            <w:r>
              <w:rPr/>
              <w:t>(2,157</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206" w:type="dxa"/>
            <w:tcBorders/>
            <w:shd w:fill="CCEEFF" w:val="clear"/>
            <w:vAlign w:val="center"/>
          </w:tcPr>
          <w:p>
            <w:pPr>
              <w:pStyle w:val="TableContents"/>
              <w:bidi w:val="0"/>
              <w:spacing w:before="0" w:after="283"/>
              <w:jc w:val="left"/>
              <w:rPr/>
            </w:pPr>
            <w:r>
              <w:rPr/>
              <w:t> </w:t>
            </w:r>
          </w:p>
        </w:tc>
        <w:tc>
          <w:tcPr>
            <w:tcW w:w="1188" w:type="dxa"/>
            <w:tcBorders/>
            <w:shd w:fill="CCEEFF" w:val="clear"/>
            <w:vAlign w:val="center"/>
          </w:tcPr>
          <w:p>
            <w:pPr>
              <w:pStyle w:val="TableContents"/>
              <w:bidi w:val="0"/>
              <w:spacing w:before="0" w:after="283"/>
              <w:jc w:val="right"/>
              <w:rPr/>
            </w:pPr>
            <w:r>
              <w:rPr/>
              <w:t>(300</w:t>
            </w:r>
          </w:p>
        </w:tc>
        <w:tc>
          <w:tcPr>
            <w:tcW w:w="101" w:type="dxa"/>
            <w:tcBorders/>
            <w:shd w:fill="CCEEFF" w:val="clear"/>
            <w:vAlign w:val="center"/>
          </w:tcPr>
          <w:p>
            <w:pPr>
              <w:pStyle w:val="TableContents"/>
              <w:bidi w:val="0"/>
              <w:spacing w:before="0" w:after="283"/>
              <w:ind w:left="0" w:right="0" w:hanging="180"/>
              <w:jc w:val="left"/>
              <w:rPr/>
            </w:pPr>
            <w:r>
              <w:rPr/>
              <w:t>)</w:t>
            </w:r>
          </w:p>
        </w:tc>
      </w:tr>
      <w:tr>
        <w:trPr/>
        <w:tc>
          <w:tcPr>
            <w:tcW w:w="7100" w:type="dxa"/>
            <w:tcBorders/>
            <w:shd w:fill="FFFFFF" w:val="clear"/>
            <w:vAlign w:val="center"/>
          </w:tcPr>
          <w:p>
            <w:pPr>
              <w:pStyle w:val="TableContents"/>
              <w:bidi w:val="0"/>
              <w:spacing w:before="0" w:after="283"/>
              <w:jc w:val="left"/>
              <w:rPr/>
            </w:pPr>
            <w:r>
              <w:rPr/>
              <w:t>Financing lease payments</w:t>
            </w:r>
          </w:p>
        </w:tc>
        <w:tc>
          <w:tcPr>
            <w:tcW w:w="60" w:type="dxa"/>
            <w:tcBorders/>
            <w:shd w:fill="FFFFFF" w:val="clear"/>
            <w:vAlign w:val="center"/>
          </w:tcPr>
          <w:p>
            <w:pPr>
              <w:pStyle w:val="TableContents"/>
              <w:bidi w:val="0"/>
              <w:spacing w:before="0" w:after="283"/>
              <w:jc w:val="left"/>
              <w:rPr/>
            </w:pPr>
            <w:r>
              <w:rPr/>
              <w:t> </w:t>
            </w:r>
          </w:p>
        </w:tc>
        <w:tc>
          <w:tcPr>
            <w:tcW w:w="217"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78" w:type="dxa"/>
            <w:tcBorders>
              <w:bottom w:val="single" w:sz="12" w:space="0" w:color="000000"/>
            </w:tcBorders>
            <w:shd w:fill="FFFFFF" w:val="clear"/>
            <w:tcMar>
              <w:bottom w:w="28" w:type="dxa"/>
            </w:tcMar>
            <w:vAlign w:val="center"/>
          </w:tcPr>
          <w:p>
            <w:pPr>
              <w:pStyle w:val="TableContents"/>
              <w:bidi w:val="0"/>
              <w:spacing w:before="0" w:after="283"/>
              <w:jc w:val="right"/>
              <w:rPr/>
            </w:pPr>
            <w:r>
              <w:rPr/>
              <w:t>(2,292</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206"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88" w:type="dxa"/>
            <w:tcBorders>
              <w:bottom w:val="single" w:sz="12" w:space="0" w:color="000000"/>
            </w:tcBorders>
            <w:shd w:fill="FFFFFF" w:val="clear"/>
            <w:tcMar>
              <w:bottom w:w="28" w:type="dxa"/>
            </w:tcMar>
            <w:vAlign w:val="center"/>
          </w:tcPr>
          <w:p>
            <w:pPr>
              <w:pStyle w:val="TableContents"/>
              <w:bidi w:val="0"/>
              <w:spacing w:before="0" w:after="283"/>
              <w:jc w:val="right"/>
              <w:rPr/>
            </w:pPr>
            <w:r>
              <w:rPr/>
              <w:t>(551</w:t>
            </w:r>
          </w:p>
        </w:tc>
        <w:tc>
          <w:tcPr>
            <w:tcW w:w="101" w:type="dxa"/>
            <w:tcBorders/>
            <w:shd w:fill="FFFFFF" w:val="clear"/>
            <w:vAlign w:val="center"/>
          </w:tcPr>
          <w:p>
            <w:pPr>
              <w:pStyle w:val="TableContents"/>
              <w:bidi w:val="0"/>
              <w:spacing w:before="0" w:after="283"/>
              <w:ind w:left="0" w:right="0" w:hanging="180"/>
              <w:jc w:val="left"/>
              <w:rPr/>
            </w:pPr>
            <w:r>
              <w:rPr/>
              <w:t>)</w:t>
            </w:r>
          </w:p>
        </w:tc>
      </w:tr>
      <w:tr>
        <w:trPr/>
        <w:tc>
          <w:tcPr>
            <w:tcW w:w="7100" w:type="dxa"/>
            <w:tcBorders/>
            <w:shd w:fill="CCEEFF" w:val="clear"/>
            <w:vAlign w:val="center"/>
          </w:tcPr>
          <w:p>
            <w:pPr>
              <w:pStyle w:val="TableContents"/>
              <w:bidi w:val="0"/>
              <w:spacing w:before="0" w:after="283"/>
              <w:jc w:val="left"/>
              <w:rPr/>
            </w:pPr>
            <w:r>
              <w:rPr/>
              <w:t>Net cash provided by financing activities from continuing operations</w:t>
            </w:r>
          </w:p>
        </w:tc>
        <w:tc>
          <w:tcPr>
            <w:tcW w:w="60" w:type="dxa"/>
            <w:tcBorders/>
            <w:shd w:fill="CCEEFF" w:val="clear"/>
            <w:vAlign w:val="center"/>
          </w:tcPr>
          <w:p>
            <w:pPr>
              <w:pStyle w:val="TableContents"/>
              <w:bidi w:val="0"/>
              <w:spacing w:before="0" w:after="283"/>
              <w:jc w:val="left"/>
              <w:rPr/>
            </w:pPr>
            <w:r>
              <w:rPr/>
              <w:t> </w:t>
            </w:r>
          </w:p>
        </w:tc>
        <w:tc>
          <w:tcPr>
            <w:tcW w:w="217"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78" w:type="dxa"/>
            <w:tcBorders>
              <w:bottom w:val="single" w:sz="12" w:space="0" w:color="000000"/>
            </w:tcBorders>
            <w:shd w:fill="CCEEFF" w:val="clear"/>
            <w:tcMar>
              <w:bottom w:w="28" w:type="dxa"/>
            </w:tcMar>
            <w:vAlign w:val="center"/>
          </w:tcPr>
          <w:p>
            <w:pPr>
              <w:pStyle w:val="TableContents"/>
              <w:bidi w:val="0"/>
              <w:spacing w:before="0" w:after="283"/>
              <w:jc w:val="right"/>
              <w:rPr/>
            </w:pPr>
            <w:r>
              <w:rPr/>
              <w:t>30,905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6"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88" w:type="dxa"/>
            <w:tcBorders>
              <w:bottom w:val="single" w:sz="12" w:space="0" w:color="000000"/>
            </w:tcBorders>
            <w:shd w:fill="CCEEFF" w:val="clear"/>
            <w:tcMar>
              <w:bottom w:w="28" w:type="dxa"/>
            </w:tcMar>
            <w:vAlign w:val="center"/>
          </w:tcPr>
          <w:p>
            <w:pPr>
              <w:pStyle w:val="TableContents"/>
              <w:bidi w:val="0"/>
              <w:spacing w:before="0" w:after="283"/>
              <w:jc w:val="right"/>
              <w:rPr/>
            </w:pPr>
            <w:r>
              <w:rPr/>
              <w:t>120,100</w:t>
            </w:r>
          </w:p>
        </w:tc>
        <w:tc>
          <w:tcPr>
            <w:tcW w:w="101" w:type="dxa"/>
            <w:tcBorders/>
            <w:shd w:fill="CCEEFF" w:val="clear"/>
            <w:vAlign w:val="center"/>
          </w:tcPr>
          <w:p>
            <w:pPr>
              <w:pStyle w:val="TableContents"/>
              <w:bidi w:val="0"/>
              <w:spacing w:before="0" w:after="283"/>
              <w:ind w:left="0" w:right="0" w:hanging="180"/>
              <w:jc w:val="left"/>
              <w:rPr/>
            </w:pPr>
            <w:r>
              <w:rPr/>
              <w:t> </w:t>
            </w:r>
          </w:p>
        </w:tc>
      </w:tr>
      <w:tr>
        <w:trPr/>
        <w:tc>
          <w:tcPr>
            <w:tcW w:w="7100" w:type="dxa"/>
            <w:tcBorders/>
            <w:shd w:fill="FFFFFF" w:val="clear"/>
            <w:vAlign w:val="center"/>
          </w:tcPr>
          <w:p>
            <w:pPr>
              <w:pStyle w:val="TableContents"/>
              <w:bidi w:val="0"/>
              <w:spacing w:before="0" w:after="283"/>
              <w:jc w:val="left"/>
              <w:rPr/>
            </w:pPr>
            <w:r>
              <w:rPr/>
              <w:t>Effect of exchange rate changes on cash</w:t>
            </w:r>
          </w:p>
        </w:tc>
        <w:tc>
          <w:tcPr>
            <w:tcW w:w="60" w:type="dxa"/>
            <w:tcBorders/>
            <w:shd w:fill="FFFFFF" w:val="clear"/>
            <w:vAlign w:val="center"/>
          </w:tcPr>
          <w:p>
            <w:pPr>
              <w:pStyle w:val="TableContents"/>
              <w:bidi w:val="0"/>
              <w:spacing w:before="0" w:after="283"/>
              <w:jc w:val="left"/>
              <w:rPr/>
            </w:pPr>
            <w:r>
              <w:rPr/>
              <w:t> </w:t>
            </w:r>
          </w:p>
        </w:tc>
        <w:tc>
          <w:tcPr>
            <w:tcW w:w="217"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78"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6"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88" w:type="dxa"/>
            <w:tcBorders>
              <w:bottom w:val="single" w:sz="12" w:space="0" w:color="000000"/>
            </w:tcBorders>
            <w:shd w:fill="FFFFFF" w:val="clear"/>
            <w:tcMar>
              <w:bottom w:w="28" w:type="dxa"/>
            </w:tcMar>
            <w:vAlign w:val="center"/>
          </w:tcPr>
          <w:p>
            <w:pPr>
              <w:pStyle w:val="TableContents"/>
              <w:bidi w:val="0"/>
              <w:spacing w:before="0" w:after="283"/>
              <w:jc w:val="right"/>
              <w:rPr/>
            </w:pPr>
            <w:r>
              <w:rPr/>
              <w:t>22</w:t>
            </w:r>
          </w:p>
        </w:tc>
        <w:tc>
          <w:tcPr>
            <w:tcW w:w="101" w:type="dxa"/>
            <w:tcBorders/>
            <w:shd w:fill="FFFFFF" w:val="clear"/>
            <w:vAlign w:val="center"/>
          </w:tcPr>
          <w:p>
            <w:pPr>
              <w:pStyle w:val="TableContents"/>
              <w:bidi w:val="0"/>
              <w:spacing w:before="0" w:after="283"/>
              <w:ind w:left="0" w:right="0" w:hanging="180"/>
              <w:jc w:val="left"/>
              <w:rPr/>
            </w:pPr>
            <w:r>
              <w:rPr/>
              <w:t> </w:t>
            </w:r>
          </w:p>
        </w:tc>
      </w:tr>
      <w:tr>
        <w:trPr/>
        <w:tc>
          <w:tcPr>
            <w:tcW w:w="7100" w:type="dxa"/>
            <w:tcBorders/>
            <w:shd w:fill="CCEEFF" w:val="clear"/>
            <w:vAlign w:val="center"/>
          </w:tcPr>
          <w:p>
            <w:pPr>
              <w:pStyle w:val="TableContents"/>
              <w:bidi w:val="0"/>
              <w:spacing w:before="0" w:after="283"/>
              <w:jc w:val="left"/>
              <w:rPr/>
            </w:pPr>
            <w:r>
              <w:rPr/>
              <w:t>Net increase (decrease) in cash, cash equivalents and restricted cash</w:t>
            </w:r>
          </w:p>
        </w:tc>
        <w:tc>
          <w:tcPr>
            <w:tcW w:w="60" w:type="dxa"/>
            <w:tcBorders/>
            <w:shd w:fill="CCEEFF" w:val="clear"/>
            <w:vAlign w:val="center"/>
          </w:tcPr>
          <w:p>
            <w:pPr>
              <w:pStyle w:val="TableContents"/>
              <w:bidi w:val="0"/>
              <w:spacing w:before="0" w:after="283"/>
              <w:jc w:val="left"/>
              <w:rPr/>
            </w:pPr>
            <w:r>
              <w:rPr/>
              <w:t> </w:t>
            </w:r>
          </w:p>
        </w:tc>
        <w:tc>
          <w:tcPr>
            <w:tcW w:w="217"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78" w:type="dxa"/>
            <w:tcBorders>
              <w:bottom w:val="single" w:sz="12" w:space="0" w:color="000000"/>
            </w:tcBorders>
            <w:shd w:fill="CCEEFF" w:val="clear"/>
            <w:tcMar>
              <w:bottom w:w="28" w:type="dxa"/>
            </w:tcMar>
            <w:vAlign w:val="center"/>
          </w:tcPr>
          <w:p>
            <w:pPr>
              <w:pStyle w:val="TableContents"/>
              <w:bidi w:val="0"/>
              <w:spacing w:before="0" w:after="283"/>
              <w:jc w:val="right"/>
              <w:rPr/>
            </w:pPr>
            <w:r>
              <w:rPr/>
              <w:t>(3,761</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206"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88" w:type="dxa"/>
            <w:tcBorders>
              <w:bottom w:val="single" w:sz="12" w:space="0" w:color="000000"/>
            </w:tcBorders>
            <w:shd w:fill="CCEEFF" w:val="clear"/>
            <w:tcMar>
              <w:bottom w:w="28" w:type="dxa"/>
            </w:tcMar>
            <w:vAlign w:val="center"/>
          </w:tcPr>
          <w:p>
            <w:pPr>
              <w:pStyle w:val="TableContents"/>
              <w:bidi w:val="0"/>
              <w:spacing w:before="0" w:after="283"/>
              <w:jc w:val="right"/>
              <w:rPr/>
            </w:pPr>
            <w:r>
              <w:rPr/>
              <w:t>10,803</w:t>
            </w:r>
          </w:p>
        </w:tc>
        <w:tc>
          <w:tcPr>
            <w:tcW w:w="101" w:type="dxa"/>
            <w:tcBorders/>
            <w:shd w:fill="CCEEFF" w:val="clear"/>
            <w:vAlign w:val="center"/>
          </w:tcPr>
          <w:p>
            <w:pPr>
              <w:pStyle w:val="TableContents"/>
              <w:bidi w:val="0"/>
              <w:spacing w:before="0" w:after="283"/>
              <w:ind w:left="0" w:right="0" w:hanging="180"/>
              <w:jc w:val="left"/>
              <w:rPr/>
            </w:pPr>
            <w:r>
              <w:rPr/>
              <w:t> </w:t>
            </w:r>
          </w:p>
        </w:tc>
      </w:tr>
      <w:tr>
        <w:trPr/>
        <w:tc>
          <w:tcPr>
            <w:tcW w:w="7100" w:type="dxa"/>
            <w:tcBorders/>
            <w:shd w:fill="FFFFFF" w:val="clear"/>
            <w:vAlign w:val="center"/>
          </w:tcPr>
          <w:p>
            <w:pPr>
              <w:pStyle w:val="TableContents"/>
              <w:bidi w:val="0"/>
              <w:spacing w:before="0" w:after="283"/>
              <w:jc w:val="left"/>
              <w:rPr/>
            </w:pPr>
            <w:r>
              <w:rPr/>
              <w:t>Cash, cash equivalents, and restricted cash at beginning of period</w:t>
            </w:r>
          </w:p>
        </w:tc>
        <w:tc>
          <w:tcPr>
            <w:tcW w:w="60" w:type="dxa"/>
            <w:tcBorders/>
            <w:shd w:fill="FFFFFF" w:val="clear"/>
            <w:vAlign w:val="center"/>
          </w:tcPr>
          <w:p>
            <w:pPr>
              <w:pStyle w:val="TableContents"/>
              <w:bidi w:val="0"/>
              <w:spacing w:before="0" w:after="283"/>
              <w:jc w:val="left"/>
              <w:rPr/>
            </w:pPr>
            <w:r>
              <w:rPr/>
              <w:t> </w:t>
            </w:r>
          </w:p>
        </w:tc>
        <w:tc>
          <w:tcPr>
            <w:tcW w:w="217"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78" w:type="dxa"/>
            <w:tcBorders>
              <w:bottom w:val="single" w:sz="12" w:space="0" w:color="000000"/>
            </w:tcBorders>
            <w:shd w:fill="FFFFFF" w:val="clear"/>
            <w:tcMar>
              <w:bottom w:w="28" w:type="dxa"/>
            </w:tcMar>
            <w:vAlign w:val="center"/>
          </w:tcPr>
          <w:p>
            <w:pPr>
              <w:pStyle w:val="TableContents"/>
              <w:bidi w:val="0"/>
              <w:spacing w:before="0" w:after="283"/>
              <w:jc w:val="right"/>
              <w:rPr/>
            </w:pPr>
            <w:r>
              <w:rPr/>
              <w:t>17,219</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6"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88" w:type="dxa"/>
            <w:tcBorders>
              <w:bottom w:val="single" w:sz="12" w:space="0" w:color="000000"/>
            </w:tcBorders>
            <w:shd w:fill="FFFFFF" w:val="clear"/>
            <w:tcMar>
              <w:bottom w:w="28" w:type="dxa"/>
            </w:tcMar>
            <w:vAlign w:val="center"/>
          </w:tcPr>
          <w:p>
            <w:pPr>
              <w:pStyle w:val="TableContents"/>
              <w:bidi w:val="0"/>
              <w:spacing w:before="0" w:after="283"/>
              <w:jc w:val="right"/>
              <w:rPr/>
            </w:pPr>
            <w:r>
              <w:rPr/>
              <w:t>6,416</w:t>
            </w:r>
          </w:p>
        </w:tc>
        <w:tc>
          <w:tcPr>
            <w:tcW w:w="101" w:type="dxa"/>
            <w:tcBorders/>
            <w:shd w:fill="FFFFFF" w:val="clear"/>
            <w:vAlign w:val="center"/>
          </w:tcPr>
          <w:p>
            <w:pPr>
              <w:pStyle w:val="TableContents"/>
              <w:bidi w:val="0"/>
              <w:spacing w:before="0" w:after="283"/>
              <w:ind w:left="0" w:right="0" w:hanging="180"/>
              <w:jc w:val="left"/>
              <w:rPr/>
            </w:pPr>
            <w:r>
              <w:rPr/>
              <w:t> </w:t>
            </w:r>
          </w:p>
        </w:tc>
      </w:tr>
      <w:tr>
        <w:trPr/>
        <w:tc>
          <w:tcPr>
            <w:tcW w:w="7100" w:type="dxa"/>
            <w:tcBorders/>
            <w:shd w:fill="CCEEFF" w:val="clear"/>
            <w:vAlign w:val="center"/>
          </w:tcPr>
          <w:p>
            <w:pPr>
              <w:pStyle w:val="TableContents"/>
              <w:bidi w:val="0"/>
              <w:spacing w:before="0" w:after="283"/>
              <w:jc w:val="left"/>
              <w:rPr/>
            </w:pPr>
            <w:r>
              <w:rPr/>
              <w:t>Cash, cash equivalents, and restricted cash at end of period</w:t>
            </w:r>
          </w:p>
        </w:tc>
        <w:tc>
          <w:tcPr>
            <w:tcW w:w="60" w:type="dxa"/>
            <w:tcBorders/>
            <w:shd w:fill="CCEEFF" w:val="clear"/>
            <w:vAlign w:val="center"/>
          </w:tcPr>
          <w:p>
            <w:pPr>
              <w:pStyle w:val="TableContents"/>
              <w:bidi w:val="0"/>
              <w:spacing w:before="0" w:after="283"/>
              <w:jc w:val="left"/>
              <w:rPr/>
            </w:pPr>
            <w:r>
              <w:rPr/>
              <w:t> </w:t>
            </w:r>
          </w:p>
        </w:tc>
        <w:tc>
          <w:tcPr>
            <w:tcW w:w="217"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178" w:type="dxa"/>
            <w:tcBorders>
              <w:bottom w:val="double" w:sz="10" w:space="0" w:color="000000"/>
            </w:tcBorders>
            <w:shd w:fill="CCEEFF" w:val="clear"/>
            <w:tcMar>
              <w:bottom w:w="28" w:type="dxa"/>
            </w:tcMar>
            <w:vAlign w:val="center"/>
          </w:tcPr>
          <w:p>
            <w:pPr>
              <w:pStyle w:val="TableContents"/>
              <w:bidi w:val="0"/>
              <w:spacing w:before="0" w:after="283"/>
              <w:jc w:val="right"/>
              <w:rPr/>
            </w:pPr>
            <w:r>
              <w:rPr/>
              <w:t>13,458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6"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188" w:type="dxa"/>
            <w:tcBorders>
              <w:bottom w:val="double" w:sz="10" w:space="0" w:color="000000"/>
            </w:tcBorders>
            <w:shd w:fill="CCEEFF" w:val="clear"/>
            <w:tcMar>
              <w:bottom w:w="28" w:type="dxa"/>
            </w:tcMar>
            <w:vAlign w:val="center"/>
          </w:tcPr>
          <w:p>
            <w:pPr>
              <w:pStyle w:val="TableContents"/>
              <w:bidi w:val="0"/>
              <w:spacing w:before="0" w:after="283"/>
              <w:jc w:val="right"/>
              <w:rPr/>
            </w:pPr>
            <w:r>
              <w:rPr/>
              <w:t>17,219</w:t>
            </w:r>
          </w:p>
        </w:tc>
        <w:tc>
          <w:tcPr>
            <w:tcW w:w="101" w:type="dxa"/>
            <w:tcBorders/>
            <w:shd w:fill="CCEEFF" w:val="clear"/>
            <w:vAlign w:val="center"/>
          </w:tcPr>
          <w:p>
            <w:pPr>
              <w:pStyle w:val="TableContents"/>
              <w:bidi w:val="0"/>
              <w:spacing w:before="0" w:after="283"/>
              <w:ind w:left="0" w:right="0" w:hanging="180"/>
              <w:jc w:val="left"/>
              <w:rPr/>
            </w:pPr>
            <w:r>
              <w:rPr/>
              <w:t> </w:t>
            </w:r>
          </w:p>
        </w:tc>
      </w:tr>
      <w:tr>
        <w:trPr/>
        <w:tc>
          <w:tcPr>
            <w:tcW w:w="710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7" w:type="dxa"/>
            <w:tcBorders/>
            <w:shd w:fill="FFFFFF" w:val="clear"/>
            <w:vAlign w:val="center"/>
          </w:tcPr>
          <w:p>
            <w:pPr>
              <w:pStyle w:val="TableContents"/>
              <w:bidi w:val="0"/>
              <w:spacing w:before="0" w:after="283"/>
              <w:jc w:val="left"/>
              <w:rPr/>
            </w:pPr>
            <w:r>
              <w:rPr/>
              <w:t> </w:t>
            </w:r>
          </w:p>
        </w:tc>
        <w:tc>
          <w:tcPr>
            <w:tcW w:w="1178"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6" w:type="dxa"/>
            <w:tcBorders/>
            <w:shd w:fill="FFFFFF" w:val="clear"/>
            <w:vAlign w:val="center"/>
          </w:tcPr>
          <w:p>
            <w:pPr>
              <w:pStyle w:val="TableContents"/>
              <w:bidi w:val="0"/>
              <w:spacing w:before="0" w:after="283"/>
              <w:jc w:val="left"/>
              <w:rPr/>
            </w:pPr>
            <w:r>
              <w:rPr/>
              <w:t> </w:t>
            </w:r>
          </w:p>
        </w:tc>
        <w:tc>
          <w:tcPr>
            <w:tcW w:w="1188" w:type="dxa"/>
            <w:tcBorders/>
            <w:shd w:fill="FFFFFF" w:val="clear"/>
            <w:vAlign w:val="center"/>
          </w:tcPr>
          <w:p>
            <w:pPr>
              <w:pStyle w:val="TableContents"/>
              <w:bidi w:val="0"/>
              <w:spacing w:before="0" w:after="283"/>
              <w:jc w:val="right"/>
              <w:rPr/>
            </w:pPr>
            <w:r>
              <w:rPr/>
              <w:t> </w:t>
            </w:r>
          </w:p>
        </w:tc>
        <w:tc>
          <w:tcPr>
            <w:tcW w:w="101" w:type="dxa"/>
            <w:tcBorders/>
            <w:shd w:fill="FFFFFF" w:val="clear"/>
            <w:vAlign w:val="center"/>
          </w:tcPr>
          <w:p>
            <w:pPr>
              <w:pStyle w:val="TableContents"/>
              <w:bidi w:val="0"/>
              <w:spacing w:before="0" w:after="283"/>
              <w:ind w:left="0" w:right="0" w:hanging="180"/>
              <w:jc w:val="left"/>
              <w:rPr/>
            </w:pPr>
            <w:r>
              <w:rPr/>
              <w:t> </w:t>
            </w:r>
          </w:p>
        </w:tc>
      </w:tr>
      <w:tr>
        <w:trPr/>
        <w:tc>
          <w:tcPr>
            <w:tcW w:w="7100" w:type="dxa"/>
            <w:tcBorders/>
            <w:shd w:fill="CCEEFF" w:val="clear"/>
            <w:vAlign w:val="center"/>
          </w:tcPr>
          <w:p>
            <w:pPr>
              <w:pStyle w:val="TableContents"/>
              <w:bidi w:val="0"/>
              <w:spacing w:before="0" w:after="283"/>
              <w:jc w:val="left"/>
              <w:rPr>
                <w:b/>
              </w:rPr>
            </w:pPr>
            <w:r>
              <w:rPr>
                <w:b/>
              </w:rPr>
              <w:t>Supplemental disclosures of cash flow information:</w:t>
            </w:r>
          </w:p>
        </w:tc>
        <w:tc>
          <w:tcPr>
            <w:tcW w:w="60" w:type="dxa"/>
            <w:tcBorders/>
            <w:shd w:fill="CCEEFF" w:val="clear"/>
            <w:vAlign w:val="center"/>
          </w:tcPr>
          <w:p>
            <w:pPr>
              <w:pStyle w:val="TableContents"/>
              <w:bidi w:val="0"/>
              <w:spacing w:before="0" w:after="283"/>
              <w:jc w:val="left"/>
              <w:rPr/>
            </w:pPr>
            <w:r>
              <w:rPr/>
              <w:t> </w:t>
            </w:r>
          </w:p>
        </w:tc>
        <w:tc>
          <w:tcPr>
            <w:tcW w:w="217" w:type="dxa"/>
            <w:tcBorders/>
            <w:shd w:fill="CCEEFF" w:val="clear"/>
            <w:vAlign w:val="center"/>
          </w:tcPr>
          <w:p>
            <w:pPr>
              <w:pStyle w:val="TableContents"/>
              <w:bidi w:val="0"/>
              <w:spacing w:before="0" w:after="283"/>
              <w:jc w:val="left"/>
              <w:rPr/>
            </w:pPr>
            <w:r>
              <w:rPr/>
              <w:t> </w:t>
            </w:r>
          </w:p>
        </w:tc>
        <w:tc>
          <w:tcPr>
            <w:tcW w:w="1178"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6" w:type="dxa"/>
            <w:tcBorders/>
            <w:shd w:fill="CCEEFF" w:val="clear"/>
            <w:vAlign w:val="center"/>
          </w:tcPr>
          <w:p>
            <w:pPr>
              <w:pStyle w:val="TableContents"/>
              <w:bidi w:val="0"/>
              <w:spacing w:before="0" w:after="283"/>
              <w:jc w:val="left"/>
              <w:rPr/>
            </w:pPr>
            <w:r>
              <w:rPr/>
              <w:t> </w:t>
            </w:r>
          </w:p>
        </w:tc>
        <w:tc>
          <w:tcPr>
            <w:tcW w:w="1188" w:type="dxa"/>
            <w:tcBorders/>
            <w:shd w:fill="CCEEFF" w:val="clear"/>
            <w:vAlign w:val="center"/>
          </w:tcPr>
          <w:p>
            <w:pPr>
              <w:pStyle w:val="TableContents"/>
              <w:bidi w:val="0"/>
              <w:spacing w:before="0" w:after="283"/>
              <w:jc w:val="right"/>
              <w:rPr/>
            </w:pPr>
            <w:r>
              <w:rPr/>
              <w:t> </w:t>
            </w:r>
          </w:p>
        </w:tc>
        <w:tc>
          <w:tcPr>
            <w:tcW w:w="101" w:type="dxa"/>
            <w:tcBorders/>
            <w:shd w:fill="CCEEFF" w:val="clear"/>
            <w:vAlign w:val="center"/>
          </w:tcPr>
          <w:p>
            <w:pPr>
              <w:pStyle w:val="TableContents"/>
              <w:bidi w:val="0"/>
              <w:spacing w:before="0" w:after="283"/>
              <w:ind w:left="0" w:right="0" w:hanging="180"/>
              <w:jc w:val="left"/>
              <w:rPr/>
            </w:pPr>
            <w:r>
              <w:rPr/>
              <w:t> </w:t>
            </w:r>
          </w:p>
        </w:tc>
      </w:tr>
      <w:tr>
        <w:trPr/>
        <w:tc>
          <w:tcPr>
            <w:tcW w:w="7100" w:type="dxa"/>
            <w:tcBorders/>
            <w:shd w:fill="FFFFFF" w:val="clear"/>
            <w:vAlign w:val="center"/>
          </w:tcPr>
          <w:p>
            <w:pPr>
              <w:pStyle w:val="TableContents"/>
              <w:bidi w:val="0"/>
              <w:spacing w:before="0" w:after="283"/>
              <w:jc w:val="left"/>
              <w:rPr/>
            </w:pPr>
            <w:r>
              <w:rPr/>
              <w:t>Cash paid during the year for interest</w:t>
            </w:r>
          </w:p>
        </w:tc>
        <w:tc>
          <w:tcPr>
            <w:tcW w:w="60" w:type="dxa"/>
            <w:tcBorders/>
            <w:shd w:fill="FFFFFF" w:val="clear"/>
            <w:vAlign w:val="center"/>
          </w:tcPr>
          <w:p>
            <w:pPr>
              <w:pStyle w:val="TableContents"/>
              <w:bidi w:val="0"/>
              <w:spacing w:before="0" w:after="283"/>
              <w:jc w:val="left"/>
              <w:rPr/>
            </w:pPr>
            <w:r>
              <w:rPr/>
              <w:t> </w:t>
            </w:r>
          </w:p>
        </w:tc>
        <w:tc>
          <w:tcPr>
            <w:tcW w:w="217" w:type="dxa"/>
            <w:tcBorders/>
            <w:shd w:fill="FFFFFF" w:val="clear"/>
            <w:vAlign w:val="center"/>
          </w:tcPr>
          <w:p>
            <w:pPr>
              <w:pStyle w:val="TableContents"/>
              <w:bidi w:val="0"/>
              <w:spacing w:before="0" w:after="283"/>
              <w:jc w:val="left"/>
              <w:rPr/>
            </w:pPr>
            <w:r>
              <w:rPr/>
              <w:t>$</w:t>
            </w:r>
          </w:p>
        </w:tc>
        <w:tc>
          <w:tcPr>
            <w:tcW w:w="1178" w:type="dxa"/>
            <w:tcBorders/>
            <w:shd w:fill="FFFFFF" w:val="clear"/>
            <w:vAlign w:val="center"/>
          </w:tcPr>
          <w:p>
            <w:pPr>
              <w:pStyle w:val="TableContents"/>
              <w:bidi w:val="0"/>
              <w:spacing w:before="0" w:after="283"/>
              <w:jc w:val="right"/>
              <w:rPr/>
            </w:pPr>
            <w:r>
              <w:rPr/>
              <w:t>7,733</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6" w:type="dxa"/>
            <w:tcBorders/>
            <w:shd w:fill="FFFFFF" w:val="clear"/>
            <w:vAlign w:val="center"/>
          </w:tcPr>
          <w:p>
            <w:pPr>
              <w:pStyle w:val="TableContents"/>
              <w:bidi w:val="0"/>
              <w:spacing w:before="0" w:after="283"/>
              <w:jc w:val="left"/>
              <w:rPr/>
            </w:pPr>
            <w:r>
              <w:rPr/>
              <w:t>$</w:t>
            </w:r>
          </w:p>
        </w:tc>
        <w:tc>
          <w:tcPr>
            <w:tcW w:w="1188" w:type="dxa"/>
            <w:tcBorders/>
            <w:shd w:fill="FFFFFF" w:val="clear"/>
            <w:vAlign w:val="center"/>
          </w:tcPr>
          <w:p>
            <w:pPr>
              <w:pStyle w:val="TableContents"/>
              <w:bidi w:val="0"/>
              <w:spacing w:before="0" w:after="283"/>
              <w:jc w:val="right"/>
              <w:rPr/>
            </w:pPr>
            <w:r>
              <w:rPr/>
              <w:t>77</w:t>
            </w:r>
          </w:p>
        </w:tc>
        <w:tc>
          <w:tcPr>
            <w:tcW w:w="101" w:type="dxa"/>
            <w:tcBorders/>
            <w:shd w:fill="FFFFFF" w:val="clear"/>
            <w:vAlign w:val="center"/>
          </w:tcPr>
          <w:p>
            <w:pPr>
              <w:pStyle w:val="TableContents"/>
              <w:bidi w:val="0"/>
              <w:spacing w:before="0" w:after="283"/>
              <w:ind w:left="0" w:right="0" w:hanging="180"/>
              <w:jc w:val="left"/>
              <w:rPr/>
            </w:pPr>
            <w:r>
              <w:rPr/>
              <w:t> </w:t>
            </w:r>
          </w:p>
        </w:tc>
      </w:tr>
      <w:tr>
        <w:trPr/>
        <w:tc>
          <w:tcPr>
            <w:tcW w:w="7100" w:type="dxa"/>
            <w:tcBorders/>
            <w:shd w:fill="CCEEFF" w:val="clear"/>
            <w:vAlign w:val="center"/>
          </w:tcPr>
          <w:p>
            <w:pPr>
              <w:pStyle w:val="TableContents"/>
              <w:bidi w:val="0"/>
              <w:spacing w:before="0" w:after="283"/>
              <w:jc w:val="left"/>
              <w:rPr/>
            </w:pPr>
            <w:r>
              <w:rPr/>
              <w:t>Cash paid during the year for income taxes</w:t>
            </w:r>
          </w:p>
        </w:tc>
        <w:tc>
          <w:tcPr>
            <w:tcW w:w="60" w:type="dxa"/>
            <w:tcBorders/>
            <w:shd w:fill="CCEEFF" w:val="clear"/>
            <w:vAlign w:val="center"/>
          </w:tcPr>
          <w:p>
            <w:pPr>
              <w:pStyle w:val="TableContents"/>
              <w:bidi w:val="0"/>
              <w:spacing w:before="0" w:after="283"/>
              <w:jc w:val="left"/>
              <w:rPr/>
            </w:pPr>
            <w:r>
              <w:rPr/>
              <w:t> </w:t>
            </w:r>
          </w:p>
        </w:tc>
        <w:tc>
          <w:tcPr>
            <w:tcW w:w="217" w:type="dxa"/>
            <w:tcBorders/>
            <w:shd w:fill="CCEEFF" w:val="clear"/>
            <w:vAlign w:val="center"/>
          </w:tcPr>
          <w:p>
            <w:pPr>
              <w:pStyle w:val="TableContents"/>
              <w:bidi w:val="0"/>
              <w:spacing w:before="0" w:after="283"/>
              <w:jc w:val="left"/>
              <w:rPr/>
            </w:pPr>
            <w:r>
              <w:rPr/>
              <w:t> </w:t>
            </w:r>
          </w:p>
        </w:tc>
        <w:tc>
          <w:tcPr>
            <w:tcW w:w="1178"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6" w:type="dxa"/>
            <w:tcBorders/>
            <w:shd w:fill="CCEEFF" w:val="clear"/>
            <w:vAlign w:val="center"/>
          </w:tcPr>
          <w:p>
            <w:pPr>
              <w:pStyle w:val="TableContents"/>
              <w:bidi w:val="0"/>
              <w:spacing w:before="0" w:after="283"/>
              <w:jc w:val="left"/>
              <w:rPr/>
            </w:pPr>
            <w:r>
              <w:rPr/>
              <w:t> </w:t>
            </w:r>
          </w:p>
        </w:tc>
        <w:tc>
          <w:tcPr>
            <w:tcW w:w="1188" w:type="dxa"/>
            <w:tcBorders/>
            <w:shd w:fill="CCEEFF" w:val="clear"/>
            <w:vAlign w:val="center"/>
          </w:tcPr>
          <w:p>
            <w:pPr>
              <w:pStyle w:val="TableContents"/>
              <w:bidi w:val="0"/>
              <w:spacing w:before="0" w:after="283"/>
              <w:jc w:val="right"/>
              <w:rPr/>
            </w:pPr>
            <w:r>
              <w:rPr/>
              <w:t>10</w:t>
            </w:r>
          </w:p>
        </w:tc>
        <w:tc>
          <w:tcPr>
            <w:tcW w:w="101" w:type="dxa"/>
            <w:tcBorders/>
            <w:shd w:fill="CCEEFF" w:val="clear"/>
            <w:vAlign w:val="center"/>
          </w:tcPr>
          <w:p>
            <w:pPr>
              <w:pStyle w:val="TableContents"/>
              <w:bidi w:val="0"/>
              <w:spacing w:before="0" w:after="283"/>
              <w:ind w:left="0" w:right="0" w:hanging="180"/>
              <w:jc w:val="left"/>
              <w:rPr/>
            </w:pPr>
            <w:r>
              <w:rPr/>
              <w:t> </w:t>
            </w:r>
          </w:p>
        </w:tc>
      </w:tr>
      <w:tr>
        <w:trPr/>
        <w:tc>
          <w:tcPr>
            <w:tcW w:w="7100" w:type="dxa"/>
            <w:tcBorders/>
            <w:shd w:fill="FFFFFF" w:val="clear"/>
            <w:vAlign w:val="center"/>
          </w:tcPr>
          <w:p>
            <w:pPr>
              <w:pStyle w:val="TableContents"/>
              <w:bidi w:val="0"/>
              <w:spacing w:before="0" w:after="283"/>
              <w:jc w:val="left"/>
              <w:rPr>
                <w:b/>
              </w:rPr>
            </w:pPr>
            <w:r>
              <w:rPr>
                <w:b/>
              </w:rPr>
              <w:t>Supplemental schedule of noncash investing and financing activities:</w:t>
            </w:r>
          </w:p>
        </w:tc>
        <w:tc>
          <w:tcPr>
            <w:tcW w:w="60" w:type="dxa"/>
            <w:tcBorders/>
            <w:shd w:fill="FFFFFF" w:val="clear"/>
            <w:vAlign w:val="center"/>
          </w:tcPr>
          <w:p>
            <w:pPr>
              <w:pStyle w:val="TableContents"/>
              <w:bidi w:val="0"/>
              <w:spacing w:before="0" w:after="283"/>
              <w:jc w:val="left"/>
              <w:rPr/>
            </w:pPr>
            <w:r>
              <w:rPr/>
              <w:t> </w:t>
            </w:r>
          </w:p>
        </w:tc>
        <w:tc>
          <w:tcPr>
            <w:tcW w:w="217" w:type="dxa"/>
            <w:tcBorders/>
            <w:shd w:fill="FFFFFF" w:val="clear"/>
            <w:vAlign w:val="center"/>
          </w:tcPr>
          <w:p>
            <w:pPr>
              <w:pStyle w:val="TableContents"/>
              <w:bidi w:val="0"/>
              <w:spacing w:before="0" w:after="283"/>
              <w:jc w:val="left"/>
              <w:rPr/>
            </w:pPr>
            <w:r>
              <w:rPr/>
              <w:t> </w:t>
            </w:r>
          </w:p>
        </w:tc>
        <w:tc>
          <w:tcPr>
            <w:tcW w:w="1178"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6" w:type="dxa"/>
            <w:tcBorders/>
            <w:shd w:fill="FFFFFF" w:val="clear"/>
            <w:vAlign w:val="center"/>
          </w:tcPr>
          <w:p>
            <w:pPr>
              <w:pStyle w:val="TableContents"/>
              <w:bidi w:val="0"/>
              <w:spacing w:before="0" w:after="283"/>
              <w:jc w:val="left"/>
              <w:rPr/>
            </w:pPr>
            <w:r>
              <w:rPr/>
              <w:t> </w:t>
            </w:r>
          </w:p>
        </w:tc>
        <w:tc>
          <w:tcPr>
            <w:tcW w:w="1188" w:type="dxa"/>
            <w:tcBorders/>
            <w:shd w:fill="FFFFFF" w:val="clear"/>
            <w:vAlign w:val="center"/>
          </w:tcPr>
          <w:p>
            <w:pPr>
              <w:pStyle w:val="TableContents"/>
              <w:bidi w:val="0"/>
              <w:spacing w:before="0" w:after="283"/>
              <w:jc w:val="right"/>
              <w:rPr/>
            </w:pPr>
            <w:r>
              <w:rPr/>
              <w:t> </w:t>
            </w:r>
          </w:p>
        </w:tc>
        <w:tc>
          <w:tcPr>
            <w:tcW w:w="101" w:type="dxa"/>
            <w:tcBorders/>
            <w:shd w:fill="FFFFFF" w:val="clear"/>
            <w:vAlign w:val="center"/>
          </w:tcPr>
          <w:p>
            <w:pPr>
              <w:pStyle w:val="TableContents"/>
              <w:bidi w:val="0"/>
              <w:spacing w:before="0" w:after="283"/>
              <w:ind w:left="0" w:right="0" w:hanging="180"/>
              <w:jc w:val="left"/>
              <w:rPr/>
            </w:pPr>
            <w:r>
              <w:rPr/>
              <w:t> </w:t>
            </w:r>
          </w:p>
        </w:tc>
      </w:tr>
      <w:tr>
        <w:trPr/>
        <w:tc>
          <w:tcPr>
            <w:tcW w:w="7100" w:type="dxa"/>
            <w:tcBorders/>
            <w:shd w:fill="CCEEFF" w:val="clear"/>
            <w:vAlign w:val="center"/>
          </w:tcPr>
          <w:p>
            <w:pPr>
              <w:pStyle w:val="TableContents"/>
              <w:bidi w:val="0"/>
              <w:spacing w:before="0" w:after="283"/>
              <w:jc w:val="left"/>
              <w:rPr>
                <w:sz w:val="20"/>
              </w:rPr>
            </w:pPr>
            <w:r>
              <w:rPr>
                <w:sz w:val="20"/>
              </w:rPr>
              <w:t>Issuance of Seller Note as partial purchase consideration for acquisition of Sunder</w:t>
            </w:r>
            <w:r>
              <w:rPr>
                <w:position w:val="7"/>
                <w:sz w:val="16"/>
                <w:sz w:val="20"/>
              </w:rPr>
              <w:t>(8)</w:t>
            </w:r>
          </w:p>
        </w:tc>
        <w:tc>
          <w:tcPr>
            <w:tcW w:w="60" w:type="dxa"/>
            <w:tcBorders/>
            <w:shd w:fill="CCEEFF" w:val="clear"/>
            <w:vAlign w:val="center"/>
          </w:tcPr>
          <w:p>
            <w:pPr>
              <w:pStyle w:val="TableContents"/>
              <w:bidi w:val="0"/>
              <w:spacing w:before="0" w:after="283"/>
              <w:jc w:val="left"/>
              <w:rPr/>
            </w:pPr>
            <w:r>
              <w:rPr/>
              <w:t> </w:t>
            </w:r>
          </w:p>
        </w:tc>
        <w:tc>
          <w:tcPr>
            <w:tcW w:w="217" w:type="dxa"/>
            <w:tcBorders/>
            <w:shd w:fill="CCEEFF" w:val="clear"/>
            <w:vAlign w:val="center"/>
          </w:tcPr>
          <w:p>
            <w:pPr>
              <w:pStyle w:val="TableContents"/>
              <w:bidi w:val="0"/>
              <w:spacing w:before="0" w:after="283"/>
              <w:jc w:val="left"/>
              <w:rPr/>
            </w:pPr>
            <w:r>
              <w:rPr/>
              <w:t>$</w:t>
            </w:r>
          </w:p>
        </w:tc>
        <w:tc>
          <w:tcPr>
            <w:tcW w:w="1178" w:type="dxa"/>
            <w:tcBorders/>
            <w:shd w:fill="CCEEFF" w:val="clear"/>
            <w:vAlign w:val="center"/>
          </w:tcPr>
          <w:p>
            <w:pPr>
              <w:pStyle w:val="TableContents"/>
              <w:bidi w:val="0"/>
              <w:spacing w:before="0" w:after="283"/>
              <w:jc w:val="right"/>
              <w:rPr/>
            </w:pPr>
            <w:r>
              <w:rPr/>
              <w:t>20,000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6" w:type="dxa"/>
            <w:tcBorders/>
            <w:shd w:fill="CCEEFF" w:val="clear"/>
            <w:vAlign w:val="center"/>
          </w:tcPr>
          <w:p>
            <w:pPr>
              <w:pStyle w:val="TableContents"/>
              <w:bidi w:val="0"/>
              <w:spacing w:before="0" w:after="283"/>
              <w:jc w:val="left"/>
              <w:rPr/>
            </w:pPr>
            <w:r>
              <w:rPr/>
              <w:t>$</w:t>
            </w:r>
          </w:p>
        </w:tc>
        <w:tc>
          <w:tcPr>
            <w:tcW w:w="1188" w:type="dxa"/>
            <w:tcBorders/>
            <w:shd w:fill="CCEEFF" w:val="clear"/>
            <w:vAlign w:val="center"/>
          </w:tcPr>
          <w:p>
            <w:pPr>
              <w:pStyle w:val="TableContents"/>
              <w:bidi w:val="0"/>
              <w:spacing w:before="0" w:after="283"/>
              <w:jc w:val="right"/>
              <w:rPr/>
            </w:pPr>
            <w:r>
              <w:rPr/>
              <w:t>—</w:t>
            </w:r>
          </w:p>
        </w:tc>
        <w:tc>
          <w:tcPr>
            <w:tcW w:w="101" w:type="dxa"/>
            <w:tcBorders/>
            <w:shd w:fill="CCEEFF" w:val="clear"/>
            <w:vAlign w:val="center"/>
          </w:tcPr>
          <w:p>
            <w:pPr>
              <w:pStyle w:val="TableContents"/>
              <w:bidi w:val="0"/>
              <w:spacing w:before="0" w:after="283"/>
              <w:ind w:left="0" w:right="0" w:hanging="180"/>
              <w:jc w:val="left"/>
              <w:rPr/>
            </w:pPr>
            <w:r>
              <w:rPr/>
              <w:t> </w:t>
            </w:r>
          </w:p>
        </w:tc>
      </w:tr>
      <w:tr>
        <w:trPr/>
        <w:tc>
          <w:tcPr>
            <w:tcW w:w="7100" w:type="dxa"/>
            <w:tcBorders/>
            <w:shd w:fill="FFFFFF" w:val="clear"/>
            <w:vAlign w:val="center"/>
          </w:tcPr>
          <w:p>
            <w:pPr>
              <w:pStyle w:val="TableContents"/>
              <w:bidi w:val="0"/>
              <w:spacing w:before="0" w:after="283"/>
              <w:jc w:val="left"/>
              <w:rPr/>
            </w:pPr>
            <w:r>
              <w:rPr/>
              <w:t>Issuance of common stock as partial consideration for acquisition of Sunder</w:t>
            </w:r>
          </w:p>
        </w:tc>
        <w:tc>
          <w:tcPr>
            <w:tcW w:w="60" w:type="dxa"/>
            <w:tcBorders/>
            <w:shd w:fill="FFFFFF" w:val="clear"/>
            <w:vAlign w:val="center"/>
          </w:tcPr>
          <w:p>
            <w:pPr>
              <w:pStyle w:val="TableContents"/>
              <w:bidi w:val="0"/>
              <w:spacing w:before="0" w:after="283"/>
              <w:jc w:val="left"/>
              <w:rPr/>
            </w:pPr>
            <w:r>
              <w:rPr/>
              <w:t> </w:t>
            </w:r>
          </w:p>
        </w:tc>
        <w:tc>
          <w:tcPr>
            <w:tcW w:w="217" w:type="dxa"/>
            <w:tcBorders/>
            <w:shd w:fill="FFFFFF" w:val="clear"/>
            <w:vAlign w:val="center"/>
          </w:tcPr>
          <w:p>
            <w:pPr>
              <w:pStyle w:val="TableContents"/>
              <w:bidi w:val="0"/>
              <w:spacing w:before="0" w:after="283"/>
              <w:jc w:val="left"/>
              <w:rPr/>
            </w:pPr>
            <w:r>
              <w:rPr/>
              <w:t> </w:t>
            </w:r>
          </w:p>
        </w:tc>
        <w:tc>
          <w:tcPr>
            <w:tcW w:w="1178" w:type="dxa"/>
            <w:tcBorders/>
            <w:shd w:fill="FFFFFF" w:val="clear"/>
            <w:vAlign w:val="center"/>
          </w:tcPr>
          <w:p>
            <w:pPr>
              <w:pStyle w:val="TableContents"/>
              <w:bidi w:val="0"/>
              <w:spacing w:before="0" w:after="283"/>
              <w:jc w:val="right"/>
              <w:rPr/>
            </w:pPr>
            <w:r>
              <w:rPr/>
              <w:t>5,700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6" w:type="dxa"/>
            <w:tcBorders/>
            <w:shd w:fill="FFFFFF" w:val="clear"/>
            <w:vAlign w:val="center"/>
          </w:tcPr>
          <w:p>
            <w:pPr>
              <w:pStyle w:val="TableContents"/>
              <w:bidi w:val="0"/>
              <w:spacing w:before="0" w:after="283"/>
              <w:jc w:val="left"/>
              <w:rPr/>
            </w:pPr>
            <w:r>
              <w:rPr/>
              <w:t> </w:t>
            </w:r>
          </w:p>
        </w:tc>
        <w:tc>
          <w:tcPr>
            <w:tcW w:w="1188" w:type="dxa"/>
            <w:tcBorders/>
            <w:shd w:fill="FFFFFF" w:val="clear"/>
            <w:vAlign w:val="center"/>
          </w:tcPr>
          <w:p>
            <w:pPr>
              <w:pStyle w:val="TableContents"/>
              <w:bidi w:val="0"/>
              <w:spacing w:before="0" w:after="283"/>
              <w:jc w:val="right"/>
              <w:rPr/>
            </w:pPr>
            <w:r>
              <w:rPr/>
              <w:t>—</w:t>
            </w:r>
          </w:p>
        </w:tc>
        <w:tc>
          <w:tcPr>
            <w:tcW w:w="101" w:type="dxa"/>
            <w:tcBorders/>
            <w:shd w:fill="FFFFFF" w:val="clear"/>
            <w:vAlign w:val="center"/>
          </w:tcPr>
          <w:p>
            <w:pPr>
              <w:pStyle w:val="TableContents"/>
              <w:bidi w:val="0"/>
              <w:spacing w:before="0" w:after="283"/>
              <w:ind w:left="0" w:right="0" w:hanging="180"/>
              <w:jc w:val="left"/>
              <w:rPr/>
            </w:pPr>
            <w:r>
              <w:rPr/>
              <w:t> </w:t>
            </w:r>
          </w:p>
        </w:tc>
      </w:tr>
      <w:tr>
        <w:trPr/>
        <w:tc>
          <w:tcPr>
            <w:tcW w:w="7100" w:type="dxa"/>
            <w:tcBorders/>
            <w:shd w:fill="CCEEFF" w:val="clear"/>
            <w:vAlign w:val="center"/>
          </w:tcPr>
          <w:p>
            <w:pPr>
              <w:pStyle w:val="TableContents"/>
              <w:bidi w:val="0"/>
              <w:spacing w:before="0" w:after="283"/>
              <w:jc w:val="left"/>
              <w:rPr/>
            </w:pPr>
            <w:r>
              <w:rPr/>
              <w:t>Deferred consideration recognized for acquisition of Sunder</w:t>
            </w:r>
          </w:p>
        </w:tc>
        <w:tc>
          <w:tcPr>
            <w:tcW w:w="60" w:type="dxa"/>
            <w:tcBorders/>
            <w:shd w:fill="CCEEFF" w:val="clear"/>
            <w:vAlign w:val="center"/>
          </w:tcPr>
          <w:p>
            <w:pPr>
              <w:pStyle w:val="TableContents"/>
              <w:bidi w:val="0"/>
              <w:spacing w:before="0" w:after="283"/>
              <w:jc w:val="left"/>
              <w:rPr/>
            </w:pPr>
            <w:r>
              <w:rPr/>
              <w:t> </w:t>
            </w:r>
          </w:p>
        </w:tc>
        <w:tc>
          <w:tcPr>
            <w:tcW w:w="217" w:type="dxa"/>
            <w:tcBorders/>
            <w:shd w:fill="CCEEFF" w:val="clear"/>
            <w:vAlign w:val="center"/>
          </w:tcPr>
          <w:p>
            <w:pPr>
              <w:pStyle w:val="TableContents"/>
              <w:bidi w:val="0"/>
              <w:spacing w:before="0" w:after="283"/>
              <w:jc w:val="left"/>
              <w:rPr/>
            </w:pPr>
            <w:r>
              <w:rPr/>
              <w:t> </w:t>
            </w:r>
          </w:p>
        </w:tc>
        <w:tc>
          <w:tcPr>
            <w:tcW w:w="1178" w:type="dxa"/>
            <w:tcBorders/>
            <w:shd w:fill="CCEEFF" w:val="clear"/>
            <w:vAlign w:val="center"/>
          </w:tcPr>
          <w:p>
            <w:pPr>
              <w:pStyle w:val="TableContents"/>
              <w:bidi w:val="0"/>
              <w:spacing w:before="0" w:after="283"/>
              <w:jc w:val="right"/>
              <w:rPr/>
            </w:pPr>
            <w:r>
              <w:rPr/>
              <w:t>11,400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6" w:type="dxa"/>
            <w:tcBorders/>
            <w:shd w:fill="CCEEFF" w:val="clear"/>
            <w:vAlign w:val="center"/>
          </w:tcPr>
          <w:p>
            <w:pPr>
              <w:pStyle w:val="TableContents"/>
              <w:bidi w:val="0"/>
              <w:spacing w:before="0" w:after="283"/>
              <w:jc w:val="left"/>
              <w:rPr/>
            </w:pPr>
            <w:r>
              <w:rPr/>
              <w:t> </w:t>
            </w:r>
          </w:p>
        </w:tc>
        <w:tc>
          <w:tcPr>
            <w:tcW w:w="1188" w:type="dxa"/>
            <w:tcBorders/>
            <w:shd w:fill="CCEEFF" w:val="clear"/>
            <w:vAlign w:val="center"/>
          </w:tcPr>
          <w:p>
            <w:pPr>
              <w:pStyle w:val="TableContents"/>
              <w:bidi w:val="0"/>
              <w:spacing w:before="0" w:after="283"/>
              <w:jc w:val="right"/>
              <w:rPr/>
            </w:pPr>
            <w:r>
              <w:rPr/>
              <w:t>—</w:t>
            </w:r>
          </w:p>
        </w:tc>
        <w:tc>
          <w:tcPr>
            <w:tcW w:w="101" w:type="dxa"/>
            <w:tcBorders/>
            <w:shd w:fill="CCEEFF" w:val="clear"/>
            <w:vAlign w:val="center"/>
          </w:tcPr>
          <w:p>
            <w:pPr>
              <w:pStyle w:val="TableContents"/>
              <w:bidi w:val="0"/>
              <w:spacing w:before="0" w:after="283"/>
              <w:ind w:left="0" w:right="0" w:hanging="180"/>
              <w:jc w:val="left"/>
              <w:rPr/>
            </w:pPr>
            <w:r>
              <w:rPr/>
              <w:t> </w:t>
            </w:r>
          </w:p>
        </w:tc>
      </w:tr>
      <w:tr>
        <w:trPr/>
        <w:tc>
          <w:tcPr>
            <w:tcW w:w="7100" w:type="dxa"/>
            <w:tcBorders/>
            <w:shd w:fill="FFFFFF" w:val="clear"/>
            <w:vAlign w:val="center"/>
          </w:tcPr>
          <w:p>
            <w:pPr>
              <w:pStyle w:val="TableContents"/>
              <w:bidi w:val="0"/>
              <w:spacing w:before="0" w:after="283"/>
              <w:jc w:val="left"/>
              <w:rPr/>
            </w:pPr>
            <w:r>
              <w:rPr/>
              <w:t>Issuance of common stock as partial purchase consideration for acquisition of Ambia</w:t>
            </w:r>
          </w:p>
        </w:tc>
        <w:tc>
          <w:tcPr>
            <w:tcW w:w="60" w:type="dxa"/>
            <w:tcBorders/>
            <w:shd w:fill="FFFFFF" w:val="clear"/>
            <w:vAlign w:val="center"/>
          </w:tcPr>
          <w:p>
            <w:pPr>
              <w:pStyle w:val="TableContents"/>
              <w:bidi w:val="0"/>
              <w:spacing w:before="0" w:after="283"/>
              <w:jc w:val="left"/>
              <w:rPr/>
            </w:pPr>
            <w:r>
              <w:rPr/>
              <w:t> </w:t>
            </w:r>
          </w:p>
        </w:tc>
        <w:tc>
          <w:tcPr>
            <w:tcW w:w="217" w:type="dxa"/>
            <w:tcBorders/>
            <w:shd w:fill="FFFFFF" w:val="clear"/>
            <w:vAlign w:val="center"/>
          </w:tcPr>
          <w:p>
            <w:pPr>
              <w:pStyle w:val="TableContents"/>
              <w:bidi w:val="0"/>
              <w:spacing w:before="0" w:after="283"/>
              <w:jc w:val="left"/>
              <w:rPr/>
            </w:pPr>
            <w:r>
              <w:rPr/>
              <w:t> </w:t>
            </w:r>
          </w:p>
        </w:tc>
        <w:tc>
          <w:tcPr>
            <w:tcW w:w="1178" w:type="dxa"/>
            <w:tcBorders/>
            <w:shd w:fill="FFFFFF" w:val="clear"/>
            <w:vAlign w:val="center"/>
          </w:tcPr>
          <w:p>
            <w:pPr>
              <w:pStyle w:val="TableContents"/>
              <w:bidi w:val="0"/>
              <w:spacing w:before="0" w:after="283"/>
              <w:jc w:val="right"/>
              <w:rPr/>
            </w:pPr>
            <w:r>
              <w:rPr/>
              <w:t>16,493</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6" w:type="dxa"/>
            <w:tcBorders/>
            <w:shd w:fill="FFFFFF" w:val="clear"/>
            <w:vAlign w:val="center"/>
          </w:tcPr>
          <w:p>
            <w:pPr>
              <w:pStyle w:val="TableContents"/>
              <w:bidi w:val="0"/>
              <w:spacing w:before="0" w:after="283"/>
              <w:jc w:val="left"/>
              <w:rPr/>
            </w:pPr>
            <w:r>
              <w:rPr/>
              <w:t> </w:t>
            </w:r>
          </w:p>
        </w:tc>
        <w:tc>
          <w:tcPr>
            <w:tcW w:w="1188" w:type="dxa"/>
            <w:tcBorders/>
            <w:shd w:fill="FFFFFF" w:val="clear"/>
            <w:vAlign w:val="center"/>
          </w:tcPr>
          <w:p>
            <w:pPr>
              <w:pStyle w:val="TableContents"/>
              <w:bidi w:val="0"/>
              <w:spacing w:before="0" w:after="283"/>
              <w:jc w:val="right"/>
              <w:rPr/>
            </w:pPr>
            <w:r>
              <w:rPr/>
              <w:t>—</w:t>
            </w:r>
          </w:p>
        </w:tc>
        <w:tc>
          <w:tcPr>
            <w:tcW w:w="101" w:type="dxa"/>
            <w:tcBorders/>
            <w:shd w:fill="FFFFFF" w:val="clear"/>
            <w:vAlign w:val="center"/>
          </w:tcPr>
          <w:p>
            <w:pPr>
              <w:pStyle w:val="TableContents"/>
              <w:bidi w:val="0"/>
              <w:spacing w:before="0" w:after="283"/>
              <w:ind w:left="0" w:right="0" w:hanging="180"/>
              <w:jc w:val="left"/>
              <w:rPr/>
            </w:pPr>
            <w:r>
              <w:rPr/>
              <w:t> </w:t>
            </w:r>
          </w:p>
        </w:tc>
      </w:tr>
      <w:tr>
        <w:trPr/>
        <w:tc>
          <w:tcPr>
            <w:tcW w:w="7100" w:type="dxa"/>
            <w:tcBorders/>
            <w:shd w:fill="CCEEFF" w:val="clear"/>
            <w:vAlign w:val="center"/>
          </w:tcPr>
          <w:p>
            <w:pPr>
              <w:pStyle w:val="TableContents"/>
              <w:bidi w:val="0"/>
              <w:spacing w:before="0" w:after="283"/>
              <w:jc w:val="left"/>
              <w:rPr/>
            </w:pPr>
            <w:r>
              <w:rPr/>
              <w:t>Deferred consideration recognized for acquisition of Ambia</w:t>
            </w:r>
          </w:p>
        </w:tc>
        <w:tc>
          <w:tcPr>
            <w:tcW w:w="60" w:type="dxa"/>
            <w:tcBorders/>
            <w:shd w:fill="CCEEFF" w:val="clear"/>
            <w:vAlign w:val="center"/>
          </w:tcPr>
          <w:p>
            <w:pPr>
              <w:pStyle w:val="TableContents"/>
              <w:bidi w:val="0"/>
              <w:spacing w:before="0" w:after="283"/>
              <w:jc w:val="left"/>
              <w:rPr/>
            </w:pPr>
            <w:r>
              <w:rPr/>
              <w:t> </w:t>
            </w:r>
          </w:p>
        </w:tc>
        <w:tc>
          <w:tcPr>
            <w:tcW w:w="217" w:type="dxa"/>
            <w:tcBorders/>
            <w:shd w:fill="CCEEFF" w:val="clear"/>
            <w:vAlign w:val="center"/>
          </w:tcPr>
          <w:p>
            <w:pPr>
              <w:pStyle w:val="TableContents"/>
              <w:bidi w:val="0"/>
              <w:spacing w:before="0" w:after="283"/>
              <w:jc w:val="left"/>
              <w:rPr/>
            </w:pPr>
            <w:r>
              <w:rPr/>
              <w:t> </w:t>
            </w:r>
          </w:p>
        </w:tc>
        <w:tc>
          <w:tcPr>
            <w:tcW w:w="1178" w:type="dxa"/>
            <w:tcBorders/>
            <w:shd w:fill="CCEEFF" w:val="clear"/>
            <w:vAlign w:val="center"/>
          </w:tcPr>
          <w:p>
            <w:pPr>
              <w:pStyle w:val="TableContents"/>
              <w:bidi w:val="0"/>
              <w:spacing w:before="0" w:after="283"/>
              <w:jc w:val="right"/>
              <w:rPr/>
            </w:pPr>
            <w:r>
              <w:rPr/>
              <w:t>16,879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6" w:type="dxa"/>
            <w:tcBorders/>
            <w:shd w:fill="CCEEFF" w:val="clear"/>
            <w:vAlign w:val="center"/>
          </w:tcPr>
          <w:p>
            <w:pPr>
              <w:pStyle w:val="TableContents"/>
              <w:bidi w:val="0"/>
              <w:spacing w:before="0" w:after="283"/>
              <w:jc w:val="left"/>
              <w:rPr/>
            </w:pPr>
            <w:r>
              <w:rPr/>
              <w:t> </w:t>
            </w:r>
          </w:p>
        </w:tc>
        <w:tc>
          <w:tcPr>
            <w:tcW w:w="1188" w:type="dxa"/>
            <w:tcBorders/>
            <w:shd w:fill="CCEEFF" w:val="clear"/>
            <w:vAlign w:val="center"/>
          </w:tcPr>
          <w:p>
            <w:pPr>
              <w:pStyle w:val="TableContents"/>
              <w:bidi w:val="0"/>
              <w:spacing w:before="0" w:after="283"/>
              <w:jc w:val="right"/>
              <w:rPr/>
            </w:pPr>
            <w:r>
              <w:rPr/>
              <w:t>—</w:t>
            </w:r>
          </w:p>
        </w:tc>
        <w:tc>
          <w:tcPr>
            <w:tcW w:w="101" w:type="dxa"/>
            <w:tcBorders/>
            <w:shd w:fill="CCEEFF" w:val="clear"/>
            <w:vAlign w:val="center"/>
          </w:tcPr>
          <w:p>
            <w:pPr>
              <w:pStyle w:val="TableContents"/>
              <w:bidi w:val="0"/>
              <w:spacing w:before="0" w:after="283"/>
              <w:ind w:left="0" w:right="0" w:hanging="180"/>
              <w:jc w:val="left"/>
              <w:rPr/>
            </w:pPr>
            <w:r>
              <w:rPr/>
              <w:t> </w:t>
            </w:r>
          </w:p>
        </w:tc>
      </w:tr>
      <w:tr>
        <w:trPr/>
        <w:tc>
          <w:tcPr>
            <w:tcW w:w="7100" w:type="dxa"/>
            <w:tcBorders/>
            <w:shd w:fill="FFFFFF" w:val="clear"/>
            <w:vAlign w:val="center"/>
          </w:tcPr>
          <w:p>
            <w:pPr>
              <w:pStyle w:val="TableContents"/>
              <w:bidi w:val="0"/>
              <w:spacing w:before="0" w:after="283"/>
              <w:jc w:val="left"/>
              <w:rPr/>
            </w:pPr>
            <w:r>
              <w:rPr/>
              <w:t>Conversion of September 2024 Notes to shares of common stock:</w:t>
            </w:r>
          </w:p>
        </w:tc>
        <w:tc>
          <w:tcPr>
            <w:tcW w:w="60" w:type="dxa"/>
            <w:tcBorders/>
            <w:shd w:fill="FFFFFF" w:val="clear"/>
            <w:vAlign w:val="center"/>
          </w:tcPr>
          <w:p>
            <w:pPr>
              <w:pStyle w:val="TableContents"/>
              <w:bidi w:val="0"/>
              <w:spacing w:before="0" w:after="283"/>
              <w:jc w:val="left"/>
              <w:rPr/>
            </w:pPr>
            <w:r>
              <w:rPr/>
              <w:t> </w:t>
            </w:r>
          </w:p>
        </w:tc>
        <w:tc>
          <w:tcPr>
            <w:tcW w:w="217" w:type="dxa"/>
            <w:tcBorders/>
            <w:shd w:fill="FFFFFF" w:val="clear"/>
            <w:vAlign w:val="center"/>
          </w:tcPr>
          <w:p>
            <w:pPr>
              <w:pStyle w:val="TableContents"/>
              <w:bidi w:val="0"/>
              <w:spacing w:before="0" w:after="283"/>
              <w:jc w:val="left"/>
              <w:rPr/>
            </w:pPr>
            <w:r>
              <w:rPr/>
              <w:t> </w:t>
            </w:r>
          </w:p>
        </w:tc>
        <w:tc>
          <w:tcPr>
            <w:tcW w:w="1178"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6" w:type="dxa"/>
            <w:tcBorders/>
            <w:shd w:fill="FFFFFF" w:val="clear"/>
            <w:vAlign w:val="center"/>
          </w:tcPr>
          <w:p>
            <w:pPr>
              <w:pStyle w:val="TableContents"/>
              <w:bidi w:val="0"/>
              <w:spacing w:before="0" w:after="283"/>
              <w:jc w:val="left"/>
              <w:rPr/>
            </w:pPr>
            <w:r>
              <w:rPr/>
              <w:t> </w:t>
            </w:r>
          </w:p>
        </w:tc>
        <w:tc>
          <w:tcPr>
            <w:tcW w:w="1188" w:type="dxa"/>
            <w:tcBorders/>
            <w:shd w:fill="FFFFFF" w:val="clear"/>
            <w:vAlign w:val="center"/>
          </w:tcPr>
          <w:p>
            <w:pPr>
              <w:pStyle w:val="TableContents"/>
              <w:bidi w:val="0"/>
              <w:spacing w:before="0" w:after="283"/>
              <w:jc w:val="right"/>
              <w:rPr/>
            </w:pPr>
            <w:r>
              <w:rPr/>
              <w:t> </w:t>
            </w:r>
          </w:p>
        </w:tc>
        <w:tc>
          <w:tcPr>
            <w:tcW w:w="101" w:type="dxa"/>
            <w:tcBorders/>
            <w:shd w:fill="FFFFFF" w:val="clear"/>
            <w:vAlign w:val="center"/>
          </w:tcPr>
          <w:p>
            <w:pPr>
              <w:pStyle w:val="TableContents"/>
              <w:bidi w:val="0"/>
              <w:spacing w:before="0" w:after="283"/>
              <w:ind w:left="0" w:right="0" w:hanging="180"/>
              <w:jc w:val="left"/>
              <w:rPr/>
            </w:pPr>
            <w:r>
              <w:rPr/>
              <w:t> </w:t>
            </w:r>
          </w:p>
        </w:tc>
      </w:tr>
      <w:tr>
        <w:trPr/>
        <w:tc>
          <w:tcPr>
            <w:tcW w:w="7100" w:type="dxa"/>
            <w:tcBorders/>
            <w:shd w:fill="CCEEFF" w:val="clear"/>
            <w:vAlign w:val="center"/>
          </w:tcPr>
          <w:p>
            <w:pPr>
              <w:pStyle w:val="TableContents"/>
              <w:bidi w:val="0"/>
              <w:spacing w:before="0" w:after="283"/>
              <w:jc w:val="left"/>
              <w:rPr/>
            </w:pPr>
            <w:r>
              <w:rPr/>
              <w:t>September 2024 Notes and related derivative liability, net of unamortized debt discount</w:t>
            </w:r>
          </w:p>
        </w:tc>
        <w:tc>
          <w:tcPr>
            <w:tcW w:w="60" w:type="dxa"/>
            <w:tcBorders/>
            <w:shd w:fill="CCEEFF" w:val="clear"/>
            <w:vAlign w:val="center"/>
          </w:tcPr>
          <w:p>
            <w:pPr>
              <w:pStyle w:val="TableContents"/>
              <w:bidi w:val="0"/>
              <w:spacing w:before="0" w:after="283"/>
              <w:jc w:val="left"/>
              <w:rPr/>
            </w:pPr>
            <w:r>
              <w:rPr/>
              <w:t> </w:t>
            </w:r>
          </w:p>
        </w:tc>
        <w:tc>
          <w:tcPr>
            <w:tcW w:w="217" w:type="dxa"/>
            <w:tcBorders/>
            <w:shd w:fill="CCEEFF" w:val="clear"/>
            <w:vAlign w:val="center"/>
          </w:tcPr>
          <w:p>
            <w:pPr>
              <w:pStyle w:val="TableContents"/>
              <w:bidi w:val="0"/>
              <w:spacing w:before="0" w:after="283"/>
              <w:jc w:val="left"/>
              <w:rPr/>
            </w:pPr>
            <w:r>
              <w:rPr/>
              <w:t> </w:t>
            </w:r>
          </w:p>
        </w:tc>
        <w:tc>
          <w:tcPr>
            <w:tcW w:w="1178" w:type="dxa"/>
            <w:tcBorders/>
            <w:shd w:fill="CCEEFF" w:val="clear"/>
            <w:vAlign w:val="center"/>
          </w:tcPr>
          <w:p>
            <w:pPr>
              <w:pStyle w:val="TableContents"/>
              <w:bidi w:val="0"/>
              <w:spacing w:before="0" w:after="283"/>
              <w:jc w:val="right"/>
              <w:rPr/>
            </w:pPr>
            <w:r>
              <w:rPr/>
              <w:t>14,472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6" w:type="dxa"/>
            <w:tcBorders/>
            <w:shd w:fill="CCEEFF" w:val="clear"/>
            <w:vAlign w:val="center"/>
          </w:tcPr>
          <w:p>
            <w:pPr>
              <w:pStyle w:val="TableContents"/>
              <w:bidi w:val="0"/>
              <w:spacing w:before="0" w:after="283"/>
              <w:jc w:val="left"/>
              <w:rPr/>
            </w:pPr>
            <w:r>
              <w:rPr/>
              <w:t> </w:t>
            </w:r>
          </w:p>
        </w:tc>
        <w:tc>
          <w:tcPr>
            <w:tcW w:w="1188" w:type="dxa"/>
            <w:tcBorders/>
            <w:shd w:fill="CCEEFF" w:val="clear"/>
            <w:vAlign w:val="center"/>
          </w:tcPr>
          <w:p>
            <w:pPr>
              <w:pStyle w:val="TableContents"/>
              <w:bidi w:val="0"/>
              <w:spacing w:before="0" w:after="283"/>
              <w:jc w:val="right"/>
              <w:rPr/>
            </w:pPr>
            <w:r>
              <w:rPr/>
              <w:t>—</w:t>
            </w:r>
          </w:p>
        </w:tc>
        <w:tc>
          <w:tcPr>
            <w:tcW w:w="101" w:type="dxa"/>
            <w:tcBorders/>
            <w:shd w:fill="CCEEFF" w:val="clear"/>
            <w:vAlign w:val="center"/>
          </w:tcPr>
          <w:p>
            <w:pPr>
              <w:pStyle w:val="TableContents"/>
              <w:bidi w:val="0"/>
              <w:spacing w:before="0" w:after="283"/>
              <w:ind w:left="0" w:right="0" w:hanging="180"/>
              <w:jc w:val="left"/>
              <w:rPr/>
            </w:pPr>
            <w:r>
              <w:rPr/>
              <w:t> </w:t>
            </w:r>
          </w:p>
        </w:tc>
      </w:tr>
      <w:tr>
        <w:trPr/>
        <w:tc>
          <w:tcPr>
            <w:tcW w:w="7100" w:type="dxa"/>
            <w:tcBorders/>
            <w:shd w:fill="FFFFFF" w:val="clear"/>
            <w:vAlign w:val="center"/>
          </w:tcPr>
          <w:p>
            <w:pPr>
              <w:pStyle w:val="TableContents"/>
              <w:bidi w:val="0"/>
              <w:spacing w:before="0" w:after="283"/>
              <w:jc w:val="left"/>
              <w:rPr/>
            </w:pPr>
            <w:r>
              <w:rPr/>
              <w:t>Accrued interest</w:t>
            </w:r>
          </w:p>
        </w:tc>
        <w:tc>
          <w:tcPr>
            <w:tcW w:w="60" w:type="dxa"/>
            <w:tcBorders/>
            <w:shd w:fill="FFFFFF" w:val="clear"/>
            <w:vAlign w:val="center"/>
          </w:tcPr>
          <w:p>
            <w:pPr>
              <w:pStyle w:val="TableContents"/>
              <w:bidi w:val="0"/>
              <w:spacing w:before="0" w:after="283"/>
              <w:jc w:val="left"/>
              <w:rPr/>
            </w:pPr>
            <w:r>
              <w:rPr/>
              <w:t> </w:t>
            </w:r>
          </w:p>
        </w:tc>
        <w:tc>
          <w:tcPr>
            <w:tcW w:w="217" w:type="dxa"/>
            <w:tcBorders/>
            <w:shd w:fill="FFFFFF" w:val="clear"/>
            <w:vAlign w:val="center"/>
          </w:tcPr>
          <w:p>
            <w:pPr>
              <w:pStyle w:val="TableContents"/>
              <w:bidi w:val="0"/>
              <w:spacing w:before="0" w:after="283"/>
              <w:jc w:val="left"/>
              <w:rPr/>
            </w:pPr>
            <w:r>
              <w:rPr/>
              <w:t> </w:t>
            </w:r>
          </w:p>
        </w:tc>
        <w:tc>
          <w:tcPr>
            <w:tcW w:w="1178" w:type="dxa"/>
            <w:tcBorders/>
            <w:shd w:fill="FFFFFF" w:val="clear"/>
            <w:vAlign w:val="center"/>
          </w:tcPr>
          <w:p>
            <w:pPr>
              <w:pStyle w:val="TableContents"/>
              <w:bidi w:val="0"/>
              <w:spacing w:before="0" w:after="283"/>
              <w:jc w:val="right"/>
              <w:rPr/>
            </w:pPr>
            <w:r>
              <w:rPr/>
              <w:t>213</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6" w:type="dxa"/>
            <w:tcBorders/>
            <w:shd w:fill="FFFFFF" w:val="clear"/>
            <w:vAlign w:val="center"/>
          </w:tcPr>
          <w:p>
            <w:pPr>
              <w:pStyle w:val="TableContents"/>
              <w:bidi w:val="0"/>
              <w:spacing w:before="0" w:after="283"/>
              <w:jc w:val="left"/>
              <w:rPr/>
            </w:pPr>
            <w:r>
              <w:rPr/>
              <w:t> </w:t>
            </w:r>
          </w:p>
        </w:tc>
        <w:tc>
          <w:tcPr>
            <w:tcW w:w="1188" w:type="dxa"/>
            <w:tcBorders/>
            <w:shd w:fill="FFFFFF" w:val="clear"/>
            <w:vAlign w:val="center"/>
          </w:tcPr>
          <w:p>
            <w:pPr>
              <w:pStyle w:val="TableContents"/>
              <w:bidi w:val="0"/>
              <w:spacing w:before="0" w:after="283"/>
              <w:jc w:val="right"/>
              <w:rPr/>
            </w:pPr>
            <w:r>
              <w:rPr/>
              <w:t>—</w:t>
            </w:r>
          </w:p>
        </w:tc>
        <w:tc>
          <w:tcPr>
            <w:tcW w:w="101" w:type="dxa"/>
            <w:tcBorders/>
            <w:shd w:fill="FFFFFF" w:val="clear"/>
            <w:vAlign w:val="center"/>
          </w:tcPr>
          <w:p>
            <w:pPr>
              <w:pStyle w:val="TableContents"/>
              <w:bidi w:val="0"/>
              <w:spacing w:before="0" w:after="283"/>
              <w:ind w:left="0" w:right="0" w:hanging="180"/>
              <w:jc w:val="left"/>
              <w:rPr/>
            </w:pPr>
            <w:r>
              <w:rPr/>
              <w:t> </w:t>
            </w:r>
          </w:p>
        </w:tc>
      </w:tr>
      <w:tr>
        <w:trPr/>
        <w:tc>
          <w:tcPr>
            <w:tcW w:w="7100" w:type="dxa"/>
            <w:tcBorders/>
            <w:shd w:fill="CCEEFF" w:val="clear"/>
            <w:vAlign w:val="center"/>
          </w:tcPr>
          <w:p>
            <w:pPr>
              <w:pStyle w:val="TableContents"/>
              <w:bidi w:val="0"/>
              <w:spacing w:before="0" w:after="283"/>
              <w:jc w:val="left"/>
              <w:rPr/>
            </w:pPr>
            <w:r>
              <w:rPr/>
              <w:t>Common stock</w:t>
            </w:r>
          </w:p>
        </w:tc>
        <w:tc>
          <w:tcPr>
            <w:tcW w:w="60" w:type="dxa"/>
            <w:tcBorders/>
            <w:shd w:fill="CCEEFF" w:val="clear"/>
            <w:vAlign w:val="center"/>
          </w:tcPr>
          <w:p>
            <w:pPr>
              <w:pStyle w:val="TableContents"/>
              <w:bidi w:val="0"/>
              <w:spacing w:before="0" w:after="283"/>
              <w:jc w:val="left"/>
              <w:rPr/>
            </w:pPr>
            <w:r>
              <w:rPr/>
              <w:t> </w:t>
            </w:r>
          </w:p>
        </w:tc>
        <w:tc>
          <w:tcPr>
            <w:tcW w:w="217" w:type="dxa"/>
            <w:tcBorders/>
            <w:shd w:fill="CCEEFF" w:val="clear"/>
            <w:vAlign w:val="center"/>
          </w:tcPr>
          <w:p>
            <w:pPr>
              <w:pStyle w:val="TableContents"/>
              <w:bidi w:val="0"/>
              <w:spacing w:before="0" w:after="283"/>
              <w:jc w:val="left"/>
              <w:rPr/>
            </w:pPr>
            <w:r>
              <w:rPr/>
              <w:t> </w:t>
            </w:r>
          </w:p>
        </w:tc>
        <w:tc>
          <w:tcPr>
            <w:tcW w:w="1178" w:type="dxa"/>
            <w:tcBorders/>
            <w:shd w:fill="CCEEFF" w:val="clear"/>
            <w:vAlign w:val="center"/>
          </w:tcPr>
          <w:p>
            <w:pPr>
              <w:pStyle w:val="TableContents"/>
              <w:bidi w:val="0"/>
              <w:spacing w:before="0" w:after="283"/>
              <w:jc w:val="right"/>
              <w:rPr/>
            </w:pPr>
            <w:r>
              <w:rPr/>
              <w:t>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6" w:type="dxa"/>
            <w:tcBorders/>
            <w:shd w:fill="CCEEFF" w:val="clear"/>
            <w:vAlign w:val="center"/>
          </w:tcPr>
          <w:p>
            <w:pPr>
              <w:pStyle w:val="TableContents"/>
              <w:bidi w:val="0"/>
              <w:spacing w:before="0" w:after="283"/>
              <w:jc w:val="left"/>
              <w:rPr/>
            </w:pPr>
            <w:r>
              <w:rPr/>
              <w:t> </w:t>
            </w:r>
          </w:p>
        </w:tc>
        <w:tc>
          <w:tcPr>
            <w:tcW w:w="1188" w:type="dxa"/>
            <w:tcBorders/>
            <w:shd w:fill="CCEEFF" w:val="clear"/>
            <w:vAlign w:val="center"/>
          </w:tcPr>
          <w:p>
            <w:pPr>
              <w:pStyle w:val="TableContents"/>
              <w:bidi w:val="0"/>
              <w:spacing w:before="0" w:after="283"/>
              <w:jc w:val="right"/>
              <w:rPr/>
            </w:pPr>
            <w:r>
              <w:rPr/>
              <w:t>—</w:t>
            </w:r>
          </w:p>
        </w:tc>
        <w:tc>
          <w:tcPr>
            <w:tcW w:w="101" w:type="dxa"/>
            <w:tcBorders/>
            <w:shd w:fill="CCEEFF" w:val="clear"/>
            <w:vAlign w:val="center"/>
          </w:tcPr>
          <w:p>
            <w:pPr>
              <w:pStyle w:val="TableContents"/>
              <w:bidi w:val="0"/>
              <w:spacing w:before="0" w:after="283"/>
              <w:ind w:left="0" w:right="0" w:hanging="180"/>
              <w:jc w:val="left"/>
              <w:rPr/>
            </w:pPr>
            <w:r>
              <w:rPr/>
              <w:t> </w:t>
            </w:r>
          </w:p>
        </w:tc>
      </w:tr>
      <w:tr>
        <w:trPr/>
        <w:tc>
          <w:tcPr>
            <w:tcW w:w="7100" w:type="dxa"/>
            <w:tcBorders/>
            <w:shd w:fill="FFFFFF" w:val="clear"/>
            <w:vAlign w:val="center"/>
          </w:tcPr>
          <w:p>
            <w:pPr>
              <w:pStyle w:val="TableContents"/>
              <w:bidi w:val="0"/>
              <w:spacing w:before="0" w:after="283"/>
              <w:jc w:val="left"/>
              <w:rPr/>
            </w:pPr>
            <w:r>
              <w:rPr/>
              <w:t>Additional paid-in capital</w:t>
            </w:r>
          </w:p>
        </w:tc>
        <w:tc>
          <w:tcPr>
            <w:tcW w:w="60" w:type="dxa"/>
            <w:tcBorders/>
            <w:shd w:fill="FFFFFF" w:val="clear"/>
            <w:vAlign w:val="center"/>
          </w:tcPr>
          <w:p>
            <w:pPr>
              <w:pStyle w:val="TableContents"/>
              <w:bidi w:val="0"/>
              <w:spacing w:before="0" w:after="283"/>
              <w:jc w:val="left"/>
              <w:rPr/>
            </w:pPr>
            <w:r>
              <w:rPr/>
              <w:t> </w:t>
            </w:r>
          </w:p>
        </w:tc>
        <w:tc>
          <w:tcPr>
            <w:tcW w:w="217" w:type="dxa"/>
            <w:tcBorders/>
            <w:shd w:fill="FFFFFF" w:val="clear"/>
            <w:vAlign w:val="center"/>
          </w:tcPr>
          <w:p>
            <w:pPr>
              <w:pStyle w:val="TableContents"/>
              <w:bidi w:val="0"/>
              <w:spacing w:before="0" w:after="283"/>
              <w:jc w:val="left"/>
              <w:rPr/>
            </w:pPr>
            <w:r>
              <w:rPr/>
              <w:t> </w:t>
            </w:r>
          </w:p>
        </w:tc>
        <w:tc>
          <w:tcPr>
            <w:tcW w:w="1178" w:type="dxa"/>
            <w:tcBorders/>
            <w:shd w:fill="FFFFFF" w:val="clear"/>
            <w:vAlign w:val="center"/>
          </w:tcPr>
          <w:p>
            <w:pPr>
              <w:pStyle w:val="TableContents"/>
              <w:bidi w:val="0"/>
              <w:spacing w:before="0" w:after="283"/>
              <w:jc w:val="right"/>
              <w:rPr/>
            </w:pPr>
            <w:r>
              <w:rPr/>
              <w:t>14,684</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6" w:type="dxa"/>
            <w:tcBorders/>
            <w:shd w:fill="FFFFFF" w:val="clear"/>
            <w:vAlign w:val="center"/>
          </w:tcPr>
          <w:p>
            <w:pPr>
              <w:pStyle w:val="TableContents"/>
              <w:bidi w:val="0"/>
              <w:spacing w:before="0" w:after="283"/>
              <w:jc w:val="left"/>
              <w:rPr/>
            </w:pPr>
            <w:r>
              <w:rPr/>
              <w:t> </w:t>
            </w:r>
          </w:p>
        </w:tc>
        <w:tc>
          <w:tcPr>
            <w:tcW w:w="1188" w:type="dxa"/>
            <w:tcBorders/>
            <w:shd w:fill="FFFFFF" w:val="clear"/>
            <w:vAlign w:val="center"/>
          </w:tcPr>
          <w:p>
            <w:pPr>
              <w:pStyle w:val="TableContents"/>
              <w:bidi w:val="0"/>
              <w:spacing w:before="0" w:after="283"/>
              <w:jc w:val="right"/>
              <w:rPr/>
            </w:pPr>
            <w:r>
              <w:rPr/>
              <w:t>—</w:t>
            </w:r>
          </w:p>
        </w:tc>
        <w:tc>
          <w:tcPr>
            <w:tcW w:w="101" w:type="dxa"/>
            <w:tcBorders/>
            <w:shd w:fill="FFFFFF" w:val="clear"/>
            <w:vAlign w:val="center"/>
          </w:tcPr>
          <w:p>
            <w:pPr>
              <w:pStyle w:val="TableContents"/>
              <w:bidi w:val="0"/>
              <w:spacing w:before="0" w:after="283"/>
              <w:ind w:left="0" w:right="0" w:hanging="180"/>
              <w:jc w:val="left"/>
              <w:rPr/>
            </w:pPr>
            <w:r>
              <w:rPr/>
              <w:t> </w:t>
            </w:r>
          </w:p>
        </w:tc>
      </w:tr>
      <w:tr>
        <w:trPr/>
        <w:tc>
          <w:tcPr>
            <w:tcW w:w="7100" w:type="dxa"/>
            <w:tcBorders/>
            <w:shd w:fill="CCEEFF" w:val="clear"/>
            <w:vAlign w:val="center"/>
          </w:tcPr>
          <w:p>
            <w:pPr>
              <w:pStyle w:val="TableContents"/>
              <w:bidi w:val="0"/>
              <w:spacing w:before="0" w:after="283"/>
              <w:jc w:val="left"/>
              <w:rPr/>
            </w:pPr>
            <w:r>
              <w:rPr/>
              <w:t>Debt issuance costs incurred in connection with the issuance of September 2025 Notes</w:t>
            </w:r>
          </w:p>
        </w:tc>
        <w:tc>
          <w:tcPr>
            <w:tcW w:w="60" w:type="dxa"/>
            <w:tcBorders/>
            <w:shd w:fill="CCEEFF" w:val="clear"/>
            <w:vAlign w:val="center"/>
          </w:tcPr>
          <w:p>
            <w:pPr>
              <w:pStyle w:val="TableContents"/>
              <w:bidi w:val="0"/>
              <w:spacing w:before="0" w:after="283"/>
              <w:jc w:val="left"/>
              <w:rPr/>
            </w:pPr>
            <w:r>
              <w:rPr/>
              <w:t> </w:t>
            </w:r>
          </w:p>
        </w:tc>
        <w:tc>
          <w:tcPr>
            <w:tcW w:w="217" w:type="dxa"/>
            <w:tcBorders/>
            <w:shd w:fill="CCEEFF" w:val="clear"/>
            <w:vAlign w:val="center"/>
          </w:tcPr>
          <w:p>
            <w:pPr>
              <w:pStyle w:val="TableContents"/>
              <w:bidi w:val="0"/>
              <w:spacing w:before="0" w:after="283"/>
              <w:jc w:val="left"/>
              <w:rPr/>
            </w:pPr>
            <w:r>
              <w:rPr/>
              <w:t> </w:t>
            </w:r>
          </w:p>
        </w:tc>
        <w:tc>
          <w:tcPr>
            <w:tcW w:w="1178" w:type="dxa"/>
            <w:tcBorders/>
            <w:shd w:fill="CCEEFF" w:val="clear"/>
            <w:vAlign w:val="center"/>
          </w:tcPr>
          <w:p>
            <w:pPr>
              <w:pStyle w:val="TableContents"/>
              <w:bidi w:val="0"/>
              <w:spacing w:before="0" w:after="283"/>
              <w:jc w:val="right"/>
              <w:rPr/>
            </w:pPr>
            <w:r>
              <w:rPr/>
              <w:t>1,150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6" w:type="dxa"/>
            <w:tcBorders/>
            <w:shd w:fill="CCEEFF" w:val="clear"/>
            <w:vAlign w:val="center"/>
          </w:tcPr>
          <w:p>
            <w:pPr>
              <w:pStyle w:val="TableContents"/>
              <w:bidi w:val="0"/>
              <w:spacing w:before="0" w:after="283"/>
              <w:jc w:val="left"/>
              <w:rPr/>
            </w:pPr>
            <w:r>
              <w:rPr/>
              <w:t> </w:t>
            </w:r>
          </w:p>
        </w:tc>
        <w:tc>
          <w:tcPr>
            <w:tcW w:w="1188" w:type="dxa"/>
            <w:tcBorders/>
            <w:shd w:fill="CCEEFF" w:val="clear"/>
            <w:vAlign w:val="center"/>
          </w:tcPr>
          <w:p>
            <w:pPr>
              <w:pStyle w:val="TableContents"/>
              <w:bidi w:val="0"/>
              <w:spacing w:before="0" w:after="283"/>
              <w:jc w:val="right"/>
              <w:rPr/>
            </w:pPr>
            <w:r>
              <w:rPr/>
              <w:t>—</w:t>
            </w:r>
          </w:p>
        </w:tc>
        <w:tc>
          <w:tcPr>
            <w:tcW w:w="101" w:type="dxa"/>
            <w:tcBorders/>
            <w:shd w:fill="CCEEFF" w:val="clear"/>
            <w:vAlign w:val="center"/>
          </w:tcPr>
          <w:p>
            <w:pPr>
              <w:pStyle w:val="TableContents"/>
              <w:bidi w:val="0"/>
              <w:spacing w:before="0" w:after="283"/>
              <w:ind w:left="0" w:right="0" w:hanging="180"/>
              <w:jc w:val="left"/>
              <w:rPr/>
            </w:pPr>
            <w:r>
              <w:rPr/>
              <w:t> </w:t>
            </w:r>
          </w:p>
        </w:tc>
      </w:tr>
      <w:tr>
        <w:trPr/>
        <w:tc>
          <w:tcPr>
            <w:tcW w:w="7100" w:type="dxa"/>
            <w:tcBorders/>
            <w:shd w:fill="FFFFFF" w:val="clear"/>
            <w:vAlign w:val="center"/>
          </w:tcPr>
          <w:p>
            <w:pPr>
              <w:pStyle w:val="TableContents"/>
              <w:bidi w:val="0"/>
              <w:spacing w:before="0" w:after="283"/>
              <w:jc w:val="left"/>
              <w:rPr/>
            </w:pPr>
            <w:r>
              <w:rPr/>
              <w:t>Taxes accrued but unpaid related to net share settlement of equity awards</w:t>
            </w:r>
          </w:p>
        </w:tc>
        <w:tc>
          <w:tcPr>
            <w:tcW w:w="60" w:type="dxa"/>
            <w:tcBorders/>
            <w:shd w:fill="FFFFFF" w:val="clear"/>
            <w:vAlign w:val="center"/>
          </w:tcPr>
          <w:p>
            <w:pPr>
              <w:pStyle w:val="TableContents"/>
              <w:bidi w:val="0"/>
              <w:spacing w:before="0" w:after="283"/>
              <w:jc w:val="left"/>
              <w:rPr/>
            </w:pPr>
            <w:r>
              <w:rPr/>
              <w:t> </w:t>
            </w:r>
          </w:p>
        </w:tc>
        <w:tc>
          <w:tcPr>
            <w:tcW w:w="217" w:type="dxa"/>
            <w:tcBorders/>
            <w:shd w:fill="FFFFFF" w:val="clear"/>
            <w:vAlign w:val="center"/>
          </w:tcPr>
          <w:p>
            <w:pPr>
              <w:pStyle w:val="TableContents"/>
              <w:bidi w:val="0"/>
              <w:spacing w:before="0" w:after="283"/>
              <w:jc w:val="left"/>
              <w:rPr/>
            </w:pPr>
            <w:r>
              <w:rPr/>
              <w:t> </w:t>
            </w:r>
          </w:p>
        </w:tc>
        <w:tc>
          <w:tcPr>
            <w:tcW w:w="1178" w:type="dxa"/>
            <w:tcBorders/>
            <w:shd w:fill="FFFFFF" w:val="clear"/>
            <w:vAlign w:val="center"/>
          </w:tcPr>
          <w:p>
            <w:pPr>
              <w:pStyle w:val="TableContents"/>
              <w:bidi w:val="0"/>
              <w:spacing w:before="0" w:after="283"/>
              <w:jc w:val="right"/>
              <w:rPr/>
            </w:pPr>
            <w:r>
              <w:rPr/>
              <w:t>1,171</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6" w:type="dxa"/>
            <w:tcBorders/>
            <w:shd w:fill="FFFFFF" w:val="clear"/>
            <w:vAlign w:val="center"/>
          </w:tcPr>
          <w:p>
            <w:pPr>
              <w:pStyle w:val="TableContents"/>
              <w:bidi w:val="0"/>
              <w:spacing w:before="0" w:after="283"/>
              <w:jc w:val="left"/>
              <w:rPr/>
            </w:pPr>
            <w:r>
              <w:rPr/>
              <w:t> </w:t>
            </w:r>
          </w:p>
        </w:tc>
        <w:tc>
          <w:tcPr>
            <w:tcW w:w="1188" w:type="dxa"/>
            <w:tcBorders/>
            <w:shd w:fill="FFFFFF" w:val="clear"/>
            <w:vAlign w:val="center"/>
          </w:tcPr>
          <w:p>
            <w:pPr>
              <w:pStyle w:val="TableContents"/>
              <w:bidi w:val="0"/>
              <w:spacing w:before="0" w:after="283"/>
              <w:jc w:val="right"/>
              <w:rPr/>
            </w:pPr>
            <w:r>
              <w:rPr/>
              <w:t> </w:t>
            </w:r>
          </w:p>
        </w:tc>
        <w:tc>
          <w:tcPr>
            <w:tcW w:w="101" w:type="dxa"/>
            <w:tcBorders/>
            <w:shd w:fill="FFFFFF" w:val="clear"/>
            <w:vAlign w:val="center"/>
          </w:tcPr>
          <w:p>
            <w:pPr>
              <w:pStyle w:val="TableContents"/>
              <w:bidi w:val="0"/>
              <w:spacing w:before="0" w:after="283"/>
              <w:ind w:left="0" w:right="0" w:hanging="180"/>
              <w:jc w:val="left"/>
              <w:rPr/>
            </w:pPr>
            <w:r>
              <w:rPr/>
              <w:t> </w:t>
            </w:r>
          </w:p>
        </w:tc>
      </w:tr>
      <w:tr>
        <w:trPr/>
        <w:tc>
          <w:tcPr>
            <w:tcW w:w="7100" w:type="dxa"/>
            <w:tcBorders/>
            <w:shd w:fill="CCEEFF" w:val="clear"/>
            <w:vAlign w:val="center"/>
          </w:tcPr>
          <w:p>
            <w:pPr>
              <w:pStyle w:val="TableContents"/>
              <w:bidi w:val="0"/>
              <w:spacing w:before="0" w:after="283"/>
              <w:jc w:val="left"/>
              <w:rPr>
                <w:sz w:val="20"/>
              </w:rPr>
            </w:pPr>
            <w:r>
              <w:rPr>
                <w:sz w:val="20"/>
              </w:rPr>
              <w:t>Cancellation of existing indebtedness in Exchange Agreement</w:t>
            </w:r>
            <w:r>
              <w:rPr>
                <w:position w:val="7"/>
                <w:sz w:val="16"/>
                <w:sz w:val="20"/>
              </w:rPr>
              <w:t>(9)</w:t>
            </w:r>
          </w:p>
        </w:tc>
        <w:tc>
          <w:tcPr>
            <w:tcW w:w="60" w:type="dxa"/>
            <w:tcBorders/>
            <w:shd w:fill="CCEEFF" w:val="clear"/>
            <w:vAlign w:val="center"/>
          </w:tcPr>
          <w:p>
            <w:pPr>
              <w:pStyle w:val="TableContents"/>
              <w:bidi w:val="0"/>
              <w:spacing w:before="0" w:after="283"/>
              <w:jc w:val="left"/>
              <w:rPr/>
            </w:pPr>
            <w:r>
              <w:rPr/>
              <w:t> </w:t>
            </w:r>
          </w:p>
        </w:tc>
        <w:tc>
          <w:tcPr>
            <w:tcW w:w="217" w:type="dxa"/>
            <w:tcBorders/>
            <w:shd w:fill="CCEEFF" w:val="clear"/>
            <w:vAlign w:val="center"/>
          </w:tcPr>
          <w:p>
            <w:pPr>
              <w:pStyle w:val="TableContents"/>
              <w:bidi w:val="0"/>
              <w:spacing w:before="0" w:after="283"/>
              <w:jc w:val="left"/>
              <w:rPr/>
            </w:pPr>
            <w:r>
              <w:rPr/>
              <w:t> </w:t>
            </w:r>
          </w:p>
        </w:tc>
        <w:tc>
          <w:tcPr>
            <w:tcW w:w="1178"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6" w:type="dxa"/>
            <w:tcBorders/>
            <w:shd w:fill="CCEEFF" w:val="clear"/>
            <w:vAlign w:val="center"/>
          </w:tcPr>
          <w:p>
            <w:pPr>
              <w:pStyle w:val="TableContents"/>
              <w:bidi w:val="0"/>
              <w:spacing w:before="0" w:after="283"/>
              <w:jc w:val="left"/>
              <w:rPr/>
            </w:pPr>
            <w:r>
              <w:rPr/>
              <w:t> </w:t>
            </w:r>
          </w:p>
        </w:tc>
        <w:tc>
          <w:tcPr>
            <w:tcW w:w="1188" w:type="dxa"/>
            <w:tcBorders/>
            <w:shd w:fill="CCEEFF" w:val="clear"/>
            <w:vAlign w:val="center"/>
          </w:tcPr>
          <w:p>
            <w:pPr>
              <w:pStyle w:val="TableContents"/>
              <w:bidi w:val="0"/>
              <w:spacing w:before="0" w:after="283"/>
              <w:jc w:val="right"/>
              <w:rPr/>
            </w:pPr>
            <w:r>
              <w:rPr/>
              <w:t>65,873</w:t>
            </w:r>
          </w:p>
        </w:tc>
        <w:tc>
          <w:tcPr>
            <w:tcW w:w="101" w:type="dxa"/>
            <w:tcBorders/>
            <w:shd w:fill="CCEEFF" w:val="clear"/>
            <w:vAlign w:val="center"/>
          </w:tcPr>
          <w:p>
            <w:pPr>
              <w:pStyle w:val="TableContents"/>
              <w:bidi w:val="0"/>
              <w:spacing w:before="0" w:after="283"/>
              <w:ind w:left="0" w:right="0" w:hanging="180"/>
              <w:jc w:val="left"/>
              <w:rPr/>
            </w:pPr>
            <w:r>
              <w:rPr/>
              <w:t> </w:t>
            </w:r>
          </w:p>
        </w:tc>
      </w:tr>
      <w:tr>
        <w:trPr/>
        <w:tc>
          <w:tcPr>
            <w:tcW w:w="7100" w:type="dxa"/>
            <w:tcBorders/>
            <w:shd w:fill="FFFFFF" w:val="clear"/>
            <w:vAlign w:val="center"/>
          </w:tcPr>
          <w:p>
            <w:pPr>
              <w:pStyle w:val="TableContents"/>
              <w:bidi w:val="0"/>
              <w:spacing w:before="0" w:after="283"/>
              <w:jc w:val="left"/>
              <w:rPr>
                <w:sz w:val="20"/>
              </w:rPr>
            </w:pPr>
            <w:r>
              <w:rPr>
                <w:sz w:val="20"/>
              </w:rPr>
              <w:t>Issuance of convertible notes in Exchange Agreement</w:t>
            </w:r>
            <w:r>
              <w:rPr>
                <w:position w:val="7"/>
                <w:sz w:val="16"/>
                <w:sz w:val="20"/>
              </w:rPr>
              <w:t>(10)</w:t>
            </w:r>
          </w:p>
        </w:tc>
        <w:tc>
          <w:tcPr>
            <w:tcW w:w="60" w:type="dxa"/>
            <w:tcBorders/>
            <w:shd w:fill="FFFFFF" w:val="clear"/>
            <w:vAlign w:val="center"/>
          </w:tcPr>
          <w:p>
            <w:pPr>
              <w:pStyle w:val="TableContents"/>
              <w:bidi w:val="0"/>
              <w:spacing w:before="0" w:after="283"/>
              <w:jc w:val="left"/>
              <w:rPr/>
            </w:pPr>
            <w:r>
              <w:rPr/>
              <w:t> </w:t>
            </w:r>
          </w:p>
        </w:tc>
        <w:tc>
          <w:tcPr>
            <w:tcW w:w="217" w:type="dxa"/>
            <w:tcBorders/>
            <w:shd w:fill="FFFFFF" w:val="clear"/>
            <w:vAlign w:val="center"/>
          </w:tcPr>
          <w:p>
            <w:pPr>
              <w:pStyle w:val="TableContents"/>
              <w:bidi w:val="0"/>
              <w:spacing w:before="0" w:after="283"/>
              <w:jc w:val="left"/>
              <w:rPr/>
            </w:pPr>
            <w:r>
              <w:rPr/>
              <w:t> </w:t>
            </w:r>
          </w:p>
        </w:tc>
        <w:tc>
          <w:tcPr>
            <w:tcW w:w="1178"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6" w:type="dxa"/>
            <w:tcBorders/>
            <w:shd w:fill="FFFFFF" w:val="clear"/>
            <w:vAlign w:val="center"/>
          </w:tcPr>
          <w:p>
            <w:pPr>
              <w:pStyle w:val="TableContents"/>
              <w:bidi w:val="0"/>
              <w:spacing w:before="0" w:after="283"/>
              <w:jc w:val="left"/>
              <w:rPr/>
            </w:pPr>
            <w:r>
              <w:rPr/>
              <w:t> </w:t>
            </w:r>
          </w:p>
        </w:tc>
        <w:tc>
          <w:tcPr>
            <w:tcW w:w="1188" w:type="dxa"/>
            <w:tcBorders/>
            <w:shd w:fill="FFFFFF" w:val="clear"/>
            <w:vAlign w:val="center"/>
          </w:tcPr>
          <w:p>
            <w:pPr>
              <w:pStyle w:val="TableContents"/>
              <w:bidi w:val="0"/>
              <w:spacing w:before="0" w:after="283"/>
              <w:jc w:val="right"/>
              <w:rPr/>
            </w:pPr>
            <w:r>
              <w:rPr/>
              <w:t>42,662</w:t>
            </w:r>
          </w:p>
        </w:tc>
        <w:tc>
          <w:tcPr>
            <w:tcW w:w="101" w:type="dxa"/>
            <w:tcBorders/>
            <w:shd w:fill="FFFFFF" w:val="clear"/>
            <w:vAlign w:val="center"/>
          </w:tcPr>
          <w:p>
            <w:pPr>
              <w:pStyle w:val="TableContents"/>
              <w:bidi w:val="0"/>
              <w:spacing w:before="0" w:after="283"/>
              <w:ind w:left="0" w:right="0" w:hanging="180"/>
              <w:jc w:val="left"/>
              <w:rPr/>
            </w:pPr>
            <w:r>
              <w:rPr/>
              <w:t> </w:t>
            </w:r>
          </w:p>
        </w:tc>
      </w:tr>
      <w:tr>
        <w:trPr/>
        <w:tc>
          <w:tcPr>
            <w:tcW w:w="7100" w:type="dxa"/>
            <w:tcBorders/>
            <w:shd w:fill="CCEEFF" w:val="clear"/>
            <w:vAlign w:val="center"/>
          </w:tcPr>
          <w:p>
            <w:pPr>
              <w:pStyle w:val="TableContents"/>
              <w:bidi w:val="0"/>
              <w:spacing w:before="0" w:after="283"/>
              <w:jc w:val="left"/>
              <w:rPr/>
            </w:pPr>
            <w:r>
              <w:rPr/>
              <w:t>Issuance of common stock in Exchange Agreement</w:t>
            </w:r>
          </w:p>
        </w:tc>
        <w:tc>
          <w:tcPr>
            <w:tcW w:w="60" w:type="dxa"/>
            <w:tcBorders/>
            <w:shd w:fill="CCEEFF" w:val="clear"/>
            <w:vAlign w:val="center"/>
          </w:tcPr>
          <w:p>
            <w:pPr>
              <w:pStyle w:val="TableContents"/>
              <w:bidi w:val="0"/>
              <w:spacing w:before="0" w:after="283"/>
              <w:jc w:val="left"/>
              <w:rPr/>
            </w:pPr>
            <w:r>
              <w:rPr/>
              <w:t> </w:t>
            </w:r>
          </w:p>
        </w:tc>
        <w:tc>
          <w:tcPr>
            <w:tcW w:w="217" w:type="dxa"/>
            <w:tcBorders/>
            <w:shd w:fill="CCEEFF" w:val="clear"/>
            <w:vAlign w:val="center"/>
          </w:tcPr>
          <w:p>
            <w:pPr>
              <w:pStyle w:val="TableContents"/>
              <w:bidi w:val="0"/>
              <w:spacing w:before="0" w:after="283"/>
              <w:jc w:val="left"/>
              <w:rPr/>
            </w:pPr>
            <w:r>
              <w:rPr/>
              <w:t> </w:t>
            </w:r>
          </w:p>
        </w:tc>
        <w:tc>
          <w:tcPr>
            <w:tcW w:w="1178"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6" w:type="dxa"/>
            <w:tcBorders/>
            <w:shd w:fill="CCEEFF" w:val="clear"/>
            <w:vAlign w:val="center"/>
          </w:tcPr>
          <w:p>
            <w:pPr>
              <w:pStyle w:val="TableContents"/>
              <w:bidi w:val="0"/>
              <w:spacing w:before="0" w:after="283"/>
              <w:jc w:val="left"/>
              <w:rPr/>
            </w:pPr>
            <w:r>
              <w:rPr/>
              <w:t> </w:t>
            </w:r>
          </w:p>
        </w:tc>
        <w:tc>
          <w:tcPr>
            <w:tcW w:w="1188" w:type="dxa"/>
            <w:tcBorders/>
            <w:shd w:fill="CCEEFF" w:val="clear"/>
            <w:vAlign w:val="center"/>
          </w:tcPr>
          <w:p>
            <w:pPr>
              <w:pStyle w:val="TableContents"/>
              <w:bidi w:val="0"/>
              <w:spacing w:before="0" w:after="283"/>
              <w:jc w:val="right"/>
              <w:rPr/>
            </w:pPr>
            <w:r>
              <w:rPr/>
              <w:t>2,220</w:t>
            </w:r>
          </w:p>
        </w:tc>
        <w:tc>
          <w:tcPr>
            <w:tcW w:w="101" w:type="dxa"/>
            <w:tcBorders/>
            <w:shd w:fill="CCEEFF" w:val="clear"/>
            <w:vAlign w:val="center"/>
          </w:tcPr>
          <w:p>
            <w:pPr>
              <w:pStyle w:val="TableContents"/>
              <w:bidi w:val="0"/>
              <w:spacing w:before="0" w:after="283"/>
              <w:ind w:left="0" w:right="0" w:hanging="180"/>
              <w:jc w:val="left"/>
              <w:rPr/>
            </w:pPr>
            <w:r>
              <w:rPr/>
              <w:t> </w:t>
            </w:r>
          </w:p>
        </w:tc>
      </w:tr>
      <w:tr>
        <w:trPr/>
        <w:tc>
          <w:tcPr>
            <w:tcW w:w="7100" w:type="dxa"/>
            <w:tcBorders/>
            <w:shd w:fill="FFFFFF" w:val="clear"/>
            <w:vAlign w:val="center"/>
          </w:tcPr>
          <w:p>
            <w:pPr>
              <w:pStyle w:val="TableContents"/>
              <w:bidi w:val="0"/>
              <w:spacing w:before="0" w:after="283"/>
              <w:jc w:val="left"/>
              <w:rPr/>
            </w:pPr>
            <w:r>
              <w:rPr/>
              <w:t>Conversion of SAFE Agreements to shares of common stock – related party</w:t>
            </w:r>
          </w:p>
        </w:tc>
        <w:tc>
          <w:tcPr>
            <w:tcW w:w="60" w:type="dxa"/>
            <w:tcBorders/>
            <w:shd w:fill="FFFFFF" w:val="clear"/>
            <w:vAlign w:val="center"/>
          </w:tcPr>
          <w:p>
            <w:pPr>
              <w:pStyle w:val="TableContents"/>
              <w:bidi w:val="0"/>
              <w:spacing w:before="0" w:after="283"/>
              <w:jc w:val="left"/>
              <w:rPr/>
            </w:pPr>
            <w:r>
              <w:rPr/>
              <w:t> </w:t>
            </w:r>
          </w:p>
        </w:tc>
        <w:tc>
          <w:tcPr>
            <w:tcW w:w="217" w:type="dxa"/>
            <w:tcBorders/>
            <w:shd w:fill="FFFFFF" w:val="clear"/>
            <w:vAlign w:val="center"/>
          </w:tcPr>
          <w:p>
            <w:pPr>
              <w:pStyle w:val="TableContents"/>
              <w:bidi w:val="0"/>
              <w:spacing w:before="0" w:after="283"/>
              <w:jc w:val="left"/>
              <w:rPr/>
            </w:pPr>
            <w:r>
              <w:rPr/>
              <w:t> </w:t>
            </w:r>
          </w:p>
        </w:tc>
        <w:tc>
          <w:tcPr>
            <w:tcW w:w="1178"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6" w:type="dxa"/>
            <w:tcBorders/>
            <w:shd w:fill="FFFFFF" w:val="clear"/>
            <w:vAlign w:val="center"/>
          </w:tcPr>
          <w:p>
            <w:pPr>
              <w:pStyle w:val="TableContents"/>
              <w:bidi w:val="0"/>
              <w:spacing w:before="0" w:after="283"/>
              <w:jc w:val="left"/>
              <w:rPr/>
            </w:pPr>
            <w:r>
              <w:rPr/>
              <w:t> </w:t>
            </w:r>
          </w:p>
        </w:tc>
        <w:tc>
          <w:tcPr>
            <w:tcW w:w="1188" w:type="dxa"/>
            <w:tcBorders/>
            <w:shd w:fill="FFFFFF" w:val="clear"/>
            <w:vAlign w:val="center"/>
          </w:tcPr>
          <w:p>
            <w:pPr>
              <w:pStyle w:val="TableContents"/>
              <w:bidi w:val="0"/>
              <w:spacing w:before="0" w:after="283"/>
              <w:jc w:val="right"/>
              <w:rPr/>
            </w:pPr>
            <w:r>
              <w:rPr/>
              <w:t>5,000</w:t>
            </w:r>
          </w:p>
        </w:tc>
        <w:tc>
          <w:tcPr>
            <w:tcW w:w="101" w:type="dxa"/>
            <w:tcBorders/>
            <w:shd w:fill="FFFFFF" w:val="clear"/>
            <w:vAlign w:val="center"/>
          </w:tcPr>
          <w:p>
            <w:pPr>
              <w:pStyle w:val="TableContents"/>
              <w:bidi w:val="0"/>
              <w:spacing w:before="0" w:after="283"/>
              <w:ind w:left="0" w:right="0" w:hanging="180"/>
              <w:jc w:val="left"/>
              <w:rPr/>
            </w:pPr>
            <w:r>
              <w:rPr/>
              <w:t> </w:t>
            </w:r>
          </w:p>
        </w:tc>
      </w:tr>
      <w:tr>
        <w:trPr/>
        <w:tc>
          <w:tcPr>
            <w:tcW w:w="7100" w:type="dxa"/>
            <w:tcBorders/>
            <w:shd w:fill="CCEEFF" w:val="clear"/>
            <w:vAlign w:val="center"/>
          </w:tcPr>
          <w:p>
            <w:pPr>
              <w:pStyle w:val="TableContents"/>
              <w:bidi w:val="0"/>
              <w:spacing w:before="0" w:after="283"/>
              <w:jc w:val="left"/>
              <w:rPr/>
            </w:pPr>
            <w:r>
              <w:rPr/>
              <w:t>Operating lease right-of-use assets obtained in exchange for new operating lease liabilities</w:t>
            </w:r>
          </w:p>
        </w:tc>
        <w:tc>
          <w:tcPr>
            <w:tcW w:w="60" w:type="dxa"/>
            <w:tcBorders/>
            <w:shd w:fill="CCEEFF" w:val="clear"/>
            <w:vAlign w:val="center"/>
          </w:tcPr>
          <w:p>
            <w:pPr>
              <w:pStyle w:val="TableContents"/>
              <w:bidi w:val="0"/>
              <w:spacing w:before="0" w:after="283"/>
              <w:jc w:val="left"/>
              <w:rPr/>
            </w:pPr>
            <w:r>
              <w:rPr/>
              <w:t> </w:t>
            </w:r>
          </w:p>
        </w:tc>
        <w:tc>
          <w:tcPr>
            <w:tcW w:w="217" w:type="dxa"/>
            <w:tcBorders/>
            <w:shd w:fill="CCEEFF" w:val="clear"/>
            <w:vAlign w:val="center"/>
          </w:tcPr>
          <w:p>
            <w:pPr>
              <w:pStyle w:val="TableContents"/>
              <w:bidi w:val="0"/>
              <w:spacing w:before="0" w:after="283"/>
              <w:jc w:val="left"/>
              <w:rPr/>
            </w:pPr>
            <w:r>
              <w:rPr/>
              <w:t> </w:t>
            </w:r>
          </w:p>
        </w:tc>
        <w:tc>
          <w:tcPr>
            <w:tcW w:w="1178"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6" w:type="dxa"/>
            <w:tcBorders/>
            <w:shd w:fill="CCEEFF" w:val="clear"/>
            <w:vAlign w:val="center"/>
          </w:tcPr>
          <w:p>
            <w:pPr>
              <w:pStyle w:val="TableContents"/>
              <w:bidi w:val="0"/>
              <w:spacing w:before="0" w:after="283"/>
              <w:jc w:val="left"/>
              <w:rPr/>
            </w:pPr>
            <w:r>
              <w:rPr/>
              <w:t> </w:t>
            </w:r>
          </w:p>
        </w:tc>
        <w:tc>
          <w:tcPr>
            <w:tcW w:w="1188" w:type="dxa"/>
            <w:tcBorders/>
            <w:shd w:fill="CCEEFF" w:val="clear"/>
            <w:vAlign w:val="center"/>
          </w:tcPr>
          <w:p>
            <w:pPr>
              <w:pStyle w:val="TableContents"/>
              <w:bidi w:val="0"/>
              <w:spacing w:before="0" w:after="283"/>
              <w:jc w:val="right"/>
              <w:rPr/>
            </w:pPr>
            <w:r>
              <w:rPr/>
              <w:t>116</w:t>
            </w:r>
          </w:p>
        </w:tc>
        <w:tc>
          <w:tcPr>
            <w:tcW w:w="101" w:type="dxa"/>
            <w:tcBorders/>
            <w:shd w:fill="CCEEFF" w:val="clear"/>
            <w:vAlign w:val="center"/>
          </w:tcPr>
          <w:p>
            <w:pPr>
              <w:pStyle w:val="TableContents"/>
              <w:bidi w:val="0"/>
              <w:spacing w:before="0" w:after="283"/>
              <w:ind w:left="0" w:right="0" w:hanging="180"/>
              <w:jc w:val="left"/>
              <w:rPr/>
            </w:pPr>
            <w:r>
              <w:rPr/>
              <w:t> </w:t>
            </w:r>
          </w:p>
        </w:tc>
      </w:tr>
      <w:tr>
        <w:trPr/>
        <w:tc>
          <w:tcPr>
            <w:tcW w:w="7100" w:type="dxa"/>
            <w:tcBorders/>
            <w:shd w:fill="FFFFFF" w:val="clear"/>
            <w:vAlign w:val="center"/>
          </w:tcPr>
          <w:p>
            <w:pPr>
              <w:pStyle w:val="TableContents"/>
              <w:bidi w:val="0"/>
              <w:spacing w:before="0" w:after="283"/>
              <w:jc w:val="left"/>
              <w:rPr/>
            </w:pPr>
            <w:r>
              <w:rPr/>
              <w:t>Offering costs</w:t>
            </w:r>
          </w:p>
        </w:tc>
        <w:tc>
          <w:tcPr>
            <w:tcW w:w="60" w:type="dxa"/>
            <w:tcBorders/>
            <w:shd w:fill="FFFFFF" w:val="clear"/>
            <w:vAlign w:val="center"/>
          </w:tcPr>
          <w:p>
            <w:pPr>
              <w:pStyle w:val="TableContents"/>
              <w:bidi w:val="0"/>
              <w:spacing w:before="0" w:after="283"/>
              <w:jc w:val="left"/>
              <w:rPr/>
            </w:pPr>
            <w:r>
              <w:rPr/>
              <w:t> </w:t>
            </w:r>
          </w:p>
        </w:tc>
        <w:tc>
          <w:tcPr>
            <w:tcW w:w="217" w:type="dxa"/>
            <w:tcBorders/>
            <w:shd w:fill="FFFFFF" w:val="clear"/>
            <w:vAlign w:val="center"/>
          </w:tcPr>
          <w:p>
            <w:pPr>
              <w:pStyle w:val="TableContents"/>
              <w:bidi w:val="0"/>
              <w:spacing w:before="0" w:after="283"/>
              <w:jc w:val="left"/>
              <w:rPr/>
            </w:pPr>
            <w:r>
              <w:rPr/>
              <w:t> </w:t>
            </w:r>
          </w:p>
        </w:tc>
        <w:tc>
          <w:tcPr>
            <w:tcW w:w="1178"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6" w:type="dxa"/>
            <w:tcBorders/>
            <w:shd w:fill="FFFFFF" w:val="clear"/>
            <w:vAlign w:val="center"/>
          </w:tcPr>
          <w:p>
            <w:pPr>
              <w:pStyle w:val="TableContents"/>
              <w:bidi w:val="0"/>
              <w:spacing w:before="0" w:after="283"/>
              <w:jc w:val="left"/>
              <w:rPr/>
            </w:pPr>
            <w:r>
              <w:rPr/>
              <w:t> </w:t>
            </w:r>
          </w:p>
        </w:tc>
        <w:tc>
          <w:tcPr>
            <w:tcW w:w="1188" w:type="dxa"/>
            <w:tcBorders/>
            <w:shd w:fill="FFFFFF" w:val="clear"/>
            <w:vAlign w:val="center"/>
          </w:tcPr>
          <w:p>
            <w:pPr>
              <w:pStyle w:val="TableContents"/>
              <w:bidi w:val="0"/>
              <w:spacing w:before="0" w:after="283"/>
              <w:jc w:val="right"/>
              <w:rPr/>
            </w:pPr>
            <w:r>
              <w:rPr/>
              <w:t>1,396</w:t>
            </w:r>
          </w:p>
        </w:tc>
        <w:tc>
          <w:tcPr>
            <w:tcW w:w="101" w:type="dxa"/>
            <w:tcBorders/>
            <w:shd w:fill="FFFFFF" w:val="clear"/>
            <w:vAlign w:val="center"/>
          </w:tcPr>
          <w:p>
            <w:pPr>
              <w:pStyle w:val="TableContents"/>
              <w:bidi w:val="0"/>
              <w:spacing w:before="0" w:after="283"/>
              <w:ind w:left="0" w:right="0" w:hanging="180"/>
              <w:jc w:val="left"/>
              <w:rPr/>
            </w:pPr>
            <w:r>
              <w:rPr/>
              <w:t> </w:t>
            </w:r>
          </w:p>
        </w:tc>
      </w:tr>
      <w:tr>
        <w:trPr/>
        <w:tc>
          <w:tcPr>
            <w:tcW w:w="7100" w:type="dxa"/>
            <w:tcBorders/>
            <w:shd w:fill="CCEEFF" w:val="clear"/>
            <w:vAlign w:val="center"/>
          </w:tcPr>
          <w:p>
            <w:pPr>
              <w:pStyle w:val="TableContents"/>
              <w:bidi w:val="0"/>
              <w:spacing w:before="0" w:after="283"/>
              <w:jc w:val="left"/>
              <w:rPr/>
            </w:pPr>
            <w:r>
              <w:rPr/>
              <w:t>Warrants issued in debt issuance</w:t>
            </w:r>
          </w:p>
        </w:tc>
        <w:tc>
          <w:tcPr>
            <w:tcW w:w="60" w:type="dxa"/>
            <w:tcBorders/>
            <w:shd w:fill="CCEEFF" w:val="clear"/>
            <w:vAlign w:val="center"/>
          </w:tcPr>
          <w:p>
            <w:pPr>
              <w:pStyle w:val="TableContents"/>
              <w:bidi w:val="0"/>
              <w:spacing w:before="0" w:after="283"/>
              <w:jc w:val="left"/>
              <w:rPr/>
            </w:pPr>
            <w:r>
              <w:rPr/>
              <w:t> </w:t>
            </w:r>
          </w:p>
        </w:tc>
        <w:tc>
          <w:tcPr>
            <w:tcW w:w="217" w:type="dxa"/>
            <w:tcBorders/>
            <w:shd w:fill="CCEEFF" w:val="clear"/>
            <w:vAlign w:val="center"/>
          </w:tcPr>
          <w:p>
            <w:pPr>
              <w:pStyle w:val="TableContents"/>
              <w:bidi w:val="0"/>
              <w:spacing w:before="0" w:after="283"/>
              <w:jc w:val="left"/>
              <w:rPr/>
            </w:pPr>
            <w:r>
              <w:rPr/>
              <w:t> </w:t>
            </w:r>
          </w:p>
        </w:tc>
        <w:tc>
          <w:tcPr>
            <w:tcW w:w="1178"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6" w:type="dxa"/>
            <w:tcBorders/>
            <w:shd w:fill="CCEEFF" w:val="clear"/>
            <w:vAlign w:val="center"/>
          </w:tcPr>
          <w:p>
            <w:pPr>
              <w:pStyle w:val="TableContents"/>
              <w:bidi w:val="0"/>
              <w:spacing w:before="0" w:after="283"/>
              <w:jc w:val="left"/>
              <w:rPr/>
            </w:pPr>
            <w:r>
              <w:rPr/>
              <w:t> </w:t>
            </w:r>
          </w:p>
        </w:tc>
        <w:tc>
          <w:tcPr>
            <w:tcW w:w="1188" w:type="dxa"/>
            <w:tcBorders/>
            <w:shd w:fill="CCEEFF" w:val="clear"/>
            <w:vAlign w:val="center"/>
          </w:tcPr>
          <w:p>
            <w:pPr>
              <w:pStyle w:val="TableContents"/>
              <w:bidi w:val="0"/>
              <w:spacing w:before="0" w:after="283"/>
              <w:jc w:val="right"/>
              <w:rPr/>
            </w:pPr>
            <w:r>
              <w:rPr/>
              <w:t>860</w:t>
            </w:r>
          </w:p>
        </w:tc>
        <w:tc>
          <w:tcPr>
            <w:tcW w:w="101" w:type="dxa"/>
            <w:tcBorders/>
            <w:shd w:fill="CCEEFF" w:val="clear"/>
            <w:vAlign w:val="center"/>
          </w:tcPr>
          <w:p>
            <w:pPr>
              <w:pStyle w:val="TableContents"/>
              <w:bidi w:val="0"/>
              <w:spacing w:before="0" w:after="283"/>
              <w:ind w:left="0" w:right="0" w:hanging="180"/>
              <w:jc w:val="left"/>
              <w:rPr/>
            </w:pPr>
            <w:r>
              <w:rPr/>
              <w:t> </w:t>
            </w:r>
          </w:p>
        </w:tc>
      </w:tr>
      <w:tr>
        <w:trPr/>
        <w:tc>
          <w:tcPr>
            <w:tcW w:w="7100" w:type="dxa"/>
            <w:tcBorders/>
            <w:shd w:fill="FFFFFF" w:val="clear"/>
            <w:vAlign w:val="center"/>
          </w:tcPr>
          <w:p>
            <w:pPr>
              <w:pStyle w:val="TableContents"/>
              <w:bidi w:val="0"/>
              <w:spacing w:before="0" w:after="283"/>
              <w:jc w:val="left"/>
              <w:rPr/>
            </w:pPr>
            <w:r>
              <w:rPr/>
              <w:t>Carlyle Warrant modification – related party</w:t>
            </w:r>
          </w:p>
        </w:tc>
        <w:tc>
          <w:tcPr>
            <w:tcW w:w="60" w:type="dxa"/>
            <w:tcBorders/>
            <w:shd w:fill="FFFFFF" w:val="clear"/>
            <w:vAlign w:val="center"/>
          </w:tcPr>
          <w:p>
            <w:pPr>
              <w:pStyle w:val="TableContents"/>
              <w:bidi w:val="0"/>
              <w:spacing w:before="0" w:after="283"/>
              <w:jc w:val="left"/>
              <w:rPr/>
            </w:pPr>
            <w:r>
              <w:rPr/>
              <w:t> </w:t>
            </w:r>
          </w:p>
        </w:tc>
        <w:tc>
          <w:tcPr>
            <w:tcW w:w="217" w:type="dxa"/>
            <w:tcBorders/>
            <w:shd w:fill="FFFFFF" w:val="clear"/>
            <w:vAlign w:val="center"/>
          </w:tcPr>
          <w:p>
            <w:pPr>
              <w:pStyle w:val="TableContents"/>
              <w:bidi w:val="0"/>
              <w:spacing w:before="0" w:after="283"/>
              <w:jc w:val="left"/>
              <w:rPr/>
            </w:pPr>
            <w:r>
              <w:rPr/>
              <w:t> </w:t>
            </w:r>
          </w:p>
        </w:tc>
        <w:tc>
          <w:tcPr>
            <w:tcW w:w="1178"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6" w:type="dxa"/>
            <w:tcBorders/>
            <w:shd w:fill="FFFFFF" w:val="clear"/>
            <w:vAlign w:val="center"/>
          </w:tcPr>
          <w:p>
            <w:pPr>
              <w:pStyle w:val="TableContents"/>
              <w:bidi w:val="0"/>
              <w:spacing w:before="0" w:after="283"/>
              <w:jc w:val="left"/>
              <w:rPr/>
            </w:pPr>
            <w:r>
              <w:rPr/>
              <w:t> </w:t>
            </w:r>
          </w:p>
        </w:tc>
        <w:tc>
          <w:tcPr>
            <w:tcW w:w="1188" w:type="dxa"/>
            <w:tcBorders/>
            <w:shd w:fill="FFFFFF" w:val="clear"/>
            <w:vAlign w:val="center"/>
          </w:tcPr>
          <w:p>
            <w:pPr>
              <w:pStyle w:val="TableContents"/>
              <w:bidi w:val="0"/>
              <w:spacing w:before="0" w:after="283"/>
              <w:jc w:val="right"/>
              <w:rPr/>
            </w:pPr>
            <w:r>
              <w:rPr/>
              <w:t>7,306</w:t>
            </w:r>
          </w:p>
        </w:tc>
        <w:tc>
          <w:tcPr>
            <w:tcW w:w="101"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57"/>
        <w:gridCol w:w="9948"/>
      </w:tblGrid>
      <w:tr>
        <w:trPr/>
        <w:tc>
          <w:tcPr>
            <w:tcW w:w="257"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w:t>
            </w:r>
          </w:p>
        </w:tc>
        <w:tc>
          <w:tcPr>
            <w:tcW w:w="9948"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Amortization of debt issuance costs includes $2.6 million and $1.6 million with related parties in 2025 and 2024, respectively.</w:t>
            </w:r>
          </w:p>
        </w:tc>
      </w:tr>
    </w:tbl>
    <w:p>
      <w:pPr>
        <w:pStyle w:val="TextBody"/>
        <w:bidi w:val="0"/>
        <w:spacing w:before="0" w:after="0"/>
        <w:ind w:left="135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50"/>
        <w:gridCol w:w="9955"/>
      </w:tblGrid>
      <w:tr>
        <w:trPr/>
        <w:tc>
          <w:tcPr>
            <w:tcW w:w="25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w:t>
            </w:r>
          </w:p>
        </w:tc>
        <w:tc>
          <w:tcPr>
            <w:tcW w:w="995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 xml:space="preserve">Includes $3.0 million loss in 2024 with the Massey Trust (as later defined in </w:t>
            </w:r>
            <w:r>
              <w:rPr>
                <w:rFonts w:ascii="Times New Roman;Times;Serif" w:hAnsi="Times New Roman;Times;Serif"/>
                <w:b/>
                <w:sz w:val="20"/>
              </w:rPr>
              <w:t>Note 10 – Borrowings and Derivative Liabilities</w:t>
            </w:r>
            <w:r>
              <w:rPr>
                <w:rFonts w:ascii="Times New Roman;Times;Serif" w:hAnsi="Times New Roman;Times;Serif"/>
                <w:sz w:val="20"/>
              </w:rPr>
              <w:t>), a related party.</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25"/>
        <w:gridCol w:w="9980"/>
      </w:tblGrid>
      <w:tr>
        <w:trPr/>
        <w:tc>
          <w:tcPr>
            <w:tcW w:w="22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(3)</w:t>
            </w:r>
          </w:p>
        </w:tc>
        <w:tc>
          <w:tcPr>
            <w:tcW w:w="998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 xml:space="preserve">Includes $3.5 gain and $0.3 million gain in 2025 and 2024, respectively, in connection with the change in the fair value of derivative liabilities with related parties, the Massey Trust and Carlyle (as later defined in </w:t>
            </w:r>
            <w:r>
              <w:rPr>
                <w:rFonts w:ascii="Times New Roman;Times;Serif" w:hAnsi="Times New Roman;Times;Serif"/>
                <w:b/>
                <w:sz w:val="20"/>
              </w:rPr>
              <w:t>Note 10 – Borrowings and Derivative Liabilities</w:t>
            </w:r>
            <w:r>
              <w:rPr>
                <w:rFonts w:ascii="Times New Roman;Times;Serif" w:hAnsi="Times New Roman;Times;Serif"/>
                <w:sz w:val="20"/>
              </w:rPr>
              <w:t>).</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48"/>
        <w:gridCol w:w="9957"/>
      </w:tblGrid>
      <w:tr>
        <w:trPr/>
        <w:tc>
          <w:tcPr>
            <w:tcW w:w="248"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(4)</w:t>
            </w:r>
          </w:p>
        </w:tc>
        <w:tc>
          <w:tcPr>
            <w:tcW w:w="995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Change in fair value of forward purchase agreement liabilities with related parties was income of $0.1 million in each of 2025 and 2024, respectively.</w:t>
            </w:r>
          </w:p>
        </w:tc>
      </w:tr>
    </w:tbl>
    <w:p>
      <w:pPr>
        <w:pStyle w:val="TextBody"/>
        <w:bidi w:val="0"/>
        <w:spacing w:before="0" w:after="0"/>
        <w:ind w:left="0" w:right="0" w:hanging="0"/>
        <w:jc w:val="left"/>
        <w:rPr>
          <w:caps w:val="false"/>
          <w:smallCaps w:val="false"/>
        </w:rPr>
      </w:pPr>
      <w:r>
        <w:rPr>
          <w:caps w:val="false"/>
          <w:smallCaps w:val="false"/>
        </w:rPr>
        <w:t>   </w:t>
      </w:r>
    </w:p>
    <w:tbl>
      <w:tblPr>
        <w:tblW w:w="5455" w:type="dxa"/>
        <w:jc w:val="left"/>
        <w:tblInd w:w="0" w:type="dxa"/>
        <w:tblLayout w:type="fixed"/>
        <w:tblCellMar>
          <w:top w:w="0" w:type="dxa"/>
          <w:left w:w="0" w:type="dxa"/>
          <w:bottom w:w="0" w:type="dxa"/>
          <w:right w:w="0" w:type="dxa"/>
        </w:tblCellMar>
      </w:tblPr>
      <w:tblGrid>
        <w:gridCol w:w="260"/>
        <w:gridCol w:w="5195"/>
      </w:tblGrid>
      <w:tr>
        <w:trPr/>
        <w:tc>
          <w:tcPr>
            <w:tcW w:w="2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(5)</w:t>
            </w:r>
          </w:p>
        </w:tc>
        <w:tc>
          <w:tcPr>
            <w:tcW w:w="519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Includes related party non-cash income of $0.1 million in 2025.</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57"/>
        <w:gridCol w:w="9948"/>
      </w:tblGrid>
      <w:tr>
        <w:trPr/>
        <w:tc>
          <w:tcPr>
            <w:tcW w:w="257"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(6)</w:t>
            </w:r>
          </w:p>
        </w:tc>
        <w:tc>
          <w:tcPr>
            <w:tcW w:w="9948"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 xml:space="preserve">Gain includes $12.5 million with a related party in 2024. Refer to </w:t>
            </w:r>
            <w:r>
              <w:rPr>
                <w:rFonts w:ascii="Times New Roman;Times;Serif" w:hAnsi="Times New Roman;Times;Serif"/>
                <w:b/>
                <w:sz w:val="20"/>
              </w:rPr>
              <w:t>Note 10 – Borrowings and Derivative Liabilities</w:t>
            </w:r>
            <w:r>
              <w:rPr>
                <w:rFonts w:ascii="Times New Roman;Times;Serif" w:hAnsi="Times New Roman;Times;Serif"/>
                <w:sz w:val="20"/>
              </w:rPr>
              <w:t xml:space="preserve"> for details.</w:t>
            </w:r>
          </w:p>
        </w:tc>
      </w:tr>
    </w:tbl>
    <w:p>
      <w:pPr>
        <w:pStyle w:val="TextBody"/>
        <w:bidi w:val="0"/>
        <w:spacing w:before="0" w:after="0"/>
        <w:ind w:left="0" w:right="0" w:hanging="0"/>
        <w:jc w:val="left"/>
        <w:rPr>
          <w:caps w:val="false"/>
          <w:smallCaps w:val="false"/>
        </w:rPr>
      </w:pPr>
      <w:r>
        <w:rPr>
          <w:caps w:val="false"/>
          <w:smallCaps w:val="false"/>
        </w:rPr>
        <w:t> </w:t>
      </w:r>
    </w:p>
    <w:tbl>
      <w:tblPr>
        <w:tblW w:w="4165" w:type="dxa"/>
        <w:jc w:val="left"/>
        <w:tblInd w:w="0" w:type="dxa"/>
        <w:tblLayout w:type="fixed"/>
        <w:tblCellMar>
          <w:top w:w="0" w:type="dxa"/>
          <w:left w:w="0" w:type="dxa"/>
          <w:bottom w:w="0" w:type="dxa"/>
          <w:right w:w="0" w:type="dxa"/>
        </w:tblCellMar>
      </w:tblPr>
      <w:tblGrid>
        <w:gridCol w:w="260"/>
        <w:gridCol w:w="3905"/>
      </w:tblGrid>
      <w:tr>
        <w:trPr/>
        <w:tc>
          <w:tcPr>
            <w:tcW w:w="2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(7)</w:t>
            </w:r>
          </w:p>
        </w:tc>
        <w:tc>
          <w:tcPr>
            <w:tcW w:w="390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Identified as a related party transaction in 2024.</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55"/>
        <w:gridCol w:w="9950"/>
      </w:tblGrid>
      <w:tr>
        <w:trPr/>
        <w:tc>
          <w:tcPr>
            <w:tcW w:w="2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(8)</w:t>
            </w:r>
          </w:p>
        </w:tc>
        <w:tc>
          <w:tcPr>
            <w:tcW w:w="995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 xml:space="preserve">Issuance of Seller Note was deemed to be with a related party. Refer to </w:t>
            </w:r>
            <w:r>
              <w:rPr>
                <w:rFonts w:ascii="Times New Roman;Times;Serif" w:hAnsi="Times New Roman;Times;Serif"/>
                <w:b/>
                <w:sz w:val="20"/>
              </w:rPr>
              <w:t xml:space="preserve">Note 10. – Borrowings and Derivative Liabilities </w:t>
            </w:r>
            <w:r>
              <w:rPr>
                <w:rFonts w:ascii="Times New Roman;Times;Serif" w:hAnsi="Times New Roman;Times;Serif"/>
                <w:sz w:val="20"/>
              </w:rPr>
              <w:t>for details.</w:t>
            </w:r>
          </w:p>
        </w:tc>
      </w:tr>
    </w:tbl>
    <w:p>
      <w:pPr>
        <w:pStyle w:val="TextBody"/>
        <w:bidi w:val="0"/>
        <w:spacing w:before="0" w:after="0"/>
        <w:ind w:left="0" w:right="0" w:hanging="0"/>
        <w:jc w:val="left"/>
        <w:rPr>
          <w:caps w:val="false"/>
          <w:smallCaps w:val="false"/>
        </w:rPr>
      </w:pPr>
      <w:r>
        <w:rPr>
          <w:caps w:val="false"/>
          <w:smallCaps w:val="false"/>
        </w:rPr>
        <w:t> </w:t>
      </w:r>
    </w:p>
    <w:tbl>
      <w:tblPr>
        <w:tblW w:w="4915" w:type="dxa"/>
        <w:jc w:val="left"/>
        <w:tblInd w:w="0" w:type="dxa"/>
        <w:tblLayout w:type="fixed"/>
        <w:tblCellMar>
          <w:top w:w="0" w:type="dxa"/>
          <w:left w:w="0" w:type="dxa"/>
          <w:bottom w:w="0" w:type="dxa"/>
          <w:right w:w="0" w:type="dxa"/>
        </w:tblCellMar>
      </w:tblPr>
      <w:tblGrid>
        <w:gridCol w:w="260"/>
        <w:gridCol w:w="4655"/>
      </w:tblGrid>
      <w:tr>
        <w:trPr/>
        <w:tc>
          <w:tcPr>
            <w:tcW w:w="2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(9)</w:t>
            </w:r>
          </w:p>
        </w:tc>
        <w:tc>
          <w:tcPr>
            <w:tcW w:w="465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Includes related party debt cancellation of $37.2 million.</w:t>
            </w:r>
          </w:p>
        </w:tc>
      </w:tr>
    </w:tbl>
    <w:p>
      <w:pPr>
        <w:pStyle w:val="TextBody"/>
        <w:bidi w:val="0"/>
        <w:spacing w:before="0" w:after="0"/>
        <w:ind w:left="0" w:right="0" w:hanging="0"/>
        <w:jc w:val="left"/>
        <w:rPr>
          <w:caps w:val="false"/>
          <w:smallCaps w:val="false"/>
        </w:rPr>
      </w:pPr>
      <w:r>
        <w:rPr>
          <w:caps w:val="false"/>
          <w:smallCaps w:val="false"/>
        </w:rPr>
        <w:t>  </w:t>
      </w:r>
    </w:p>
    <w:tbl>
      <w:tblPr>
        <w:tblW w:w="6280" w:type="dxa"/>
        <w:jc w:val="left"/>
        <w:tblInd w:w="0" w:type="dxa"/>
        <w:tblLayout w:type="fixed"/>
        <w:tblCellMar>
          <w:top w:w="0" w:type="dxa"/>
          <w:left w:w="0" w:type="dxa"/>
          <w:bottom w:w="0" w:type="dxa"/>
          <w:right w:w="0" w:type="dxa"/>
        </w:tblCellMar>
      </w:tblPr>
      <w:tblGrid>
        <w:gridCol w:w="365"/>
        <w:gridCol w:w="5915"/>
      </w:tblGrid>
      <w:tr>
        <w:trPr/>
        <w:tc>
          <w:tcPr>
            <w:tcW w:w="36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(10)</w:t>
            </w:r>
          </w:p>
        </w:tc>
        <w:tc>
          <w:tcPr>
            <w:tcW w:w="591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Includes $23.7 million issuance of convertible notes with related parties.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accompanying notes are an integral part of these consolidated financial statements.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center"/>
        <w:rPr>
          <w:sz w:val="20"/>
          <w:bdr w:val="single" w:sz="12" w:space="1" w:color="000000"/>
        </w:rPr>
      </w:pPr>
      <w:r>
        <w:rPr>
          <w:sz w:val="20"/>
          <w:bdr w:val="single" w:sz="12" w:space="1" w:color="000000"/>
        </w:rPr>
        <w:t>F-54</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32" w:name="C_006"/>
      <w:bookmarkEnd w:id="32"/>
      <w:r>
        <w:rPr>
          <w:rFonts w:ascii="Times New Roman;Times;Serif" w:hAnsi="Times New Roman;Times;Serif"/>
          <w:b/>
          <w:i w:val="false"/>
          <w:caps w:val="false"/>
          <w:smallCaps w:val="false"/>
          <w:sz w:val="20"/>
        </w:rPr>
        <w:t>SUNPOWER INC.</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Consolidated Financial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 Organization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Description of Business</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SunPower Inc. (“SunPower” or the “Company”) is the rebranded name of Complete Solaria, Inc. (“Complete Solaria”). The rebranding was effective April 22, 2025 and the Company’s legal name change became effective on October 16, 2025.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was originally incorporated in Delaware under the name Complete Solaria, Inc. and is a residential solar installer that offers storage and home energy solutions to customers in North America. The Company was formed through Complete Solar Holding Corporation’s acquisition of The Solaria Corporation (“Solaria”). The Company is headquartered in Orem, Utah.</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Complete Solar, Inc. (“Complete Solar”) was incorporated in Delaware on February 22, 2010. Through February 2022, the Company operated as Complete Solar, Inc., a single legal entity. In February 2022, Complete Solar implemented a holding company reorganization (the “Reorganization”) in which the Company created and incorporated Complete Solar Holding Corporation (“Complete Solar Holdings”). As a result of the Reorganization, Complete Solar Holdings became the successor entity to Complete Solar, Inc. Complete Solaria, Inc. (“Complete Solaria”) was formed in November 2022 through the merger of Complete Solar Holding Corporation, a Delaware corporation (“Complete Solar”), and The Solaria Corporation, a Delaware corporation (such entity, “Solaria,” and such transaction, the “Business Combination”).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July 18, 2023, the Company consummated a series of merger transactions contemplated by an Amended and Restated Business Combination Agreement entered into with wholly-owned subsidiaries of Freedom Acquisition I Corp. (“FACT”) (“Mergers”), equating to a reverse recapitalization for accounting purposes. Under the reverse recapitalization of accounting, FACT was treated as the acquired company for financial statement reporting purposes. This determination was based on the Company having a majority of the voting power of the post-combination company, the Company’s senior management comprising substantially all of the senior management of the post-combination company, and the Company’s operations comprising the ongoing operations of the post-combination company. Accordingly, for accounting purposes, the Mergers were treated as the equivalent of a capital transaction in which Complete Solaria issued stock for the net assets of FACT. The net assets of FACT were stated at historical cost, with no goodwill or other intangible assets recorded.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operates on a 52-to-53-week fiscal year that ends on the Sunday closest to December 31. The Company’s fiscal years ended on December 28, 2025 (“2025”) and December 29, 2024 (“2024”).</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Acquisitions and Divestitures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October 2023, the Company completed the sale of its solar panel business (“Divestiture”). The Company determined that the Divestiture represented a strategic shift in the Company’s business and qualified as a discontinued operation for accounting purposes. The Company recognized losses from discontinued operations in its consolidated statements of operations and comprehensive loss and consolidated statements of cash flows related to the Divestiture of $1.1 million and $2.0 million in the fiscal years ended December 28, 2025 and December 29, 2024, respectively. The additional losses recognized in 2025 and 2024 related to legal expenses incurred in connection with litigation related to its former solar panel business.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 the fiscal year ended December 29, 2024, the Company completed the acquisition of certain assets relating to the Blue Raven Solar business, New Homes business and Non-Installing Dealer network (collectively the “SunPower Businesses”) from SunPower Debtors, the successor entity in bankruptcy to SunPower Corporation and its direct and indirect subsidiaries (collectively “SunPower Corporation”). In the fiscal year ended December 28, 2025, the Company completed the acquisitions of Sunder Energy, LLC and Ambia Energy LLC. Each of these acquisitions was accounted for as business combinations in accordance with Accounting Standards Codification (“ASC”) 805, </w:t>
      </w:r>
      <w:r>
        <w:rPr>
          <w:rFonts w:ascii="Times New Roman;Times;Serif" w:hAnsi="Times New Roman;Times;Serif"/>
          <w:b w:val="false"/>
          <w:i/>
          <w:caps w:val="false"/>
          <w:smallCaps w:val="false"/>
          <w:sz w:val="20"/>
        </w:rPr>
        <w:t>Business Combination.</w:t>
      </w:r>
      <w:r>
        <w:rPr>
          <w:rFonts w:ascii="Times New Roman;Times;Serif" w:hAnsi="Times New Roman;Times;Serif"/>
          <w:b w:val="false"/>
          <w:i w:val="false"/>
          <w:caps w:val="false"/>
          <w:smallCaps w:val="false"/>
          <w:sz w:val="20"/>
        </w:rPr>
        <w:t xml:space="preserve"> Refer to </w:t>
      </w:r>
      <w:r>
        <w:rPr>
          <w:rFonts w:ascii="Times New Roman;Times;Serif" w:hAnsi="Times New Roman;Times;Serif"/>
          <w:b/>
          <w:i w:val="false"/>
          <w:caps w:val="false"/>
          <w:smallCaps w:val="false"/>
          <w:sz w:val="20"/>
        </w:rPr>
        <w:t>Note 3 – Business Combinations</w:t>
      </w:r>
      <w:r>
        <w:rPr>
          <w:rFonts w:ascii="Times New Roman;Times;Serif" w:hAnsi="Times New Roman;Times;Serif"/>
          <w:b w:val="false"/>
          <w:i w:val="false"/>
          <w:caps w:val="false"/>
          <w:smallCaps w:val="false"/>
          <w:sz w:val="20"/>
        </w:rPr>
        <w:t xml:space="preserve"> for details of these transactions.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sz w:val="20"/>
          <w:bdr w:val="single" w:sz="12" w:space="1" w:color="000000"/>
        </w:rPr>
      </w:pPr>
      <w:r>
        <w:rPr>
          <w:sz w:val="20"/>
          <w:bdr w:val="single" w:sz="12" w:space="1" w:color="000000"/>
        </w:rPr>
        <w:t>F-55</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Liquidity and Going Concern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Since inception through the fiscal year ended December 28, 2025, the Company has incurred recurring losses and negative cash flows from operations. The Company’s net loss from continuing operations was $44.3 million in the fiscal year ended December 28, 2025. As of December 28, 2025, the Company had an accumulated deficit of $456.7 million, short-term debt of $24.3 million, and cash and cash equivalents, excluding restricted cash, of $9.6 million. The Company anticipates that operating losses and negative operating cash flows may continue in the near term.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Management is actively pursuing plans to mitigate these conditions, including obtaining additional capital resources through equity or debt financing and leveraging support from significant shareholders when necessary. The Company has financed its operations primarily through sales of equity securities, private placements, debt, issuance of convertible notes and other debt instruments, other financing instruments, cash from operations, and proceeds from the Mergers.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did not file its Annual Report on Form 10-K for the fiscal year ended December 29, 2024 within the timeframe required by the SEC, its Quarterly Report on Form 10Q for the quarter ended September 28, 2025 or the amendment required to the Current Report originally filed on September 26, 2025 relating to the Sunder acquisition. As a result, the Company is not currently eligible to use a registration statement on Form S-3 that would allow it to continuously incorporate by reference its SEC reports into the registration statement, to use “shelf” registration statements to conduct offerings, or to use the at-the-market offering facility until approximately one year from the date that the Company has regained and maintained status as a current filer. Aside from a “shelf” registration, the Company has alternative financing options and may seek additional liquidity through the use of a Form S-1 registration statement and or private placements.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Company is not able to secure adequate additional funding when needed, the Company will need to reevaluate its operating plan and may be forced to make reductions in spending, extend payment terms with suppliers, liquidate assets where possible, or suspend or curtail planned programs or cease operations entirely. These actions could materially impact the Company’s business, results of operations and future prospects. While the Company has been able to raise multiple rounds of financing, there can be no assurance that in the event the Company requires additional financing, such financing will be available on terms that are favorable, or at all. Failure to generate sufficient cash flows from operations, raise additional capital or reduce certain discretionary spending would have a material adverse effect on the Company’s ability to achieve its intended business objectives.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Therefore, there is substantial doubt about the Company’s ability to continue as a going concern within one year after the date that the consolidated financial statements are issued. The accompanying consolidated financial statements have been prepared assuming the Company will continue to operate as a going concern, which contemplates the realization of assets and settlement of liabilities in the normal course of business. They do not include any adjustments to reflect the possible future effects on the recoverability and classification of assets or the amounts and classifications of liabilities that may result from uncertainty related to its ability to continue as a going concern.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sz w:val="20"/>
          <w:bdr w:val="single" w:sz="12" w:space="1" w:color="000000"/>
        </w:rPr>
      </w:pPr>
      <w:r>
        <w:rPr>
          <w:sz w:val="20"/>
          <w:bdr w:val="single" w:sz="12" w:space="1" w:color="000000"/>
        </w:rPr>
        <w:t>F-56</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 Basis of Presentation and Summary of Significant Accounting Policies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Basis of Presentation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consolidated financial statements and accompanying notes have been prepared in accordance with generally accepted accounting principles (“U.S. GAAP”) and pursuant to the rules and regulations of the Securities and Exchange Commission (“SEC”). The consolidated financial statements include the accounts of the Company and its wholly-owned subsidiaries. All material intercompany balances and transactions have been eliminated in consolidation.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Use of Estimates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preparation of the Company’s consolidated financial statements in conformity with GAAP requires management to make estimates and assumptions that affect the reported amounts of assets, liabilities, revenues, expenses, as well as related disclosure of contingent assets and liabilities. Significant estimates and assumptions made by management include, but are not limited to, the determination of (i) the allowance for credit losses; (ii) inventory obsolescence; (iii) stock-based compensation; (iv) workmanship warranty; (v) intangible assets acquired in business combinations; (vi) forward purchase agreements; (vii) Simple Agreement for Future Equity (“SAFE”) Agreements, (viii) derivative liabilities; and (ix) warrant liabilities.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financial condition or operating results may be affected to the extent that there are material differences between estimates and actual results. The Company bases its estimates on past experience and other assumptions that the Company believes are reasonable under the circumstances, and the Company evaluates these estimates on an ongoing basis. The Company has assessed the impact and management is not aware of any specific events or circumstances that required an update to the Company’s estimates and assumptions or materially affected the carrying value of the Company’s assets or liabilities as of the date of issuance of this report. These estimates may change as new events occur and additional information is obtained.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Reclassification of prior year balances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reclassified long-term operating lease liabilities of $2.3 million from Operating lease liabilities, net of current portion to Other long-term liabilities to conform to the current year’s presentation.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Segment Reporting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segment information is presented on a basis that is consistent with the Company’s internal management reporting. The Company’s Chief Executive Officer (“CEO”) is the Chief Operating Decision Maker (“CODM”). The CODM manages the Company and reports financial results based on three reportable segments which are the same as the Company’s operating segments. The CODM evaluates the performance of these reportable segments and allocates resources to make operating decisions based on certain financial information, including segment operating results prepared on a basis consistent with U.S. GAAP. The measurement criteria is based on each respective segment’s operating revenue and operating (loss) income and excludes any corporate costs which are not allocatable to the operating segments. The CODM’s measurement criteria does not include segment assets. For the periods presented, the Company reported its financial performance within three reportable segments; Residential Solar Installation, New Homes Business and Dealer.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Residential Solar Installation</w:t>
      </w:r>
      <w:r>
        <w:rPr>
          <w:rFonts w:ascii="Times New Roman;Times;Serif" w:hAnsi="Times New Roman;Times;Serif"/>
          <w:b/>
          <w:i w:val="false"/>
          <w:caps w:val="false"/>
          <w:smallCaps w:val="false"/>
          <w:sz w:val="20"/>
        </w:rPr>
        <w:t xml:space="preserve"> –</w:t>
      </w:r>
      <w:r>
        <w:rPr>
          <w:rFonts w:ascii="Times New Roman;Times;Serif" w:hAnsi="Times New Roman;Times;Serif"/>
          <w:b w:val="false"/>
          <w:i w:val="false"/>
          <w:caps w:val="false"/>
          <w:smallCaps w:val="false"/>
          <w:sz w:val="20"/>
        </w:rPr>
        <w:t xml:space="preserve"> This segment performs solar system, storage and battery installations for residential homeowners.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New Homes Business</w:t>
      </w:r>
      <w:r>
        <w:rPr>
          <w:rFonts w:ascii="Times New Roman;Times;Serif" w:hAnsi="Times New Roman;Times;Serif"/>
          <w:b/>
          <w:i w:val="false"/>
          <w:caps w:val="false"/>
          <w:smallCaps w:val="false"/>
          <w:sz w:val="20"/>
        </w:rPr>
        <w:t xml:space="preserve"> –</w:t>
      </w:r>
      <w:r>
        <w:rPr>
          <w:rFonts w:ascii="Times New Roman;Times;Serif" w:hAnsi="Times New Roman;Times;Serif"/>
          <w:b w:val="false"/>
          <w:i w:val="false"/>
          <w:caps w:val="false"/>
          <w:smallCaps w:val="false"/>
          <w:sz w:val="20"/>
        </w:rPr>
        <w:t xml:space="preserve"> This segment performs solar system installations for new home builders. This segment was new in fiscal year 2024 as a result of the acquisition of the SunPower Businesses in the fourth quarter of fiscal year 2024.</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 xml:space="preserve">Dealer – </w:t>
      </w:r>
      <w:r>
        <w:rPr>
          <w:rFonts w:ascii="Times New Roman;Times;Serif" w:hAnsi="Times New Roman;Times;Serif"/>
          <w:b w:val="false"/>
          <w:i w:val="false"/>
          <w:caps w:val="false"/>
          <w:smallCaps w:val="false"/>
          <w:sz w:val="20"/>
        </w:rPr>
        <w:t>This segment provides a third-party solar energy sales force to initiate and execute contracts with customers throughout the United States. This segment’s sales force works with solar installation companies and acts as the agent for each transaction entered. This segment is new in fiscal year 2025 as a result of the acquisition of Sunder.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12" w:space="1" w:color="000000"/>
        </w:rPr>
      </w:pPr>
      <w:r>
        <w:rPr>
          <w:sz w:val="20"/>
          <w:bdr w:val="single" w:sz="12" w:space="1" w:color="000000"/>
        </w:rPr>
        <w:t>F-57</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Concentration of Risks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is exposed to credit losses in the event of nonperformance by the counterparties to its financial and derivative instruments. Financial and derivative instruments that potentially subject the Company to concentrations of credit risk are primarily cash and cash equivalents, restricted cash and cash equivalents, accounts receivable, and contract assets. The Company’s cash and cash equivalents are on deposit with major financial institutions. Such deposits may be in excess of insured limits. The Company believes that the financial institutions that hold the Company’s cash are financially sound, and accordingly, minimum credit risk exists with respect to these balances. The Company has not experienced any losses due to institutional failure or bankruptcy. The Company performs credit evaluations of its customers and generally does not require collateral for sales on credit.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Cash and Cash Equivalents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Cash and cash equivalents include cash held in checking and savings accounts consisting of highly liquid securities with maturity dates of three months or less from the original date of purchase. The Company maintains the majority of its cash balances with commercial banks in interest bearing accounts. The Company considers all highly liquid securities that mature within three months or less from the original date of purchase to be cash equivalents.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Restricted Cash</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Company classifies all cash for which usage is limited by contractual provisions as restricted cash. Restricted cash consists of deposits in money market accounts, which is used as cash collateral backing letters of credit related to customs duty authorities’ requirements. The Company presents restricted cash as a noncurrent asset in its consolidated balance sheets. The Company reconciles cash, cash equivalents, and restricted cash reported on its consolidated balance sheets that aggregate to the beginning and ending balances shown on the Company’s consolidated statements of cash flows as follows </w:t>
      </w:r>
      <w:r>
        <w:rPr>
          <w:rFonts w:ascii="Times New Roman;Times;Serif" w:hAnsi="Times New Roman;Times;Serif"/>
          <w:b w:val="false"/>
          <w:i/>
          <w:caps w:val="false"/>
          <w:smallCaps w:val="false"/>
          <w:sz w:val="20"/>
        </w:rPr>
        <w:t>(in thousands)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tbl>
      <w:tblPr>
        <w:tblW w:w="6508" w:type="dxa"/>
        <w:jc w:val="left"/>
        <w:tblInd w:w="0" w:type="dxa"/>
        <w:tblLayout w:type="fixed"/>
        <w:tblCellMar>
          <w:top w:w="0" w:type="dxa"/>
          <w:left w:w="0" w:type="dxa"/>
          <w:bottom w:w="0" w:type="dxa"/>
          <w:right w:w="0" w:type="dxa"/>
        </w:tblCellMar>
      </w:tblPr>
      <w:tblGrid>
        <w:gridCol w:w="3905"/>
        <w:gridCol w:w="60"/>
        <w:gridCol w:w="204"/>
        <w:gridCol w:w="970"/>
        <w:gridCol w:w="60"/>
        <w:gridCol w:w="60"/>
        <w:gridCol w:w="204"/>
        <w:gridCol w:w="970"/>
        <w:gridCol w:w="75"/>
      </w:tblGrid>
      <w:tr>
        <w:trPr/>
        <w:tc>
          <w:tcPr>
            <w:tcW w:w="390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468" w:type="dxa"/>
            <w:gridSpan w:val="6"/>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As of</w:t>
            </w:r>
          </w:p>
        </w:tc>
        <w:tc>
          <w:tcPr>
            <w:tcW w:w="75" w:type="dxa"/>
            <w:tcBorders/>
            <w:vAlign w:val="center"/>
          </w:tcPr>
          <w:p>
            <w:pPr>
              <w:pStyle w:val="TableContents"/>
              <w:bidi w:val="0"/>
              <w:spacing w:before="0" w:after="283"/>
              <w:jc w:val="left"/>
              <w:rPr/>
            </w:pPr>
            <w:r>
              <w:rPr/>
              <w:t> </w:t>
            </w:r>
          </w:p>
        </w:tc>
      </w:tr>
      <w:tr>
        <w:trPr/>
        <w:tc>
          <w:tcPr>
            <w:tcW w:w="390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74" w:type="dxa"/>
            <w:gridSpan w:val="2"/>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December 28,</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74" w:type="dxa"/>
            <w:gridSpan w:val="2"/>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December 29,</w:t>
            </w:r>
          </w:p>
        </w:tc>
        <w:tc>
          <w:tcPr>
            <w:tcW w:w="75" w:type="dxa"/>
            <w:tcBorders/>
            <w:vAlign w:val="center"/>
          </w:tcPr>
          <w:p>
            <w:pPr>
              <w:pStyle w:val="TableContents"/>
              <w:bidi w:val="0"/>
              <w:spacing w:before="0" w:after="283"/>
              <w:jc w:val="left"/>
              <w:rPr/>
            </w:pPr>
            <w:r>
              <w:rPr/>
              <w:t> </w:t>
            </w:r>
          </w:p>
        </w:tc>
      </w:tr>
      <w:tr>
        <w:trPr/>
        <w:tc>
          <w:tcPr>
            <w:tcW w:w="390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74"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2025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74"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2024</w:t>
            </w:r>
          </w:p>
        </w:tc>
        <w:tc>
          <w:tcPr>
            <w:tcW w:w="75" w:type="dxa"/>
            <w:tcBorders/>
            <w:vAlign w:val="center"/>
          </w:tcPr>
          <w:p>
            <w:pPr>
              <w:pStyle w:val="TableContents"/>
              <w:bidi w:val="0"/>
              <w:spacing w:before="0" w:after="283"/>
              <w:jc w:val="left"/>
              <w:rPr/>
            </w:pPr>
            <w:r>
              <w:rPr/>
              <w:t> </w:t>
            </w:r>
          </w:p>
        </w:tc>
      </w:tr>
      <w:tr>
        <w:trPr/>
        <w:tc>
          <w:tcPr>
            <w:tcW w:w="390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Cash and cash equivalents</w:t>
            </w:r>
          </w:p>
        </w:tc>
        <w:tc>
          <w:tcPr>
            <w:tcW w:w="60" w:type="dxa"/>
            <w:tcBorders/>
            <w:shd w:fill="CCEEFF" w:val="clear"/>
            <w:vAlign w:val="center"/>
          </w:tcPr>
          <w:p>
            <w:pPr>
              <w:pStyle w:val="TableContents"/>
              <w:bidi w:val="0"/>
              <w:spacing w:before="0" w:after="283"/>
              <w:jc w:val="left"/>
              <w:rPr/>
            </w:pPr>
            <w:r>
              <w:rPr/>
              <w:t> </w:t>
            </w:r>
          </w:p>
        </w:tc>
        <w:tc>
          <w:tcPr>
            <w:tcW w:w="204"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97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9,617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4"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97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13,378</w:t>
            </w:r>
          </w:p>
        </w:tc>
        <w:tc>
          <w:tcPr>
            <w:tcW w:w="75" w:type="dxa"/>
            <w:tcBorders/>
            <w:shd w:fill="CCEEFF" w:val="clear"/>
            <w:vAlign w:val="center"/>
          </w:tcPr>
          <w:p>
            <w:pPr>
              <w:pStyle w:val="TableContents"/>
              <w:bidi w:val="0"/>
              <w:spacing w:before="0" w:after="283"/>
              <w:jc w:val="left"/>
              <w:rPr/>
            </w:pPr>
            <w:r>
              <w:rPr/>
              <w:t> </w:t>
            </w:r>
          </w:p>
        </w:tc>
      </w:tr>
      <w:tr>
        <w:trPr/>
        <w:tc>
          <w:tcPr>
            <w:tcW w:w="390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Restricted cash</w:t>
            </w:r>
          </w:p>
        </w:tc>
        <w:tc>
          <w:tcPr>
            <w:tcW w:w="60" w:type="dxa"/>
            <w:tcBorders/>
            <w:shd w:fill="FFFFFF" w:val="clear"/>
            <w:vAlign w:val="center"/>
          </w:tcPr>
          <w:p>
            <w:pPr>
              <w:pStyle w:val="TableContents"/>
              <w:bidi w:val="0"/>
              <w:spacing w:before="0" w:after="283"/>
              <w:jc w:val="left"/>
              <w:rPr/>
            </w:pPr>
            <w:r>
              <w:rPr/>
              <w:t> </w:t>
            </w:r>
          </w:p>
        </w:tc>
        <w:tc>
          <w:tcPr>
            <w:tcW w:w="204"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970"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3,841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4"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970"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3,841</w:t>
            </w:r>
          </w:p>
        </w:tc>
        <w:tc>
          <w:tcPr>
            <w:tcW w:w="75" w:type="dxa"/>
            <w:tcBorders/>
            <w:shd w:fill="FFFFFF" w:val="clear"/>
            <w:vAlign w:val="center"/>
          </w:tcPr>
          <w:p>
            <w:pPr>
              <w:pStyle w:val="TableContents"/>
              <w:bidi w:val="0"/>
              <w:spacing w:before="0" w:after="283"/>
              <w:jc w:val="left"/>
              <w:rPr/>
            </w:pPr>
            <w:r>
              <w:rPr/>
              <w:t> </w:t>
            </w:r>
          </w:p>
        </w:tc>
      </w:tr>
      <w:tr>
        <w:trPr/>
        <w:tc>
          <w:tcPr>
            <w:tcW w:w="390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Total cash, cash equivalents, and restricted cash</w:t>
            </w:r>
          </w:p>
        </w:tc>
        <w:tc>
          <w:tcPr>
            <w:tcW w:w="60" w:type="dxa"/>
            <w:tcBorders/>
            <w:shd w:fill="CCEEFF" w:val="clear"/>
            <w:vAlign w:val="center"/>
          </w:tcPr>
          <w:p>
            <w:pPr>
              <w:pStyle w:val="TableContents"/>
              <w:bidi w:val="0"/>
              <w:spacing w:before="0" w:after="283"/>
              <w:jc w:val="left"/>
              <w:rPr/>
            </w:pPr>
            <w:r>
              <w:rPr/>
              <w:t> </w:t>
            </w:r>
          </w:p>
        </w:tc>
        <w:tc>
          <w:tcPr>
            <w:tcW w:w="204" w:type="dxa"/>
            <w:tcBorders>
              <w:bottom w:val="double" w:sz="10"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970" w:type="dxa"/>
            <w:tcBorders>
              <w:bottom w:val="double" w:sz="10"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13,458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4" w:type="dxa"/>
            <w:tcBorders>
              <w:bottom w:val="double" w:sz="10"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970" w:type="dxa"/>
            <w:tcBorders>
              <w:bottom w:val="double" w:sz="10"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17,219</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Concentration of Customers – homeowners and financiers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December 28, 2025, one customer had an outstanding balance that represented 11% of the Company’s outstanding trade receivable balance. As of December 28, 2024, no customer had an outstanding balance that represented more than 10% of the Company’s total trade accounts receivable balance.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defines major customers as those customers which generate revenues that exceed 10% of the Company’s annual net revenues by reportable segment. In fiscal 2025 Customer A accounted for 19% of revenues across the Residential Solar Installation and New Homes reportable segments. In fiscal year 2024, Customer A and Customer B accounted for 12% and 14%, respectively, of gross revenues. Customer A generates revenue across the Residential Solar Installation and New Homes reportable segments. Customer B generated revenue within the New Homes reportable segment.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Revenue Recognition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Revenue is recognized for the Residential Solar Installation and New Homes Business reportable segments when a customer obtains control of promised products and services and the Company has satisfied its performance obligations which is the date by which substantially all of its design and installation is complete for a fully functioning solar power system to interconnect to the local power grid.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sz w:val="20"/>
          <w:bdr w:val="single" w:sz="12" w:space="1" w:color="000000"/>
        </w:rPr>
      </w:pPr>
      <w:r>
        <w:rPr>
          <w:sz w:val="20"/>
          <w:bdr w:val="single" w:sz="12" w:space="1" w:color="000000"/>
        </w:rPr>
        <w:t>F-58</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Installation includes the design of a solar energy system, the delivery of the components of the solar energy system (i.e., photovoltaic system, inverter, battery storage, etc.), installation services and services facilitating the connection of the solar energy system to the power grid. The Company accounts for these services as inputs to a combined output, resulting in a single service-based performance obligation.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Upon entering into a sales contract within the Dealer reportable segment, the requisite performance obligation of the Company is to assist the customer in the progress of the installation and obtain Permission to Operate (“PTO”). PTO typically occurs within 3 to 6 months after the initial sale, but can happen as early as two months or as late as twelve months after the sale.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amount of revenue recognized reflects the consideration which the Company expects to be entitled to receive in exchange for the products and services. To achieve this core principle, the Company applies the following five steps: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Step 1. Identification of the contract(s) with a customer;</w:t>
      </w:r>
    </w:p>
    <w:p>
      <w:pPr>
        <w:pStyle w:val="TextBody"/>
        <w:bidi w:val="0"/>
        <w:spacing w:before="0" w:after="0"/>
        <w:ind w:left="108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Step 2. Identification of the performance obligations in the contracts(s);</w:t>
      </w:r>
    </w:p>
    <w:p>
      <w:pPr>
        <w:pStyle w:val="TextBody"/>
        <w:bidi w:val="0"/>
        <w:spacing w:before="0" w:after="0"/>
        <w:ind w:left="108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Step 3. Determination of the transaction price;</w:t>
      </w:r>
    </w:p>
    <w:p>
      <w:pPr>
        <w:pStyle w:val="TextBody"/>
        <w:bidi w:val="0"/>
        <w:spacing w:before="0" w:after="0"/>
        <w:ind w:left="108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Step 4. Allocation of the transaction price to the performance obligations;</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Step 5. Recognition of the revenue when, or as, the Company satisfies a performance obligation.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Revenue is generally recognized at the transaction price contained within the agreement, net of the costs of financing, or other consideration paid to the customers that is not in exchange for a distinct good or service. The Company’s arrangements may contain clauses that can either increase or decrease the transaction price. Variable consideration is estimated at each measurement date at its most likely amount to the extent that it is probable that a significant reversal of cumulative revenue recognized will not occur and true-ups are applied prospectively as such estimates change.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may provide incentives to its customers, such as discounts and rebates which are recorded net against the revenue that the Company has recognized related to the solar energy system sale.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records deferred revenue for amounts invoiced that are received in advance of the provisioning of services. In certain contracts with customers, the Company arranges for a third-party financing partner to provide financing to the customer. The Company collects upfront from the financing partner and the customer will provide instalment payments to the financing partner. The Company records revenue in the amount received from the financing partner, net of any financing fees charged to the homeowner, which the Company considers to be a customer incentive. None of the Company’s contracts contain a significant financing component.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Residential Solar Installation revenues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Residential Solar Installation segment sells products through a network of installing and non-installing dealers and resellers, as well as its internal sales team. The Company’s contracts with customers include three primary contract types:</w:t>
      </w:r>
    </w:p>
    <w:p>
      <w:pPr>
        <w:pStyle w:val="TextBody"/>
        <w:bidi w:val="0"/>
        <w:spacing w:before="0" w:after="0"/>
        <w:ind w:left="36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i/>
                <w:sz w:val="20"/>
              </w:rPr>
              <w:t>Cash agreements</w:t>
            </w:r>
            <w:r>
              <w:rPr>
                <w:rFonts w:ascii="Times New Roman;Times;Serif" w:hAnsi="Times New Roman;Times;Serif"/>
                <w:sz w:val="20"/>
              </w:rPr>
              <w:t xml:space="preserve"> – The Company contracts directly with homeowners who purchase the solar energy system and related services from the Company. Customers are invoiced on a billing schedule, where the majority of the transaction price is due upon installation with an additional payment due when the system passes inspection by the authority having jurisdiction.</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i/>
                <w:sz w:val="20"/>
              </w:rPr>
              <w:t>Financing partner agreements</w:t>
            </w:r>
            <w:r>
              <w:rPr>
                <w:rFonts w:ascii="Times New Roman;Times;Serif" w:hAnsi="Times New Roman;Times;Serif"/>
                <w:sz w:val="20"/>
              </w:rPr>
              <w:t xml:space="preserve"> – In its financing partner agreements, the Company contracts directly with homeowners for the purchase of the solar energy system and related services. The Company refers the homeowner to a financing partner to finance the system, and the homeowner makes payments directly to the financing partner. The Company receives consideration from the financing partner on a billing schedule where the majority of the transaction price is due upon installation with an additional payment due when the system passes inspection by the authority having jurisdiction.</w:t>
            </w:r>
          </w:p>
        </w:tc>
      </w:tr>
    </w:tbl>
    <w:p>
      <w:pPr>
        <w:pStyle w:val="TextBody"/>
        <w:bidi w:val="0"/>
        <w:spacing w:before="0" w:after="0"/>
        <w:ind w:left="36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i/>
                <w:sz w:val="20"/>
              </w:rPr>
              <w:t>Power purchase agreements and lease agreements</w:t>
            </w:r>
            <w:r>
              <w:rPr>
                <w:rFonts w:ascii="Times New Roman;Times;Serif" w:hAnsi="Times New Roman;Times;Serif"/>
                <w:sz w:val="20"/>
              </w:rPr>
              <w:t xml:space="preserve"> – The Company contracts directly with a leasing partner to perform the solar energy system installation, and the homeowner will finance the system through a power purchase agreement (or lease), which is signed with the Company’s leasing partner. The Company considers the leasing partner to be its customer, as the Company does not contract directly with the homeowner and the leasing partner takes ownership of the system upon the completion of installation. The Company receives consideration from the leasing partner on a billing schedule where the majority of the transaction price is due upon installation with an additional payment due when the system passes inspection by the authority having jurisdiction.</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sz w:val="20"/>
          <w:bdr w:val="single" w:sz="12" w:space="1" w:color="000000"/>
        </w:rPr>
      </w:pPr>
      <w:r>
        <w:rPr>
          <w:sz w:val="20"/>
          <w:bdr w:val="single" w:sz="12" w:space="1" w:color="000000"/>
        </w:rPr>
        <w:t>F-59</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New Homes Business revenues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New Homes Business segment sells through a network of home builders as well as its internal sales team. The Company’s contracts with customers include two primary contract types:</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i/>
                <w:sz w:val="20"/>
              </w:rPr>
              <w:t>Cash agreements</w:t>
            </w:r>
            <w:r>
              <w:rPr>
                <w:rFonts w:ascii="Times New Roman;Times;Serif" w:hAnsi="Times New Roman;Times;Serif"/>
                <w:sz w:val="20"/>
              </w:rPr>
              <w:t xml:space="preserve"> – The Company contracts directly with homebuilders who purchase the solar energy system from the Company and are the customers in the transaction. The Company’s customers are invoiced upon the completion of installation.</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i/>
                <w:sz w:val="20"/>
              </w:rPr>
              <w:t>Lease agreements</w:t>
            </w:r>
            <w:r>
              <w:rPr>
                <w:rFonts w:ascii="Times New Roman;Times;Serif" w:hAnsi="Times New Roman;Times;Serif"/>
                <w:sz w:val="20"/>
              </w:rPr>
              <w:t xml:space="preserve"> – Prior to SunPower Debtor’s declaration of bankruptcy, certain homeowners had intended to lease a system from SunPower Debtors but were unable to consummate the transaction (as a result of SunPower Debtor’s declaration of bankruptcy). The in-process system inventory (installed on recently constructed homes) was acquired by the Company in connection with the SunPower Acquisition. The Company contracted directly with a leasing partner to facilitate the leasing of the system to the impacted homeowners. The Company considers the leasing partner to be its customer. Under the terms of the Company’s arrangement with the leasing partner, control is not transferred to the customer until the completed system is accepted by the customer. The Company receives consideration from the leasing partner following the acceptance of the system.</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performance obligation for both of these reportable segments is to design and install a fully functioning solar energy system. For all contract types (with the exception of New Homes Business Lease agreements), the Company recognizes revenue over time. The Company’s over-time revenue recognition begins when the solar power system is fully installed (as it is at this point that control of the asset begins to be transferred to the customer, and the customer retains the significant risks and rewards of ownership of the solar power system). The Company recognizes revenue using the input method based on direct costs to install the system and defers the costs of installation until such time that control of the asset transfers to the customer (installation). For New Homes Business Lease agreements, the Company considers the performance obligation to be satisfied at a point in time upon acceptance of the system by the customer.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Dealer revenues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earns revenue from contracts sold to customers for solar installations performed by third-party installation companies. The Company recognizes revenue at a point in time when PTO is complete. The Company acts as an agent in these arrangements and records revenue on a net basis. The Company does not have any significant financing components in these contracts. The Company does not provide warranty services related to these sales contracts, and therefore, the Company does not record a warranty reserve with respect to these sales contracts.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Costs to Obtain Contracts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incremental costs of obtaining customer contracts consist of sales commissions which are paid to third-parties who source residential customer contracts for the sale of solar energy systems by the Company. The Company defers sales commissions and recognizes the expense in accordance with the timing of the related revenue recognition. Amortization of deferred commissions is recorded as sales commissions in the accompanying consolidated statements of operations and comprehensive loss. As of December 28, 2025 deferred commissions was $5.6 million. Deferred commissions were not material as of December 29, 2024.</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sz w:val="20"/>
          <w:bdr w:val="single" w:sz="12" w:space="1" w:color="000000"/>
        </w:rPr>
      </w:pPr>
      <w:r>
        <w:rPr>
          <w:sz w:val="20"/>
          <w:bdr w:val="single" w:sz="12" w:space="1" w:color="000000"/>
        </w:rPr>
        <w:t>F-60</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Contract Assets and Contract Liabilities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timing of revenue recognition, billings, and cash collections results in billed accounts receivable, unbilled revenue (contract assets), and deferred revenue (contract liabilities) on the balance sheet.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Contract assets consist of unbilled receivables which represent revenue that has been recognized in advance of the Company’s right to bill the customer.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Contract liabilities consist of deferred revenue and customer advances, which represent consideration received from a customer prior to transferring control of goods or services to the customer under the terms of a sales contract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typically invoices its customers upon completion of set milestones, generally upon installation of the solar energy system with the remaining balance invoiced upon passing final building inspection. Standard payment terms to customers range from 30 to 60 days. When the Company receives payment, or when such payment is unconditionally due from a customer prior to delivering goods or services to the customer under the terms of a customer agreement, the Company records this deferred revenue as a contract liability. Most installation projects are completed within 12-months. As such, a significant portion of the Company’s contract liabilities is reflected within current liabilities in the accompanying consolidated balance sheets. Contract liabilities for installation projects expected to be completed beyond 12 months are classified as noncurrent obligations in the accompanying consolidated balance sheets.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Remaining Performance Obligations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elected the practical expedient not to disclose the remaining performance obligations for contracts that are less than one year in length. The Company’s performance obligations associated with long-term service contracts are not material.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Allowance for Estimated Credit losses</w:t>
      </w:r>
    </w:p>
    <w:p>
      <w:pPr>
        <w:pStyle w:val="TextBody"/>
        <w:bidi w:val="0"/>
        <w:spacing w:before="0" w:after="0"/>
        <w:ind w:left="36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Company recognizes an allowance for credit losses at the time a receivable is recorded based on the Company’s estimate of expected credit losses, historical write-off experience, and current account knowledge. In developing its estimate of expected credit losses, the Company has elected to apply the practical expedient permitted under Accounting Standards Codification (“ASC”) 326 – </w:t>
      </w:r>
      <w:r>
        <w:rPr>
          <w:rFonts w:ascii="Times New Roman;Times;Serif" w:hAnsi="Times New Roman;Times;Serif"/>
          <w:b w:val="false"/>
          <w:i/>
          <w:caps w:val="false"/>
          <w:smallCaps w:val="false"/>
          <w:sz w:val="20"/>
        </w:rPr>
        <w:t>Financial Instruments – Credit Losses</w:t>
      </w:r>
      <w:r>
        <w:rPr>
          <w:rFonts w:ascii="Times New Roman;Times;Serif" w:hAnsi="Times New Roman;Times;Serif"/>
          <w:b w:val="false"/>
          <w:i w:val="false"/>
          <w:caps w:val="false"/>
          <w:smallCaps w:val="false"/>
          <w:sz w:val="20"/>
        </w:rPr>
        <w:t>, under which it assumes that current conditions at the balance-sheet date remain unchanged for the remaining life of the financial assets.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evaluates the aggregation and risk characteristics of a receivable pool and develops loss rates that reflect historical collections over the time horizon that the Company is exposed to credit risk, and payment terms or conditions that may materially affect future forecasts.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performs ongoing credit evaluations of its customers’ financial condition when deemed necessary. The Company maintains an allowance for credit losses based on the expected collectability of all accounts receivable, which takes into consideration an analysis of historical bad debts, specific customer creditworthiness and current economic trends. The Company believes that its concentration of credit risk is limited because of the large number of customers, credit quality of the customer base, small account balances for most of these customers, and customer geographic diversification. The Company does not have any off-balance sheet credit exposure relating to its customers.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sz w:val="20"/>
          <w:bdr w:val="single" w:sz="12" w:space="1" w:color="000000"/>
        </w:rPr>
      </w:pPr>
      <w:r>
        <w:rPr>
          <w:sz w:val="20"/>
          <w:bdr w:val="single" w:sz="12" w:space="1" w:color="000000"/>
        </w:rPr>
        <w:t>F-61</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following table summarizes the allowance for credit losses as follows </w:t>
      </w:r>
      <w:r>
        <w:rPr>
          <w:rFonts w:ascii="Times New Roman;Times;Serif" w:hAnsi="Times New Roman;Times;Serif"/>
          <w:b w:val="false"/>
          <w:i/>
          <w:caps w:val="false"/>
          <w:smallCaps w:val="false"/>
          <w:sz w:val="20"/>
        </w:rPr>
        <w:t>(in thousands)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tbl>
      <w:tblPr>
        <w:tblW w:w="7637" w:type="dxa"/>
        <w:jc w:val="left"/>
        <w:tblInd w:w="0" w:type="dxa"/>
        <w:tblLayout w:type="fixed"/>
        <w:tblCellMar>
          <w:top w:w="0" w:type="dxa"/>
          <w:left w:w="0" w:type="dxa"/>
          <w:bottom w:w="0" w:type="dxa"/>
          <w:right w:w="0" w:type="dxa"/>
        </w:tblCellMar>
      </w:tblPr>
      <w:tblGrid>
        <w:gridCol w:w="4910"/>
        <w:gridCol w:w="60"/>
        <w:gridCol w:w="218"/>
        <w:gridCol w:w="956"/>
        <w:gridCol w:w="128"/>
        <w:gridCol w:w="96"/>
        <w:gridCol w:w="204"/>
        <w:gridCol w:w="970"/>
        <w:gridCol w:w="95"/>
      </w:tblGrid>
      <w:tr>
        <w:trPr/>
        <w:tc>
          <w:tcPr>
            <w:tcW w:w="491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572" w:type="dxa"/>
            <w:gridSpan w:val="6"/>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As of and for the Year Ended</w:t>
            </w:r>
          </w:p>
        </w:tc>
        <w:tc>
          <w:tcPr>
            <w:tcW w:w="95" w:type="dxa"/>
            <w:tcBorders/>
            <w:vAlign w:val="center"/>
          </w:tcPr>
          <w:p>
            <w:pPr>
              <w:pStyle w:val="TableContents"/>
              <w:bidi w:val="0"/>
              <w:spacing w:before="0" w:after="283"/>
              <w:jc w:val="left"/>
              <w:rPr/>
            </w:pPr>
            <w:r>
              <w:rPr/>
              <w:t> </w:t>
            </w:r>
          </w:p>
        </w:tc>
      </w:tr>
      <w:tr>
        <w:trPr/>
        <w:tc>
          <w:tcPr>
            <w:tcW w:w="491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74" w:type="dxa"/>
            <w:gridSpan w:val="2"/>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December 28,</w:t>
            </w:r>
          </w:p>
        </w:tc>
        <w:tc>
          <w:tcPr>
            <w:tcW w:w="128" w:type="dxa"/>
            <w:tcBorders/>
            <w:vAlign w:val="center"/>
          </w:tcPr>
          <w:p>
            <w:pPr>
              <w:pStyle w:val="TableContents"/>
              <w:bidi w:val="0"/>
              <w:spacing w:before="0" w:after="283"/>
              <w:jc w:val="left"/>
              <w:rPr/>
            </w:pPr>
            <w:r>
              <w:rPr/>
              <w:t> </w:t>
            </w:r>
          </w:p>
        </w:tc>
        <w:tc>
          <w:tcPr>
            <w:tcW w:w="96" w:type="dxa"/>
            <w:tcBorders/>
            <w:vAlign w:val="center"/>
          </w:tcPr>
          <w:p>
            <w:pPr>
              <w:pStyle w:val="TableContents"/>
              <w:bidi w:val="0"/>
              <w:spacing w:before="0" w:after="283"/>
              <w:jc w:val="left"/>
              <w:rPr/>
            </w:pPr>
            <w:r>
              <w:rPr/>
              <w:t> </w:t>
            </w:r>
          </w:p>
        </w:tc>
        <w:tc>
          <w:tcPr>
            <w:tcW w:w="1174" w:type="dxa"/>
            <w:gridSpan w:val="2"/>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December 29,</w:t>
            </w:r>
          </w:p>
        </w:tc>
        <w:tc>
          <w:tcPr>
            <w:tcW w:w="95" w:type="dxa"/>
            <w:tcBorders/>
            <w:vAlign w:val="center"/>
          </w:tcPr>
          <w:p>
            <w:pPr>
              <w:pStyle w:val="TableContents"/>
              <w:bidi w:val="0"/>
              <w:spacing w:before="0" w:after="283"/>
              <w:jc w:val="left"/>
              <w:rPr/>
            </w:pPr>
            <w:r>
              <w:rPr/>
              <w:t> </w:t>
            </w:r>
          </w:p>
        </w:tc>
      </w:tr>
      <w:tr>
        <w:trPr/>
        <w:tc>
          <w:tcPr>
            <w:tcW w:w="491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74"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2025</w:t>
            </w:r>
          </w:p>
        </w:tc>
        <w:tc>
          <w:tcPr>
            <w:tcW w:w="128" w:type="dxa"/>
            <w:tcBorders/>
            <w:vAlign w:val="center"/>
          </w:tcPr>
          <w:p>
            <w:pPr>
              <w:pStyle w:val="TableContents"/>
              <w:bidi w:val="0"/>
              <w:spacing w:before="0" w:after="283"/>
              <w:jc w:val="left"/>
              <w:rPr/>
            </w:pPr>
            <w:r>
              <w:rPr/>
              <w:t> </w:t>
            </w:r>
          </w:p>
        </w:tc>
        <w:tc>
          <w:tcPr>
            <w:tcW w:w="96" w:type="dxa"/>
            <w:tcBorders/>
            <w:vAlign w:val="center"/>
          </w:tcPr>
          <w:p>
            <w:pPr>
              <w:pStyle w:val="TableContents"/>
              <w:bidi w:val="0"/>
              <w:spacing w:before="0" w:after="283"/>
              <w:jc w:val="left"/>
              <w:rPr/>
            </w:pPr>
            <w:r>
              <w:rPr/>
              <w:t> </w:t>
            </w:r>
          </w:p>
        </w:tc>
        <w:tc>
          <w:tcPr>
            <w:tcW w:w="1174"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2024</w:t>
            </w:r>
          </w:p>
        </w:tc>
        <w:tc>
          <w:tcPr>
            <w:tcW w:w="95" w:type="dxa"/>
            <w:tcBorders/>
            <w:vAlign w:val="center"/>
          </w:tcPr>
          <w:p>
            <w:pPr>
              <w:pStyle w:val="TableContents"/>
              <w:bidi w:val="0"/>
              <w:spacing w:before="0" w:after="283"/>
              <w:jc w:val="left"/>
              <w:rPr/>
            </w:pPr>
            <w:r>
              <w:rPr/>
              <w:t> </w:t>
            </w:r>
          </w:p>
        </w:tc>
      </w:tr>
      <w:tr>
        <w:trPr/>
        <w:tc>
          <w:tcPr>
            <w:tcW w:w="4910" w:type="dxa"/>
            <w:tcBorders/>
            <w:shd w:fill="CCEEFF" w:val="cle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Balance at beginning of period</w:t>
            </w:r>
          </w:p>
        </w:tc>
        <w:tc>
          <w:tcPr>
            <w:tcW w:w="60" w:type="dxa"/>
            <w:tcBorders/>
            <w:shd w:fill="CCEEFF" w:val="clear"/>
            <w:vAlign w:val="center"/>
          </w:tcPr>
          <w:p>
            <w:pPr>
              <w:pStyle w:val="TableContents"/>
              <w:bidi w:val="0"/>
              <w:spacing w:before="0" w:after="283"/>
              <w:jc w:val="left"/>
              <w:rPr/>
            </w:pPr>
            <w:r>
              <w:rPr/>
              <w:t> </w:t>
            </w:r>
          </w:p>
        </w:tc>
        <w:tc>
          <w:tcPr>
            <w:tcW w:w="218"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956"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(1,701</w:t>
            </w:r>
          </w:p>
        </w:tc>
        <w:tc>
          <w:tcPr>
            <w:tcW w:w="128"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96" w:type="dxa"/>
            <w:tcBorders/>
            <w:shd w:fill="CCEEFF" w:val="clear"/>
            <w:vAlign w:val="center"/>
          </w:tcPr>
          <w:p>
            <w:pPr>
              <w:pStyle w:val="TableContents"/>
              <w:bidi w:val="0"/>
              <w:spacing w:before="0" w:after="283"/>
              <w:jc w:val="left"/>
              <w:rPr/>
            </w:pPr>
            <w:r>
              <w:rPr/>
              <w:t> </w:t>
            </w:r>
          </w:p>
        </w:tc>
        <w:tc>
          <w:tcPr>
            <w:tcW w:w="204"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97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(9,846</w:t>
            </w:r>
          </w:p>
        </w:tc>
        <w:tc>
          <w:tcPr>
            <w:tcW w:w="9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491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Provision charged to earnings</w:t>
            </w:r>
          </w:p>
        </w:tc>
        <w:tc>
          <w:tcPr>
            <w:tcW w:w="60" w:type="dxa"/>
            <w:tcBorders/>
            <w:shd w:fill="FFFFFF" w:val="clear"/>
            <w:vAlign w:val="center"/>
          </w:tcPr>
          <w:p>
            <w:pPr>
              <w:pStyle w:val="TableContents"/>
              <w:bidi w:val="0"/>
              <w:spacing w:before="0" w:after="283"/>
              <w:jc w:val="left"/>
              <w:rPr/>
            </w:pPr>
            <w:r>
              <w:rPr/>
              <w:t> </w:t>
            </w:r>
          </w:p>
        </w:tc>
        <w:tc>
          <w:tcPr>
            <w:tcW w:w="218" w:type="dxa"/>
            <w:tcBorders/>
            <w:shd w:fill="FFFFFF" w:val="clear"/>
            <w:vAlign w:val="center"/>
          </w:tcPr>
          <w:p>
            <w:pPr>
              <w:pStyle w:val="TableContents"/>
              <w:bidi w:val="0"/>
              <w:spacing w:before="0" w:after="283"/>
              <w:jc w:val="left"/>
              <w:rPr/>
            </w:pPr>
            <w:r>
              <w:rPr/>
              <w:t> </w:t>
            </w:r>
          </w:p>
        </w:tc>
        <w:tc>
          <w:tcPr>
            <w:tcW w:w="956"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(3,554</w:t>
            </w:r>
          </w:p>
        </w:tc>
        <w:tc>
          <w:tcPr>
            <w:tcW w:w="128"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96" w:type="dxa"/>
            <w:tcBorders/>
            <w:shd w:fill="FFFFFF" w:val="clear"/>
            <w:vAlign w:val="center"/>
          </w:tcPr>
          <w:p>
            <w:pPr>
              <w:pStyle w:val="TableContents"/>
              <w:bidi w:val="0"/>
              <w:spacing w:before="0" w:after="283"/>
              <w:jc w:val="left"/>
              <w:rPr/>
            </w:pPr>
            <w:r>
              <w:rPr/>
              <w:t> </w:t>
            </w:r>
          </w:p>
        </w:tc>
        <w:tc>
          <w:tcPr>
            <w:tcW w:w="204" w:type="dxa"/>
            <w:tcBorders/>
            <w:shd w:fill="FFFFFF" w:val="clear"/>
            <w:vAlign w:val="center"/>
          </w:tcPr>
          <w:p>
            <w:pPr>
              <w:pStyle w:val="TableContents"/>
              <w:bidi w:val="0"/>
              <w:spacing w:before="0" w:after="283"/>
              <w:jc w:val="left"/>
              <w:rPr/>
            </w:pPr>
            <w:r>
              <w:rPr/>
              <w:t> </w:t>
            </w:r>
          </w:p>
        </w:tc>
        <w:tc>
          <w:tcPr>
            <w:tcW w:w="970"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(9,132</w:t>
            </w:r>
          </w:p>
        </w:tc>
        <w:tc>
          <w:tcPr>
            <w:tcW w:w="9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491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Amounts written off, net of recoveries and other adjustments</w:t>
            </w:r>
          </w:p>
        </w:tc>
        <w:tc>
          <w:tcPr>
            <w:tcW w:w="60" w:type="dxa"/>
            <w:tcBorders/>
            <w:shd w:fill="CCEEFF" w:val="clear"/>
            <w:vAlign w:val="center"/>
          </w:tcPr>
          <w:p>
            <w:pPr>
              <w:pStyle w:val="TableContents"/>
              <w:bidi w:val="0"/>
              <w:spacing w:before="0" w:after="283"/>
              <w:jc w:val="left"/>
              <w:rPr/>
            </w:pPr>
            <w:r>
              <w:rPr/>
              <w:t> </w:t>
            </w:r>
          </w:p>
        </w:tc>
        <w:tc>
          <w:tcPr>
            <w:tcW w:w="218"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56"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49</w:t>
            </w:r>
          </w:p>
        </w:tc>
        <w:tc>
          <w:tcPr>
            <w:tcW w:w="128" w:type="dxa"/>
            <w:tcBorders/>
            <w:shd w:fill="CCEEFF" w:val="clear"/>
            <w:vAlign w:val="center"/>
          </w:tcPr>
          <w:p>
            <w:pPr>
              <w:pStyle w:val="TableContents"/>
              <w:bidi w:val="0"/>
              <w:spacing w:before="0" w:after="283"/>
              <w:jc w:val="left"/>
              <w:rPr/>
            </w:pPr>
            <w:r>
              <w:rPr/>
              <w:t> </w:t>
            </w:r>
          </w:p>
        </w:tc>
        <w:tc>
          <w:tcPr>
            <w:tcW w:w="96" w:type="dxa"/>
            <w:tcBorders/>
            <w:shd w:fill="CCEEFF" w:val="clear"/>
            <w:vAlign w:val="center"/>
          </w:tcPr>
          <w:p>
            <w:pPr>
              <w:pStyle w:val="TableContents"/>
              <w:bidi w:val="0"/>
              <w:spacing w:before="0" w:after="283"/>
              <w:jc w:val="left"/>
              <w:rPr/>
            </w:pPr>
            <w:r>
              <w:rPr/>
              <w:t> </w:t>
            </w:r>
          </w:p>
        </w:tc>
        <w:tc>
          <w:tcPr>
            <w:tcW w:w="204"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70"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17,277</w:t>
            </w:r>
          </w:p>
        </w:tc>
        <w:tc>
          <w:tcPr>
            <w:tcW w:w="95" w:type="dxa"/>
            <w:tcBorders/>
            <w:shd w:fill="CCEEFF" w:val="clear"/>
            <w:vAlign w:val="center"/>
          </w:tcPr>
          <w:p>
            <w:pPr>
              <w:pStyle w:val="TableContents"/>
              <w:bidi w:val="0"/>
              <w:spacing w:before="0" w:after="283"/>
              <w:jc w:val="left"/>
              <w:rPr/>
            </w:pPr>
            <w:r>
              <w:rPr/>
              <w:t> </w:t>
            </w:r>
          </w:p>
        </w:tc>
      </w:tr>
      <w:tr>
        <w:trPr/>
        <w:tc>
          <w:tcPr>
            <w:tcW w:w="4910" w:type="dxa"/>
            <w:tcBorders/>
            <w:shd w:fill="FFFFFF" w:val="cle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Balance at end of period</w:t>
            </w:r>
          </w:p>
        </w:tc>
        <w:tc>
          <w:tcPr>
            <w:tcW w:w="60" w:type="dxa"/>
            <w:tcBorders/>
            <w:shd w:fill="FFFFFF" w:val="clear"/>
            <w:vAlign w:val="center"/>
          </w:tcPr>
          <w:p>
            <w:pPr>
              <w:pStyle w:val="TableContents"/>
              <w:bidi w:val="0"/>
              <w:spacing w:before="0" w:after="283"/>
              <w:jc w:val="left"/>
              <w:rPr/>
            </w:pPr>
            <w:r>
              <w:rPr/>
              <w:t> </w:t>
            </w:r>
          </w:p>
        </w:tc>
        <w:tc>
          <w:tcPr>
            <w:tcW w:w="218" w:type="dxa"/>
            <w:tcBorders>
              <w:bottom w:val="double" w:sz="10"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956" w:type="dxa"/>
            <w:tcBorders>
              <w:bottom w:val="double" w:sz="10"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(5,206</w:t>
            </w:r>
          </w:p>
        </w:tc>
        <w:tc>
          <w:tcPr>
            <w:tcW w:w="128"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96" w:type="dxa"/>
            <w:tcBorders/>
            <w:shd w:fill="FFFFFF" w:val="clear"/>
            <w:vAlign w:val="center"/>
          </w:tcPr>
          <w:p>
            <w:pPr>
              <w:pStyle w:val="TableContents"/>
              <w:bidi w:val="0"/>
              <w:spacing w:before="0" w:after="283"/>
              <w:jc w:val="left"/>
              <w:rPr/>
            </w:pPr>
            <w:r>
              <w:rPr/>
              <w:t> </w:t>
            </w:r>
          </w:p>
        </w:tc>
        <w:tc>
          <w:tcPr>
            <w:tcW w:w="204" w:type="dxa"/>
            <w:tcBorders>
              <w:bottom w:val="double" w:sz="10"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970" w:type="dxa"/>
            <w:tcBorders>
              <w:bottom w:val="double" w:sz="10"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(1,701</w:t>
            </w:r>
          </w:p>
        </w:tc>
        <w:tc>
          <w:tcPr>
            <w:tcW w:w="9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fiscal year 2024, the Company identified customer accounts receivable balances that were deemed to be uncollectible, which were reserved and written off.</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Inventories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Inventories consist of solar panels and the components of solar energy systems all of which are classified as finished goods within inventories as of December 28, 2025 and December 29, 2024. Inventories are valued using the average cost method. The Company identifies inventory which is considered obsolete or in excess of anticipated demand based on a consideration of marketability and product life cycle stage, component cost trends, demand forecasts, historical revenues, and assumptions about future demand and market conditions, and such inventory has been adjusted to its lower of cost or net realizable value.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Cost of Revenues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costs to fulfill contracts associated with systems sales are expensed as cost of revenues. Cost of revenues is comprised primarily of materials, internal labor, third-party subcontractors, design services, engineering personnel and employee-related expenses associated with permitting services, associated warranty costs, freight and delivery costs, depreciation, and amortization of internally developed software. Cost of revenues from these services is recognized when the Company transfers control of the product to the customer, which is generally upon installation.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Warranties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typically provides a 10-year warranty on its solar energy system installations, which provides assurance over the workmanship in performing the installation, including roof leaks caused by the Company’s performance. For solar panel sales recognized prior to the Divestiture, the Company provides a 30-year warranty that the products will be free from defects in material and workmanship. The Company retained its warranty obligations associated with panel sales prior to the Divestiture.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When revenue is recognized for a solar energy system installation service, the Company accrues a liability for the estimated future cost of meeting its warranty obligations. The Company makes and revises its estimated warranty liability based primarily on the volume of new sales that contain warranties, historical experience with and projections of warranty claims, and estimated solar energy system and panel replacement costs. The Company records a provision for estimated warranty expenses in cost of revenues within the accompanying consolidated statements of operations and comprehensive loss. Warranty costs primarily consist of replacement materials, equipment and labor costs for service personnel.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12" w:space="1" w:color="000000"/>
        </w:rPr>
      </w:pPr>
      <w:r>
        <w:rPr>
          <w:sz w:val="20"/>
          <w:bdr w:val="single" w:sz="12" w:space="1" w:color="000000"/>
        </w:rPr>
        <w:t>F-62</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Property and Equipment, Net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Property and equipment are stated at cost less accumulated depreciation and amortization. When assets are retired or disposed of, the cost and accumulated depreciation are removed from the accounts, and any resulting gain or loss is recognized in that period. Repair and maintenance costs are expensed as incurred. Depreciation and amortization are calculated using the straight-line method over the following estimated useful lives of the assets:</w:t>
      </w:r>
    </w:p>
    <w:p>
      <w:pPr>
        <w:pStyle w:val="TextBody"/>
        <w:bidi w:val="0"/>
        <w:spacing w:before="0" w:after="0"/>
        <w:ind w:left="360" w:right="0" w:hanging="0"/>
        <w:jc w:val="left"/>
        <w:rPr>
          <w:caps w:val="false"/>
          <w:smallCaps w:val="false"/>
        </w:rPr>
      </w:pPr>
      <w:r>
        <w:rPr>
          <w:caps w:val="false"/>
          <w:smallCaps w:val="false"/>
        </w:rPr>
        <w:t> </w:t>
      </w:r>
    </w:p>
    <w:tbl>
      <w:tblPr>
        <w:tblW w:w="6805" w:type="dxa"/>
        <w:jc w:val="left"/>
        <w:tblInd w:w="0" w:type="dxa"/>
        <w:tblLayout w:type="fixed"/>
        <w:tblCellMar>
          <w:top w:w="0" w:type="dxa"/>
          <w:left w:w="0" w:type="dxa"/>
          <w:bottom w:w="0" w:type="dxa"/>
          <w:right w:w="0" w:type="dxa"/>
        </w:tblCellMar>
      </w:tblPr>
      <w:tblGrid>
        <w:gridCol w:w="2075"/>
        <w:gridCol w:w="60"/>
        <w:gridCol w:w="4670"/>
      </w:tblGrid>
      <w:tr>
        <w:trPr/>
        <w:tc>
          <w:tcPr>
            <w:tcW w:w="20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670" w:type="dxa"/>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Useful Lives</w:t>
            </w:r>
          </w:p>
        </w:tc>
      </w:tr>
      <w:tr>
        <w:trPr/>
        <w:tc>
          <w:tcPr>
            <w:tcW w:w="207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Equipment</w:t>
            </w:r>
          </w:p>
        </w:tc>
        <w:tc>
          <w:tcPr>
            <w:tcW w:w="60" w:type="dxa"/>
            <w:tcBorders/>
            <w:shd w:fill="CCEEFF" w:val="clear"/>
            <w:vAlign w:val="center"/>
          </w:tcPr>
          <w:p>
            <w:pPr>
              <w:pStyle w:val="TableContents"/>
              <w:bidi w:val="0"/>
              <w:spacing w:before="0" w:after="283"/>
              <w:jc w:val="left"/>
              <w:rPr/>
            </w:pPr>
            <w:r>
              <w:rPr/>
              <w:t> </w:t>
            </w:r>
          </w:p>
        </w:tc>
        <w:tc>
          <w:tcPr>
            <w:tcW w:w="4670"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 – 3 years</w:t>
            </w:r>
          </w:p>
        </w:tc>
      </w:tr>
      <w:tr>
        <w:trPr/>
        <w:tc>
          <w:tcPr>
            <w:tcW w:w="207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Internal-use software</w:t>
            </w:r>
          </w:p>
        </w:tc>
        <w:tc>
          <w:tcPr>
            <w:tcW w:w="60" w:type="dxa"/>
            <w:tcBorders/>
            <w:shd w:fill="FFFFFF" w:val="clear"/>
            <w:vAlign w:val="center"/>
          </w:tcPr>
          <w:p>
            <w:pPr>
              <w:pStyle w:val="TableContents"/>
              <w:bidi w:val="0"/>
              <w:spacing w:before="0" w:after="283"/>
              <w:jc w:val="left"/>
              <w:rPr/>
            </w:pPr>
            <w:r>
              <w:rPr/>
              <w:t> </w:t>
            </w:r>
          </w:p>
        </w:tc>
        <w:tc>
          <w:tcPr>
            <w:tcW w:w="4670" w:type="dxa"/>
            <w:tcBorders/>
            <w:shd w:fill="FFFF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3 – 5 years</w:t>
            </w:r>
          </w:p>
        </w:tc>
      </w:tr>
      <w:tr>
        <w:trPr/>
        <w:tc>
          <w:tcPr>
            <w:tcW w:w="207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Furniture &amp; equipment</w:t>
            </w:r>
          </w:p>
        </w:tc>
        <w:tc>
          <w:tcPr>
            <w:tcW w:w="60" w:type="dxa"/>
            <w:tcBorders/>
            <w:shd w:fill="CCEEFF" w:val="clear"/>
            <w:vAlign w:val="center"/>
          </w:tcPr>
          <w:p>
            <w:pPr>
              <w:pStyle w:val="TableContents"/>
              <w:bidi w:val="0"/>
              <w:spacing w:before="0" w:after="283"/>
              <w:jc w:val="left"/>
              <w:rPr/>
            </w:pPr>
            <w:r>
              <w:rPr/>
              <w:t> </w:t>
            </w:r>
          </w:p>
        </w:tc>
        <w:tc>
          <w:tcPr>
            <w:tcW w:w="4670"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3 – 5 years</w:t>
            </w:r>
          </w:p>
        </w:tc>
      </w:tr>
      <w:tr>
        <w:trPr/>
        <w:tc>
          <w:tcPr>
            <w:tcW w:w="207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Vehicles</w:t>
            </w:r>
          </w:p>
        </w:tc>
        <w:tc>
          <w:tcPr>
            <w:tcW w:w="60" w:type="dxa"/>
            <w:tcBorders/>
            <w:shd w:fill="FFFFFF" w:val="clear"/>
            <w:vAlign w:val="center"/>
          </w:tcPr>
          <w:p>
            <w:pPr>
              <w:pStyle w:val="TableContents"/>
              <w:bidi w:val="0"/>
              <w:spacing w:before="0" w:after="283"/>
              <w:jc w:val="left"/>
              <w:rPr/>
            </w:pPr>
            <w:r>
              <w:rPr/>
              <w:t> </w:t>
            </w:r>
          </w:p>
        </w:tc>
        <w:tc>
          <w:tcPr>
            <w:tcW w:w="4670" w:type="dxa"/>
            <w:tcBorders/>
            <w:shd w:fill="FFFF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3 to 5 years</w:t>
            </w:r>
          </w:p>
        </w:tc>
      </w:tr>
      <w:tr>
        <w:trPr/>
        <w:tc>
          <w:tcPr>
            <w:tcW w:w="2075" w:type="dxa"/>
            <w:tcBorders/>
            <w:shd w:fill="CF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Leasehold improvements</w:t>
            </w:r>
          </w:p>
        </w:tc>
        <w:tc>
          <w:tcPr>
            <w:tcW w:w="60" w:type="dxa"/>
            <w:tcBorders/>
            <w:shd w:fill="CFEEFF" w:val="clear"/>
            <w:vAlign w:val="center"/>
          </w:tcPr>
          <w:p>
            <w:pPr>
              <w:pStyle w:val="TableContents"/>
              <w:bidi w:val="0"/>
              <w:spacing w:before="0" w:after="283"/>
              <w:jc w:val="left"/>
              <w:rPr/>
            </w:pPr>
            <w:r>
              <w:rPr/>
              <w:t> </w:t>
            </w:r>
          </w:p>
        </w:tc>
        <w:tc>
          <w:tcPr>
            <w:tcW w:w="4670" w:type="dxa"/>
            <w:tcBorders/>
            <w:shd w:fill="CF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Shorter of 3 to 5 years of the asset or the term of the lease.</w:t>
            </w:r>
          </w:p>
        </w:tc>
      </w:tr>
    </w:tbl>
    <w:p>
      <w:pPr>
        <w:pStyle w:val="TextBody"/>
        <w:bidi w:val="0"/>
        <w:spacing w:before="0" w:after="0"/>
        <w:ind w:left="36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Internal-Use Software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capitalizes costs to develop its internal-use software when preliminary development efforts are successfully completed, management has authorized and committed project funding, it is probable that the project will be completed, and the software will be utilized as intended. These costs include personnel and related employee benefits and expenses for employees who are directly associated with and who devote time to software projects, and external direct costs of materials and services consumed in developing or obtaining software. Costs incurred prior to meeting these criteria, together with costs incurred for training and maintenance, are expensed as incurred. Costs incurred for enhancements that are expected to provide additional material functionality are capitalized and amortized over the estimated useful life of the related upgrade.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Intangible Assets, Net</w:t>
      </w:r>
    </w:p>
    <w:p>
      <w:pPr>
        <w:pStyle w:val="TextBody"/>
        <w:bidi w:val="0"/>
        <w:spacing w:before="0" w:after="0"/>
        <w:ind w:left="72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Intangible assets are recorded at cost, less accumulated amortization. Amortization is recorded using the straight-line method. All intangible assets that have been determined to have definite lives are amortized over their estimated useful life as indicated below:</w:t>
      </w:r>
    </w:p>
    <w:p>
      <w:pPr>
        <w:pStyle w:val="TextBody"/>
        <w:bidi w:val="0"/>
        <w:spacing w:before="0" w:after="0"/>
        <w:ind w:left="360" w:right="0" w:hanging="0"/>
        <w:jc w:val="left"/>
        <w:rPr>
          <w:caps w:val="false"/>
          <w:smallCaps w:val="false"/>
        </w:rPr>
      </w:pPr>
      <w:r>
        <w:rPr>
          <w:caps w:val="false"/>
          <w:smallCaps w:val="false"/>
        </w:rPr>
        <w:t> </w:t>
      </w:r>
    </w:p>
    <w:tbl>
      <w:tblPr>
        <w:tblW w:w="3505" w:type="dxa"/>
        <w:jc w:val="left"/>
        <w:tblInd w:w="0" w:type="dxa"/>
        <w:tblLayout w:type="fixed"/>
        <w:tblCellMar>
          <w:top w:w="0" w:type="dxa"/>
          <w:left w:w="0" w:type="dxa"/>
          <w:bottom w:w="0" w:type="dxa"/>
          <w:right w:w="0" w:type="dxa"/>
        </w:tblCellMar>
      </w:tblPr>
      <w:tblGrid>
        <w:gridCol w:w="2375"/>
        <w:gridCol w:w="60"/>
        <w:gridCol w:w="1070"/>
      </w:tblGrid>
      <w:tr>
        <w:trPr/>
        <w:tc>
          <w:tcPr>
            <w:tcW w:w="23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70" w:type="dxa"/>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Useful Lives</w:t>
            </w:r>
          </w:p>
        </w:tc>
      </w:tr>
      <w:tr>
        <w:trPr/>
        <w:tc>
          <w:tcPr>
            <w:tcW w:w="237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Customer related intangibles</w:t>
            </w:r>
          </w:p>
        </w:tc>
        <w:tc>
          <w:tcPr>
            <w:tcW w:w="60" w:type="dxa"/>
            <w:tcBorders/>
            <w:shd w:fill="CCEEFF" w:val="clear"/>
            <w:vAlign w:val="center"/>
          </w:tcPr>
          <w:p>
            <w:pPr>
              <w:pStyle w:val="TableContents"/>
              <w:bidi w:val="0"/>
              <w:spacing w:before="0" w:after="283"/>
              <w:jc w:val="left"/>
              <w:rPr/>
            </w:pPr>
            <w:r>
              <w:rPr/>
              <w:t> </w:t>
            </w:r>
          </w:p>
        </w:tc>
        <w:tc>
          <w:tcPr>
            <w:tcW w:w="1070"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 – 10 years</w:t>
            </w:r>
          </w:p>
        </w:tc>
      </w:tr>
      <w:tr>
        <w:trPr/>
        <w:tc>
          <w:tcPr>
            <w:tcW w:w="237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Trademarks</w:t>
            </w:r>
          </w:p>
        </w:tc>
        <w:tc>
          <w:tcPr>
            <w:tcW w:w="60" w:type="dxa"/>
            <w:tcBorders/>
            <w:vAlign w:val="center"/>
          </w:tcPr>
          <w:p>
            <w:pPr>
              <w:pStyle w:val="TableContents"/>
              <w:bidi w:val="0"/>
              <w:spacing w:before="0" w:after="283"/>
              <w:jc w:val="left"/>
              <w:rPr/>
            </w:pPr>
            <w:r>
              <w:rPr/>
              <w:t> </w:t>
            </w:r>
          </w:p>
        </w:tc>
        <w:tc>
          <w:tcPr>
            <w:tcW w:w="1070"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 – 10 years</w:t>
            </w:r>
          </w:p>
        </w:tc>
      </w:tr>
      <w:tr>
        <w:trPr/>
        <w:tc>
          <w:tcPr>
            <w:tcW w:w="2375" w:type="dxa"/>
            <w:tcBorders/>
            <w:shd w:fill="CF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Developed technology</w:t>
            </w:r>
          </w:p>
        </w:tc>
        <w:tc>
          <w:tcPr>
            <w:tcW w:w="60" w:type="dxa"/>
            <w:tcBorders/>
            <w:shd w:fill="CFEEFF" w:val="clear"/>
            <w:vAlign w:val="center"/>
          </w:tcPr>
          <w:p>
            <w:pPr>
              <w:pStyle w:val="TableContents"/>
              <w:bidi w:val="0"/>
              <w:spacing w:before="0" w:after="283"/>
              <w:jc w:val="left"/>
              <w:rPr/>
            </w:pPr>
            <w:r>
              <w:rPr/>
              <w:t> </w:t>
            </w:r>
          </w:p>
        </w:tc>
        <w:tc>
          <w:tcPr>
            <w:tcW w:w="1070" w:type="dxa"/>
            <w:tcBorders/>
            <w:shd w:fill="CF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 – 3 years</w:t>
            </w:r>
          </w:p>
        </w:tc>
      </w:tr>
    </w:tbl>
    <w:p>
      <w:pPr>
        <w:pStyle w:val="TextBody"/>
        <w:bidi w:val="0"/>
        <w:spacing w:before="0" w:after="0"/>
        <w:ind w:left="36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Impairment of Long-Lived Assets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Long-lived assets, such as property and equipment, Right-of-Use (“ROU”) assets, and intangible assets subject to amortization, are reviewed for impairment whenever events or changes in circumstances indicate that the carrying amount of an asset may not be recoverable. If circumstances require a long-lived asset or asset group to be tested for possible impairment, the Company first compares undiscounted cash flows expected to be generated by that asset or asset group to its carrying value. If the carrying value of the long-lived asset or asset group is not recoverable on an undiscounted cash flow basis, an impairment is recognized to the extent that the carrying value exceeds its fair value. Fair value is determined through various valuation techniques including discounted cash flow models, and quoted market values, as considered necessary.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Company recognized an impairment loss of zero and $3.8 million in the fiscal years ended December 28, 2025 and December 29, 2024, respectively, as disclosed in </w:t>
      </w:r>
      <w:r>
        <w:rPr>
          <w:rFonts w:ascii="Times New Roman;Times;Serif" w:hAnsi="Times New Roman;Times;Serif"/>
          <w:b/>
          <w:i w:val="false"/>
          <w:caps w:val="false"/>
          <w:smallCaps w:val="false"/>
          <w:sz w:val="20"/>
        </w:rPr>
        <w:t>Note 6 – Supplemental Balance Sheet Information</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Goodwill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tests goodwill at the reporting unit level for impairment annually on the first day of the fourth quarter, or more frequently if an event occurs or circumstances change that would more likely than not reduce the fair value of the reporting unit below its carrying amount.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sz w:val="20"/>
          <w:bdr w:val="single" w:sz="12" w:space="1" w:color="000000"/>
        </w:rPr>
      </w:pPr>
      <w:r>
        <w:rPr>
          <w:sz w:val="20"/>
          <w:bdr w:val="single" w:sz="12" w:space="1" w:color="000000"/>
        </w:rPr>
        <w:t>F-63</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may elect to perform a qualitative assessment that considers economic, industry and company-specific factors. If, after completing the assessment, it is determined that it is more likely than not that the fair value of a reporting unit is less than its carrying value, the Company proceeds to a quantitative test. Quantitative testing requires a comparison of the fair value of each reporting unit to its carrying value. If the carrying value of the reporting unit exceeds its fair value, goodwill impairment is measured as the amount by which the reporting unit’s carrying value exceeds its fair value, not to exceed the carrying value of goodwill.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did not recognize any goodwill impairment in the fiscal years ended December 28, 2025 or December 29, 2024.</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Fair Value Measurements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utilizes valuation techniques that maximize the use of observable inputs and minimize the use of unobservable inputs to the extent possible. The Company determines fair value based on assumptions that market participants would use in pricing an asset or liability in the principal or most advantageous market.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When considering market participant assumptions in fair value measurements, the following fair value hierarchy distinguishes between observable and unobservable inputs, which are categorized in one of the following levels:</w:t>
      </w:r>
    </w:p>
    <w:p>
      <w:pPr>
        <w:pStyle w:val="TextBody"/>
        <w:bidi w:val="0"/>
        <w:spacing w:before="0" w:after="0"/>
        <w:ind w:left="36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Level 1 inputs: Unadjusted quoted prices in active markets for identical assets or liabilities accessible to the reporting entity at the measurement date.</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Level 2 inputs: Other than quoted prices included in Level 1 inputs that are observable for the asset or liability, either directly or indirectly, for substantially the full term of the asset or liability.</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Level 3 inputs: Unobservable inputs for the asset or liability used to measure fair value to the extent that observable inputs are not available, thereby allowing for situations in which there is little, if any, market activity for the asset or liability at the measurement date.</w:t>
            </w:r>
          </w:p>
        </w:tc>
      </w:tr>
    </w:tbl>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Financial assets and liabilities held by the Company measured at fair value every reporting period include cash and cash equivalents, accounts receivable, accounts payable, accrued expenses, warrant liabilities, forward purchase agreements (“FPAs”), SAFEs, deferred purchase price consideration, and derivative liabilities associated with the Company’s borrowings.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carrying amounts of cash, accounts receivable, accounts payable, accrued expenses and other current liabilities, public warrants, and deferred purchase price consideration approximate their respective fair values because of their short-term nature or they have observable inputs (classified as Level 1).</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derivative liabilities associated with the Company’s borrowings, FPAs, SAFEs, and private and working capital warrant liabilities are initially measured at fair value using Level 3 inputs. At each subsequent reporting date, the Company remeasures the fair value of these instruments in accordance with ASC 820, </w:t>
      </w:r>
      <w:r>
        <w:rPr>
          <w:rFonts w:ascii="Times New Roman;Times;Serif" w:hAnsi="Times New Roman;Times;Serif"/>
          <w:b w:val="false"/>
          <w:i/>
          <w:caps w:val="false"/>
          <w:smallCaps w:val="false"/>
          <w:sz w:val="20"/>
        </w:rPr>
        <w:t>Fair Value Measurement</w:t>
      </w:r>
      <w:r>
        <w:rPr>
          <w:rFonts w:ascii="Times New Roman;Times;Serif" w:hAnsi="Times New Roman;Times;Serif"/>
          <w:b w:val="false"/>
          <w:i w:val="false"/>
          <w:caps w:val="false"/>
          <w:smallCaps w:val="false"/>
          <w:sz w:val="20"/>
        </w:rPr>
        <w:t>, and records the respective adjustment to the fair value within Other non-operating income, net the Company’s consolidated statements of operations and comprehensive loss.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Borrowings with Embedded Derivative Liabilities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Company accounts for its borrowings with embedded derivative liabilities in accordance with ASC 815, </w:t>
      </w:r>
      <w:r>
        <w:rPr>
          <w:rFonts w:ascii="Times New Roman;Times;Serif" w:hAnsi="Times New Roman;Times;Serif"/>
          <w:b w:val="false"/>
          <w:i/>
          <w:caps w:val="false"/>
          <w:smallCaps w:val="false"/>
          <w:sz w:val="20"/>
        </w:rPr>
        <w:t>Derivatives and Hedging</w:t>
      </w:r>
      <w:r>
        <w:rPr>
          <w:rFonts w:ascii="Times New Roman;Times;Serif" w:hAnsi="Times New Roman;Times;Serif"/>
          <w:b w:val="false"/>
          <w:i w:val="false"/>
          <w:caps w:val="false"/>
          <w:smallCaps w:val="false"/>
          <w:sz w:val="20"/>
        </w:rPr>
        <w:t>, to determine whether such features must be bifurcated and accounted for separately as derivative liabilities. Upon issuance of a debt instrument with an embedded conversion option feature, the Company assesses whether the embedded feature qualifies as a derivative that requires bifurcation from the host contract. An embedded feature is bifurcated and accounted for as a separate derivative instrument if (i) the economic characteristics and risks of the embedded feature are not clearly and closely related to those of the host debt instrument; (ii) the embedded feature, if freestanding, would meet the definition of a derivative; and (iii) the hybrid instrument is not remeasured at fair value through earnings.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sz w:val="20"/>
          <w:bdr w:val="single" w:sz="12" w:space="1" w:color="000000"/>
        </w:rPr>
      </w:pPr>
      <w:r>
        <w:rPr>
          <w:sz w:val="20"/>
          <w:bdr w:val="single" w:sz="12" w:space="1" w:color="000000"/>
        </w:rPr>
        <w:t>F-64</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 embedded feature requires bifurcation, the Company allocates a portion of the initial proceeds to the fair value of the derivative liability, with the residual assigned to the carrying amount of the host debt instrument. The derivative liability is subsequently measured at fair value at each reporting date.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host debt instrument is recorded at amortized cost using the effective interest method. Any discounts or premiums resulting from the initial allocation between the host debt and the embedded derivative are amortized as interest expense over the expected term of the debt.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Derivative liabilities are measured at fair value in accordance with ASC 820, </w:t>
      </w:r>
      <w:r>
        <w:rPr>
          <w:rFonts w:ascii="Times New Roman;Times;Serif" w:hAnsi="Times New Roman;Times;Serif"/>
          <w:b w:val="false"/>
          <w:i/>
          <w:caps w:val="false"/>
          <w:smallCaps w:val="false"/>
          <w:sz w:val="20"/>
        </w:rPr>
        <w:t>Fair Value Measurement</w:t>
      </w:r>
      <w:r>
        <w:rPr>
          <w:rFonts w:ascii="Times New Roman;Times;Serif" w:hAnsi="Times New Roman;Times;Serif"/>
          <w:b w:val="false"/>
          <w:i w:val="false"/>
          <w:caps w:val="false"/>
          <w:smallCaps w:val="false"/>
          <w:sz w:val="20"/>
        </w:rPr>
        <w:t xml:space="preserve">. The fair value of a derivative liability is measured using a Monte Carlo simulation that incorporates a binomial lattice model. Refer to </w:t>
      </w:r>
      <w:r>
        <w:rPr>
          <w:rFonts w:ascii="Times New Roman;Times;Serif" w:hAnsi="Times New Roman;Times;Serif"/>
          <w:b/>
          <w:i w:val="false"/>
          <w:caps w:val="false"/>
          <w:smallCaps w:val="false"/>
          <w:sz w:val="20"/>
        </w:rPr>
        <w:t>Note 5 – Fair Value Measurements</w:t>
      </w:r>
      <w:r>
        <w:rPr>
          <w:rFonts w:ascii="Times New Roman;Times;Serif" w:hAnsi="Times New Roman;Times;Serif"/>
          <w:b w:val="false"/>
          <w:i w:val="false"/>
          <w:caps w:val="false"/>
          <w:smallCaps w:val="false"/>
          <w:sz w:val="20"/>
        </w:rPr>
        <w:t xml:space="preserve"> and </w:t>
      </w:r>
      <w:r>
        <w:rPr>
          <w:rFonts w:ascii="Times New Roman;Times;Serif" w:hAnsi="Times New Roman;Times;Serif"/>
          <w:b/>
          <w:i w:val="false"/>
          <w:caps w:val="false"/>
          <w:smallCaps w:val="false"/>
          <w:sz w:val="20"/>
        </w:rPr>
        <w:t xml:space="preserve">Note 10 – Borrowings and Derivative Liabilities </w:t>
      </w:r>
      <w:r>
        <w:rPr>
          <w:rFonts w:ascii="Times New Roman;Times;Serif" w:hAnsi="Times New Roman;Times;Serif"/>
          <w:b w:val="false"/>
          <w:i w:val="false"/>
          <w:caps w:val="false"/>
          <w:smallCaps w:val="false"/>
          <w:sz w:val="20"/>
        </w:rPr>
        <w:t>for details.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Forward Purchase Agreements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Company accounts for its FPAs in accordance with the guidance in ASC 480, </w:t>
      </w:r>
      <w:r>
        <w:rPr>
          <w:rFonts w:ascii="Times New Roman;Times;Serif" w:hAnsi="Times New Roman;Times;Serif"/>
          <w:b w:val="false"/>
          <w:i/>
          <w:caps w:val="false"/>
          <w:smallCaps w:val="false"/>
          <w:sz w:val="20"/>
        </w:rPr>
        <w:t>Distinguishing Liabilities from Equity</w:t>
      </w:r>
      <w:r>
        <w:rPr>
          <w:rFonts w:ascii="Times New Roman;Times;Serif" w:hAnsi="Times New Roman;Times;Serif"/>
          <w:b w:val="false"/>
          <w:i w:val="false"/>
          <w:caps w:val="false"/>
          <w:smallCaps w:val="false"/>
          <w:sz w:val="20"/>
        </w:rPr>
        <w:t xml:space="preserve">, as the agreements embody an obligation to transfer assets to settle a forward contract. The FPAs are measured at fair value at inception and at each reporting date in accordance with the guidance in ASC 820, </w:t>
      </w:r>
      <w:r>
        <w:rPr>
          <w:rFonts w:ascii="Times New Roman;Times;Serif" w:hAnsi="Times New Roman;Times;Serif"/>
          <w:b w:val="false"/>
          <w:i/>
          <w:caps w:val="false"/>
          <w:smallCaps w:val="false"/>
          <w:sz w:val="20"/>
        </w:rPr>
        <w:t>Fair Value Measurement</w:t>
      </w:r>
      <w:r>
        <w:rPr>
          <w:rFonts w:ascii="Times New Roman;Times;Serif" w:hAnsi="Times New Roman;Times;Serif"/>
          <w:b w:val="false"/>
          <w:i w:val="false"/>
          <w:caps w:val="false"/>
          <w:smallCaps w:val="false"/>
          <w:sz w:val="20"/>
        </w:rPr>
        <w:t xml:space="preserve">. Refer to </w:t>
      </w:r>
      <w:r>
        <w:rPr>
          <w:rFonts w:ascii="Times New Roman;Times;Serif" w:hAnsi="Times New Roman;Times;Serif"/>
          <w:b/>
          <w:i w:val="false"/>
          <w:caps w:val="false"/>
          <w:smallCaps w:val="false"/>
          <w:sz w:val="20"/>
        </w:rPr>
        <w:t>Note 5 – Fair Value Measurements</w:t>
      </w:r>
      <w:r>
        <w:rPr>
          <w:rFonts w:ascii="Times New Roman;Times;Serif" w:hAnsi="Times New Roman;Times;Serif"/>
          <w:b w:val="false"/>
          <w:i w:val="false"/>
          <w:caps w:val="false"/>
          <w:smallCaps w:val="false"/>
          <w:sz w:val="20"/>
        </w:rPr>
        <w:t xml:space="preserve"> and </w:t>
      </w:r>
      <w:r>
        <w:rPr>
          <w:rFonts w:ascii="Times New Roman;Times;Serif" w:hAnsi="Times New Roman;Times;Serif"/>
          <w:b/>
          <w:i w:val="false"/>
          <w:caps w:val="false"/>
          <w:smallCaps w:val="false"/>
          <w:sz w:val="20"/>
        </w:rPr>
        <w:t xml:space="preserve">Note 8 – Forward Purchase Agreements </w:t>
      </w:r>
      <w:r>
        <w:rPr>
          <w:rFonts w:ascii="Times New Roman;Times;Serif" w:hAnsi="Times New Roman;Times;Serif"/>
          <w:b w:val="false"/>
          <w:i w:val="false"/>
          <w:caps w:val="false"/>
          <w:smallCaps w:val="false"/>
          <w:sz w:val="20"/>
        </w:rPr>
        <w:t>for details.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Warrant Liabilities</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Company accounts for its warrant liabilities in accordance with the guidance in ASC 815-40, </w:t>
      </w:r>
      <w:r>
        <w:rPr>
          <w:rFonts w:ascii="Times New Roman;Times;Serif" w:hAnsi="Times New Roman;Times;Serif"/>
          <w:b w:val="false"/>
          <w:i/>
          <w:caps w:val="false"/>
          <w:smallCaps w:val="false"/>
          <w:sz w:val="20"/>
        </w:rPr>
        <w:t>Derivatives and Hedging – Contracts in Entity’s Own Equity</w:t>
      </w:r>
      <w:r>
        <w:rPr>
          <w:rFonts w:ascii="Times New Roman;Times;Serif" w:hAnsi="Times New Roman;Times;Serif"/>
          <w:b w:val="false"/>
          <w:i w:val="false"/>
          <w:caps w:val="false"/>
          <w:smallCaps w:val="false"/>
          <w:sz w:val="20"/>
        </w:rPr>
        <w:t xml:space="preserve">, under which the warrants that do not meet the criteria for equity classification must be recorded as liabilities. The warrant liabilities are measured at fair value at inception and at each reporting date in accordance with the guidance in ASC 820, </w:t>
      </w:r>
      <w:r>
        <w:rPr>
          <w:rFonts w:ascii="Times New Roman;Times;Serif" w:hAnsi="Times New Roman;Times;Serif"/>
          <w:b w:val="false"/>
          <w:i/>
          <w:caps w:val="false"/>
          <w:smallCaps w:val="false"/>
          <w:sz w:val="20"/>
        </w:rPr>
        <w:t>Fair Value Measurement</w:t>
      </w:r>
      <w:r>
        <w:rPr>
          <w:rFonts w:ascii="Times New Roman;Times;Serif" w:hAnsi="Times New Roman;Times;Serif"/>
          <w:b w:val="false"/>
          <w:i w:val="false"/>
          <w:caps w:val="false"/>
          <w:smallCaps w:val="false"/>
          <w:sz w:val="20"/>
        </w:rPr>
        <w:t xml:space="preserve">. Refer to </w:t>
      </w:r>
      <w:r>
        <w:rPr>
          <w:rFonts w:ascii="Times New Roman;Times;Serif" w:hAnsi="Times New Roman;Times;Serif"/>
          <w:b/>
          <w:i w:val="false"/>
          <w:caps w:val="false"/>
          <w:smallCaps w:val="false"/>
          <w:sz w:val="20"/>
        </w:rPr>
        <w:t>Note 5 – Fair Value Measurements</w:t>
      </w:r>
      <w:r>
        <w:rPr>
          <w:rFonts w:ascii="Times New Roman;Times;Serif" w:hAnsi="Times New Roman;Times;Serif"/>
          <w:b w:val="false"/>
          <w:i w:val="false"/>
          <w:caps w:val="false"/>
          <w:smallCaps w:val="false"/>
          <w:sz w:val="20"/>
        </w:rPr>
        <w:t xml:space="preserve"> and </w:t>
      </w:r>
      <w:r>
        <w:rPr>
          <w:rFonts w:ascii="Times New Roman;Times;Serif" w:hAnsi="Times New Roman;Times;Serif"/>
          <w:b/>
          <w:i w:val="false"/>
          <w:caps w:val="false"/>
          <w:smallCaps w:val="false"/>
          <w:sz w:val="20"/>
        </w:rPr>
        <w:t xml:space="preserve">Note 14 – Common Stock and Common Stock Warrants </w:t>
      </w:r>
      <w:r>
        <w:rPr>
          <w:rFonts w:ascii="Times New Roman;Times;Serif" w:hAnsi="Times New Roman;Times;Serif"/>
          <w:b w:val="false"/>
          <w:i w:val="false"/>
          <w:caps w:val="false"/>
          <w:smallCaps w:val="false"/>
          <w:sz w:val="20"/>
        </w:rPr>
        <w:t>for details.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SAFE Agreements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Company accounts for its SAFEs in accordance with the guidance in ASC 480, </w:t>
      </w:r>
      <w:r>
        <w:rPr>
          <w:rFonts w:ascii="Times New Roman;Times;Serif" w:hAnsi="Times New Roman;Times;Serif"/>
          <w:b w:val="false"/>
          <w:i/>
          <w:caps w:val="false"/>
          <w:smallCaps w:val="false"/>
          <w:sz w:val="20"/>
        </w:rPr>
        <w:t>Distinguishing Liabilities from Equity</w:t>
      </w:r>
      <w:r>
        <w:rPr>
          <w:rFonts w:ascii="Times New Roman;Times;Serif" w:hAnsi="Times New Roman;Times;Serif"/>
          <w:b w:val="false"/>
          <w:i w:val="false"/>
          <w:caps w:val="false"/>
          <w:smallCaps w:val="false"/>
          <w:sz w:val="20"/>
        </w:rPr>
        <w:t xml:space="preserve">. SAFEs are measured at fair value at inception and at each reporting date in accordance with the guidance in ASC 820, </w:t>
      </w:r>
      <w:r>
        <w:rPr>
          <w:rFonts w:ascii="Times New Roman;Times;Serif" w:hAnsi="Times New Roman;Times;Serif"/>
          <w:b w:val="false"/>
          <w:i/>
          <w:caps w:val="false"/>
          <w:smallCaps w:val="false"/>
          <w:sz w:val="20"/>
        </w:rPr>
        <w:t>Fair Value Measurement</w:t>
      </w:r>
      <w:r>
        <w:rPr>
          <w:rFonts w:ascii="Times New Roman;Times;Serif" w:hAnsi="Times New Roman;Times;Serif"/>
          <w:b w:val="false"/>
          <w:i w:val="false"/>
          <w:caps w:val="false"/>
          <w:smallCaps w:val="false"/>
          <w:sz w:val="20"/>
        </w:rPr>
        <w:t xml:space="preserve">. Refer to </w:t>
      </w:r>
      <w:r>
        <w:rPr>
          <w:rFonts w:ascii="Times New Roman;Times;Serif" w:hAnsi="Times New Roman;Times;Serif"/>
          <w:b/>
          <w:i w:val="false"/>
          <w:caps w:val="false"/>
          <w:smallCaps w:val="false"/>
          <w:sz w:val="20"/>
        </w:rPr>
        <w:t>Note 5 – Fair Value Measurements</w:t>
      </w:r>
      <w:r>
        <w:rPr>
          <w:rFonts w:ascii="Times New Roman;Times;Serif" w:hAnsi="Times New Roman;Times;Serif"/>
          <w:b w:val="false"/>
          <w:i w:val="false"/>
          <w:caps w:val="false"/>
          <w:smallCaps w:val="false"/>
          <w:sz w:val="20"/>
        </w:rPr>
        <w:t xml:space="preserve"> and </w:t>
      </w:r>
      <w:r>
        <w:rPr>
          <w:rFonts w:ascii="Times New Roman;Times;Serif" w:hAnsi="Times New Roman;Times;Serif"/>
          <w:b/>
          <w:i w:val="false"/>
          <w:caps w:val="false"/>
          <w:smallCaps w:val="false"/>
          <w:sz w:val="20"/>
        </w:rPr>
        <w:t xml:space="preserve">Note 9 – SAFE Agreements </w:t>
      </w:r>
      <w:r>
        <w:rPr>
          <w:rFonts w:ascii="Times New Roman;Times;Serif" w:hAnsi="Times New Roman;Times;Serif"/>
          <w:b w:val="false"/>
          <w:i w:val="false"/>
          <w:caps w:val="false"/>
          <w:smallCaps w:val="false"/>
          <w:sz w:val="20"/>
        </w:rPr>
        <w:t>for details.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Advertising and Promotion Expenses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Advertising and promotion costs are expensed as incurred and included in sales and marketing expense in the accompanying consolidated statements of operations and comprehensive loss. Advertising costs were not material for the fiscal years ended December 28, 2025 and December 29, 2024.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Income Taxes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Income taxes are accounted for under the liability method. Deferred tax assets and liabilities are recognized for the future tax consequences attributable to differences between the financial statement carrying amounts of existing assets and liabilities and their respective tax bases and operating loss and tax credit carryforwards. Deferred tax assets and liabilities are measured using enacted tax rates expected to apply to taxable income in the years in which those temporary differences are expected to be recovered or settled. A valuation allowance is established when it is more likely than not that the deferred tax assets with not be realized. The Company recognizes the effect of income tax positions only if those positions are more likely than not to be sustained. The Company recognizes accrued interest and penalties, if any, related to unrecognized tax benefits in its income tax provision.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sz w:val="20"/>
          <w:bdr w:val="single" w:sz="12" w:space="1" w:color="000000"/>
        </w:rPr>
      </w:pPr>
      <w:r>
        <w:rPr>
          <w:sz w:val="20"/>
          <w:bdr w:val="single" w:sz="12" w:space="1" w:color="000000"/>
        </w:rPr>
        <w:t>F-65</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July 4, 2025, Public Law No. 119-21, commonly known as the One Big Beautiful Bill Act (the “OBBBA”), was enacted in the United States, resulting in broad-based changes to federal tax law. The Company included the impact of OBBBA in its income tax provision for the fiscal year ended December 28, 2025. The OBBBA did not have a material impact on income tax expense for the fiscal year ended December 28, 2025.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Stock-Based Compensation</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recognizes stock-based compensation expense over the requisite service period on a straight- line basis for all stock-based payments that are expected to vest to employees, non-employees and Directors, including grants of employee stock options and other stock-based awards. Equity-classified awards issued to employees, non-employees such as consultants and non-employee Directors are measured at the grant-date fair value of the award. Forfeitures are recognized as they occur.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Comprehensive Loss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Comprehensive loss consists of two components, net loss and other comprehensive income (loss), net.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Net Loss Per Share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Company computes net loss per share following ASC 260, </w:t>
      </w:r>
      <w:r>
        <w:rPr>
          <w:rFonts w:ascii="Times New Roman;Times;Serif" w:hAnsi="Times New Roman;Times;Serif"/>
          <w:b w:val="false"/>
          <w:i/>
          <w:caps w:val="false"/>
          <w:smallCaps w:val="false"/>
          <w:sz w:val="20"/>
        </w:rPr>
        <w:t>Earnings Per Share</w:t>
      </w:r>
      <w:r>
        <w:rPr>
          <w:rFonts w:ascii="Times New Roman;Times;Serif" w:hAnsi="Times New Roman;Times;Serif"/>
          <w:b w:val="false"/>
          <w:i w:val="false"/>
          <w:caps w:val="false"/>
          <w:smallCaps w:val="false"/>
          <w:sz w:val="20"/>
        </w:rPr>
        <w:t>. Basic net loss per share is measured as the loss attributable to common stockholders divided by the weighted average common shares outstanding during periods with undistributed losses. Diluted net loss per share of common stock is computed by dividing the net loss attributable to common stockholders by the weighted-average number of common share equivalents outstanding for the period determined using the treasury-stock method and if-converted method, as applicable. Securities that potentially have an anti-dilutive effect (i.e., those that increase income per share or decrease loss per share) are excluded from the diluted loss per share calculation.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Leases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Company accounts for its leases following ASC 842, </w:t>
      </w:r>
      <w:r>
        <w:rPr>
          <w:rFonts w:ascii="Times New Roman;Times;Serif" w:hAnsi="Times New Roman;Times;Serif"/>
          <w:b w:val="false"/>
          <w:i/>
          <w:caps w:val="false"/>
          <w:smallCaps w:val="false"/>
          <w:sz w:val="20"/>
        </w:rPr>
        <w:t>Leases</w:t>
      </w:r>
      <w:r>
        <w:rPr>
          <w:rFonts w:ascii="Times New Roman;Times;Serif" w:hAnsi="Times New Roman;Times;Serif"/>
          <w:b w:val="false"/>
          <w:i w:val="false"/>
          <w:caps w:val="false"/>
          <w:smallCaps w:val="false"/>
          <w:sz w:val="20"/>
        </w:rPr>
        <w:t>. The Company determines if a contract is a lease or contains a lease at the inception of the contract and reassesses that conclusion if the contract is modified. ROU assets represent the Company’s right to use an underlying asset for the lease term and lease liabilities represent its obligation to make lease payments arising from the lease.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lease agreements generally contain lease and non-lease components. Payments under lease arrangements are primarily fixed. The Company has elected the practical expedient to combine lease and non-lease components and accounts for them together as a single lease component. All leases are assessed for classification as an operating lease or a finance lease. Finance lease ROU assets are classified within Property and Equipment, net, on the Company’s consolidated balance sheets. Operating lease ROU assets are classified separately on the Company’s consolidated balance sheets. Operating lease liabilities and finance lease obligations are separated into their respective current portion and non-current portions and are presented separately on the Company’s consolidated balance sheets. Finance lease ROU assets and liabilities and operating lease ROU assets and liabilities are recognized on the Company’s consolidated balance sheet on the date in which the lessor makes the underlying asset available for use.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Finance lease ROU assets are those that meet one or more of the criteria outlined in ASC 842-10-25-2, such as transfer of ownership, purchase option, lease term for a major part of the asset’s economic life, or present value of lease payments substantially equal to the fair value of the asset. Finance lease ROU assets are initially measured at cost, which includes the initial lease liability, plus any lease payments made at or before commencement, less any lease incentives received. Finance lease ROU assets are amortized on a straight-line basis over the shorter of the lease term or the useful life of the underlying asset. Interest expense on the finance lease liability is recognized using the effective interest method.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sz w:val="20"/>
          <w:bdr w:val="single" w:sz="12" w:space="1" w:color="000000"/>
        </w:rPr>
      </w:pPr>
      <w:r>
        <w:rPr>
          <w:sz w:val="20"/>
          <w:bdr w:val="single" w:sz="12" w:space="1" w:color="000000"/>
        </w:rPr>
        <w:t>F-66</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Operating lease ROU assets and liabilities are recognized based upon the present value of the lease payments over the respective lease term. Operating lease expense is recognized on a straight-line basis over the lease term, subject to any changes in the lease or expectation regarding the terms. Variable lease costs such as common area maintenance, property taxes and insurance are expensed as incurred.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generally uses its incremental borrowing rate to discount the lease payments to present value. The estimated incremental borrowing rate is derived from information available at the lease commencement date. The Company’s lease terms include periods under options to extend or terminate the lease. Options to renew or extend leases beyond their initial term have been excluded from measurement of the ROU assets and lease liabilities when exercise of such options is not reasonably certain. The Company generally uses the base, non-cancellable, lease term when determining the lease assets and liabilities. The Company records a right-of-use asset which is calculated based on the amount of the lease liability, adjusted for any advance lease payments made, lease incentives received, and initial direct costs incurred. Right-of-use assets are subject to evaluation for impairment or disposal on a basis consistent with other long-lived assets.</w:t>
      </w:r>
    </w:p>
    <w:p>
      <w:pPr>
        <w:pStyle w:val="TextBody"/>
        <w:bidi w:val="0"/>
        <w:spacing w:before="0" w:after="0"/>
        <w:ind w:left="36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has elected, for all classes of underlying assets, not to recognize ROU assets and lease liabilities for leases with an initial term of twelve months or less. The cost for short-term leases is recognized on a straight-line basis over the term of the contract. </w:t>
      </w:r>
    </w:p>
    <w:p>
      <w:pPr>
        <w:pStyle w:val="TextBody"/>
        <w:bidi w:val="0"/>
        <w:spacing w:before="0" w:after="0"/>
        <w:ind w:left="36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Recently Adopted Accounting Pronouncements</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July 2025, the Financial Accounting Standards Board (“FASB”) issued Accounting Standards Update (“ASU”) 2025-05 “</w:t>
      </w:r>
      <w:r>
        <w:rPr>
          <w:rFonts w:ascii="Times New Roman;Times;Serif" w:hAnsi="Times New Roman;Times;Serif"/>
          <w:b w:val="false"/>
          <w:i/>
          <w:caps w:val="false"/>
          <w:smallCaps w:val="false"/>
          <w:sz w:val="20"/>
        </w:rPr>
        <w:t>Measurement of Credit Losses for Accounts Receivable and Contract Assets”</w:t>
      </w:r>
      <w:r>
        <w:rPr>
          <w:rFonts w:ascii="Times New Roman;Times;Serif" w:hAnsi="Times New Roman;Times;Serif"/>
          <w:b w:val="false"/>
          <w:i w:val="false"/>
          <w:caps w:val="false"/>
          <w:smallCaps w:val="false"/>
          <w:sz w:val="20"/>
        </w:rPr>
        <w:t xml:space="preserve"> which provides an update to all entities with a practical expedient when estimating expected credit losses. This ASU is effective for annual reporting periods beginning after December 15, 2025, and interim reporting periods within those annual reporting periods. Early adoption is permitted in both interim and annual reporting periods in which financial statements have not yet been issued or made available for issuance. The Company adopted ASU 2025-05 in the fiscal year ended December 28, 2025. The impact of the adoption was not material to the Company’s consolidated financial statements.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December 2023, the FASB issued ASU 2023-09, “</w:t>
      </w:r>
      <w:r>
        <w:rPr>
          <w:rFonts w:ascii="Times New Roman;Times;Serif" w:hAnsi="Times New Roman;Times;Serif"/>
          <w:b w:val="false"/>
          <w:i/>
          <w:caps w:val="false"/>
          <w:smallCaps w:val="false"/>
          <w:sz w:val="20"/>
        </w:rPr>
        <w:t>Income Taxes (Topic 740): Improvements to Income Tax Disclosures”</w:t>
      </w:r>
      <w:r>
        <w:rPr>
          <w:rFonts w:ascii="Times New Roman;Times;Serif" w:hAnsi="Times New Roman;Times;Serif"/>
          <w:b w:val="false"/>
          <w:i w:val="false"/>
          <w:caps w:val="false"/>
          <w:smallCaps w:val="false"/>
          <w:sz w:val="20"/>
        </w:rPr>
        <w:t>. The objective of ASU 2023-09 is to enhance disclosures related to income taxes, including specific thresholds for inclusion within the tabular disclosure of income tax rate reconciliation and specified information about income taxes paid. ASU 2023-09 is effective for public companies starting in annual periods beginning after December 15, 2024. The Company adopted this ASU on a prospective basis in its annual report in the fiscal year ended December 28, 2025. The impact of the adoption was not material to the Company’s consolidated financial statements.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Accounting Pronouncements Not Yet Adopted</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March 2024, the FASB issued ASU 2024-02 “</w:t>
      </w:r>
      <w:r>
        <w:rPr>
          <w:rFonts w:ascii="Times New Roman;Times;Serif" w:hAnsi="Times New Roman;Times;Serif"/>
          <w:b w:val="false"/>
          <w:i/>
          <w:caps w:val="false"/>
          <w:smallCaps w:val="false"/>
          <w:sz w:val="20"/>
        </w:rPr>
        <w:t>Codification Improvements-Amendments to Remove References to the Concepts Statements”</w:t>
      </w:r>
      <w:r>
        <w:rPr>
          <w:rFonts w:ascii="Times New Roman;Times;Serif" w:hAnsi="Times New Roman;Times;Serif"/>
          <w:b w:val="false"/>
          <w:i w:val="false"/>
          <w:caps w:val="false"/>
          <w:smallCaps w:val="false"/>
          <w:sz w:val="20"/>
        </w:rPr>
        <w:t>, which removes various references to concepts statements from the FASB Accounting Standards Codification. This ASU is effective for the Company beginning in the first quarter of fiscal year 2026, with early adoption permitted. The Company expects the new guidance will have an immaterial impact on its consolidated financial statements and intends to adopt the guidance when it becomes effective in the first quarter of fiscal year 2026.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November 2024, the FASB issued ASU 2024-03, “</w:t>
      </w:r>
      <w:r>
        <w:rPr>
          <w:rFonts w:ascii="Times New Roman;Times;Serif" w:hAnsi="Times New Roman;Times;Serif"/>
          <w:b w:val="false"/>
          <w:i/>
          <w:caps w:val="false"/>
          <w:smallCaps w:val="false"/>
          <w:sz w:val="20"/>
        </w:rPr>
        <w:t>Income Statement-Reporting Comprehensive Income-Expense Disaggregation Disclosures (Subtopic 220-40): Disaggregation of Income Statement Expenses”,</w:t>
      </w:r>
      <w:r>
        <w:rPr>
          <w:rFonts w:ascii="Times New Roman;Times;Serif" w:hAnsi="Times New Roman;Times;Serif"/>
          <w:b w:val="false"/>
          <w:i w:val="false"/>
          <w:caps w:val="false"/>
          <w:smallCaps w:val="false"/>
          <w:sz w:val="20"/>
        </w:rPr>
        <w:t xml:space="preserve"> which requires the disaggregation of certain expenses in the notes of the financial statements to provide enhanced transparency into the expense captions presented on the face of the income statement. The FASB subsequently issued ASU 2025-01 “</w:t>
      </w:r>
      <w:r>
        <w:rPr>
          <w:rFonts w:ascii="Times New Roman;Times;Serif" w:hAnsi="Times New Roman;Times;Serif"/>
          <w:b w:val="false"/>
          <w:i/>
          <w:caps w:val="false"/>
          <w:smallCaps w:val="false"/>
          <w:sz w:val="20"/>
        </w:rPr>
        <w:t>Income Statement-Reporting Comprehensive Income-Expense Disaggregation Disclosures (Subtopic 220-40): Clarifying the Effective Date”</w:t>
      </w:r>
      <w:r>
        <w:rPr>
          <w:rFonts w:ascii="Times New Roman;Times;Serif" w:hAnsi="Times New Roman;Times;Serif"/>
          <w:b w:val="false"/>
          <w:i w:val="false"/>
          <w:caps w:val="false"/>
          <w:smallCaps w:val="false"/>
          <w:sz w:val="20"/>
        </w:rPr>
        <w:t>, which amends the effective date of ASU 2024-03 to clarify that all public business entities are required to adopt the guidance in ASU 2024-03 in annual reporting periods beginning after December 15, 2026, and interim periods within annual reporting periods beginning after December 15, 2027. Early adoption of ASU 2024-03 is permitted. The Company is assessing the impact of adopting this guidance on its consolidated financial statements.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sz w:val="20"/>
          <w:bdr w:val="single" w:sz="12" w:space="1" w:color="000000"/>
        </w:rPr>
      </w:pPr>
      <w:r>
        <w:rPr>
          <w:sz w:val="20"/>
          <w:bdr w:val="single" w:sz="12" w:space="1" w:color="000000"/>
        </w:rPr>
        <w:t>F-67</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November 2024, the FASB issued ASU No. 2024-04, “</w:t>
      </w:r>
      <w:r>
        <w:rPr>
          <w:rFonts w:ascii="Times New Roman;Times;Serif" w:hAnsi="Times New Roman;Times;Serif"/>
          <w:b w:val="false"/>
          <w:i/>
          <w:caps w:val="false"/>
          <w:smallCaps w:val="false"/>
          <w:sz w:val="20"/>
        </w:rPr>
        <w:t>Debt-Debt with Conversion and Other Options (Subtopic 470-20) (“ASU 2024-04”)”</w:t>
      </w:r>
      <w:r>
        <w:rPr>
          <w:rFonts w:ascii="Times New Roman;Times;Serif" w:hAnsi="Times New Roman;Times;Serif"/>
          <w:b w:val="false"/>
          <w:i w:val="false"/>
          <w:caps w:val="false"/>
          <w:smallCaps w:val="false"/>
          <w:sz w:val="20"/>
        </w:rPr>
        <w:t>. The guidance in ASU 2024-04 clarifies the requirements related to accounting for the settlement of a debt instrument as an induced conversion. The standard is effective for fiscal years beginning after December 15, 2025, and interim periods within fiscal years beginning after December 15, 2025, with early adoption permitted as of the beginning of a reporting period if the entity has also adopted ASU 2020-06 for that period. The Company is currently evaluating the impact that the adoption of ASU 2024-04 may have on its consolidated financial statements.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September 2025, the FASB issued ASU 2025-06 “</w:t>
      </w:r>
      <w:r>
        <w:rPr>
          <w:rFonts w:ascii="Times New Roman;Times;Serif" w:hAnsi="Times New Roman;Times;Serif"/>
          <w:b w:val="false"/>
          <w:i/>
          <w:caps w:val="false"/>
          <w:smallCaps w:val="false"/>
          <w:sz w:val="20"/>
        </w:rPr>
        <w:t>Targeted improvements to the Accounting for Internal-Use Software”</w:t>
      </w:r>
      <w:r>
        <w:rPr>
          <w:rFonts w:ascii="Times New Roman;Times;Serif" w:hAnsi="Times New Roman;Times;Serif"/>
          <w:b w:val="false"/>
          <w:i w:val="false"/>
          <w:caps w:val="false"/>
          <w:smallCaps w:val="false"/>
          <w:sz w:val="20"/>
        </w:rPr>
        <w:t xml:space="preserve"> which is an update to remove all references to prescriptive and sequential software development stages (referred to as “project stages”). This ASU is effective for all entities for annual reporting periods beginning after December 15, 2027, and interim reporting periods within those annual reporting periods. Early adoption is permitted as of the beginning of an annual reporting period. The Company is currently evaluating the impact that the adoption of ASU 2025-06 may have on its consolidated financial statements.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December 2025, the FASB issued ASU 2025-11, “</w:t>
      </w:r>
      <w:r>
        <w:rPr>
          <w:rFonts w:ascii="Times New Roman;Times;Serif" w:hAnsi="Times New Roman;Times;Serif"/>
          <w:b w:val="false"/>
          <w:i/>
          <w:caps w:val="false"/>
          <w:smallCaps w:val="false"/>
          <w:sz w:val="20"/>
        </w:rPr>
        <w:t>Interim Reporting Narrow Scope Improvements”</w:t>
      </w:r>
      <w:r>
        <w:rPr>
          <w:rFonts w:ascii="Times New Roman;Times;Serif" w:hAnsi="Times New Roman;Times;Serif"/>
          <w:b w:val="false"/>
          <w:i w:val="false"/>
          <w:caps w:val="false"/>
          <w:smallCaps w:val="false"/>
          <w:sz w:val="20"/>
        </w:rPr>
        <w:t xml:space="preserve"> which amends and clarifies interim reporting and disclosure requirements including additional guidance on what disclosures should be provided in interim reporting periods. This amendment also includes a disclosure principle that requires entities to disclose events since the end of the last annual reporting period that have a material impact on the entity. This ASU is effective for interim reporting periods within annual reporting periods beginning after December 15, 2027, for public companies. This ASU may be applied prospectively or retrospectively to any or all periods presented in the Company’s consolidated financial statements. Early adoption of this ASU is permitted. The Company is currently evaluating the impact that the adoption of this ASU may have on its consolidated financial statements.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December 2025, the FASB issued ASU 2025-12, “</w:t>
      </w:r>
      <w:r>
        <w:rPr>
          <w:rFonts w:ascii="Times New Roman;Times;Serif" w:hAnsi="Times New Roman;Times;Serif"/>
          <w:b w:val="false"/>
          <w:i/>
          <w:caps w:val="false"/>
          <w:smallCaps w:val="false"/>
          <w:sz w:val="20"/>
        </w:rPr>
        <w:t>Codification Improvements</w:t>
      </w:r>
      <w:r>
        <w:rPr>
          <w:rFonts w:ascii="Times New Roman;Times;Serif" w:hAnsi="Times New Roman;Times;Serif"/>
          <w:b w:val="false"/>
          <w:i w:val="false"/>
          <w:caps w:val="false"/>
          <w:smallCaps w:val="false"/>
          <w:sz w:val="20"/>
        </w:rPr>
        <w:t>” which makes changes to the Accounting Standards Codification that clarify, correct errors or make minor improvements and make ASCs easier to understand and apply. The amendments in this ASU are effective for all entities for annual reporting periods beginning after December 15, 2026, and interim reporting periods within those annual reporting periods. This ASU may be adopted prospectively or retrospectively, except as to the clarification of the calculation of earnings per share when a loss from continuing operations exists which must be adopted retrospectively. All other codification improvements may be adopted prospectively or retrospectively. Early adoption is permitted. The Company is currently evaluating the impact that the adoption of this ASU may have on its consolidated financial statements.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Changes in Related Parties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Transactions with CRSEF Solis Holdings, LLC and its affiliates (“Carlyle”), have been disclosed as related party transactions until it ceased being a significant shareholder in the Company. Effective March 31, 2025, transactions with Carlyle are no longer deemed related party transactions. The Company continues to engage in transactions with Carlyle as it is a creditor of the Company’s 12.0% senior unsecured convertible notes. Refer to </w:t>
      </w:r>
      <w:r>
        <w:rPr>
          <w:rFonts w:ascii="Times New Roman;Times;Serif" w:hAnsi="Times New Roman;Times;Serif"/>
          <w:b/>
          <w:i w:val="false"/>
          <w:caps w:val="false"/>
          <w:smallCaps w:val="false"/>
          <w:sz w:val="20"/>
        </w:rPr>
        <w:t>Note 10 – Borrowings and Derivative Liabilities</w:t>
      </w:r>
      <w:r>
        <w:rPr>
          <w:rFonts w:ascii="Times New Roman;Times;Serif" w:hAnsi="Times New Roman;Times;Serif"/>
          <w:b w:val="false"/>
          <w:i w:val="false"/>
          <w:caps w:val="false"/>
          <w:smallCaps w:val="false"/>
          <w:sz w:val="20"/>
        </w:rPr>
        <w:t xml:space="preserve"> for additional information.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J. Daniel McCranie became a member of the Company’s Board of Directors in January 2025 and through a related trust, holds $750 thousand of the Company’s 12.0% senior unsecured convertible notes. The Company concluded that this relationship is a related party transaction effective in the Company’s fiscal year 2025. Refer to </w:t>
      </w:r>
      <w:r>
        <w:rPr>
          <w:rFonts w:ascii="Times New Roman;Times;Serif" w:hAnsi="Times New Roman;Times;Serif"/>
          <w:b/>
          <w:i w:val="false"/>
          <w:caps w:val="false"/>
          <w:smallCaps w:val="false"/>
          <w:sz w:val="20"/>
        </w:rPr>
        <w:t>Note 10 – Borrowings and Derivative Liabilities</w:t>
      </w:r>
      <w:r>
        <w:rPr>
          <w:rFonts w:ascii="Times New Roman;Times;Serif" w:hAnsi="Times New Roman;Times;Serif"/>
          <w:b w:val="false"/>
          <w:i w:val="false"/>
          <w:caps w:val="false"/>
          <w:smallCaps w:val="false"/>
          <w:sz w:val="20"/>
        </w:rPr>
        <w:t xml:space="preserve"> for additional information.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Polar Multi-Strategy Master Fund (“Polar”) ceased to be a related party, and as a result, effective March 31, 2025, transactions with Polar are no longer deemed related party transactions. Transactions previously reported with Polar have been disclosed as related party transactions. The Company has a forward purchase agreement with Polar.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sz w:val="20"/>
          <w:bdr w:val="single" w:sz="12" w:space="1" w:color="000000"/>
        </w:rPr>
      </w:pPr>
      <w:r>
        <w:rPr>
          <w:sz w:val="20"/>
          <w:bdr w:val="single" w:sz="12" w:space="1" w:color="000000"/>
        </w:rPr>
        <w:t>F-68</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NASDAQ Deficiency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November 19, 2025, the Company received a letter from the Listing Qualifications staff of Nasdaq indicating that, as a result of the Company’s delay in filing its quarterly report on Form 10-Q for the period ended September 28, 2025, the Company was not in compliance with the timely filing requirements for continued listing under Nasdaq Listing Rule 5250(c)(1). The Nasdaq letter had no immediate effect on the listing or trading of the Company’s common stock or warrants. The Nasdaq listing rules require Nasdaq-listed companies to timely file all required periodic reports with the SEC. The Nasdaq letter stated that, under Nasdaq rules, the Company has 60 calendar days to submit a plan to regain compliance with Nasdaq’s continued listing requirements. The Company filed its quarterly report on Form 10-Q for the period ended September 28, 2025 on December 19, 2025.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 Business Combinations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SunPower Businesses Acquisition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August 5, 2024, the Company entered into an Asset Purchase Agreement (the “APA”) with SunPower Corporation and SunPower Corporation’s direct and indirect subsidiaries (collectively, the “SunPower Debtors”) providing for the sale and purchase of certain assets relating to the Blue Raven Solar business, New Homes Business and Non-Installing Dealer network previously operated by the SunPower Debtors. The APA was entered into in connection with a voluntary petition filed by SunPower Corporation under Chapter 11 of the United States Code, 11 U.S.C.§§ 101-1532. The transaction was approved on September 23, 2024, by the United States Bankruptcy Court for the District of Delaware. The Company completed the acquisition of the Acquired Assets (as defined in the APA) effective September 30, 2024, in the Company’s fourth quarter of fiscal year 2024, in consideration for a cash purchase price of $54.5 million (“SunPower Acquisition”). The assets and businesses acquired, including liabilities assumed, by the Company under the APA are referred to herein as the “SunPower Businesses.”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Prior to its acquisition, the SunPower Businesses operated as a solar technology and energy services provider that offered fully integrated solar, storage, and home energy solutions to customers in the United States through an array of hardware, software, and “Smart Energy” solutions. The financial results of the SunPower Businesses have been included in the Company’s consolidated financial statements since its date of acquisition. This transaction was accounted for as a business combination in accordance with ASC 805</w:t>
      </w:r>
      <w:r>
        <w:rPr>
          <w:rFonts w:ascii="Times New Roman;Times;Serif" w:hAnsi="Times New Roman;Times;Serif"/>
          <w:b w:val="false"/>
          <w:i/>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Transaction costs of $7.2 million incurred in connection with the close of the SunPower Businesses were expensed by the Company and included in general and administrative expenses on the Company’s statement of operations and comprehensive loss in the fiscal year ended December 29, 2024.</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provisional fair values of assets acquired and liabilities assumed initially recorded were based upon a preliminary valuation in the fiscal year ended December 29, 2024. Upon finalization of the fair values in the fiscal year ended December 28, 2025, the Company recorded adjustments to acquired inventory related to (1) the resolution of work-in-progress at various stages of completion as of the acquisition date for which further analysis was required in order to determine which systems could be sold to a financing partner, and (2) completed systems that were acquired as of the acquisition date for which uncertainty existed due to unsettled matters with the SunPower Bankruptcy Estate, which were resolved in connection with the Company’s settlement with the SunPower Bankruptcy Estate. The settlement of these matters resulted in adjustments to the provisional fair values of the inventory and intangibles with an offsetting adjustment to goodwill during the measurement period.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12" w:space="1" w:color="000000"/>
        </w:rPr>
      </w:pPr>
      <w:r>
        <w:rPr>
          <w:sz w:val="20"/>
          <w:bdr w:val="single" w:sz="12" w:space="1" w:color="000000"/>
        </w:rPr>
        <w:t>F-69</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following table summarizes the provisional and final fair values of identifiable assets acquired and liabilities assumed and measurement period adjustments </w:t>
      </w:r>
      <w:r>
        <w:rPr>
          <w:rFonts w:ascii="Times New Roman;Times;Serif" w:hAnsi="Times New Roman;Times;Serif"/>
          <w:b w:val="false"/>
          <w:i/>
          <w:caps w:val="false"/>
          <w:smallCaps w:val="false"/>
          <w:sz w:val="20"/>
        </w:rPr>
        <w:t>(in thousands)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694"/>
        <w:gridCol w:w="60"/>
        <w:gridCol w:w="478"/>
        <w:gridCol w:w="2504"/>
        <w:gridCol w:w="80"/>
        <w:gridCol w:w="60"/>
        <w:gridCol w:w="350"/>
        <w:gridCol w:w="1825"/>
        <w:gridCol w:w="80"/>
        <w:gridCol w:w="60"/>
        <w:gridCol w:w="147"/>
        <w:gridCol w:w="768"/>
        <w:gridCol w:w="99"/>
      </w:tblGrid>
      <w:tr>
        <w:trPr/>
        <w:tc>
          <w:tcPr>
            <w:tcW w:w="3694"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p>
        </w:tc>
        <w:tc>
          <w:tcPr>
            <w:tcW w:w="2982"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 xml:space="preserve">Provisional </w:t>
              <w:br/>
              <w:t>fair values as of December 29, 2024</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175"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 xml:space="preserve">Measurement </w:t>
              <w:br/>
              <w:t xml:space="preserve">period </w:t>
              <w:br/>
              <w:t>adjustments in fiscal 2025</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15"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Final</w:t>
              <w:br/>
              <w:t>fair values</w:t>
            </w:r>
          </w:p>
        </w:tc>
        <w:tc>
          <w:tcPr>
            <w:tcW w:w="99" w:type="dxa"/>
            <w:tcBorders/>
            <w:vAlign w:val="center"/>
          </w:tcPr>
          <w:p>
            <w:pPr>
              <w:pStyle w:val="TableContents"/>
              <w:bidi w:val="0"/>
              <w:spacing w:before="0" w:after="283"/>
              <w:jc w:val="left"/>
              <w:rPr/>
            </w:pPr>
            <w:r>
              <w:rPr/>
              <w:t> </w:t>
            </w:r>
          </w:p>
        </w:tc>
      </w:tr>
      <w:tr>
        <w:trPr/>
        <w:tc>
          <w:tcPr>
            <w:tcW w:w="3694" w:type="dxa"/>
            <w:tcBorders/>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Net assets acquired:</w:t>
            </w:r>
          </w:p>
        </w:tc>
        <w:tc>
          <w:tcPr>
            <w:tcW w:w="60" w:type="dxa"/>
            <w:tcBorders/>
            <w:vAlign w:val="center"/>
          </w:tcPr>
          <w:p>
            <w:pPr>
              <w:pStyle w:val="TableContents"/>
              <w:bidi w:val="0"/>
              <w:spacing w:before="0" w:after="283"/>
              <w:jc w:val="left"/>
              <w:rPr/>
            </w:pPr>
            <w:r>
              <w:rPr/>
              <w:t> </w:t>
            </w:r>
          </w:p>
        </w:tc>
        <w:tc>
          <w:tcPr>
            <w:tcW w:w="2982" w:type="dxa"/>
            <w:gridSpan w:val="2"/>
            <w:tcBorders/>
            <w:vAlign w:val="center"/>
          </w:tcPr>
          <w:p>
            <w:pPr>
              <w:pStyle w:val="TableContents"/>
              <w:bidi w:val="0"/>
              <w:spacing w:before="0" w:after="283"/>
              <w:jc w:val="right"/>
              <w:rPr/>
            </w:pPr>
            <w:r>
              <w:rPr/>
              <w:t> </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175" w:type="dxa"/>
            <w:gridSpan w:val="2"/>
            <w:tcBorders/>
            <w:vAlign w:val="center"/>
          </w:tcPr>
          <w:p>
            <w:pPr>
              <w:pStyle w:val="TableContents"/>
              <w:bidi w:val="0"/>
              <w:spacing w:before="0" w:after="283"/>
              <w:jc w:val="right"/>
              <w:rPr/>
            </w:pPr>
            <w:r>
              <w:rPr/>
              <w:t> </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15" w:type="dxa"/>
            <w:gridSpan w:val="2"/>
            <w:tcBorders/>
            <w:vAlign w:val="center"/>
          </w:tcPr>
          <w:p>
            <w:pPr>
              <w:pStyle w:val="TableContents"/>
              <w:bidi w:val="0"/>
              <w:spacing w:before="0" w:after="283"/>
              <w:jc w:val="right"/>
              <w:rPr/>
            </w:pPr>
            <w:r>
              <w:rPr/>
              <w:t> </w:t>
            </w:r>
          </w:p>
        </w:tc>
        <w:tc>
          <w:tcPr>
            <w:tcW w:w="99" w:type="dxa"/>
            <w:tcBorders/>
            <w:vAlign w:val="center"/>
          </w:tcPr>
          <w:p>
            <w:pPr>
              <w:pStyle w:val="TableContents"/>
              <w:bidi w:val="0"/>
              <w:spacing w:before="0" w:after="283"/>
              <w:jc w:val="left"/>
              <w:rPr/>
            </w:pPr>
            <w:r>
              <w:rPr/>
              <w:t> </w:t>
            </w:r>
          </w:p>
        </w:tc>
      </w:tr>
      <w:tr>
        <w:trPr/>
        <w:tc>
          <w:tcPr>
            <w:tcW w:w="3694" w:type="dxa"/>
            <w:tcBorders/>
            <w:shd w:fill="CCEEFF" w:val="cle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Cash</w:t>
            </w:r>
          </w:p>
        </w:tc>
        <w:tc>
          <w:tcPr>
            <w:tcW w:w="60" w:type="dxa"/>
            <w:tcBorders/>
            <w:shd w:fill="CCEEFF" w:val="clear"/>
            <w:vAlign w:val="center"/>
          </w:tcPr>
          <w:p>
            <w:pPr>
              <w:pStyle w:val="TableContents"/>
              <w:bidi w:val="0"/>
              <w:spacing w:before="0" w:after="283"/>
              <w:jc w:val="left"/>
              <w:rPr/>
            </w:pPr>
            <w:r>
              <w:rPr/>
              <w:t> </w:t>
            </w:r>
          </w:p>
        </w:tc>
        <w:tc>
          <w:tcPr>
            <w:tcW w:w="478"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2504"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1,000</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5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825" w:type="dxa"/>
            <w:tcBorders/>
            <w:shd w:fill="CCEEFF" w:val="clear"/>
            <w:vAlign w:val="center"/>
          </w:tcPr>
          <w:p>
            <w:pPr>
              <w:pStyle w:val="TableContents"/>
              <w:bidi w:val="0"/>
              <w:spacing w:before="0" w:after="283"/>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7"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768"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1,000</w:t>
            </w:r>
          </w:p>
        </w:tc>
        <w:tc>
          <w:tcPr>
            <w:tcW w:w="99" w:type="dxa"/>
            <w:tcBorders/>
            <w:shd w:fill="CCEEFF" w:val="clear"/>
            <w:vAlign w:val="center"/>
          </w:tcPr>
          <w:p>
            <w:pPr>
              <w:pStyle w:val="TableContents"/>
              <w:bidi w:val="0"/>
              <w:spacing w:before="0" w:after="283"/>
              <w:jc w:val="left"/>
              <w:rPr/>
            </w:pPr>
            <w:r>
              <w:rPr/>
              <w:t> </w:t>
            </w:r>
          </w:p>
        </w:tc>
      </w:tr>
      <w:tr>
        <w:trPr/>
        <w:tc>
          <w:tcPr>
            <w:tcW w:w="3694" w:type="dxa"/>
            <w:tcBorders/>
            <w:shd w:fill="FFFFFF" w:val="cle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Accounts receivable</w:t>
            </w:r>
          </w:p>
        </w:tc>
        <w:tc>
          <w:tcPr>
            <w:tcW w:w="60" w:type="dxa"/>
            <w:tcBorders/>
            <w:shd w:fill="FFFFFF" w:val="clear"/>
            <w:vAlign w:val="center"/>
          </w:tcPr>
          <w:p>
            <w:pPr>
              <w:pStyle w:val="TableContents"/>
              <w:bidi w:val="0"/>
              <w:spacing w:before="0" w:after="283"/>
              <w:jc w:val="left"/>
              <w:rPr/>
            </w:pPr>
            <w:r>
              <w:rPr/>
              <w:t> </w:t>
            </w:r>
          </w:p>
        </w:tc>
        <w:tc>
          <w:tcPr>
            <w:tcW w:w="478" w:type="dxa"/>
            <w:tcBorders/>
            <w:shd w:fill="FFFFFF" w:val="clear"/>
            <w:vAlign w:val="center"/>
          </w:tcPr>
          <w:p>
            <w:pPr>
              <w:pStyle w:val="TableContents"/>
              <w:bidi w:val="0"/>
              <w:spacing w:before="0" w:after="283"/>
              <w:jc w:val="left"/>
              <w:rPr/>
            </w:pPr>
            <w:r>
              <w:rPr/>
              <w:t> </w:t>
            </w:r>
          </w:p>
        </w:tc>
        <w:tc>
          <w:tcPr>
            <w:tcW w:w="2504" w:type="dxa"/>
            <w:tcBorders/>
            <w:shd w:fill="FFFFFF" w:val="clear"/>
            <w:vAlign w:val="center"/>
          </w:tcPr>
          <w:p>
            <w:pPr>
              <w:pStyle w:val="TableContents"/>
              <w:bidi w:val="0"/>
              <w:spacing w:before="0" w:after="0"/>
              <w:ind w:left="0" w:right="0"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11,999</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50" w:type="dxa"/>
            <w:tcBorders/>
            <w:shd w:fill="FFFFFF" w:val="clear"/>
            <w:vAlign w:val="center"/>
          </w:tcPr>
          <w:p>
            <w:pPr>
              <w:pStyle w:val="TableContents"/>
              <w:bidi w:val="0"/>
              <w:spacing w:before="0" w:after="283"/>
              <w:jc w:val="left"/>
              <w:rPr/>
            </w:pPr>
            <w:r>
              <w:rPr/>
              <w:t> </w:t>
            </w:r>
          </w:p>
        </w:tc>
        <w:tc>
          <w:tcPr>
            <w:tcW w:w="182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4,615</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7" w:type="dxa"/>
            <w:tcBorders/>
            <w:shd w:fill="FFFFFF" w:val="clear"/>
            <w:vAlign w:val="center"/>
          </w:tcPr>
          <w:p>
            <w:pPr>
              <w:pStyle w:val="TableContents"/>
              <w:bidi w:val="0"/>
              <w:spacing w:before="0" w:after="283"/>
              <w:jc w:val="left"/>
              <w:rPr/>
            </w:pPr>
            <w:r>
              <w:rPr/>
              <w:t> </w:t>
            </w:r>
          </w:p>
        </w:tc>
        <w:tc>
          <w:tcPr>
            <w:tcW w:w="768"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16,614</w:t>
            </w:r>
          </w:p>
        </w:tc>
        <w:tc>
          <w:tcPr>
            <w:tcW w:w="99" w:type="dxa"/>
            <w:tcBorders/>
            <w:shd w:fill="FFFFFF" w:val="clear"/>
            <w:vAlign w:val="center"/>
          </w:tcPr>
          <w:p>
            <w:pPr>
              <w:pStyle w:val="TableContents"/>
              <w:bidi w:val="0"/>
              <w:spacing w:before="0" w:after="283"/>
              <w:jc w:val="left"/>
              <w:rPr/>
            </w:pPr>
            <w:r>
              <w:rPr/>
              <w:t> </w:t>
            </w:r>
          </w:p>
        </w:tc>
      </w:tr>
      <w:tr>
        <w:trPr/>
        <w:tc>
          <w:tcPr>
            <w:tcW w:w="3694" w:type="dxa"/>
            <w:tcBorders/>
            <w:shd w:fill="CCEEFF" w:val="cle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Contract assets</w:t>
            </w:r>
          </w:p>
        </w:tc>
        <w:tc>
          <w:tcPr>
            <w:tcW w:w="60" w:type="dxa"/>
            <w:tcBorders/>
            <w:shd w:fill="CCEEFF" w:val="clear"/>
            <w:vAlign w:val="center"/>
          </w:tcPr>
          <w:p>
            <w:pPr>
              <w:pStyle w:val="TableContents"/>
              <w:bidi w:val="0"/>
              <w:spacing w:before="0" w:after="283"/>
              <w:jc w:val="left"/>
              <w:rPr/>
            </w:pPr>
            <w:r>
              <w:rPr/>
              <w:t> </w:t>
            </w:r>
          </w:p>
        </w:tc>
        <w:tc>
          <w:tcPr>
            <w:tcW w:w="478" w:type="dxa"/>
            <w:tcBorders/>
            <w:shd w:fill="CCEEFF" w:val="clear"/>
            <w:vAlign w:val="center"/>
          </w:tcPr>
          <w:p>
            <w:pPr>
              <w:pStyle w:val="TableContents"/>
              <w:bidi w:val="0"/>
              <w:spacing w:before="0" w:after="283"/>
              <w:jc w:val="left"/>
              <w:rPr/>
            </w:pPr>
            <w:r>
              <w:rPr/>
              <w:t> </w:t>
            </w:r>
          </w:p>
        </w:tc>
        <w:tc>
          <w:tcPr>
            <w:tcW w:w="2504" w:type="dxa"/>
            <w:tcBorders/>
            <w:shd w:fill="CCEEFF" w:val="clear"/>
            <w:vAlign w:val="center"/>
          </w:tcPr>
          <w:p>
            <w:pPr>
              <w:pStyle w:val="TableContents"/>
              <w:bidi w:val="0"/>
              <w:spacing w:before="0" w:after="0"/>
              <w:ind w:left="0" w:right="0"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4,615</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50" w:type="dxa"/>
            <w:tcBorders/>
            <w:shd w:fill="CCEEFF" w:val="clear"/>
            <w:vAlign w:val="center"/>
          </w:tcPr>
          <w:p>
            <w:pPr>
              <w:pStyle w:val="TableContents"/>
              <w:bidi w:val="0"/>
              <w:spacing w:before="0" w:after="283"/>
              <w:jc w:val="left"/>
              <w:rPr/>
            </w:pPr>
            <w:r>
              <w:rPr/>
              <w:t> </w:t>
            </w:r>
          </w:p>
        </w:tc>
        <w:tc>
          <w:tcPr>
            <w:tcW w:w="1825" w:type="dxa"/>
            <w:tcBorders/>
            <w:shd w:fill="CCEEFF" w:val="clear"/>
            <w:vAlign w:val="center"/>
          </w:tcPr>
          <w:p>
            <w:pPr>
              <w:pStyle w:val="TableContents"/>
              <w:bidi w:val="0"/>
              <w:spacing w:before="0" w:after="0"/>
              <w:ind w:left="0" w:right="0"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(4,615</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47" w:type="dxa"/>
            <w:tcBorders/>
            <w:shd w:fill="CCEEFF" w:val="clear"/>
            <w:vAlign w:val="center"/>
          </w:tcPr>
          <w:p>
            <w:pPr>
              <w:pStyle w:val="TableContents"/>
              <w:bidi w:val="0"/>
              <w:spacing w:before="0" w:after="283"/>
              <w:jc w:val="left"/>
              <w:rPr/>
            </w:pPr>
            <w:r>
              <w:rPr/>
              <w:t> </w:t>
            </w:r>
          </w:p>
        </w:tc>
        <w:tc>
          <w:tcPr>
            <w:tcW w:w="768" w:type="dxa"/>
            <w:tcBorders/>
            <w:shd w:fill="CCEEFF" w:val="clear"/>
            <w:vAlign w:val="center"/>
          </w:tcPr>
          <w:p>
            <w:pPr>
              <w:pStyle w:val="TableContents"/>
              <w:bidi w:val="0"/>
              <w:spacing w:before="0" w:after="283"/>
              <w:jc w:val="right"/>
              <w:rPr/>
            </w:pPr>
            <w:r>
              <w:rPr/>
              <w:t>—</w:t>
            </w:r>
          </w:p>
        </w:tc>
        <w:tc>
          <w:tcPr>
            <w:tcW w:w="99" w:type="dxa"/>
            <w:tcBorders/>
            <w:shd w:fill="CCEEFF" w:val="clear"/>
            <w:vAlign w:val="center"/>
          </w:tcPr>
          <w:p>
            <w:pPr>
              <w:pStyle w:val="TableContents"/>
              <w:bidi w:val="0"/>
              <w:spacing w:before="0" w:after="283"/>
              <w:jc w:val="left"/>
              <w:rPr/>
            </w:pPr>
            <w:r>
              <w:rPr/>
              <w:t> </w:t>
            </w:r>
          </w:p>
        </w:tc>
      </w:tr>
      <w:tr>
        <w:trPr/>
        <w:tc>
          <w:tcPr>
            <w:tcW w:w="3694" w:type="dxa"/>
            <w:tcBorders/>
            <w:shd w:fill="FFFFFF" w:val="cle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Inventories</w:t>
            </w:r>
          </w:p>
        </w:tc>
        <w:tc>
          <w:tcPr>
            <w:tcW w:w="60" w:type="dxa"/>
            <w:tcBorders/>
            <w:shd w:fill="FFFFFF" w:val="clear"/>
            <w:vAlign w:val="center"/>
          </w:tcPr>
          <w:p>
            <w:pPr>
              <w:pStyle w:val="TableContents"/>
              <w:bidi w:val="0"/>
              <w:spacing w:before="0" w:after="283"/>
              <w:jc w:val="left"/>
              <w:rPr/>
            </w:pPr>
            <w:r>
              <w:rPr/>
              <w:t> </w:t>
            </w:r>
          </w:p>
        </w:tc>
        <w:tc>
          <w:tcPr>
            <w:tcW w:w="478" w:type="dxa"/>
            <w:tcBorders/>
            <w:shd w:fill="FFFFFF" w:val="clear"/>
            <w:vAlign w:val="center"/>
          </w:tcPr>
          <w:p>
            <w:pPr>
              <w:pStyle w:val="TableContents"/>
              <w:bidi w:val="0"/>
              <w:spacing w:before="0" w:after="283"/>
              <w:jc w:val="left"/>
              <w:rPr/>
            </w:pPr>
            <w:r>
              <w:rPr/>
              <w:t> </w:t>
            </w:r>
          </w:p>
        </w:tc>
        <w:tc>
          <w:tcPr>
            <w:tcW w:w="2504"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27,706</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50" w:type="dxa"/>
            <w:tcBorders/>
            <w:shd w:fill="FFFFFF" w:val="clear"/>
            <w:vAlign w:val="center"/>
          </w:tcPr>
          <w:p>
            <w:pPr>
              <w:pStyle w:val="TableContents"/>
              <w:bidi w:val="0"/>
              <w:spacing w:before="0" w:after="283"/>
              <w:jc w:val="left"/>
              <w:rPr/>
            </w:pPr>
            <w:r>
              <w:rPr/>
              <w:t> </w:t>
            </w:r>
          </w:p>
        </w:tc>
        <w:tc>
          <w:tcPr>
            <w:tcW w:w="182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20,682</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7" w:type="dxa"/>
            <w:tcBorders/>
            <w:shd w:fill="FFFFFF" w:val="clear"/>
            <w:vAlign w:val="center"/>
          </w:tcPr>
          <w:p>
            <w:pPr>
              <w:pStyle w:val="TableContents"/>
              <w:bidi w:val="0"/>
              <w:spacing w:before="0" w:after="283"/>
              <w:jc w:val="left"/>
              <w:rPr/>
            </w:pPr>
            <w:r>
              <w:rPr/>
              <w:t> </w:t>
            </w:r>
          </w:p>
        </w:tc>
        <w:tc>
          <w:tcPr>
            <w:tcW w:w="768"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48,388</w:t>
            </w:r>
          </w:p>
        </w:tc>
        <w:tc>
          <w:tcPr>
            <w:tcW w:w="99" w:type="dxa"/>
            <w:tcBorders/>
            <w:shd w:fill="FFFFFF" w:val="clear"/>
            <w:vAlign w:val="center"/>
          </w:tcPr>
          <w:p>
            <w:pPr>
              <w:pStyle w:val="TableContents"/>
              <w:bidi w:val="0"/>
              <w:spacing w:before="0" w:after="283"/>
              <w:jc w:val="left"/>
              <w:rPr/>
            </w:pPr>
            <w:r>
              <w:rPr/>
              <w:t> </w:t>
            </w:r>
          </w:p>
        </w:tc>
      </w:tr>
      <w:tr>
        <w:trPr/>
        <w:tc>
          <w:tcPr>
            <w:tcW w:w="3694" w:type="dxa"/>
            <w:tcBorders/>
            <w:shd w:fill="CCEEFF" w:val="cle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Prepaid expenses and other current assets</w:t>
            </w:r>
          </w:p>
        </w:tc>
        <w:tc>
          <w:tcPr>
            <w:tcW w:w="60" w:type="dxa"/>
            <w:tcBorders/>
            <w:shd w:fill="CCEEFF" w:val="clear"/>
            <w:vAlign w:val="center"/>
          </w:tcPr>
          <w:p>
            <w:pPr>
              <w:pStyle w:val="TableContents"/>
              <w:bidi w:val="0"/>
              <w:spacing w:before="0" w:after="283"/>
              <w:jc w:val="left"/>
              <w:rPr/>
            </w:pPr>
            <w:r>
              <w:rPr/>
              <w:t> </w:t>
            </w:r>
          </w:p>
        </w:tc>
        <w:tc>
          <w:tcPr>
            <w:tcW w:w="478" w:type="dxa"/>
            <w:tcBorders/>
            <w:shd w:fill="CCEEFF" w:val="clear"/>
            <w:vAlign w:val="center"/>
          </w:tcPr>
          <w:p>
            <w:pPr>
              <w:pStyle w:val="TableContents"/>
              <w:bidi w:val="0"/>
              <w:spacing w:before="0" w:after="283"/>
              <w:jc w:val="left"/>
              <w:rPr/>
            </w:pPr>
            <w:r>
              <w:rPr/>
              <w:t> </w:t>
            </w:r>
          </w:p>
        </w:tc>
        <w:tc>
          <w:tcPr>
            <w:tcW w:w="2504"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2,219</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50" w:type="dxa"/>
            <w:tcBorders/>
            <w:shd w:fill="CCEEFF" w:val="clear"/>
            <w:vAlign w:val="center"/>
          </w:tcPr>
          <w:p>
            <w:pPr>
              <w:pStyle w:val="TableContents"/>
              <w:bidi w:val="0"/>
              <w:spacing w:before="0" w:after="283"/>
              <w:jc w:val="left"/>
              <w:rPr/>
            </w:pPr>
            <w:r>
              <w:rPr/>
              <w:t> </w:t>
            </w:r>
          </w:p>
        </w:tc>
        <w:tc>
          <w:tcPr>
            <w:tcW w:w="1825" w:type="dxa"/>
            <w:tcBorders/>
            <w:shd w:fill="CCEEFF" w:val="clear"/>
            <w:vAlign w:val="center"/>
          </w:tcPr>
          <w:p>
            <w:pPr>
              <w:pStyle w:val="TableContents"/>
              <w:bidi w:val="0"/>
              <w:spacing w:before="0" w:after="283"/>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7" w:type="dxa"/>
            <w:tcBorders/>
            <w:shd w:fill="CCEEFF" w:val="clear"/>
            <w:vAlign w:val="center"/>
          </w:tcPr>
          <w:p>
            <w:pPr>
              <w:pStyle w:val="TableContents"/>
              <w:bidi w:val="0"/>
              <w:spacing w:before="0" w:after="283"/>
              <w:jc w:val="left"/>
              <w:rPr/>
            </w:pPr>
            <w:r>
              <w:rPr/>
              <w:t> </w:t>
            </w:r>
          </w:p>
        </w:tc>
        <w:tc>
          <w:tcPr>
            <w:tcW w:w="768"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2,219</w:t>
            </w:r>
          </w:p>
        </w:tc>
        <w:tc>
          <w:tcPr>
            <w:tcW w:w="99" w:type="dxa"/>
            <w:tcBorders/>
            <w:shd w:fill="CCEEFF" w:val="clear"/>
            <w:vAlign w:val="center"/>
          </w:tcPr>
          <w:p>
            <w:pPr>
              <w:pStyle w:val="TableContents"/>
              <w:bidi w:val="0"/>
              <w:spacing w:before="0" w:after="283"/>
              <w:jc w:val="left"/>
              <w:rPr/>
            </w:pPr>
            <w:r>
              <w:rPr/>
              <w:t> </w:t>
            </w:r>
          </w:p>
        </w:tc>
      </w:tr>
      <w:tr>
        <w:trPr/>
        <w:tc>
          <w:tcPr>
            <w:tcW w:w="3694" w:type="dxa"/>
            <w:tcBorders/>
            <w:shd w:fill="FFFFFF" w:val="cle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Property and equipment</w:t>
            </w:r>
          </w:p>
        </w:tc>
        <w:tc>
          <w:tcPr>
            <w:tcW w:w="60" w:type="dxa"/>
            <w:tcBorders/>
            <w:shd w:fill="FFFFFF" w:val="clear"/>
            <w:vAlign w:val="center"/>
          </w:tcPr>
          <w:p>
            <w:pPr>
              <w:pStyle w:val="TableContents"/>
              <w:bidi w:val="0"/>
              <w:spacing w:before="0" w:after="283"/>
              <w:jc w:val="left"/>
              <w:rPr/>
            </w:pPr>
            <w:r>
              <w:rPr/>
              <w:t> </w:t>
            </w:r>
          </w:p>
        </w:tc>
        <w:tc>
          <w:tcPr>
            <w:tcW w:w="478" w:type="dxa"/>
            <w:tcBorders/>
            <w:shd w:fill="FFFFFF" w:val="clear"/>
            <w:vAlign w:val="center"/>
          </w:tcPr>
          <w:p>
            <w:pPr>
              <w:pStyle w:val="TableContents"/>
              <w:bidi w:val="0"/>
              <w:spacing w:before="0" w:after="283"/>
              <w:jc w:val="left"/>
              <w:rPr/>
            </w:pPr>
            <w:r>
              <w:rPr/>
              <w:t> </w:t>
            </w:r>
          </w:p>
        </w:tc>
        <w:tc>
          <w:tcPr>
            <w:tcW w:w="2504"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5,867</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50" w:type="dxa"/>
            <w:tcBorders/>
            <w:shd w:fill="FFFFFF" w:val="clear"/>
            <w:vAlign w:val="center"/>
          </w:tcPr>
          <w:p>
            <w:pPr>
              <w:pStyle w:val="TableContents"/>
              <w:bidi w:val="0"/>
              <w:spacing w:before="0" w:after="283"/>
              <w:jc w:val="left"/>
              <w:rPr/>
            </w:pPr>
            <w:r>
              <w:rPr/>
              <w:t> </w:t>
            </w:r>
          </w:p>
        </w:tc>
        <w:tc>
          <w:tcPr>
            <w:tcW w:w="1825" w:type="dxa"/>
            <w:tcBorders/>
            <w:shd w:fill="FFFFFF" w:val="clear"/>
            <w:vAlign w:val="center"/>
          </w:tcPr>
          <w:p>
            <w:pPr>
              <w:pStyle w:val="TableContents"/>
              <w:bidi w:val="0"/>
              <w:spacing w:before="0" w:after="283"/>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7" w:type="dxa"/>
            <w:tcBorders/>
            <w:shd w:fill="FFFFFF" w:val="clear"/>
            <w:vAlign w:val="center"/>
          </w:tcPr>
          <w:p>
            <w:pPr>
              <w:pStyle w:val="TableContents"/>
              <w:bidi w:val="0"/>
              <w:spacing w:before="0" w:after="283"/>
              <w:jc w:val="left"/>
              <w:rPr/>
            </w:pPr>
            <w:r>
              <w:rPr/>
              <w:t> </w:t>
            </w:r>
          </w:p>
        </w:tc>
        <w:tc>
          <w:tcPr>
            <w:tcW w:w="768"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5,867</w:t>
            </w:r>
          </w:p>
        </w:tc>
        <w:tc>
          <w:tcPr>
            <w:tcW w:w="99" w:type="dxa"/>
            <w:tcBorders/>
            <w:shd w:fill="FFFFFF" w:val="clear"/>
            <w:vAlign w:val="center"/>
          </w:tcPr>
          <w:p>
            <w:pPr>
              <w:pStyle w:val="TableContents"/>
              <w:bidi w:val="0"/>
              <w:spacing w:before="0" w:after="283"/>
              <w:jc w:val="left"/>
              <w:rPr/>
            </w:pPr>
            <w:r>
              <w:rPr/>
              <w:t> </w:t>
            </w:r>
          </w:p>
        </w:tc>
      </w:tr>
      <w:tr>
        <w:trPr/>
        <w:tc>
          <w:tcPr>
            <w:tcW w:w="3694" w:type="dxa"/>
            <w:tcBorders/>
            <w:shd w:fill="CCEEFF" w:val="cle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Operating lease right-of-use assets</w:t>
            </w:r>
          </w:p>
        </w:tc>
        <w:tc>
          <w:tcPr>
            <w:tcW w:w="60" w:type="dxa"/>
            <w:tcBorders/>
            <w:shd w:fill="CCEEFF" w:val="clear"/>
            <w:vAlign w:val="center"/>
          </w:tcPr>
          <w:p>
            <w:pPr>
              <w:pStyle w:val="TableContents"/>
              <w:bidi w:val="0"/>
              <w:spacing w:before="0" w:after="283"/>
              <w:jc w:val="left"/>
              <w:rPr/>
            </w:pPr>
            <w:r>
              <w:rPr/>
              <w:t> </w:t>
            </w:r>
          </w:p>
        </w:tc>
        <w:tc>
          <w:tcPr>
            <w:tcW w:w="478" w:type="dxa"/>
            <w:tcBorders/>
            <w:shd w:fill="CCEEFF" w:val="clear"/>
            <w:vAlign w:val="center"/>
          </w:tcPr>
          <w:p>
            <w:pPr>
              <w:pStyle w:val="TableContents"/>
              <w:bidi w:val="0"/>
              <w:spacing w:before="0" w:after="283"/>
              <w:jc w:val="left"/>
              <w:rPr/>
            </w:pPr>
            <w:r>
              <w:rPr/>
              <w:t> </w:t>
            </w:r>
          </w:p>
        </w:tc>
        <w:tc>
          <w:tcPr>
            <w:tcW w:w="2504"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2,506</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50" w:type="dxa"/>
            <w:tcBorders/>
            <w:shd w:fill="CCEEFF" w:val="clear"/>
            <w:vAlign w:val="center"/>
          </w:tcPr>
          <w:p>
            <w:pPr>
              <w:pStyle w:val="TableContents"/>
              <w:bidi w:val="0"/>
              <w:spacing w:before="0" w:after="283"/>
              <w:jc w:val="left"/>
              <w:rPr/>
            </w:pPr>
            <w:r>
              <w:rPr/>
              <w:t> </w:t>
            </w:r>
          </w:p>
        </w:tc>
        <w:tc>
          <w:tcPr>
            <w:tcW w:w="1825" w:type="dxa"/>
            <w:tcBorders/>
            <w:shd w:fill="CCEEFF" w:val="clear"/>
            <w:vAlign w:val="center"/>
          </w:tcPr>
          <w:p>
            <w:pPr>
              <w:pStyle w:val="TableContents"/>
              <w:bidi w:val="0"/>
              <w:spacing w:before="0" w:after="283"/>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7" w:type="dxa"/>
            <w:tcBorders/>
            <w:shd w:fill="CCEEFF" w:val="clear"/>
            <w:vAlign w:val="center"/>
          </w:tcPr>
          <w:p>
            <w:pPr>
              <w:pStyle w:val="TableContents"/>
              <w:bidi w:val="0"/>
              <w:spacing w:before="0" w:after="283"/>
              <w:jc w:val="left"/>
              <w:rPr/>
            </w:pPr>
            <w:r>
              <w:rPr/>
              <w:t> </w:t>
            </w:r>
          </w:p>
        </w:tc>
        <w:tc>
          <w:tcPr>
            <w:tcW w:w="768"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2,506</w:t>
            </w:r>
          </w:p>
        </w:tc>
        <w:tc>
          <w:tcPr>
            <w:tcW w:w="99" w:type="dxa"/>
            <w:tcBorders/>
            <w:shd w:fill="CCEEFF" w:val="clear"/>
            <w:vAlign w:val="center"/>
          </w:tcPr>
          <w:p>
            <w:pPr>
              <w:pStyle w:val="TableContents"/>
              <w:bidi w:val="0"/>
              <w:spacing w:before="0" w:after="283"/>
              <w:jc w:val="left"/>
              <w:rPr/>
            </w:pPr>
            <w:r>
              <w:rPr/>
              <w:t> </w:t>
            </w:r>
          </w:p>
        </w:tc>
      </w:tr>
      <w:tr>
        <w:trPr/>
        <w:tc>
          <w:tcPr>
            <w:tcW w:w="3694" w:type="dxa"/>
            <w:tcBorders/>
            <w:shd w:fill="FFFFFF" w:val="cle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Other noncurrent assets</w:t>
            </w:r>
          </w:p>
        </w:tc>
        <w:tc>
          <w:tcPr>
            <w:tcW w:w="60" w:type="dxa"/>
            <w:tcBorders/>
            <w:shd w:fill="FFFFFF" w:val="clear"/>
            <w:vAlign w:val="center"/>
          </w:tcPr>
          <w:p>
            <w:pPr>
              <w:pStyle w:val="TableContents"/>
              <w:bidi w:val="0"/>
              <w:spacing w:before="0" w:after="283"/>
              <w:jc w:val="left"/>
              <w:rPr/>
            </w:pPr>
            <w:r>
              <w:rPr/>
              <w:t> </w:t>
            </w:r>
          </w:p>
        </w:tc>
        <w:tc>
          <w:tcPr>
            <w:tcW w:w="478" w:type="dxa"/>
            <w:tcBorders/>
            <w:shd w:fill="FFFFFF" w:val="clear"/>
            <w:vAlign w:val="center"/>
          </w:tcPr>
          <w:p>
            <w:pPr>
              <w:pStyle w:val="TableContents"/>
              <w:bidi w:val="0"/>
              <w:spacing w:before="0" w:after="283"/>
              <w:jc w:val="left"/>
              <w:rPr/>
            </w:pPr>
            <w:r>
              <w:rPr/>
              <w:t> </w:t>
            </w:r>
          </w:p>
        </w:tc>
        <w:tc>
          <w:tcPr>
            <w:tcW w:w="2504"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541</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50" w:type="dxa"/>
            <w:tcBorders/>
            <w:shd w:fill="FFFFFF" w:val="clear"/>
            <w:vAlign w:val="center"/>
          </w:tcPr>
          <w:p>
            <w:pPr>
              <w:pStyle w:val="TableContents"/>
              <w:bidi w:val="0"/>
              <w:spacing w:before="0" w:after="283"/>
              <w:jc w:val="left"/>
              <w:rPr/>
            </w:pPr>
            <w:r>
              <w:rPr/>
              <w:t> </w:t>
            </w:r>
          </w:p>
        </w:tc>
        <w:tc>
          <w:tcPr>
            <w:tcW w:w="1825" w:type="dxa"/>
            <w:tcBorders/>
            <w:shd w:fill="FFFFFF" w:val="clear"/>
            <w:vAlign w:val="center"/>
          </w:tcPr>
          <w:p>
            <w:pPr>
              <w:pStyle w:val="TableContents"/>
              <w:bidi w:val="0"/>
              <w:spacing w:before="0" w:after="283"/>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7" w:type="dxa"/>
            <w:tcBorders/>
            <w:shd w:fill="FFFFFF" w:val="clear"/>
            <w:vAlign w:val="center"/>
          </w:tcPr>
          <w:p>
            <w:pPr>
              <w:pStyle w:val="TableContents"/>
              <w:bidi w:val="0"/>
              <w:spacing w:before="0" w:after="283"/>
              <w:jc w:val="left"/>
              <w:rPr/>
            </w:pPr>
            <w:r>
              <w:rPr/>
              <w:t> </w:t>
            </w:r>
          </w:p>
        </w:tc>
        <w:tc>
          <w:tcPr>
            <w:tcW w:w="768"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541</w:t>
            </w:r>
          </w:p>
        </w:tc>
        <w:tc>
          <w:tcPr>
            <w:tcW w:w="99" w:type="dxa"/>
            <w:tcBorders/>
            <w:shd w:fill="FFFFFF" w:val="clear"/>
            <w:vAlign w:val="center"/>
          </w:tcPr>
          <w:p>
            <w:pPr>
              <w:pStyle w:val="TableContents"/>
              <w:bidi w:val="0"/>
              <w:spacing w:before="0" w:after="283"/>
              <w:jc w:val="left"/>
              <w:rPr/>
            </w:pPr>
            <w:r>
              <w:rPr/>
              <w:t> </w:t>
            </w:r>
          </w:p>
        </w:tc>
      </w:tr>
      <w:tr>
        <w:trPr/>
        <w:tc>
          <w:tcPr>
            <w:tcW w:w="3694" w:type="dxa"/>
            <w:tcBorders/>
            <w:shd w:fill="CCEEFF" w:val="cle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Intangibles</w:t>
            </w:r>
          </w:p>
        </w:tc>
        <w:tc>
          <w:tcPr>
            <w:tcW w:w="60" w:type="dxa"/>
            <w:tcBorders/>
            <w:shd w:fill="CCEEFF" w:val="clear"/>
            <w:vAlign w:val="center"/>
          </w:tcPr>
          <w:p>
            <w:pPr>
              <w:pStyle w:val="TableContents"/>
              <w:bidi w:val="0"/>
              <w:spacing w:before="0" w:after="283"/>
              <w:jc w:val="left"/>
              <w:rPr/>
            </w:pPr>
            <w:r>
              <w:rPr/>
              <w:t> </w:t>
            </w:r>
          </w:p>
        </w:tc>
        <w:tc>
          <w:tcPr>
            <w:tcW w:w="478" w:type="dxa"/>
            <w:tcBorders/>
            <w:shd w:fill="CCEEFF" w:val="clear"/>
            <w:vAlign w:val="center"/>
          </w:tcPr>
          <w:p>
            <w:pPr>
              <w:pStyle w:val="TableContents"/>
              <w:bidi w:val="0"/>
              <w:spacing w:before="0" w:after="283"/>
              <w:jc w:val="left"/>
              <w:rPr/>
            </w:pPr>
            <w:r>
              <w:rPr/>
              <w:t> </w:t>
            </w:r>
          </w:p>
        </w:tc>
        <w:tc>
          <w:tcPr>
            <w:tcW w:w="2504"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18,100</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50" w:type="dxa"/>
            <w:tcBorders/>
            <w:shd w:fill="CCEEFF" w:val="clear"/>
            <w:vAlign w:val="center"/>
          </w:tcPr>
          <w:p>
            <w:pPr>
              <w:pStyle w:val="TableContents"/>
              <w:bidi w:val="0"/>
              <w:spacing w:before="0" w:after="283"/>
              <w:jc w:val="left"/>
              <w:rPr/>
            </w:pPr>
            <w:r>
              <w:rPr/>
              <w:t> </w:t>
            </w:r>
          </w:p>
        </w:tc>
        <w:tc>
          <w:tcPr>
            <w:tcW w:w="182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(2,206</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47" w:type="dxa"/>
            <w:tcBorders/>
            <w:shd w:fill="CCEEFF" w:val="clear"/>
            <w:vAlign w:val="center"/>
          </w:tcPr>
          <w:p>
            <w:pPr>
              <w:pStyle w:val="TableContents"/>
              <w:bidi w:val="0"/>
              <w:spacing w:before="0" w:after="283"/>
              <w:jc w:val="left"/>
              <w:rPr/>
            </w:pPr>
            <w:r>
              <w:rPr/>
              <w:t> </w:t>
            </w:r>
          </w:p>
        </w:tc>
        <w:tc>
          <w:tcPr>
            <w:tcW w:w="768"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15,894</w:t>
            </w:r>
          </w:p>
        </w:tc>
        <w:tc>
          <w:tcPr>
            <w:tcW w:w="99" w:type="dxa"/>
            <w:tcBorders/>
            <w:shd w:fill="CCEEFF" w:val="clear"/>
            <w:vAlign w:val="center"/>
          </w:tcPr>
          <w:p>
            <w:pPr>
              <w:pStyle w:val="TableContents"/>
              <w:bidi w:val="0"/>
              <w:spacing w:before="0" w:after="283"/>
              <w:jc w:val="left"/>
              <w:rPr/>
            </w:pPr>
            <w:r>
              <w:rPr/>
              <w:t> </w:t>
            </w:r>
          </w:p>
        </w:tc>
      </w:tr>
      <w:tr>
        <w:trPr/>
        <w:tc>
          <w:tcPr>
            <w:tcW w:w="3694" w:type="dxa"/>
            <w:tcBorders/>
            <w:shd w:fill="FFFFFF" w:val="cle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Deferred revenue</w:t>
            </w:r>
          </w:p>
        </w:tc>
        <w:tc>
          <w:tcPr>
            <w:tcW w:w="60" w:type="dxa"/>
            <w:tcBorders/>
            <w:shd w:fill="FFFFFF" w:val="clear"/>
            <w:vAlign w:val="center"/>
          </w:tcPr>
          <w:p>
            <w:pPr>
              <w:pStyle w:val="TableContents"/>
              <w:bidi w:val="0"/>
              <w:spacing w:before="0" w:after="283"/>
              <w:jc w:val="left"/>
              <w:rPr/>
            </w:pPr>
            <w:r>
              <w:rPr/>
              <w:t> </w:t>
            </w:r>
          </w:p>
        </w:tc>
        <w:tc>
          <w:tcPr>
            <w:tcW w:w="478" w:type="dxa"/>
            <w:tcBorders/>
            <w:shd w:fill="FFFFFF" w:val="clear"/>
            <w:vAlign w:val="center"/>
          </w:tcPr>
          <w:p>
            <w:pPr>
              <w:pStyle w:val="TableContents"/>
              <w:bidi w:val="0"/>
              <w:spacing w:before="0" w:after="283"/>
              <w:jc w:val="left"/>
              <w:rPr/>
            </w:pPr>
            <w:r>
              <w:rPr/>
              <w:t> </w:t>
            </w:r>
          </w:p>
        </w:tc>
        <w:tc>
          <w:tcPr>
            <w:tcW w:w="2504"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(7,361</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350" w:type="dxa"/>
            <w:tcBorders/>
            <w:shd w:fill="FFFFFF" w:val="clear"/>
            <w:vAlign w:val="center"/>
          </w:tcPr>
          <w:p>
            <w:pPr>
              <w:pStyle w:val="TableContents"/>
              <w:bidi w:val="0"/>
              <w:spacing w:before="0" w:after="283"/>
              <w:jc w:val="left"/>
              <w:rPr/>
            </w:pPr>
            <w:r>
              <w:rPr/>
              <w:t> </w:t>
            </w:r>
          </w:p>
        </w:tc>
        <w:tc>
          <w:tcPr>
            <w:tcW w:w="1825" w:type="dxa"/>
            <w:tcBorders/>
            <w:shd w:fill="FFFFFF" w:val="clear"/>
            <w:vAlign w:val="center"/>
          </w:tcPr>
          <w:p>
            <w:pPr>
              <w:pStyle w:val="TableContents"/>
              <w:bidi w:val="0"/>
              <w:spacing w:before="0" w:after="283"/>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7" w:type="dxa"/>
            <w:tcBorders/>
            <w:shd w:fill="FFFFFF" w:val="clear"/>
            <w:vAlign w:val="center"/>
          </w:tcPr>
          <w:p>
            <w:pPr>
              <w:pStyle w:val="TableContents"/>
              <w:bidi w:val="0"/>
              <w:spacing w:before="0" w:after="283"/>
              <w:jc w:val="left"/>
              <w:rPr/>
            </w:pPr>
            <w:r>
              <w:rPr/>
              <w:t> </w:t>
            </w:r>
          </w:p>
        </w:tc>
        <w:tc>
          <w:tcPr>
            <w:tcW w:w="768"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(7,361</w:t>
            </w:r>
          </w:p>
        </w:tc>
        <w:tc>
          <w:tcPr>
            <w:tcW w:w="99"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3694" w:type="dxa"/>
            <w:tcBorders/>
            <w:shd w:fill="CCEEFF" w:val="cle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Accounts payable</w:t>
            </w:r>
          </w:p>
        </w:tc>
        <w:tc>
          <w:tcPr>
            <w:tcW w:w="60" w:type="dxa"/>
            <w:tcBorders/>
            <w:shd w:fill="CCEEFF" w:val="clear"/>
            <w:vAlign w:val="center"/>
          </w:tcPr>
          <w:p>
            <w:pPr>
              <w:pStyle w:val="TableContents"/>
              <w:bidi w:val="0"/>
              <w:spacing w:before="0" w:after="283"/>
              <w:jc w:val="left"/>
              <w:rPr/>
            </w:pPr>
            <w:r>
              <w:rPr/>
              <w:t> </w:t>
            </w:r>
          </w:p>
        </w:tc>
        <w:tc>
          <w:tcPr>
            <w:tcW w:w="478" w:type="dxa"/>
            <w:tcBorders/>
            <w:shd w:fill="CCEEFF" w:val="clear"/>
            <w:vAlign w:val="center"/>
          </w:tcPr>
          <w:p>
            <w:pPr>
              <w:pStyle w:val="TableContents"/>
              <w:bidi w:val="0"/>
              <w:spacing w:before="0" w:after="283"/>
              <w:jc w:val="left"/>
              <w:rPr/>
            </w:pPr>
            <w:r>
              <w:rPr/>
              <w:t> </w:t>
            </w:r>
          </w:p>
        </w:tc>
        <w:tc>
          <w:tcPr>
            <w:tcW w:w="2504"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(5,270</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350" w:type="dxa"/>
            <w:tcBorders/>
            <w:shd w:fill="CCEEFF" w:val="clear"/>
            <w:vAlign w:val="center"/>
          </w:tcPr>
          <w:p>
            <w:pPr>
              <w:pStyle w:val="TableContents"/>
              <w:bidi w:val="0"/>
              <w:spacing w:before="0" w:after="283"/>
              <w:jc w:val="left"/>
              <w:rPr/>
            </w:pPr>
            <w:r>
              <w:rPr/>
              <w:t> </w:t>
            </w:r>
          </w:p>
        </w:tc>
        <w:tc>
          <w:tcPr>
            <w:tcW w:w="1825" w:type="dxa"/>
            <w:tcBorders/>
            <w:shd w:fill="CCEEFF" w:val="clear"/>
            <w:vAlign w:val="center"/>
          </w:tcPr>
          <w:p>
            <w:pPr>
              <w:pStyle w:val="TableContents"/>
              <w:bidi w:val="0"/>
              <w:spacing w:before="0" w:after="283"/>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7" w:type="dxa"/>
            <w:tcBorders/>
            <w:shd w:fill="CCEEFF" w:val="clear"/>
            <w:vAlign w:val="center"/>
          </w:tcPr>
          <w:p>
            <w:pPr>
              <w:pStyle w:val="TableContents"/>
              <w:bidi w:val="0"/>
              <w:spacing w:before="0" w:after="283"/>
              <w:jc w:val="left"/>
              <w:rPr/>
            </w:pPr>
            <w:r>
              <w:rPr/>
              <w:t> </w:t>
            </w:r>
          </w:p>
        </w:tc>
        <w:tc>
          <w:tcPr>
            <w:tcW w:w="768"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(5,270</w:t>
            </w:r>
          </w:p>
        </w:tc>
        <w:tc>
          <w:tcPr>
            <w:tcW w:w="99"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3694" w:type="dxa"/>
            <w:tcBorders/>
            <w:shd w:fill="FFFFFF" w:val="cle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Accrued expenses and other current liabilities</w:t>
            </w:r>
          </w:p>
        </w:tc>
        <w:tc>
          <w:tcPr>
            <w:tcW w:w="60" w:type="dxa"/>
            <w:tcBorders/>
            <w:shd w:fill="FFFFFF" w:val="clear"/>
            <w:vAlign w:val="center"/>
          </w:tcPr>
          <w:p>
            <w:pPr>
              <w:pStyle w:val="TableContents"/>
              <w:bidi w:val="0"/>
              <w:spacing w:before="0" w:after="283"/>
              <w:jc w:val="left"/>
              <w:rPr/>
            </w:pPr>
            <w:r>
              <w:rPr/>
              <w:t> </w:t>
            </w:r>
          </w:p>
        </w:tc>
        <w:tc>
          <w:tcPr>
            <w:tcW w:w="478" w:type="dxa"/>
            <w:tcBorders/>
            <w:shd w:fill="FFFFFF" w:val="clear"/>
            <w:vAlign w:val="center"/>
          </w:tcPr>
          <w:p>
            <w:pPr>
              <w:pStyle w:val="TableContents"/>
              <w:bidi w:val="0"/>
              <w:spacing w:before="0" w:after="283"/>
              <w:jc w:val="left"/>
              <w:rPr/>
            </w:pPr>
            <w:r>
              <w:rPr/>
              <w:t> </w:t>
            </w:r>
          </w:p>
        </w:tc>
        <w:tc>
          <w:tcPr>
            <w:tcW w:w="2504"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(13,955</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350" w:type="dxa"/>
            <w:tcBorders/>
            <w:shd w:fill="FFFFFF" w:val="clear"/>
            <w:vAlign w:val="center"/>
          </w:tcPr>
          <w:p>
            <w:pPr>
              <w:pStyle w:val="TableContents"/>
              <w:bidi w:val="0"/>
              <w:spacing w:before="0" w:after="283"/>
              <w:jc w:val="left"/>
              <w:rPr/>
            </w:pPr>
            <w:r>
              <w:rPr/>
              <w:t> </w:t>
            </w:r>
          </w:p>
        </w:tc>
        <w:tc>
          <w:tcPr>
            <w:tcW w:w="1825" w:type="dxa"/>
            <w:tcBorders/>
            <w:shd w:fill="FFFFFF" w:val="clear"/>
            <w:vAlign w:val="center"/>
          </w:tcPr>
          <w:p>
            <w:pPr>
              <w:pStyle w:val="TableContents"/>
              <w:bidi w:val="0"/>
              <w:spacing w:before="0" w:after="283"/>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7" w:type="dxa"/>
            <w:tcBorders/>
            <w:shd w:fill="FFFFFF" w:val="clear"/>
            <w:vAlign w:val="center"/>
          </w:tcPr>
          <w:p>
            <w:pPr>
              <w:pStyle w:val="TableContents"/>
              <w:bidi w:val="0"/>
              <w:spacing w:before="0" w:after="283"/>
              <w:jc w:val="left"/>
              <w:rPr/>
            </w:pPr>
            <w:r>
              <w:rPr/>
              <w:t> </w:t>
            </w:r>
          </w:p>
        </w:tc>
        <w:tc>
          <w:tcPr>
            <w:tcW w:w="768"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(13,955</w:t>
            </w:r>
          </w:p>
        </w:tc>
        <w:tc>
          <w:tcPr>
            <w:tcW w:w="99"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3694" w:type="dxa"/>
            <w:tcBorders/>
            <w:shd w:fill="CCEEFF" w:val="cle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Operating lease liabilities</w:t>
            </w:r>
          </w:p>
        </w:tc>
        <w:tc>
          <w:tcPr>
            <w:tcW w:w="60" w:type="dxa"/>
            <w:tcBorders/>
            <w:shd w:fill="CCEEFF" w:val="clear"/>
            <w:vAlign w:val="center"/>
          </w:tcPr>
          <w:p>
            <w:pPr>
              <w:pStyle w:val="TableContents"/>
              <w:bidi w:val="0"/>
              <w:spacing w:before="0" w:after="283"/>
              <w:jc w:val="left"/>
              <w:rPr/>
            </w:pPr>
            <w:r>
              <w:rPr/>
              <w:t> </w:t>
            </w:r>
          </w:p>
        </w:tc>
        <w:tc>
          <w:tcPr>
            <w:tcW w:w="478" w:type="dxa"/>
            <w:tcBorders/>
            <w:shd w:fill="CCEEFF" w:val="clear"/>
            <w:vAlign w:val="center"/>
          </w:tcPr>
          <w:p>
            <w:pPr>
              <w:pStyle w:val="TableContents"/>
              <w:bidi w:val="0"/>
              <w:spacing w:before="0" w:after="283"/>
              <w:jc w:val="left"/>
              <w:rPr/>
            </w:pPr>
            <w:r>
              <w:rPr/>
              <w:t> </w:t>
            </w:r>
          </w:p>
        </w:tc>
        <w:tc>
          <w:tcPr>
            <w:tcW w:w="2504"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(2,963</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350" w:type="dxa"/>
            <w:tcBorders/>
            <w:shd w:fill="CCEEFF" w:val="clear"/>
            <w:vAlign w:val="center"/>
          </w:tcPr>
          <w:p>
            <w:pPr>
              <w:pStyle w:val="TableContents"/>
              <w:bidi w:val="0"/>
              <w:spacing w:before="0" w:after="283"/>
              <w:jc w:val="left"/>
              <w:rPr/>
            </w:pPr>
            <w:r>
              <w:rPr/>
              <w:t> </w:t>
            </w:r>
          </w:p>
        </w:tc>
        <w:tc>
          <w:tcPr>
            <w:tcW w:w="1825" w:type="dxa"/>
            <w:tcBorders/>
            <w:shd w:fill="CCEEFF" w:val="clear"/>
            <w:vAlign w:val="center"/>
          </w:tcPr>
          <w:p>
            <w:pPr>
              <w:pStyle w:val="TableContents"/>
              <w:bidi w:val="0"/>
              <w:spacing w:before="0" w:after="283"/>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7" w:type="dxa"/>
            <w:tcBorders/>
            <w:shd w:fill="CCEEFF" w:val="clear"/>
            <w:vAlign w:val="center"/>
          </w:tcPr>
          <w:p>
            <w:pPr>
              <w:pStyle w:val="TableContents"/>
              <w:bidi w:val="0"/>
              <w:spacing w:before="0" w:after="283"/>
              <w:jc w:val="left"/>
              <w:rPr/>
            </w:pPr>
            <w:r>
              <w:rPr/>
              <w:t> </w:t>
            </w:r>
          </w:p>
        </w:tc>
        <w:tc>
          <w:tcPr>
            <w:tcW w:w="768"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(2,963</w:t>
            </w:r>
          </w:p>
        </w:tc>
        <w:tc>
          <w:tcPr>
            <w:tcW w:w="99"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3694" w:type="dxa"/>
            <w:tcBorders/>
            <w:shd w:fill="FFFFFF" w:val="cle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Other long-term liabilities</w:t>
            </w:r>
          </w:p>
        </w:tc>
        <w:tc>
          <w:tcPr>
            <w:tcW w:w="60" w:type="dxa"/>
            <w:tcBorders/>
            <w:shd w:fill="FFFFFF" w:val="clear"/>
            <w:vAlign w:val="center"/>
          </w:tcPr>
          <w:p>
            <w:pPr>
              <w:pStyle w:val="TableContents"/>
              <w:bidi w:val="0"/>
              <w:spacing w:before="0" w:after="283"/>
              <w:jc w:val="left"/>
              <w:rPr/>
            </w:pPr>
            <w:r>
              <w:rPr/>
              <w:t> </w:t>
            </w:r>
          </w:p>
        </w:tc>
        <w:tc>
          <w:tcPr>
            <w:tcW w:w="478"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2504"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(8,980</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35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825"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7"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768"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(8,980</w:t>
            </w:r>
          </w:p>
        </w:tc>
        <w:tc>
          <w:tcPr>
            <w:tcW w:w="99"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3694" w:type="dxa"/>
            <w:tcBorders/>
            <w:shd w:fill="CCEEFF" w:val="cle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Fair value of net assets acquired</w:t>
            </w:r>
          </w:p>
        </w:tc>
        <w:tc>
          <w:tcPr>
            <w:tcW w:w="60" w:type="dxa"/>
            <w:tcBorders/>
            <w:shd w:fill="CCEEFF" w:val="clear"/>
            <w:vAlign w:val="center"/>
          </w:tcPr>
          <w:p>
            <w:pPr>
              <w:pStyle w:val="TableContents"/>
              <w:bidi w:val="0"/>
              <w:spacing w:before="0" w:after="283"/>
              <w:jc w:val="left"/>
              <w:rPr/>
            </w:pPr>
            <w:r>
              <w:rPr/>
              <w:t> </w:t>
            </w:r>
          </w:p>
        </w:tc>
        <w:tc>
          <w:tcPr>
            <w:tcW w:w="478"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2504"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36,024</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5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825"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18,476</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7"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768"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54,500</w:t>
            </w:r>
          </w:p>
        </w:tc>
        <w:tc>
          <w:tcPr>
            <w:tcW w:w="99" w:type="dxa"/>
            <w:tcBorders/>
            <w:shd w:fill="CCEEFF" w:val="clear"/>
            <w:vAlign w:val="center"/>
          </w:tcPr>
          <w:p>
            <w:pPr>
              <w:pStyle w:val="TableContents"/>
              <w:bidi w:val="0"/>
              <w:spacing w:before="0" w:after="283"/>
              <w:jc w:val="left"/>
              <w:rPr/>
            </w:pPr>
            <w:r>
              <w:rPr/>
              <w:t> </w:t>
            </w:r>
          </w:p>
        </w:tc>
      </w:tr>
      <w:tr>
        <w:trPr/>
        <w:tc>
          <w:tcPr>
            <w:tcW w:w="3694" w:type="dxa"/>
            <w:tcBorders/>
            <w:shd w:fill="FFFFFF" w:val="cle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Goodwill recognized</w:t>
            </w:r>
          </w:p>
        </w:tc>
        <w:tc>
          <w:tcPr>
            <w:tcW w:w="60" w:type="dxa"/>
            <w:tcBorders/>
            <w:shd w:fill="FFFFFF" w:val="clear"/>
            <w:vAlign w:val="center"/>
          </w:tcPr>
          <w:p>
            <w:pPr>
              <w:pStyle w:val="TableContents"/>
              <w:bidi w:val="0"/>
              <w:spacing w:before="0" w:after="283"/>
              <w:jc w:val="left"/>
              <w:rPr/>
            </w:pPr>
            <w:r>
              <w:rPr/>
              <w:t> </w:t>
            </w:r>
          </w:p>
        </w:tc>
        <w:tc>
          <w:tcPr>
            <w:tcW w:w="478"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2504"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18,476</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5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825"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(18,476</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47"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768"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99" w:type="dxa"/>
            <w:tcBorders/>
            <w:shd w:fill="FFFFFF" w:val="clear"/>
            <w:vAlign w:val="center"/>
          </w:tcPr>
          <w:p>
            <w:pPr>
              <w:pStyle w:val="TableContents"/>
              <w:bidi w:val="0"/>
              <w:spacing w:before="0" w:after="283"/>
              <w:jc w:val="left"/>
              <w:rPr/>
            </w:pPr>
            <w:r>
              <w:rPr/>
              <w:t> </w:t>
            </w:r>
          </w:p>
        </w:tc>
      </w:tr>
      <w:tr>
        <w:trPr/>
        <w:tc>
          <w:tcPr>
            <w:tcW w:w="3694" w:type="dxa"/>
            <w:tcBorders/>
            <w:shd w:fill="CCEEFF" w:val="cle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Consideration transferred</w:t>
            </w:r>
          </w:p>
        </w:tc>
        <w:tc>
          <w:tcPr>
            <w:tcW w:w="60" w:type="dxa"/>
            <w:tcBorders/>
            <w:shd w:fill="CCEEFF" w:val="clear"/>
            <w:vAlign w:val="center"/>
          </w:tcPr>
          <w:p>
            <w:pPr>
              <w:pStyle w:val="TableContents"/>
              <w:bidi w:val="0"/>
              <w:spacing w:before="0" w:after="283"/>
              <w:jc w:val="left"/>
              <w:rPr/>
            </w:pPr>
            <w:r>
              <w:rPr/>
              <w:t> </w:t>
            </w:r>
          </w:p>
        </w:tc>
        <w:tc>
          <w:tcPr>
            <w:tcW w:w="478" w:type="dxa"/>
            <w:tcBorders>
              <w:bottom w:val="double" w:sz="10"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2504" w:type="dxa"/>
            <w:tcBorders>
              <w:bottom w:val="double" w:sz="10"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54,500</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50" w:type="dxa"/>
            <w:tcBorders>
              <w:bottom w:val="double" w:sz="10"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825" w:type="dxa"/>
            <w:tcBorders>
              <w:bottom w:val="double" w:sz="10" w:space="0" w:color="000000"/>
            </w:tcBorders>
            <w:shd w:fill="CCEEFF" w:val="clear"/>
            <w:tcMar>
              <w:bottom w:w="28" w:type="dxa"/>
            </w:tcMar>
            <w:vAlign w:val="center"/>
          </w:tcPr>
          <w:p>
            <w:pPr>
              <w:pStyle w:val="TableContents"/>
              <w:bidi w:val="0"/>
              <w:spacing w:before="0" w:after="283"/>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7" w:type="dxa"/>
            <w:tcBorders>
              <w:bottom w:val="double" w:sz="10"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768" w:type="dxa"/>
            <w:tcBorders>
              <w:bottom w:val="double" w:sz="10"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54,500</w:t>
            </w:r>
          </w:p>
        </w:tc>
        <w:tc>
          <w:tcPr>
            <w:tcW w:w="99"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provisional and final fair values of the intangible assets acquired and estimated useful lives were as follows:</w:t>
      </w:r>
    </w:p>
    <w:p>
      <w:pPr>
        <w:pStyle w:val="TextBody"/>
        <w:bidi w:val="0"/>
        <w:spacing w:before="0" w:after="0"/>
        <w:ind w:left="0" w:right="0" w:hanging="0"/>
        <w:jc w:val="both"/>
        <w:rPr>
          <w:caps w:val="false"/>
          <w:smallCaps w:val="false"/>
        </w:rPr>
      </w:pPr>
      <w:r>
        <w:rPr>
          <w:caps w:val="false"/>
          <w:smallCaps w:val="false"/>
        </w:rPr>
        <w:t> </w:t>
      </w:r>
    </w:p>
    <w:tbl>
      <w:tblPr>
        <w:tblW w:w="7168" w:type="dxa"/>
        <w:jc w:val="left"/>
        <w:tblInd w:w="0" w:type="dxa"/>
        <w:tblLayout w:type="fixed"/>
        <w:tblCellMar>
          <w:top w:w="0" w:type="dxa"/>
          <w:left w:w="0" w:type="dxa"/>
          <w:bottom w:w="0" w:type="dxa"/>
          <w:right w:w="0" w:type="dxa"/>
        </w:tblCellMar>
      </w:tblPr>
      <w:tblGrid>
        <w:gridCol w:w="2525"/>
        <w:gridCol w:w="60"/>
        <w:gridCol w:w="875"/>
        <w:gridCol w:w="60"/>
        <w:gridCol w:w="212"/>
        <w:gridCol w:w="1007"/>
        <w:gridCol w:w="60"/>
        <w:gridCol w:w="60"/>
        <w:gridCol w:w="219"/>
        <w:gridCol w:w="956"/>
        <w:gridCol w:w="80"/>
        <w:gridCol w:w="60"/>
        <w:gridCol w:w="160"/>
        <w:gridCol w:w="759"/>
        <w:gridCol w:w="75"/>
      </w:tblGrid>
      <w:tr>
        <w:trPr/>
        <w:tc>
          <w:tcPr>
            <w:tcW w:w="2525"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p>
        </w:tc>
        <w:tc>
          <w:tcPr>
            <w:tcW w:w="875" w:type="dxa"/>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Estimated</w:t>
              <w:br/>
              <w:t>useful life</w:t>
            </w:r>
          </w:p>
        </w:tc>
        <w:tc>
          <w:tcPr>
            <w:tcW w:w="60" w:type="dxa"/>
            <w:tcBorders/>
            <w:vAlign w:val="center"/>
          </w:tcPr>
          <w:p>
            <w:pPr>
              <w:pStyle w:val="TableContents"/>
              <w:bidi w:val="0"/>
              <w:spacing w:before="0" w:after="283"/>
              <w:jc w:val="left"/>
              <w:rPr/>
            </w:pPr>
            <w:r>
              <w:rPr/>
              <w:t> </w:t>
            </w:r>
          </w:p>
        </w:tc>
        <w:tc>
          <w:tcPr>
            <w:tcW w:w="1219"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 xml:space="preserve">Provisional </w:t>
              <w:br/>
              <w:t>fair values</w:t>
              <w:br/>
              <w:t>as of</w:t>
              <w:br/>
              <w:t xml:space="preserve">December 29, </w:t>
              <w:br/>
              <w:t>2024</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75"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Measurement</w:t>
              <w:br/>
              <w:t>period</w:t>
              <w:br/>
              <w:t>adjustments</w:t>
              <w:br/>
              <w:t>in fiscal</w:t>
              <w:br/>
              <w:t>2025</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19"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 xml:space="preserve">Final </w:t>
              <w:br/>
              <w:t>fair values</w:t>
            </w:r>
          </w:p>
        </w:tc>
        <w:tc>
          <w:tcPr>
            <w:tcW w:w="75" w:type="dxa"/>
            <w:tcBorders/>
            <w:vAlign w:val="center"/>
          </w:tcPr>
          <w:p>
            <w:pPr>
              <w:pStyle w:val="TableContents"/>
              <w:bidi w:val="0"/>
              <w:spacing w:before="0" w:after="283"/>
              <w:jc w:val="left"/>
              <w:rPr/>
            </w:pPr>
            <w:r>
              <w:rPr/>
              <w:t> </w:t>
            </w:r>
          </w:p>
        </w:tc>
      </w:tr>
      <w:tr>
        <w:trPr/>
        <w:tc>
          <w:tcPr>
            <w:tcW w:w="2525" w:type="dxa"/>
            <w:tcBorders/>
            <w:shd w:fill="CCEEFF" w:val="cle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Trademark – Blue Raven Solar</w:t>
            </w:r>
          </w:p>
        </w:tc>
        <w:tc>
          <w:tcPr>
            <w:tcW w:w="6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10 years</w:t>
            </w:r>
          </w:p>
        </w:tc>
        <w:tc>
          <w:tcPr>
            <w:tcW w:w="60" w:type="dxa"/>
            <w:tcBorders/>
            <w:shd w:fill="CCEEFF" w:val="clear"/>
            <w:vAlign w:val="center"/>
          </w:tcPr>
          <w:p>
            <w:pPr>
              <w:pStyle w:val="TableContents"/>
              <w:bidi w:val="0"/>
              <w:spacing w:before="0" w:after="283"/>
              <w:jc w:val="left"/>
              <w:rPr/>
            </w:pPr>
            <w:r>
              <w:rPr/>
              <w:t> </w:t>
            </w:r>
          </w:p>
        </w:tc>
        <w:tc>
          <w:tcPr>
            <w:tcW w:w="212"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007"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8,400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9"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956"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(1,306</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6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759"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7,094</w:t>
            </w:r>
          </w:p>
        </w:tc>
        <w:tc>
          <w:tcPr>
            <w:tcW w:w="75" w:type="dxa"/>
            <w:tcBorders/>
            <w:shd w:fill="CCEEFF" w:val="clear"/>
            <w:vAlign w:val="center"/>
          </w:tcPr>
          <w:p>
            <w:pPr>
              <w:pStyle w:val="TableContents"/>
              <w:bidi w:val="0"/>
              <w:spacing w:before="0" w:after="283"/>
              <w:jc w:val="left"/>
              <w:rPr/>
            </w:pPr>
            <w:r>
              <w:rPr/>
              <w:t> </w:t>
            </w:r>
          </w:p>
        </w:tc>
      </w:tr>
      <w:tr>
        <w:trPr/>
        <w:tc>
          <w:tcPr>
            <w:tcW w:w="2525" w:type="dxa"/>
            <w:tcBorders/>
            <w:shd w:fill="FFFFFF" w:val="cle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Trademark - SunPower</w:t>
            </w:r>
          </w:p>
        </w:tc>
        <w:tc>
          <w:tcPr>
            <w:tcW w:w="6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10 years</w:t>
            </w:r>
          </w:p>
        </w:tc>
        <w:tc>
          <w:tcPr>
            <w:tcW w:w="60" w:type="dxa"/>
            <w:tcBorders/>
            <w:shd w:fill="FFFFFF" w:val="clear"/>
            <w:vAlign w:val="center"/>
          </w:tcPr>
          <w:p>
            <w:pPr>
              <w:pStyle w:val="TableContents"/>
              <w:bidi w:val="0"/>
              <w:spacing w:before="0" w:after="283"/>
              <w:jc w:val="left"/>
              <w:rPr/>
            </w:pPr>
            <w:r>
              <w:rPr/>
              <w:t> </w:t>
            </w:r>
          </w:p>
        </w:tc>
        <w:tc>
          <w:tcPr>
            <w:tcW w:w="212" w:type="dxa"/>
            <w:tcBorders/>
            <w:shd w:fill="FFFFFF" w:val="clear"/>
            <w:vAlign w:val="center"/>
          </w:tcPr>
          <w:p>
            <w:pPr>
              <w:pStyle w:val="TableContents"/>
              <w:bidi w:val="0"/>
              <w:spacing w:before="0" w:after="283"/>
              <w:jc w:val="left"/>
              <w:rPr/>
            </w:pPr>
            <w:r>
              <w:rPr/>
              <w:t> </w:t>
            </w:r>
          </w:p>
        </w:tc>
        <w:tc>
          <w:tcPr>
            <w:tcW w:w="1007"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5,200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9" w:type="dxa"/>
            <w:tcBorders/>
            <w:shd w:fill="FFFFFF" w:val="clear"/>
            <w:vAlign w:val="center"/>
          </w:tcPr>
          <w:p>
            <w:pPr>
              <w:pStyle w:val="TableContents"/>
              <w:bidi w:val="0"/>
              <w:spacing w:before="0" w:after="283"/>
              <w:jc w:val="left"/>
              <w:rPr/>
            </w:pPr>
            <w:r>
              <w:rPr/>
              <w:t> </w:t>
            </w:r>
          </w:p>
        </w:tc>
        <w:tc>
          <w:tcPr>
            <w:tcW w:w="956"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(900</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60" w:type="dxa"/>
            <w:tcBorders/>
            <w:shd w:fill="FFFFFF" w:val="clear"/>
            <w:vAlign w:val="center"/>
          </w:tcPr>
          <w:p>
            <w:pPr>
              <w:pStyle w:val="TableContents"/>
              <w:bidi w:val="0"/>
              <w:spacing w:before="0" w:after="283"/>
              <w:jc w:val="left"/>
              <w:rPr/>
            </w:pPr>
            <w:r>
              <w:rPr/>
              <w:t> </w:t>
            </w:r>
          </w:p>
        </w:tc>
        <w:tc>
          <w:tcPr>
            <w:tcW w:w="759"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4,300</w:t>
            </w:r>
          </w:p>
        </w:tc>
        <w:tc>
          <w:tcPr>
            <w:tcW w:w="75" w:type="dxa"/>
            <w:tcBorders/>
            <w:shd w:fill="FFFFFF" w:val="clear"/>
            <w:vAlign w:val="center"/>
          </w:tcPr>
          <w:p>
            <w:pPr>
              <w:pStyle w:val="TableContents"/>
              <w:bidi w:val="0"/>
              <w:spacing w:before="0" w:after="283"/>
              <w:jc w:val="left"/>
              <w:rPr/>
            </w:pPr>
            <w:r>
              <w:rPr/>
              <w:t> </w:t>
            </w:r>
          </w:p>
        </w:tc>
      </w:tr>
      <w:tr>
        <w:trPr/>
        <w:tc>
          <w:tcPr>
            <w:tcW w:w="2525" w:type="dxa"/>
            <w:tcBorders/>
            <w:shd w:fill="CCEEFF" w:val="cle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Developed technology</w:t>
            </w:r>
          </w:p>
        </w:tc>
        <w:tc>
          <w:tcPr>
            <w:tcW w:w="6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3 years</w:t>
            </w:r>
          </w:p>
        </w:tc>
        <w:tc>
          <w:tcPr>
            <w:tcW w:w="60" w:type="dxa"/>
            <w:tcBorders/>
            <w:shd w:fill="CCEEFF" w:val="clear"/>
            <w:vAlign w:val="center"/>
          </w:tcPr>
          <w:p>
            <w:pPr>
              <w:pStyle w:val="TableContents"/>
              <w:bidi w:val="0"/>
              <w:spacing w:before="0" w:after="283"/>
              <w:jc w:val="left"/>
              <w:rPr/>
            </w:pPr>
            <w:r>
              <w:rPr/>
              <w:t> </w:t>
            </w:r>
          </w:p>
        </w:tc>
        <w:tc>
          <w:tcPr>
            <w:tcW w:w="212"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07"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4,500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9"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56"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759"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4,500</w:t>
            </w:r>
          </w:p>
        </w:tc>
        <w:tc>
          <w:tcPr>
            <w:tcW w:w="75" w:type="dxa"/>
            <w:tcBorders/>
            <w:shd w:fill="CCEEFF" w:val="clear"/>
            <w:vAlign w:val="center"/>
          </w:tcPr>
          <w:p>
            <w:pPr>
              <w:pStyle w:val="TableContents"/>
              <w:bidi w:val="0"/>
              <w:spacing w:before="0" w:after="283"/>
              <w:jc w:val="left"/>
              <w:rPr/>
            </w:pPr>
            <w:r>
              <w:rPr/>
              <w:t> </w:t>
            </w:r>
          </w:p>
        </w:tc>
      </w:tr>
      <w:tr>
        <w:trPr/>
        <w:tc>
          <w:tcPr>
            <w:tcW w:w="252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Total</w:t>
            </w:r>
          </w:p>
        </w:tc>
        <w:tc>
          <w:tcPr>
            <w:tcW w:w="6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212" w:type="dxa"/>
            <w:tcBorders>
              <w:bottom w:val="double" w:sz="10"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007" w:type="dxa"/>
            <w:tcBorders>
              <w:bottom w:val="double" w:sz="10"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18,100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9" w:type="dxa"/>
            <w:tcBorders>
              <w:bottom w:val="double" w:sz="10"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956" w:type="dxa"/>
            <w:tcBorders>
              <w:bottom w:val="double" w:sz="10"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(2,206</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60" w:type="dxa"/>
            <w:tcBorders>
              <w:bottom w:val="double" w:sz="10"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759" w:type="dxa"/>
            <w:tcBorders>
              <w:bottom w:val="double" w:sz="10"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15,894</w:t>
            </w:r>
          </w:p>
        </w:tc>
        <w:tc>
          <w:tcPr>
            <w:tcW w:w="75"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fair values of the trademarks were estimated using the relief-from-royalty method. This approach measures the value of the asset based on the hypothetical royalties the Company would avoid paying if it had to license the trademark from a third party. The analysis considers the established history and longevity of the trade names, including the Blue Raven brand, in use since 2014, and the SunPower brand, which has been in the market for over 20 years. Key assumptions include projecting sales attributable to business enterprise value for each respective business, applying a 1% royalty rate derived from a profit-split analysis and benchmarking against the median of comparable licensing arrangements, and utilizing a 10-year economic life in line with management’s plans to continue using the brands for the foreseeable future.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fair value of the developed technology was estimated using the cost approach, which measures the economic resources required to recreate the asset, including direct costs and necessary entrepreneurial incentives. Direct costs were based on management’s estimate of the fees and profit margin that would be required to engage external consultants to rebuild the technology. In addition, an opportunity cost was incorporated to reflect the hypothetical return foregone during the development period, representing the income that could have been earned had these funds been invested elsewhere. The total replacement cost was calculated assuming a weighted-average redevelopment period of 19 months.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SunPower Acquisition contributed $83.8 million and $6.5 million in revenue and income before income taxes from continuing operations, respectively, for the period from the acquisition date to the fiscal year ended December 29, 2024.</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sz w:val="20"/>
          <w:bdr w:val="single" w:sz="12" w:space="1" w:color="000000"/>
        </w:rPr>
      </w:pPr>
      <w:r>
        <w:rPr>
          <w:sz w:val="20"/>
          <w:bdr w:val="single" w:sz="12" w:space="1" w:color="000000"/>
        </w:rPr>
        <w:t>F-70</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Sunder Energy LLC Acquisition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September 21, 2025, a subsidiary of the Company entered into a Membership Interest Purchase Agreement (“Sunder MIPA”) with Sunder Energy LLC (“Sunder”) and the seller, Chicken Parm Pizza LLC (“Seller/Member”), the sole member of Sunder. On September 24, 2025 (“Sunder Closing”), the Company completed the acquisition of the membership interests of Sunder for an aggregate consideration of $57.8 million (“Sunder Acquisition”). Per the terms of the Sunder MIPA, the Company acquired all of the outstanding membership interest of Sunder for (1) $20.7 million in cash, subject to certain working capital and other adjustments; (2) a promissory note to the Member in the principal amount of $20.0 million (“Seller Note”); and (3) 10.0 million shares of the Company’s common stock (valued at the closing share price on September 24, 2025, of $1.71 per share), consisting of (i) 3,333,334 shares of the Company’s common stock issued at the Sunder Closing and (ii) subject to approval of such issuances by the Company’s stockholders, (x) 3,333,333 shares of the Company’s common stock to be issued on the 12-month anniversary of the Sunder Closing and (y) 3,333,333 shares of the Company’s common stock to be issued on the 18-month anniversary of the Sunder Closing (“Deferred Sunder Consideration Shares”). In lieu of issuing the Deferred Sunder Consideration Shares, the Company, in its sole discretion, may elect to pay the Member a cash payment equal to the number of Deferred Sunder Consideration Shares otherwise issuable by the Company multiplied by the volume-weighted average price of the Company’s common stock as quoted on Nasdaq for the 30-trading day period ending two business days prior to the date on which the applicable Deferred Sunder Consideration Shares are otherwise issuable (“Cash in Lieu Amount”). If the Company elects to pay the Cash in Lieu Amount, 50% of the Cash in Lieu Amount will be paid on the three-month anniversary of the date on which the applicable Deferred Sunder Consideration Shares are otherwise issuable, with the remaining 50% of the Cash in Lieu Amount payable on the 6 month anniversary of the date on which the applicable Deferred Sunder Consideration Shares are otherwise issuable. The shares of the Company’s common stock issued and expected to be issued were valued at aggregate of $17.1 million at the date of acquisition. The common stock issued at the Sunder Closing was valued at $5.7 million and accounted for within Additional paid-in-capital on the Company’s consolidated balance sheet. The Deferred Sunder Consideration Shares payable is presented as noted below on the Company’s consolidated balance sheet as of December 28, 2025. The fair value of the Sunder deferred consideration was subsequently adjusted downward to $10.8 million from the Sunder Closing to December 28, 2025. The Company concluded that since the sellers joined the Company and represent members of management, they have a level of influence that is not insignificant, they are related parties of the Company, and therefore the Deferred Consideration and Seller Note are a related party obligations.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consideration is summarized as follows </w:t>
      </w:r>
      <w:r>
        <w:rPr>
          <w:rFonts w:ascii="Times New Roman;Times;Serif" w:hAnsi="Times New Roman;Times;Serif"/>
          <w:b w:val="false"/>
          <w:i/>
          <w:caps w:val="false"/>
          <w:smallCaps w:val="false"/>
          <w:sz w:val="20"/>
        </w:rPr>
        <w:t>(in thousands):</w:t>
      </w:r>
      <w:r>
        <w:rPr>
          <w:rFonts w:ascii="Times New Roman;Times;Serif" w:hAnsi="Times New Roman;Times;Serif"/>
          <w:b w:val="false"/>
          <w:i w:val="false"/>
          <w:caps w:val="false"/>
          <w:smallCaps w:val="false"/>
          <w:sz w:val="20"/>
        </w:rPr>
        <w:t> </w:t>
      </w:r>
    </w:p>
    <w:p>
      <w:pPr>
        <w:pStyle w:val="TextBody"/>
        <w:bidi w:val="0"/>
        <w:spacing w:before="0" w:after="0"/>
        <w:ind w:left="0" w:right="0" w:hanging="0"/>
        <w:jc w:val="both"/>
        <w:rPr>
          <w:caps w:val="false"/>
          <w:smallCaps w:val="false"/>
        </w:rPr>
      </w:pPr>
      <w:r>
        <w:rPr>
          <w:caps w:val="false"/>
          <w:smallCaps w:val="false"/>
        </w:rPr>
        <w:t> </w:t>
      </w:r>
    </w:p>
    <w:tbl>
      <w:tblPr>
        <w:tblW w:w="9705" w:type="dxa"/>
        <w:jc w:val="left"/>
        <w:tblInd w:w="0" w:type="dxa"/>
        <w:tblLayout w:type="fixed"/>
        <w:tblCellMar>
          <w:top w:w="0" w:type="dxa"/>
          <w:left w:w="0" w:type="dxa"/>
          <w:bottom w:w="0" w:type="dxa"/>
          <w:right w:w="0" w:type="dxa"/>
        </w:tblCellMar>
      </w:tblPr>
      <w:tblGrid>
        <w:gridCol w:w="8855"/>
        <w:gridCol w:w="60"/>
        <w:gridCol w:w="125"/>
        <w:gridCol w:w="590"/>
        <w:gridCol w:w="75"/>
      </w:tblGrid>
      <w:tr>
        <w:trPr/>
        <w:tc>
          <w:tcPr>
            <w:tcW w:w="885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Consideration</w:t>
            </w:r>
          </w:p>
        </w:tc>
        <w:tc>
          <w:tcPr>
            <w:tcW w:w="60" w:type="dxa"/>
            <w:tcBorders/>
            <w:vAlign w:val="center"/>
          </w:tcPr>
          <w:p>
            <w:pPr>
              <w:pStyle w:val="TableContents"/>
              <w:bidi w:val="0"/>
              <w:spacing w:before="0" w:after="283"/>
              <w:jc w:val="left"/>
              <w:rPr/>
            </w:pPr>
            <w:r>
              <w:rPr/>
              <w:t> </w:t>
            </w:r>
          </w:p>
        </w:tc>
        <w:tc>
          <w:tcPr>
            <w:tcW w:w="715" w:type="dxa"/>
            <w:gridSpan w:val="2"/>
            <w:tcBorders/>
            <w:vAlign w:val="center"/>
          </w:tcPr>
          <w:p>
            <w:pPr>
              <w:pStyle w:val="TableContents"/>
              <w:bidi w:val="0"/>
              <w:spacing w:before="0" w:after="283"/>
              <w:jc w:val="right"/>
              <w:rPr/>
            </w:pPr>
            <w:r>
              <w:rPr/>
              <w:t> </w:t>
            </w:r>
          </w:p>
        </w:tc>
        <w:tc>
          <w:tcPr>
            <w:tcW w:w="75" w:type="dxa"/>
            <w:tcBorders/>
            <w:vAlign w:val="center"/>
          </w:tcPr>
          <w:p>
            <w:pPr>
              <w:pStyle w:val="TableContents"/>
              <w:bidi w:val="0"/>
              <w:spacing w:before="0" w:after="283"/>
              <w:jc w:val="left"/>
              <w:rPr/>
            </w:pPr>
            <w:r>
              <w:rPr/>
              <w:t> </w:t>
            </w:r>
          </w:p>
        </w:tc>
      </w:tr>
      <w:tr>
        <w:trPr/>
        <w:tc>
          <w:tcPr>
            <w:tcW w:w="885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Cash</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59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20,689</w:t>
            </w:r>
          </w:p>
        </w:tc>
        <w:tc>
          <w:tcPr>
            <w:tcW w:w="75" w:type="dxa"/>
            <w:tcBorders/>
            <w:shd w:fill="CCEEFF" w:val="clear"/>
            <w:vAlign w:val="center"/>
          </w:tcPr>
          <w:p>
            <w:pPr>
              <w:pStyle w:val="TableContents"/>
              <w:bidi w:val="0"/>
              <w:spacing w:before="0" w:after="283"/>
              <w:jc w:val="left"/>
              <w:rPr/>
            </w:pPr>
            <w:r>
              <w:rPr/>
              <w:t> </w:t>
            </w:r>
          </w:p>
        </w:tc>
      </w:tr>
      <w:tr>
        <w:trPr/>
        <w:tc>
          <w:tcPr>
            <w:tcW w:w="885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Seller note</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20,000</w:t>
            </w:r>
          </w:p>
        </w:tc>
        <w:tc>
          <w:tcPr>
            <w:tcW w:w="75" w:type="dxa"/>
            <w:tcBorders/>
            <w:shd w:fill="FFFFFF" w:val="clear"/>
            <w:vAlign w:val="center"/>
          </w:tcPr>
          <w:p>
            <w:pPr>
              <w:pStyle w:val="TableContents"/>
              <w:bidi w:val="0"/>
              <w:spacing w:before="0" w:after="283"/>
              <w:jc w:val="left"/>
              <w:rPr/>
            </w:pPr>
            <w:r>
              <w:rPr/>
              <w:t> </w:t>
            </w:r>
          </w:p>
        </w:tc>
      </w:tr>
      <w:tr>
        <w:trPr/>
        <w:tc>
          <w:tcPr>
            <w:tcW w:w="885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Fair value of 3,333,334 shares of the Company’s common stock (classified within Additional paid-in-capital)</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5,700</w:t>
            </w:r>
          </w:p>
        </w:tc>
        <w:tc>
          <w:tcPr>
            <w:tcW w:w="75" w:type="dxa"/>
            <w:tcBorders/>
            <w:shd w:fill="CCEEFF" w:val="clear"/>
            <w:vAlign w:val="center"/>
          </w:tcPr>
          <w:p>
            <w:pPr>
              <w:pStyle w:val="TableContents"/>
              <w:bidi w:val="0"/>
              <w:spacing w:before="0" w:after="283"/>
              <w:jc w:val="left"/>
              <w:rPr/>
            </w:pPr>
            <w:r>
              <w:rPr/>
              <w:t> </w:t>
            </w:r>
          </w:p>
        </w:tc>
      </w:tr>
      <w:tr>
        <w:trPr/>
        <w:tc>
          <w:tcPr>
            <w:tcW w:w="885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Deferred Sunder Consideration Shares (fair value of 6,666,666 shares of the Company’s common stock):</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right"/>
              <w:rPr/>
            </w:pPr>
            <w:r>
              <w:rPr/>
              <w:t> </w:t>
            </w:r>
          </w:p>
        </w:tc>
        <w:tc>
          <w:tcPr>
            <w:tcW w:w="75" w:type="dxa"/>
            <w:tcBorders/>
            <w:shd w:fill="FFFFFF" w:val="clear"/>
            <w:vAlign w:val="center"/>
          </w:tcPr>
          <w:p>
            <w:pPr>
              <w:pStyle w:val="TableContents"/>
              <w:bidi w:val="0"/>
              <w:spacing w:before="0" w:after="283"/>
              <w:ind w:left="0" w:right="0" w:hanging="180"/>
              <w:jc w:val="left"/>
              <w:rPr/>
            </w:pPr>
            <w:r>
              <w:rPr/>
              <w:t> </w:t>
            </w:r>
          </w:p>
        </w:tc>
      </w:tr>
      <w:tr>
        <w:trPr/>
        <w:tc>
          <w:tcPr>
            <w:tcW w:w="885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Classified within Deferred consideration, current with related party</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5,700</w:t>
            </w:r>
          </w:p>
        </w:tc>
        <w:tc>
          <w:tcPr>
            <w:tcW w:w="75" w:type="dxa"/>
            <w:tcBorders/>
            <w:shd w:fill="CCEEFF" w:val="clear"/>
            <w:vAlign w:val="center"/>
          </w:tcPr>
          <w:p>
            <w:pPr>
              <w:pStyle w:val="TableContents"/>
              <w:bidi w:val="0"/>
              <w:spacing w:before="0" w:after="283"/>
              <w:jc w:val="left"/>
              <w:rPr/>
            </w:pPr>
            <w:r>
              <w:rPr/>
              <w:t> </w:t>
            </w:r>
          </w:p>
        </w:tc>
      </w:tr>
      <w:tr>
        <w:trPr/>
        <w:tc>
          <w:tcPr>
            <w:tcW w:w="885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Classified within Deferred consideration, noncurrent with related party</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590"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5,700</w:t>
            </w:r>
          </w:p>
        </w:tc>
        <w:tc>
          <w:tcPr>
            <w:tcW w:w="75" w:type="dxa"/>
            <w:tcBorders/>
            <w:shd w:fill="FFFFFF" w:val="clear"/>
            <w:vAlign w:val="center"/>
          </w:tcPr>
          <w:p>
            <w:pPr>
              <w:pStyle w:val="TableContents"/>
              <w:bidi w:val="0"/>
              <w:spacing w:before="0" w:after="283"/>
              <w:jc w:val="left"/>
              <w:rPr/>
            </w:pPr>
            <w:r>
              <w:rPr/>
              <w:t> </w:t>
            </w:r>
          </w:p>
        </w:tc>
      </w:tr>
      <w:tr>
        <w:trPr/>
        <w:tc>
          <w:tcPr>
            <w:tcW w:w="885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Fair value of total consideration</w:t>
            </w:r>
          </w:p>
        </w:tc>
        <w:tc>
          <w:tcPr>
            <w:tcW w:w="60" w:type="dxa"/>
            <w:tcBorders/>
            <w:shd w:fill="CCEEFF" w:val="clear"/>
            <w:vAlign w:val="center"/>
          </w:tcPr>
          <w:p>
            <w:pPr>
              <w:pStyle w:val="TableContents"/>
              <w:bidi w:val="0"/>
              <w:spacing w:before="0" w:after="283"/>
              <w:jc w:val="left"/>
              <w:rPr/>
            </w:pPr>
            <w:r>
              <w:rPr/>
              <w:t> </w:t>
            </w:r>
          </w:p>
        </w:tc>
        <w:tc>
          <w:tcPr>
            <w:tcW w:w="125" w:type="dxa"/>
            <w:tcBorders>
              <w:bottom w:val="double" w:sz="10"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590" w:type="dxa"/>
            <w:tcBorders>
              <w:bottom w:val="double" w:sz="10"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57,789</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Company financed a portion of the transaction through the issuance of $22.0 million of 7.0% senior unsecured convertible notes (the “September 2025 Notes”) and a $20.0 million Seller Note. Refer to </w:t>
      </w:r>
      <w:r>
        <w:rPr>
          <w:rFonts w:ascii="Times New Roman;Times;Serif" w:hAnsi="Times New Roman;Times;Serif"/>
          <w:b/>
          <w:i w:val="false"/>
          <w:caps w:val="false"/>
          <w:smallCaps w:val="false"/>
          <w:sz w:val="20"/>
        </w:rPr>
        <w:t>Note 10 – Borrowings and Derivative Liabilities</w:t>
      </w:r>
      <w:r>
        <w:rPr>
          <w:rFonts w:ascii="Times New Roman;Times;Serif" w:hAnsi="Times New Roman;Times;Serif"/>
          <w:b w:val="false"/>
          <w:i w:val="false"/>
          <w:caps w:val="false"/>
          <w:smallCaps w:val="false"/>
          <w:sz w:val="20"/>
        </w:rPr>
        <w:t xml:space="preserve"> for details regarding these obligations.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Sunder is a solar sales company. The Company acquired Sunder as a strategic acquisition to expand its overall market share and its penetration into more U.S. states. The financial results of Sunder have been included in the Company’s consolidated financial statements since its date of acquisition.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provisional fair values of assets acquired and liabilities assumed were based upon a preliminary valuation, and the Company’s estimates and assumptions have been revised during the measurement period to refine the fair values of the assets acquired and liabilities assumed based upon the facts and circumstances existing at the date of acquisition which resulted in the measurement period adjustments noted below. The purchase price accounting remains open for the components of working capital, identification and valuation of intangibles and allocation of goodwill. The Company has elected the practical expedient within ASC 805-20-30-27 through 805-20-30-30 to recognize and measure contract liabilities in accordance with ASC 606 – </w:t>
      </w:r>
      <w:r>
        <w:rPr>
          <w:rFonts w:ascii="Times New Roman;Times;Serif" w:hAnsi="Times New Roman;Times;Serif"/>
          <w:b w:val="false"/>
          <w:i/>
          <w:caps w:val="false"/>
          <w:smallCaps w:val="false"/>
          <w:sz w:val="20"/>
        </w:rPr>
        <w:t>Revenue from Contracts with Customers</w:t>
      </w:r>
      <w:r>
        <w:rPr>
          <w:rFonts w:ascii="Times New Roman;Times;Serif" w:hAnsi="Times New Roman;Times;Serif"/>
          <w:b w:val="false"/>
          <w:i w:val="false"/>
          <w:caps w:val="false"/>
          <w:smallCaps w:val="false"/>
          <w:sz w:val="20"/>
        </w:rPr>
        <w:t xml:space="preserve"> (“ASC 606”) as if it had originated the acquired contract. Thus, the amount of any contract liabilities immediately prior to the acquisition will be the comparable amounts recognized in the determination of assets acquired and liabilities assumed by the Company.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sz w:val="20"/>
          <w:bdr w:val="single" w:sz="12" w:space="1" w:color="000000"/>
        </w:rPr>
      </w:pPr>
      <w:r>
        <w:rPr>
          <w:sz w:val="20"/>
          <w:bdr w:val="single" w:sz="12" w:space="1" w:color="000000"/>
        </w:rPr>
        <w:t>F-71</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following table summarizes the provisional fair value of identifiable assets acquired and liabilities assumed </w:t>
      </w:r>
      <w:r>
        <w:rPr>
          <w:rFonts w:ascii="Times New Roman;Times;Serif" w:hAnsi="Times New Roman;Times;Serif"/>
          <w:b w:val="false"/>
          <w:i/>
          <w:caps w:val="false"/>
          <w:smallCaps w:val="false"/>
          <w:sz w:val="20"/>
        </w:rPr>
        <w:t>(in thousands)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tbl>
      <w:tblPr>
        <w:tblW w:w="9197" w:type="dxa"/>
        <w:jc w:val="left"/>
        <w:tblInd w:w="0" w:type="dxa"/>
        <w:tblLayout w:type="fixed"/>
        <w:tblCellMar>
          <w:top w:w="0" w:type="dxa"/>
          <w:left w:w="0" w:type="dxa"/>
          <w:bottom w:w="0" w:type="dxa"/>
          <w:right w:w="0" w:type="dxa"/>
        </w:tblCellMar>
      </w:tblPr>
      <w:tblGrid>
        <w:gridCol w:w="4325"/>
        <w:gridCol w:w="60"/>
        <w:gridCol w:w="230"/>
        <w:gridCol w:w="1244"/>
        <w:gridCol w:w="95"/>
        <w:gridCol w:w="60"/>
        <w:gridCol w:w="235"/>
        <w:gridCol w:w="1269"/>
        <w:gridCol w:w="95"/>
        <w:gridCol w:w="60"/>
        <w:gridCol w:w="220"/>
        <w:gridCol w:w="1194"/>
        <w:gridCol w:w="110"/>
      </w:tblGrid>
      <w:tr>
        <w:trPr/>
        <w:tc>
          <w:tcPr>
            <w:tcW w:w="4325"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p>
        </w:tc>
        <w:tc>
          <w:tcPr>
            <w:tcW w:w="1474"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 xml:space="preserve">Provisional </w:t>
              <w:br/>
              <w:t>fair values</w:t>
              <w:br/>
              <w:t>as of</w:t>
              <w:br/>
              <w:t>September 24,</w:t>
              <w:br/>
              <w:t>2025</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04"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 xml:space="preserve">Measurement </w:t>
              <w:br/>
              <w:t xml:space="preserve">period </w:t>
              <w:br/>
              <w:t>adjustments in</w:t>
              <w:br/>
              <w:t>fiscal</w:t>
              <w:br/>
              <w:t>2025</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14"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 xml:space="preserve">Provisional </w:t>
              <w:br/>
              <w:t>fair values</w:t>
              <w:br/>
              <w:t>as of</w:t>
              <w:br/>
              <w:t>December 28,</w:t>
              <w:br/>
              <w:t>2025</w:t>
            </w:r>
          </w:p>
        </w:tc>
        <w:tc>
          <w:tcPr>
            <w:tcW w:w="110" w:type="dxa"/>
            <w:tcBorders/>
            <w:vAlign w:val="center"/>
          </w:tcPr>
          <w:p>
            <w:pPr>
              <w:pStyle w:val="TableContents"/>
              <w:bidi w:val="0"/>
              <w:spacing w:before="0" w:after="283"/>
              <w:jc w:val="left"/>
              <w:rPr/>
            </w:pPr>
            <w:r>
              <w:rPr/>
              <w:t> </w:t>
            </w:r>
          </w:p>
        </w:tc>
      </w:tr>
      <w:tr>
        <w:trPr/>
        <w:tc>
          <w:tcPr>
            <w:tcW w:w="4325" w:type="dxa"/>
            <w:tcBorders/>
            <w:vAlign w:val="center"/>
          </w:tcPr>
          <w:p>
            <w:pPr>
              <w:pStyle w:val="TableContents"/>
              <w:bidi w:val="0"/>
              <w:spacing w:before="0" w:after="283"/>
              <w:jc w:val="both"/>
              <w:rPr>
                <w:b/>
              </w:rPr>
            </w:pPr>
            <w:r>
              <w:rPr>
                <w:b/>
              </w:rPr>
              <w:t>Net assets acquired:</w:t>
            </w:r>
          </w:p>
        </w:tc>
        <w:tc>
          <w:tcPr>
            <w:tcW w:w="60" w:type="dxa"/>
            <w:tcBorders/>
            <w:vAlign w:val="center"/>
          </w:tcPr>
          <w:p>
            <w:pPr>
              <w:pStyle w:val="TableContents"/>
              <w:bidi w:val="0"/>
              <w:spacing w:before="0" w:after="283"/>
              <w:jc w:val="left"/>
              <w:rPr/>
            </w:pPr>
            <w:r>
              <w:rPr/>
              <w:t> </w:t>
            </w:r>
          </w:p>
        </w:tc>
        <w:tc>
          <w:tcPr>
            <w:tcW w:w="1474" w:type="dxa"/>
            <w:gridSpan w:val="2"/>
            <w:tcBorders/>
            <w:vAlign w:val="center"/>
          </w:tcPr>
          <w:p>
            <w:pPr>
              <w:pStyle w:val="TableContents"/>
              <w:bidi w:val="0"/>
              <w:spacing w:before="0" w:after="283"/>
              <w:jc w:val="righ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04" w:type="dxa"/>
            <w:gridSpan w:val="2"/>
            <w:tcBorders/>
            <w:vAlign w:val="center"/>
          </w:tcPr>
          <w:p>
            <w:pPr>
              <w:pStyle w:val="TableContents"/>
              <w:bidi w:val="0"/>
              <w:spacing w:before="0" w:after="283"/>
              <w:jc w:val="righ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14" w:type="dxa"/>
            <w:gridSpan w:val="2"/>
            <w:tcBorders/>
            <w:vAlign w:val="center"/>
          </w:tcPr>
          <w:p>
            <w:pPr>
              <w:pStyle w:val="TableContents"/>
              <w:bidi w:val="0"/>
              <w:spacing w:before="0" w:after="283"/>
              <w:jc w:val="right"/>
              <w:rPr/>
            </w:pPr>
            <w:r>
              <w:rPr/>
              <w:t> </w:t>
            </w:r>
          </w:p>
        </w:tc>
        <w:tc>
          <w:tcPr>
            <w:tcW w:w="110" w:type="dxa"/>
            <w:tcBorders/>
            <w:vAlign w:val="center"/>
          </w:tcPr>
          <w:p>
            <w:pPr>
              <w:pStyle w:val="TableContents"/>
              <w:bidi w:val="0"/>
              <w:spacing w:before="0" w:after="283"/>
              <w:jc w:val="left"/>
              <w:rPr/>
            </w:pPr>
            <w:r>
              <w:rPr/>
              <w:t> </w:t>
            </w:r>
          </w:p>
        </w:tc>
      </w:tr>
      <w:tr>
        <w:trPr/>
        <w:tc>
          <w:tcPr>
            <w:tcW w:w="4325" w:type="dxa"/>
            <w:tcBorders/>
            <w:shd w:fill="CCEEFF" w:val="clear"/>
            <w:vAlign w:val="center"/>
          </w:tcPr>
          <w:p>
            <w:pPr>
              <w:pStyle w:val="TableContents"/>
              <w:bidi w:val="0"/>
              <w:spacing w:before="0" w:after="283"/>
              <w:jc w:val="both"/>
              <w:rPr/>
            </w:pPr>
            <w:r>
              <w:rPr/>
              <w:t>Accounts receivable</w:t>
            </w:r>
          </w:p>
        </w:tc>
        <w:tc>
          <w:tcPr>
            <w:tcW w:w="60" w:type="dxa"/>
            <w:tcBorders/>
            <w:shd w:fill="CCEEFF" w:val="clear"/>
            <w:vAlign w:val="center"/>
          </w:tcPr>
          <w:p>
            <w:pPr>
              <w:pStyle w:val="TableContents"/>
              <w:bidi w:val="0"/>
              <w:spacing w:before="0" w:after="283"/>
              <w:jc w:val="left"/>
              <w:rPr/>
            </w:pPr>
            <w:r>
              <w:rPr/>
              <w:t> </w:t>
            </w:r>
          </w:p>
        </w:tc>
        <w:tc>
          <w:tcPr>
            <w:tcW w:w="230" w:type="dxa"/>
            <w:tcBorders/>
            <w:shd w:fill="CCEEFF" w:val="clear"/>
            <w:vAlign w:val="center"/>
          </w:tcPr>
          <w:p>
            <w:pPr>
              <w:pStyle w:val="TableContents"/>
              <w:bidi w:val="0"/>
              <w:spacing w:before="0" w:after="283"/>
              <w:jc w:val="left"/>
              <w:rPr/>
            </w:pPr>
            <w:r>
              <w:rPr/>
              <w:t>$</w:t>
            </w:r>
          </w:p>
        </w:tc>
        <w:tc>
          <w:tcPr>
            <w:tcW w:w="1244" w:type="dxa"/>
            <w:tcBorders/>
            <w:shd w:fill="CCEEFF" w:val="clear"/>
            <w:vAlign w:val="center"/>
          </w:tcPr>
          <w:p>
            <w:pPr>
              <w:pStyle w:val="TableContents"/>
              <w:bidi w:val="0"/>
              <w:spacing w:before="0" w:after="283"/>
              <w:jc w:val="right"/>
              <w:rPr/>
            </w:pPr>
            <w:r>
              <w:rPr/>
              <w:t>257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5" w:type="dxa"/>
            <w:tcBorders/>
            <w:shd w:fill="CCEEFF" w:val="clear"/>
            <w:vAlign w:val="center"/>
          </w:tcPr>
          <w:p>
            <w:pPr>
              <w:pStyle w:val="TableContents"/>
              <w:bidi w:val="0"/>
              <w:spacing w:before="0" w:after="283"/>
              <w:jc w:val="left"/>
              <w:rPr/>
            </w:pPr>
            <w:r>
              <w:rPr/>
              <w:t>$</w:t>
            </w:r>
          </w:p>
        </w:tc>
        <w:tc>
          <w:tcPr>
            <w:tcW w:w="1269" w:type="dxa"/>
            <w:tcBorders/>
            <w:shd w:fill="CCEEFF" w:val="clear"/>
            <w:vAlign w:val="center"/>
          </w:tcPr>
          <w:p>
            <w:pPr>
              <w:pStyle w:val="TableContents"/>
              <w:bidi w:val="0"/>
              <w:spacing w:before="0" w:after="283"/>
              <w:jc w:val="right"/>
              <w:rPr/>
            </w:pPr>
            <w:r>
              <w:rPr/>
              <w:t>540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0" w:type="dxa"/>
            <w:tcBorders/>
            <w:shd w:fill="CCEEFF" w:val="clear"/>
            <w:vAlign w:val="center"/>
          </w:tcPr>
          <w:p>
            <w:pPr>
              <w:pStyle w:val="TableContents"/>
              <w:bidi w:val="0"/>
              <w:spacing w:before="0" w:after="283"/>
              <w:jc w:val="left"/>
              <w:rPr/>
            </w:pPr>
            <w:r>
              <w:rPr/>
              <w:t>$</w:t>
            </w:r>
          </w:p>
        </w:tc>
        <w:tc>
          <w:tcPr>
            <w:tcW w:w="1194" w:type="dxa"/>
            <w:tcBorders/>
            <w:shd w:fill="CCEEFF" w:val="clear"/>
            <w:vAlign w:val="center"/>
          </w:tcPr>
          <w:p>
            <w:pPr>
              <w:pStyle w:val="TableContents"/>
              <w:bidi w:val="0"/>
              <w:spacing w:before="0" w:after="283"/>
              <w:jc w:val="right"/>
              <w:rPr/>
            </w:pPr>
            <w:r>
              <w:rPr/>
              <w:t>797</w:t>
            </w:r>
          </w:p>
        </w:tc>
        <w:tc>
          <w:tcPr>
            <w:tcW w:w="110" w:type="dxa"/>
            <w:tcBorders/>
            <w:shd w:fill="CCEEFF" w:val="clear"/>
            <w:vAlign w:val="center"/>
          </w:tcPr>
          <w:p>
            <w:pPr>
              <w:pStyle w:val="TableContents"/>
              <w:bidi w:val="0"/>
              <w:spacing w:before="0" w:after="283"/>
              <w:jc w:val="left"/>
              <w:rPr/>
            </w:pPr>
            <w:r>
              <w:rPr/>
              <w:t> </w:t>
            </w:r>
          </w:p>
        </w:tc>
      </w:tr>
      <w:tr>
        <w:trPr/>
        <w:tc>
          <w:tcPr>
            <w:tcW w:w="4325" w:type="dxa"/>
            <w:tcBorders/>
            <w:shd w:fill="FFFFFF" w:val="clear"/>
            <w:vAlign w:val="center"/>
          </w:tcPr>
          <w:p>
            <w:pPr>
              <w:pStyle w:val="TableContents"/>
              <w:bidi w:val="0"/>
              <w:spacing w:before="0" w:after="283"/>
              <w:jc w:val="both"/>
              <w:rPr/>
            </w:pPr>
            <w:r>
              <w:rPr/>
              <w:t>Prepaid expenses and other current assets</w:t>
            </w:r>
          </w:p>
        </w:tc>
        <w:tc>
          <w:tcPr>
            <w:tcW w:w="60" w:type="dxa"/>
            <w:tcBorders/>
            <w:shd w:fill="FFFFFF" w:val="clear"/>
            <w:vAlign w:val="center"/>
          </w:tcPr>
          <w:p>
            <w:pPr>
              <w:pStyle w:val="TableContents"/>
              <w:bidi w:val="0"/>
              <w:spacing w:before="0" w:after="283"/>
              <w:jc w:val="left"/>
              <w:rPr/>
            </w:pPr>
            <w:r>
              <w:rPr/>
              <w:t> </w:t>
            </w:r>
          </w:p>
        </w:tc>
        <w:tc>
          <w:tcPr>
            <w:tcW w:w="230" w:type="dxa"/>
            <w:tcBorders/>
            <w:shd w:fill="FFFFFF" w:val="clear"/>
            <w:vAlign w:val="center"/>
          </w:tcPr>
          <w:p>
            <w:pPr>
              <w:pStyle w:val="TableContents"/>
              <w:bidi w:val="0"/>
              <w:spacing w:before="0" w:after="283"/>
              <w:jc w:val="left"/>
              <w:rPr/>
            </w:pPr>
            <w:r>
              <w:rPr/>
              <w:t> </w:t>
            </w:r>
          </w:p>
        </w:tc>
        <w:tc>
          <w:tcPr>
            <w:tcW w:w="1244" w:type="dxa"/>
            <w:tcBorders/>
            <w:shd w:fill="FFFFFF" w:val="clear"/>
            <w:vAlign w:val="center"/>
          </w:tcPr>
          <w:p>
            <w:pPr>
              <w:pStyle w:val="TableContents"/>
              <w:bidi w:val="0"/>
              <w:spacing w:before="0" w:after="283"/>
              <w:jc w:val="right"/>
              <w:rPr/>
            </w:pPr>
            <w:r>
              <w:rPr/>
              <w:t>387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5" w:type="dxa"/>
            <w:tcBorders/>
            <w:shd w:fill="FFFFFF" w:val="clear"/>
            <w:vAlign w:val="center"/>
          </w:tcPr>
          <w:p>
            <w:pPr>
              <w:pStyle w:val="TableContents"/>
              <w:bidi w:val="0"/>
              <w:spacing w:before="0" w:after="283"/>
              <w:jc w:val="left"/>
              <w:rPr/>
            </w:pPr>
            <w:r>
              <w:rPr/>
              <w:t> </w:t>
            </w:r>
          </w:p>
        </w:tc>
        <w:tc>
          <w:tcPr>
            <w:tcW w:w="1269" w:type="dxa"/>
            <w:tcBorders/>
            <w:shd w:fill="FFFFFF" w:val="clear"/>
            <w:vAlign w:val="center"/>
          </w:tcPr>
          <w:p>
            <w:pPr>
              <w:pStyle w:val="TableContents"/>
              <w:bidi w:val="0"/>
              <w:spacing w:before="0" w:after="283"/>
              <w:jc w:val="right"/>
              <w:rPr/>
            </w:pPr>
            <w:r>
              <w:rPr/>
              <w:t>2,652</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20" w:type="dxa"/>
            <w:tcBorders/>
            <w:shd w:fill="FFFFFF" w:val="clear"/>
            <w:vAlign w:val="center"/>
          </w:tcPr>
          <w:p>
            <w:pPr>
              <w:pStyle w:val="TableContents"/>
              <w:bidi w:val="0"/>
              <w:spacing w:before="0" w:after="283"/>
              <w:jc w:val="left"/>
              <w:rPr/>
            </w:pPr>
            <w:r>
              <w:rPr/>
              <w:t> </w:t>
            </w:r>
          </w:p>
        </w:tc>
        <w:tc>
          <w:tcPr>
            <w:tcW w:w="1194" w:type="dxa"/>
            <w:tcBorders/>
            <w:shd w:fill="FFFFFF" w:val="clear"/>
            <w:vAlign w:val="center"/>
          </w:tcPr>
          <w:p>
            <w:pPr>
              <w:pStyle w:val="TableContents"/>
              <w:bidi w:val="0"/>
              <w:spacing w:before="0" w:after="283"/>
              <w:jc w:val="right"/>
              <w:rPr/>
            </w:pPr>
            <w:r>
              <w:rPr/>
              <w:t>3,039</w:t>
            </w:r>
          </w:p>
        </w:tc>
        <w:tc>
          <w:tcPr>
            <w:tcW w:w="110" w:type="dxa"/>
            <w:tcBorders/>
            <w:shd w:fill="FFFFFF" w:val="clear"/>
            <w:vAlign w:val="center"/>
          </w:tcPr>
          <w:p>
            <w:pPr>
              <w:pStyle w:val="TableContents"/>
              <w:bidi w:val="0"/>
              <w:spacing w:before="0" w:after="283"/>
              <w:jc w:val="left"/>
              <w:rPr/>
            </w:pPr>
            <w:r>
              <w:rPr/>
              <w:t> </w:t>
            </w:r>
          </w:p>
        </w:tc>
      </w:tr>
      <w:tr>
        <w:trPr/>
        <w:tc>
          <w:tcPr>
            <w:tcW w:w="4325" w:type="dxa"/>
            <w:tcBorders/>
            <w:shd w:fill="CCEEFF" w:val="clear"/>
            <w:vAlign w:val="center"/>
          </w:tcPr>
          <w:p>
            <w:pPr>
              <w:pStyle w:val="TableContents"/>
              <w:bidi w:val="0"/>
              <w:spacing w:before="0" w:after="283"/>
              <w:jc w:val="both"/>
              <w:rPr/>
            </w:pPr>
            <w:r>
              <w:rPr/>
              <w:t>Property and equipment</w:t>
            </w:r>
          </w:p>
        </w:tc>
        <w:tc>
          <w:tcPr>
            <w:tcW w:w="60" w:type="dxa"/>
            <w:tcBorders/>
            <w:shd w:fill="CCEEFF" w:val="clear"/>
            <w:vAlign w:val="center"/>
          </w:tcPr>
          <w:p>
            <w:pPr>
              <w:pStyle w:val="TableContents"/>
              <w:bidi w:val="0"/>
              <w:spacing w:before="0" w:after="283"/>
              <w:jc w:val="left"/>
              <w:rPr/>
            </w:pPr>
            <w:r>
              <w:rPr/>
              <w:t> </w:t>
            </w:r>
          </w:p>
        </w:tc>
        <w:tc>
          <w:tcPr>
            <w:tcW w:w="230" w:type="dxa"/>
            <w:tcBorders/>
            <w:shd w:fill="CCEEFF" w:val="clear"/>
            <w:vAlign w:val="center"/>
          </w:tcPr>
          <w:p>
            <w:pPr>
              <w:pStyle w:val="TableContents"/>
              <w:bidi w:val="0"/>
              <w:spacing w:before="0" w:after="283"/>
              <w:jc w:val="left"/>
              <w:rPr/>
            </w:pPr>
            <w:r>
              <w:rPr/>
              <w:t> </w:t>
            </w:r>
          </w:p>
        </w:tc>
        <w:tc>
          <w:tcPr>
            <w:tcW w:w="1244" w:type="dxa"/>
            <w:tcBorders/>
            <w:shd w:fill="CCEEFF" w:val="clear"/>
            <w:vAlign w:val="center"/>
          </w:tcPr>
          <w:p>
            <w:pPr>
              <w:pStyle w:val="TableContents"/>
              <w:bidi w:val="0"/>
              <w:spacing w:before="0" w:after="283"/>
              <w:jc w:val="right"/>
              <w:rPr/>
            </w:pPr>
            <w:r>
              <w:rPr/>
              <w:t>241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5" w:type="dxa"/>
            <w:tcBorders/>
            <w:shd w:fill="CCEEFF" w:val="clear"/>
            <w:vAlign w:val="center"/>
          </w:tcPr>
          <w:p>
            <w:pPr>
              <w:pStyle w:val="TableContents"/>
              <w:bidi w:val="0"/>
              <w:spacing w:before="0" w:after="283"/>
              <w:jc w:val="left"/>
              <w:rPr/>
            </w:pPr>
            <w:r>
              <w:rPr/>
              <w:t> </w:t>
            </w:r>
          </w:p>
        </w:tc>
        <w:tc>
          <w:tcPr>
            <w:tcW w:w="1269"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0" w:type="dxa"/>
            <w:tcBorders/>
            <w:shd w:fill="CCEEFF" w:val="clear"/>
            <w:vAlign w:val="center"/>
          </w:tcPr>
          <w:p>
            <w:pPr>
              <w:pStyle w:val="TableContents"/>
              <w:bidi w:val="0"/>
              <w:spacing w:before="0" w:after="283"/>
              <w:jc w:val="left"/>
              <w:rPr/>
            </w:pPr>
            <w:r>
              <w:rPr/>
              <w:t> </w:t>
            </w:r>
          </w:p>
        </w:tc>
        <w:tc>
          <w:tcPr>
            <w:tcW w:w="1194" w:type="dxa"/>
            <w:tcBorders/>
            <w:shd w:fill="CCEEFF" w:val="clear"/>
            <w:vAlign w:val="center"/>
          </w:tcPr>
          <w:p>
            <w:pPr>
              <w:pStyle w:val="TableContents"/>
              <w:bidi w:val="0"/>
              <w:spacing w:before="0" w:after="283"/>
              <w:jc w:val="right"/>
              <w:rPr/>
            </w:pPr>
            <w:r>
              <w:rPr/>
              <w:t>241</w:t>
            </w:r>
          </w:p>
        </w:tc>
        <w:tc>
          <w:tcPr>
            <w:tcW w:w="110" w:type="dxa"/>
            <w:tcBorders/>
            <w:shd w:fill="CCEEFF" w:val="clear"/>
            <w:vAlign w:val="center"/>
          </w:tcPr>
          <w:p>
            <w:pPr>
              <w:pStyle w:val="TableContents"/>
              <w:bidi w:val="0"/>
              <w:spacing w:before="0" w:after="283"/>
              <w:jc w:val="left"/>
              <w:rPr/>
            </w:pPr>
            <w:r>
              <w:rPr/>
              <w:t> </w:t>
            </w:r>
          </w:p>
        </w:tc>
      </w:tr>
      <w:tr>
        <w:trPr/>
        <w:tc>
          <w:tcPr>
            <w:tcW w:w="4325" w:type="dxa"/>
            <w:tcBorders/>
            <w:shd w:fill="FFFFFF" w:val="clear"/>
            <w:vAlign w:val="center"/>
          </w:tcPr>
          <w:p>
            <w:pPr>
              <w:pStyle w:val="TableContents"/>
              <w:bidi w:val="0"/>
              <w:spacing w:before="0" w:after="283"/>
              <w:jc w:val="both"/>
              <w:rPr/>
            </w:pPr>
            <w:r>
              <w:rPr/>
              <w:t>Operating lease right-of-use assets</w:t>
            </w:r>
          </w:p>
        </w:tc>
        <w:tc>
          <w:tcPr>
            <w:tcW w:w="60" w:type="dxa"/>
            <w:tcBorders/>
            <w:shd w:fill="FFFFFF" w:val="clear"/>
            <w:vAlign w:val="center"/>
          </w:tcPr>
          <w:p>
            <w:pPr>
              <w:pStyle w:val="TableContents"/>
              <w:bidi w:val="0"/>
              <w:spacing w:before="0" w:after="283"/>
              <w:jc w:val="left"/>
              <w:rPr/>
            </w:pPr>
            <w:r>
              <w:rPr/>
              <w:t> </w:t>
            </w:r>
          </w:p>
        </w:tc>
        <w:tc>
          <w:tcPr>
            <w:tcW w:w="230" w:type="dxa"/>
            <w:tcBorders/>
            <w:shd w:fill="FFFFFF" w:val="clear"/>
            <w:vAlign w:val="center"/>
          </w:tcPr>
          <w:p>
            <w:pPr>
              <w:pStyle w:val="TableContents"/>
              <w:bidi w:val="0"/>
              <w:spacing w:before="0" w:after="283"/>
              <w:jc w:val="left"/>
              <w:rPr/>
            </w:pPr>
            <w:r>
              <w:rPr/>
              <w:t> </w:t>
            </w:r>
          </w:p>
        </w:tc>
        <w:tc>
          <w:tcPr>
            <w:tcW w:w="1244" w:type="dxa"/>
            <w:tcBorders/>
            <w:shd w:fill="FFFFFF" w:val="clear"/>
            <w:vAlign w:val="center"/>
          </w:tcPr>
          <w:p>
            <w:pPr>
              <w:pStyle w:val="TableContents"/>
              <w:bidi w:val="0"/>
              <w:spacing w:before="0" w:after="283"/>
              <w:jc w:val="right"/>
              <w:rPr/>
            </w:pPr>
            <w:r>
              <w:rPr/>
              <w:t>313</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5" w:type="dxa"/>
            <w:tcBorders/>
            <w:shd w:fill="FFFFFF" w:val="clear"/>
            <w:vAlign w:val="center"/>
          </w:tcPr>
          <w:p>
            <w:pPr>
              <w:pStyle w:val="TableContents"/>
              <w:bidi w:val="0"/>
              <w:spacing w:before="0" w:after="283"/>
              <w:jc w:val="left"/>
              <w:rPr/>
            </w:pPr>
            <w:r>
              <w:rPr/>
              <w:t> </w:t>
            </w:r>
          </w:p>
        </w:tc>
        <w:tc>
          <w:tcPr>
            <w:tcW w:w="1269"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20" w:type="dxa"/>
            <w:tcBorders/>
            <w:shd w:fill="FFFFFF" w:val="clear"/>
            <w:vAlign w:val="center"/>
          </w:tcPr>
          <w:p>
            <w:pPr>
              <w:pStyle w:val="TableContents"/>
              <w:bidi w:val="0"/>
              <w:spacing w:before="0" w:after="283"/>
              <w:jc w:val="left"/>
              <w:rPr/>
            </w:pPr>
            <w:r>
              <w:rPr/>
              <w:t> </w:t>
            </w:r>
          </w:p>
        </w:tc>
        <w:tc>
          <w:tcPr>
            <w:tcW w:w="1194" w:type="dxa"/>
            <w:tcBorders/>
            <w:shd w:fill="FFFFFF" w:val="clear"/>
            <w:vAlign w:val="center"/>
          </w:tcPr>
          <w:p>
            <w:pPr>
              <w:pStyle w:val="TableContents"/>
              <w:bidi w:val="0"/>
              <w:spacing w:before="0" w:after="283"/>
              <w:jc w:val="right"/>
              <w:rPr/>
            </w:pPr>
            <w:r>
              <w:rPr/>
              <w:t>313</w:t>
            </w:r>
          </w:p>
        </w:tc>
        <w:tc>
          <w:tcPr>
            <w:tcW w:w="110" w:type="dxa"/>
            <w:tcBorders/>
            <w:shd w:fill="FFFFFF" w:val="clear"/>
            <w:vAlign w:val="center"/>
          </w:tcPr>
          <w:p>
            <w:pPr>
              <w:pStyle w:val="TableContents"/>
              <w:bidi w:val="0"/>
              <w:spacing w:before="0" w:after="283"/>
              <w:jc w:val="left"/>
              <w:rPr/>
            </w:pPr>
            <w:r>
              <w:rPr/>
              <w:t> </w:t>
            </w:r>
          </w:p>
        </w:tc>
      </w:tr>
      <w:tr>
        <w:trPr/>
        <w:tc>
          <w:tcPr>
            <w:tcW w:w="4325" w:type="dxa"/>
            <w:tcBorders/>
            <w:shd w:fill="CCEEFF" w:val="clear"/>
            <w:vAlign w:val="center"/>
          </w:tcPr>
          <w:p>
            <w:pPr>
              <w:pStyle w:val="TableContents"/>
              <w:bidi w:val="0"/>
              <w:spacing w:before="0" w:after="283"/>
              <w:jc w:val="both"/>
              <w:rPr/>
            </w:pPr>
            <w:r>
              <w:rPr/>
              <w:t>Other noncurrent assets</w:t>
            </w:r>
          </w:p>
        </w:tc>
        <w:tc>
          <w:tcPr>
            <w:tcW w:w="60" w:type="dxa"/>
            <w:tcBorders/>
            <w:shd w:fill="CCEEFF" w:val="clear"/>
            <w:vAlign w:val="center"/>
          </w:tcPr>
          <w:p>
            <w:pPr>
              <w:pStyle w:val="TableContents"/>
              <w:bidi w:val="0"/>
              <w:spacing w:before="0" w:after="283"/>
              <w:jc w:val="left"/>
              <w:rPr/>
            </w:pPr>
            <w:r>
              <w:rPr/>
              <w:t> </w:t>
            </w:r>
          </w:p>
        </w:tc>
        <w:tc>
          <w:tcPr>
            <w:tcW w:w="230" w:type="dxa"/>
            <w:tcBorders/>
            <w:shd w:fill="CCEEFF" w:val="clear"/>
            <w:vAlign w:val="center"/>
          </w:tcPr>
          <w:p>
            <w:pPr>
              <w:pStyle w:val="TableContents"/>
              <w:bidi w:val="0"/>
              <w:spacing w:before="0" w:after="283"/>
              <w:jc w:val="left"/>
              <w:rPr/>
            </w:pPr>
            <w:r>
              <w:rPr/>
              <w:t> </w:t>
            </w:r>
          </w:p>
        </w:tc>
        <w:tc>
          <w:tcPr>
            <w:tcW w:w="1244" w:type="dxa"/>
            <w:tcBorders/>
            <w:shd w:fill="CCEEFF" w:val="clear"/>
            <w:vAlign w:val="center"/>
          </w:tcPr>
          <w:p>
            <w:pPr>
              <w:pStyle w:val="TableContents"/>
              <w:bidi w:val="0"/>
              <w:spacing w:before="0" w:after="283"/>
              <w:jc w:val="right"/>
              <w:rPr/>
            </w:pPr>
            <w:r>
              <w:rPr/>
              <w:t>552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5" w:type="dxa"/>
            <w:tcBorders/>
            <w:shd w:fill="CCEEFF" w:val="clear"/>
            <w:vAlign w:val="center"/>
          </w:tcPr>
          <w:p>
            <w:pPr>
              <w:pStyle w:val="TableContents"/>
              <w:bidi w:val="0"/>
              <w:spacing w:before="0" w:after="283"/>
              <w:jc w:val="left"/>
              <w:rPr/>
            </w:pPr>
            <w:r>
              <w:rPr/>
              <w:t> </w:t>
            </w:r>
          </w:p>
        </w:tc>
        <w:tc>
          <w:tcPr>
            <w:tcW w:w="1269" w:type="dxa"/>
            <w:tcBorders/>
            <w:shd w:fill="CCEEFF" w:val="clear"/>
            <w:vAlign w:val="center"/>
          </w:tcPr>
          <w:p>
            <w:pPr>
              <w:pStyle w:val="TableContents"/>
              <w:bidi w:val="0"/>
              <w:spacing w:before="0" w:after="283"/>
              <w:jc w:val="right"/>
              <w:rPr/>
            </w:pPr>
            <w:r>
              <w:rPr/>
              <w:t>(417</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220" w:type="dxa"/>
            <w:tcBorders/>
            <w:shd w:fill="CCEEFF" w:val="clear"/>
            <w:vAlign w:val="center"/>
          </w:tcPr>
          <w:p>
            <w:pPr>
              <w:pStyle w:val="TableContents"/>
              <w:bidi w:val="0"/>
              <w:spacing w:before="0" w:after="283"/>
              <w:jc w:val="left"/>
              <w:rPr/>
            </w:pPr>
            <w:r>
              <w:rPr/>
              <w:t> </w:t>
            </w:r>
          </w:p>
        </w:tc>
        <w:tc>
          <w:tcPr>
            <w:tcW w:w="1194" w:type="dxa"/>
            <w:tcBorders/>
            <w:shd w:fill="CCEEFF" w:val="clear"/>
            <w:vAlign w:val="center"/>
          </w:tcPr>
          <w:p>
            <w:pPr>
              <w:pStyle w:val="TableContents"/>
              <w:bidi w:val="0"/>
              <w:spacing w:before="0" w:after="283"/>
              <w:jc w:val="right"/>
              <w:rPr/>
            </w:pPr>
            <w:r>
              <w:rPr/>
              <w:t>135</w:t>
            </w:r>
          </w:p>
        </w:tc>
        <w:tc>
          <w:tcPr>
            <w:tcW w:w="110" w:type="dxa"/>
            <w:tcBorders/>
            <w:shd w:fill="CCEEFF" w:val="clear"/>
            <w:vAlign w:val="center"/>
          </w:tcPr>
          <w:p>
            <w:pPr>
              <w:pStyle w:val="TableContents"/>
              <w:bidi w:val="0"/>
              <w:spacing w:before="0" w:after="283"/>
              <w:jc w:val="left"/>
              <w:rPr/>
            </w:pPr>
            <w:r>
              <w:rPr/>
              <w:t> </w:t>
            </w:r>
          </w:p>
        </w:tc>
      </w:tr>
      <w:tr>
        <w:trPr/>
        <w:tc>
          <w:tcPr>
            <w:tcW w:w="4325" w:type="dxa"/>
            <w:tcBorders/>
            <w:shd w:fill="FFFFFF" w:val="clear"/>
            <w:vAlign w:val="center"/>
          </w:tcPr>
          <w:p>
            <w:pPr>
              <w:pStyle w:val="TableContents"/>
              <w:bidi w:val="0"/>
              <w:spacing w:before="0" w:after="283"/>
              <w:jc w:val="both"/>
              <w:rPr/>
            </w:pPr>
            <w:r>
              <w:rPr/>
              <w:t>Intangibles</w:t>
            </w:r>
          </w:p>
        </w:tc>
        <w:tc>
          <w:tcPr>
            <w:tcW w:w="60" w:type="dxa"/>
            <w:tcBorders/>
            <w:shd w:fill="FFFFFF" w:val="clear"/>
            <w:vAlign w:val="center"/>
          </w:tcPr>
          <w:p>
            <w:pPr>
              <w:pStyle w:val="TableContents"/>
              <w:bidi w:val="0"/>
              <w:spacing w:before="0" w:after="283"/>
              <w:jc w:val="left"/>
              <w:rPr/>
            </w:pPr>
            <w:r>
              <w:rPr/>
              <w:t> </w:t>
            </w:r>
          </w:p>
        </w:tc>
        <w:tc>
          <w:tcPr>
            <w:tcW w:w="230" w:type="dxa"/>
            <w:tcBorders/>
            <w:shd w:fill="FFFFFF" w:val="clear"/>
            <w:vAlign w:val="center"/>
          </w:tcPr>
          <w:p>
            <w:pPr>
              <w:pStyle w:val="TableContents"/>
              <w:bidi w:val="0"/>
              <w:spacing w:before="0" w:after="283"/>
              <w:jc w:val="left"/>
              <w:rPr/>
            </w:pPr>
            <w:r>
              <w:rPr/>
              <w:t> </w:t>
            </w:r>
          </w:p>
        </w:tc>
        <w:tc>
          <w:tcPr>
            <w:tcW w:w="1244" w:type="dxa"/>
            <w:tcBorders/>
            <w:shd w:fill="FFFFFF" w:val="clear"/>
            <w:vAlign w:val="center"/>
          </w:tcPr>
          <w:p>
            <w:pPr>
              <w:pStyle w:val="TableContents"/>
              <w:bidi w:val="0"/>
              <w:spacing w:before="0" w:after="283"/>
              <w:jc w:val="right"/>
              <w:rPr/>
            </w:pPr>
            <w:r>
              <w:rPr/>
              <w:t>25,922</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5" w:type="dxa"/>
            <w:tcBorders/>
            <w:shd w:fill="FFFFFF" w:val="clear"/>
            <w:vAlign w:val="center"/>
          </w:tcPr>
          <w:p>
            <w:pPr>
              <w:pStyle w:val="TableContents"/>
              <w:bidi w:val="0"/>
              <w:spacing w:before="0" w:after="283"/>
              <w:jc w:val="left"/>
              <w:rPr/>
            </w:pPr>
            <w:r>
              <w:rPr/>
              <w:t> </w:t>
            </w:r>
          </w:p>
        </w:tc>
        <w:tc>
          <w:tcPr>
            <w:tcW w:w="1269" w:type="dxa"/>
            <w:tcBorders/>
            <w:shd w:fill="FFFFFF" w:val="clear"/>
            <w:vAlign w:val="center"/>
          </w:tcPr>
          <w:p>
            <w:pPr>
              <w:pStyle w:val="TableContents"/>
              <w:bidi w:val="0"/>
              <w:spacing w:before="0" w:after="283"/>
              <w:jc w:val="right"/>
              <w:rPr/>
            </w:pPr>
            <w:r>
              <w:rPr/>
              <w:t>11,578</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20" w:type="dxa"/>
            <w:tcBorders/>
            <w:shd w:fill="FFFFFF" w:val="clear"/>
            <w:vAlign w:val="center"/>
          </w:tcPr>
          <w:p>
            <w:pPr>
              <w:pStyle w:val="TableContents"/>
              <w:bidi w:val="0"/>
              <w:spacing w:before="0" w:after="283"/>
              <w:jc w:val="left"/>
              <w:rPr/>
            </w:pPr>
            <w:r>
              <w:rPr/>
              <w:t> </w:t>
            </w:r>
          </w:p>
        </w:tc>
        <w:tc>
          <w:tcPr>
            <w:tcW w:w="1194" w:type="dxa"/>
            <w:tcBorders/>
            <w:shd w:fill="FFFFFF" w:val="clear"/>
            <w:vAlign w:val="center"/>
          </w:tcPr>
          <w:p>
            <w:pPr>
              <w:pStyle w:val="TableContents"/>
              <w:bidi w:val="0"/>
              <w:spacing w:before="0" w:after="283"/>
              <w:jc w:val="right"/>
              <w:rPr/>
            </w:pPr>
            <w:r>
              <w:rPr/>
              <w:t>37,500</w:t>
            </w:r>
          </w:p>
        </w:tc>
        <w:tc>
          <w:tcPr>
            <w:tcW w:w="110" w:type="dxa"/>
            <w:tcBorders/>
            <w:shd w:fill="FFFFFF" w:val="clear"/>
            <w:vAlign w:val="center"/>
          </w:tcPr>
          <w:p>
            <w:pPr>
              <w:pStyle w:val="TableContents"/>
              <w:bidi w:val="0"/>
              <w:spacing w:before="0" w:after="283"/>
              <w:jc w:val="left"/>
              <w:rPr/>
            </w:pPr>
            <w:r>
              <w:rPr/>
              <w:t> </w:t>
            </w:r>
          </w:p>
        </w:tc>
      </w:tr>
      <w:tr>
        <w:trPr/>
        <w:tc>
          <w:tcPr>
            <w:tcW w:w="4325" w:type="dxa"/>
            <w:tcBorders/>
            <w:shd w:fill="CCEEFF" w:val="clear"/>
            <w:vAlign w:val="center"/>
          </w:tcPr>
          <w:p>
            <w:pPr>
              <w:pStyle w:val="TableContents"/>
              <w:bidi w:val="0"/>
              <w:spacing w:before="0" w:after="283"/>
              <w:jc w:val="both"/>
              <w:rPr/>
            </w:pPr>
            <w:r>
              <w:rPr/>
              <w:t>Contract liabilities</w:t>
            </w:r>
          </w:p>
        </w:tc>
        <w:tc>
          <w:tcPr>
            <w:tcW w:w="60" w:type="dxa"/>
            <w:tcBorders/>
            <w:shd w:fill="CCEEFF" w:val="clear"/>
            <w:vAlign w:val="center"/>
          </w:tcPr>
          <w:p>
            <w:pPr>
              <w:pStyle w:val="TableContents"/>
              <w:bidi w:val="0"/>
              <w:spacing w:before="0" w:after="283"/>
              <w:jc w:val="left"/>
              <w:rPr/>
            </w:pPr>
            <w:r>
              <w:rPr/>
              <w:t> </w:t>
            </w:r>
          </w:p>
        </w:tc>
        <w:tc>
          <w:tcPr>
            <w:tcW w:w="230" w:type="dxa"/>
            <w:tcBorders/>
            <w:shd w:fill="CCEEFF" w:val="clear"/>
            <w:vAlign w:val="center"/>
          </w:tcPr>
          <w:p>
            <w:pPr>
              <w:pStyle w:val="TableContents"/>
              <w:bidi w:val="0"/>
              <w:spacing w:before="0" w:after="283"/>
              <w:jc w:val="left"/>
              <w:rPr/>
            </w:pPr>
            <w:r>
              <w:rPr/>
              <w:t> </w:t>
            </w:r>
          </w:p>
        </w:tc>
        <w:tc>
          <w:tcPr>
            <w:tcW w:w="1244" w:type="dxa"/>
            <w:tcBorders/>
            <w:shd w:fill="CCEEFF" w:val="clear"/>
            <w:vAlign w:val="center"/>
          </w:tcPr>
          <w:p>
            <w:pPr>
              <w:pStyle w:val="TableContents"/>
              <w:bidi w:val="0"/>
              <w:spacing w:before="0" w:after="283"/>
              <w:jc w:val="right"/>
              <w:rPr/>
            </w:pPr>
            <w:r>
              <w:rPr/>
              <w:t>(11,073</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235" w:type="dxa"/>
            <w:tcBorders/>
            <w:shd w:fill="CCEEFF" w:val="clear"/>
            <w:vAlign w:val="center"/>
          </w:tcPr>
          <w:p>
            <w:pPr>
              <w:pStyle w:val="TableContents"/>
              <w:bidi w:val="0"/>
              <w:spacing w:before="0" w:after="283"/>
              <w:jc w:val="left"/>
              <w:rPr/>
            </w:pPr>
            <w:r>
              <w:rPr/>
              <w:t> </w:t>
            </w:r>
          </w:p>
        </w:tc>
        <w:tc>
          <w:tcPr>
            <w:tcW w:w="1269" w:type="dxa"/>
            <w:tcBorders/>
            <w:shd w:fill="CCEEFF" w:val="clear"/>
            <w:vAlign w:val="center"/>
          </w:tcPr>
          <w:p>
            <w:pPr>
              <w:pStyle w:val="TableContents"/>
              <w:bidi w:val="0"/>
              <w:spacing w:before="0" w:after="283"/>
              <w:jc w:val="right"/>
              <w:rPr/>
            </w:pPr>
            <w:r>
              <w:rPr/>
              <w:t>(600</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220" w:type="dxa"/>
            <w:tcBorders/>
            <w:shd w:fill="CCEEFF" w:val="clear"/>
            <w:vAlign w:val="center"/>
          </w:tcPr>
          <w:p>
            <w:pPr>
              <w:pStyle w:val="TableContents"/>
              <w:bidi w:val="0"/>
              <w:spacing w:before="0" w:after="283"/>
              <w:jc w:val="left"/>
              <w:rPr/>
            </w:pPr>
            <w:r>
              <w:rPr/>
              <w:t> </w:t>
            </w:r>
          </w:p>
        </w:tc>
        <w:tc>
          <w:tcPr>
            <w:tcW w:w="1194" w:type="dxa"/>
            <w:tcBorders/>
            <w:shd w:fill="CCEEFF" w:val="clear"/>
            <w:vAlign w:val="center"/>
          </w:tcPr>
          <w:p>
            <w:pPr>
              <w:pStyle w:val="TableContents"/>
              <w:bidi w:val="0"/>
              <w:spacing w:before="0" w:after="283"/>
              <w:jc w:val="right"/>
              <w:rPr/>
            </w:pPr>
            <w:r>
              <w:rPr/>
              <w:t>(11,673</w:t>
            </w:r>
          </w:p>
        </w:tc>
        <w:tc>
          <w:tcPr>
            <w:tcW w:w="110" w:type="dxa"/>
            <w:tcBorders/>
            <w:shd w:fill="CCEEFF" w:val="clear"/>
            <w:vAlign w:val="center"/>
          </w:tcPr>
          <w:p>
            <w:pPr>
              <w:pStyle w:val="TableContents"/>
              <w:bidi w:val="0"/>
              <w:spacing w:before="0" w:after="283"/>
              <w:jc w:val="left"/>
              <w:rPr/>
            </w:pPr>
            <w:r>
              <w:rPr/>
              <w:t>)</w:t>
            </w:r>
          </w:p>
        </w:tc>
      </w:tr>
      <w:tr>
        <w:trPr/>
        <w:tc>
          <w:tcPr>
            <w:tcW w:w="4325" w:type="dxa"/>
            <w:tcBorders/>
            <w:shd w:fill="FFFFFF" w:val="clear"/>
            <w:vAlign w:val="center"/>
          </w:tcPr>
          <w:p>
            <w:pPr>
              <w:pStyle w:val="TableContents"/>
              <w:bidi w:val="0"/>
              <w:spacing w:before="0" w:after="283"/>
              <w:jc w:val="both"/>
              <w:rPr/>
            </w:pPr>
            <w:r>
              <w:rPr/>
              <w:t>Accounts payable</w:t>
            </w:r>
          </w:p>
        </w:tc>
        <w:tc>
          <w:tcPr>
            <w:tcW w:w="60" w:type="dxa"/>
            <w:tcBorders/>
            <w:shd w:fill="FFFFFF" w:val="clear"/>
            <w:vAlign w:val="center"/>
          </w:tcPr>
          <w:p>
            <w:pPr>
              <w:pStyle w:val="TableContents"/>
              <w:bidi w:val="0"/>
              <w:spacing w:before="0" w:after="283"/>
              <w:jc w:val="left"/>
              <w:rPr/>
            </w:pPr>
            <w:r>
              <w:rPr/>
              <w:t> </w:t>
            </w:r>
          </w:p>
        </w:tc>
        <w:tc>
          <w:tcPr>
            <w:tcW w:w="230" w:type="dxa"/>
            <w:tcBorders/>
            <w:shd w:fill="FFFFFF" w:val="clear"/>
            <w:vAlign w:val="center"/>
          </w:tcPr>
          <w:p>
            <w:pPr>
              <w:pStyle w:val="TableContents"/>
              <w:bidi w:val="0"/>
              <w:spacing w:before="0" w:after="283"/>
              <w:jc w:val="left"/>
              <w:rPr/>
            </w:pPr>
            <w:r>
              <w:rPr/>
              <w:t> </w:t>
            </w:r>
          </w:p>
        </w:tc>
        <w:tc>
          <w:tcPr>
            <w:tcW w:w="1244" w:type="dxa"/>
            <w:tcBorders/>
            <w:shd w:fill="FFFFFF" w:val="clear"/>
            <w:vAlign w:val="center"/>
          </w:tcPr>
          <w:p>
            <w:pPr>
              <w:pStyle w:val="TableContents"/>
              <w:bidi w:val="0"/>
              <w:spacing w:before="0" w:after="283"/>
              <w:jc w:val="right"/>
              <w:rPr/>
            </w:pPr>
            <w:r>
              <w:rPr/>
              <w:t>(184</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235" w:type="dxa"/>
            <w:tcBorders/>
            <w:shd w:fill="FFFFFF" w:val="clear"/>
            <w:vAlign w:val="center"/>
          </w:tcPr>
          <w:p>
            <w:pPr>
              <w:pStyle w:val="TableContents"/>
              <w:bidi w:val="0"/>
              <w:spacing w:before="0" w:after="283"/>
              <w:jc w:val="left"/>
              <w:rPr/>
            </w:pPr>
            <w:r>
              <w:rPr/>
              <w:t> </w:t>
            </w:r>
          </w:p>
        </w:tc>
        <w:tc>
          <w:tcPr>
            <w:tcW w:w="1269" w:type="dxa"/>
            <w:tcBorders/>
            <w:shd w:fill="FFFFFF" w:val="clear"/>
            <w:vAlign w:val="center"/>
          </w:tcPr>
          <w:p>
            <w:pPr>
              <w:pStyle w:val="TableContents"/>
              <w:bidi w:val="0"/>
              <w:spacing w:before="0" w:after="283"/>
              <w:jc w:val="right"/>
              <w:rPr/>
            </w:pPr>
            <w:r>
              <w:rPr/>
              <w:t>(19</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220" w:type="dxa"/>
            <w:tcBorders/>
            <w:shd w:fill="FFFFFF" w:val="clear"/>
            <w:vAlign w:val="center"/>
          </w:tcPr>
          <w:p>
            <w:pPr>
              <w:pStyle w:val="TableContents"/>
              <w:bidi w:val="0"/>
              <w:spacing w:before="0" w:after="283"/>
              <w:jc w:val="left"/>
              <w:rPr/>
            </w:pPr>
            <w:r>
              <w:rPr/>
              <w:t> </w:t>
            </w:r>
          </w:p>
        </w:tc>
        <w:tc>
          <w:tcPr>
            <w:tcW w:w="1194" w:type="dxa"/>
            <w:tcBorders/>
            <w:shd w:fill="FFFFFF" w:val="clear"/>
            <w:vAlign w:val="center"/>
          </w:tcPr>
          <w:p>
            <w:pPr>
              <w:pStyle w:val="TableContents"/>
              <w:bidi w:val="0"/>
              <w:spacing w:before="0" w:after="283"/>
              <w:jc w:val="right"/>
              <w:rPr/>
            </w:pPr>
            <w:r>
              <w:rPr/>
              <w:t>(203</w:t>
            </w:r>
          </w:p>
        </w:tc>
        <w:tc>
          <w:tcPr>
            <w:tcW w:w="110" w:type="dxa"/>
            <w:tcBorders/>
            <w:shd w:fill="FFFFFF" w:val="clear"/>
            <w:vAlign w:val="center"/>
          </w:tcPr>
          <w:p>
            <w:pPr>
              <w:pStyle w:val="TableContents"/>
              <w:bidi w:val="0"/>
              <w:spacing w:before="0" w:after="283"/>
              <w:jc w:val="left"/>
              <w:rPr/>
            </w:pPr>
            <w:r>
              <w:rPr/>
              <w:t>)</w:t>
            </w:r>
          </w:p>
        </w:tc>
      </w:tr>
      <w:tr>
        <w:trPr/>
        <w:tc>
          <w:tcPr>
            <w:tcW w:w="4325" w:type="dxa"/>
            <w:tcBorders/>
            <w:shd w:fill="CCEEFF" w:val="clear"/>
            <w:vAlign w:val="center"/>
          </w:tcPr>
          <w:p>
            <w:pPr>
              <w:pStyle w:val="TableContents"/>
              <w:bidi w:val="0"/>
              <w:spacing w:before="0" w:after="283"/>
              <w:jc w:val="both"/>
              <w:rPr/>
            </w:pPr>
            <w:r>
              <w:rPr/>
              <w:t>Accrued expenses and other current liabilities</w:t>
            </w:r>
          </w:p>
        </w:tc>
        <w:tc>
          <w:tcPr>
            <w:tcW w:w="60" w:type="dxa"/>
            <w:tcBorders/>
            <w:shd w:fill="CCEEFF" w:val="clear"/>
            <w:vAlign w:val="center"/>
          </w:tcPr>
          <w:p>
            <w:pPr>
              <w:pStyle w:val="TableContents"/>
              <w:bidi w:val="0"/>
              <w:spacing w:before="0" w:after="283"/>
              <w:jc w:val="left"/>
              <w:rPr/>
            </w:pPr>
            <w:r>
              <w:rPr/>
              <w:t> </w:t>
            </w:r>
          </w:p>
        </w:tc>
        <w:tc>
          <w:tcPr>
            <w:tcW w:w="230" w:type="dxa"/>
            <w:tcBorders/>
            <w:shd w:fill="CCEEFF" w:val="clear"/>
            <w:vAlign w:val="center"/>
          </w:tcPr>
          <w:p>
            <w:pPr>
              <w:pStyle w:val="TableContents"/>
              <w:bidi w:val="0"/>
              <w:spacing w:before="0" w:after="283"/>
              <w:jc w:val="left"/>
              <w:rPr/>
            </w:pPr>
            <w:r>
              <w:rPr/>
              <w:t> </w:t>
            </w:r>
          </w:p>
        </w:tc>
        <w:tc>
          <w:tcPr>
            <w:tcW w:w="1244" w:type="dxa"/>
            <w:tcBorders/>
            <w:shd w:fill="CCEEFF" w:val="clear"/>
            <w:vAlign w:val="center"/>
          </w:tcPr>
          <w:p>
            <w:pPr>
              <w:pStyle w:val="TableContents"/>
              <w:bidi w:val="0"/>
              <w:spacing w:before="0" w:after="283"/>
              <w:jc w:val="right"/>
              <w:rPr/>
            </w:pPr>
            <w:r>
              <w:rPr/>
              <w:t>(1,322</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235" w:type="dxa"/>
            <w:tcBorders/>
            <w:shd w:fill="CCEEFF" w:val="clear"/>
            <w:vAlign w:val="center"/>
          </w:tcPr>
          <w:p>
            <w:pPr>
              <w:pStyle w:val="TableContents"/>
              <w:bidi w:val="0"/>
              <w:spacing w:before="0" w:after="283"/>
              <w:jc w:val="left"/>
              <w:rPr/>
            </w:pPr>
            <w:r>
              <w:rPr/>
              <w:t> </w:t>
            </w:r>
          </w:p>
        </w:tc>
        <w:tc>
          <w:tcPr>
            <w:tcW w:w="1269" w:type="dxa"/>
            <w:tcBorders/>
            <w:shd w:fill="CCEEFF" w:val="clear"/>
            <w:vAlign w:val="center"/>
          </w:tcPr>
          <w:p>
            <w:pPr>
              <w:pStyle w:val="TableContents"/>
              <w:bidi w:val="0"/>
              <w:spacing w:before="0" w:after="283"/>
              <w:jc w:val="right"/>
              <w:rPr/>
            </w:pPr>
            <w:r>
              <w:rPr/>
              <w:t>(2,528</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220" w:type="dxa"/>
            <w:tcBorders/>
            <w:shd w:fill="CCEEFF" w:val="clear"/>
            <w:vAlign w:val="center"/>
          </w:tcPr>
          <w:p>
            <w:pPr>
              <w:pStyle w:val="TableContents"/>
              <w:bidi w:val="0"/>
              <w:spacing w:before="0" w:after="283"/>
              <w:jc w:val="left"/>
              <w:rPr/>
            </w:pPr>
            <w:r>
              <w:rPr/>
              <w:t> </w:t>
            </w:r>
          </w:p>
        </w:tc>
        <w:tc>
          <w:tcPr>
            <w:tcW w:w="1194" w:type="dxa"/>
            <w:tcBorders/>
            <w:shd w:fill="CCEEFF" w:val="clear"/>
            <w:vAlign w:val="center"/>
          </w:tcPr>
          <w:p>
            <w:pPr>
              <w:pStyle w:val="TableContents"/>
              <w:bidi w:val="0"/>
              <w:spacing w:before="0" w:after="283"/>
              <w:jc w:val="right"/>
              <w:rPr/>
            </w:pPr>
            <w:r>
              <w:rPr/>
              <w:t>(3,850</w:t>
            </w:r>
          </w:p>
        </w:tc>
        <w:tc>
          <w:tcPr>
            <w:tcW w:w="110" w:type="dxa"/>
            <w:tcBorders/>
            <w:shd w:fill="CCEEFF" w:val="clear"/>
            <w:vAlign w:val="center"/>
          </w:tcPr>
          <w:p>
            <w:pPr>
              <w:pStyle w:val="TableContents"/>
              <w:bidi w:val="0"/>
              <w:spacing w:before="0" w:after="283"/>
              <w:jc w:val="left"/>
              <w:rPr/>
            </w:pPr>
            <w:r>
              <w:rPr/>
              <w:t>)</w:t>
            </w:r>
          </w:p>
        </w:tc>
      </w:tr>
      <w:tr>
        <w:trPr/>
        <w:tc>
          <w:tcPr>
            <w:tcW w:w="4325" w:type="dxa"/>
            <w:tcBorders/>
            <w:shd w:fill="FFFFFF" w:val="clear"/>
            <w:vAlign w:val="center"/>
          </w:tcPr>
          <w:p>
            <w:pPr>
              <w:pStyle w:val="TableContents"/>
              <w:bidi w:val="0"/>
              <w:spacing w:before="0" w:after="283"/>
              <w:jc w:val="both"/>
              <w:rPr/>
            </w:pPr>
            <w:r>
              <w:rPr/>
              <w:t>Operating lease liabilities</w:t>
            </w:r>
          </w:p>
        </w:tc>
        <w:tc>
          <w:tcPr>
            <w:tcW w:w="60" w:type="dxa"/>
            <w:tcBorders/>
            <w:shd w:fill="FFFFFF" w:val="clear"/>
            <w:vAlign w:val="center"/>
          </w:tcPr>
          <w:p>
            <w:pPr>
              <w:pStyle w:val="TableContents"/>
              <w:bidi w:val="0"/>
              <w:spacing w:before="0" w:after="283"/>
              <w:jc w:val="left"/>
              <w:rPr/>
            </w:pPr>
            <w:r>
              <w:rPr/>
              <w:t> </w:t>
            </w:r>
          </w:p>
        </w:tc>
        <w:tc>
          <w:tcPr>
            <w:tcW w:w="23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44" w:type="dxa"/>
            <w:tcBorders>
              <w:bottom w:val="single" w:sz="12" w:space="0" w:color="000000"/>
            </w:tcBorders>
            <w:shd w:fill="FFFFFF" w:val="clear"/>
            <w:tcMar>
              <w:bottom w:w="28" w:type="dxa"/>
            </w:tcMar>
            <w:vAlign w:val="center"/>
          </w:tcPr>
          <w:p>
            <w:pPr>
              <w:pStyle w:val="TableContents"/>
              <w:bidi w:val="0"/>
              <w:spacing w:before="0" w:after="283"/>
              <w:jc w:val="right"/>
              <w:rPr/>
            </w:pPr>
            <w:r>
              <w:rPr/>
              <w:t>(215</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235"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69" w:type="dxa"/>
            <w:tcBorders>
              <w:bottom w:val="single" w:sz="12" w:space="0" w:color="000000"/>
            </w:tcBorders>
            <w:shd w:fill="FFFFFF" w:val="clear"/>
            <w:tcMar>
              <w:bottom w:w="28" w:type="dxa"/>
            </w:tcMar>
            <w:vAlign w:val="center"/>
          </w:tcPr>
          <w:p>
            <w:pPr>
              <w:pStyle w:val="TableContents"/>
              <w:bidi w:val="0"/>
              <w:spacing w:before="0" w:after="283"/>
              <w:jc w:val="right"/>
              <w:rPr/>
            </w:pPr>
            <w:r>
              <w:rPr/>
              <w:t>(117</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22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94" w:type="dxa"/>
            <w:tcBorders>
              <w:bottom w:val="single" w:sz="12" w:space="0" w:color="000000"/>
            </w:tcBorders>
            <w:shd w:fill="FFFFFF" w:val="clear"/>
            <w:tcMar>
              <w:bottom w:w="28" w:type="dxa"/>
            </w:tcMar>
            <w:vAlign w:val="center"/>
          </w:tcPr>
          <w:p>
            <w:pPr>
              <w:pStyle w:val="TableContents"/>
              <w:bidi w:val="0"/>
              <w:spacing w:before="0" w:after="283"/>
              <w:jc w:val="right"/>
              <w:rPr/>
            </w:pPr>
            <w:r>
              <w:rPr/>
              <w:t>(332</w:t>
            </w:r>
          </w:p>
        </w:tc>
        <w:tc>
          <w:tcPr>
            <w:tcW w:w="110" w:type="dxa"/>
            <w:tcBorders/>
            <w:shd w:fill="FFFFFF" w:val="clear"/>
            <w:vAlign w:val="center"/>
          </w:tcPr>
          <w:p>
            <w:pPr>
              <w:pStyle w:val="TableContents"/>
              <w:bidi w:val="0"/>
              <w:spacing w:before="0" w:after="283"/>
              <w:jc w:val="left"/>
              <w:rPr/>
            </w:pPr>
            <w:r>
              <w:rPr/>
              <w:t>)</w:t>
            </w:r>
          </w:p>
        </w:tc>
      </w:tr>
      <w:tr>
        <w:trPr/>
        <w:tc>
          <w:tcPr>
            <w:tcW w:w="4325" w:type="dxa"/>
            <w:tcBorders/>
            <w:shd w:fill="CCEEFF" w:val="clear"/>
            <w:vAlign w:val="center"/>
          </w:tcPr>
          <w:p>
            <w:pPr>
              <w:pStyle w:val="TableContents"/>
              <w:bidi w:val="0"/>
              <w:spacing w:before="0" w:after="283"/>
              <w:jc w:val="both"/>
              <w:rPr/>
            </w:pPr>
            <w:r>
              <w:rPr/>
              <w:t>Fair value of net assets acquired</w:t>
            </w:r>
          </w:p>
        </w:tc>
        <w:tc>
          <w:tcPr>
            <w:tcW w:w="60" w:type="dxa"/>
            <w:tcBorders/>
            <w:shd w:fill="CCEEFF" w:val="clear"/>
            <w:vAlign w:val="center"/>
          </w:tcPr>
          <w:p>
            <w:pPr>
              <w:pStyle w:val="TableContents"/>
              <w:bidi w:val="0"/>
              <w:spacing w:before="0" w:after="283"/>
              <w:jc w:val="left"/>
              <w:rPr/>
            </w:pPr>
            <w:r>
              <w:rPr/>
              <w:t> </w:t>
            </w:r>
          </w:p>
        </w:tc>
        <w:tc>
          <w:tcPr>
            <w:tcW w:w="23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44" w:type="dxa"/>
            <w:tcBorders>
              <w:bottom w:val="single" w:sz="12" w:space="0" w:color="000000"/>
            </w:tcBorders>
            <w:shd w:fill="CCEEFF" w:val="clear"/>
            <w:tcMar>
              <w:bottom w:w="28" w:type="dxa"/>
            </w:tcMar>
            <w:vAlign w:val="center"/>
          </w:tcPr>
          <w:p>
            <w:pPr>
              <w:pStyle w:val="TableContents"/>
              <w:bidi w:val="0"/>
              <w:spacing w:before="0" w:after="283"/>
              <w:jc w:val="right"/>
              <w:rPr/>
            </w:pPr>
            <w:r>
              <w:rPr/>
              <w:t>14,878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5"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69" w:type="dxa"/>
            <w:tcBorders>
              <w:bottom w:val="single" w:sz="12" w:space="0" w:color="000000"/>
            </w:tcBorders>
            <w:shd w:fill="CCEEFF" w:val="clear"/>
            <w:tcMar>
              <w:bottom w:w="28" w:type="dxa"/>
            </w:tcMar>
            <w:vAlign w:val="center"/>
          </w:tcPr>
          <w:p>
            <w:pPr>
              <w:pStyle w:val="TableContents"/>
              <w:bidi w:val="0"/>
              <w:spacing w:before="0" w:after="283"/>
              <w:jc w:val="right"/>
              <w:rPr/>
            </w:pPr>
            <w:r>
              <w:rPr/>
              <w:t>11,089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94" w:type="dxa"/>
            <w:tcBorders>
              <w:bottom w:val="single" w:sz="12" w:space="0" w:color="000000"/>
            </w:tcBorders>
            <w:shd w:fill="CCEEFF" w:val="clear"/>
            <w:tcMar>
              <w:bottom w:w="28" w:type="dxa"/>
            </w:tcMar>
            <w:vAlign w:val="center"/>
          </w:tcPr>
          <w:p>
            <w:pPr>
              <w:pStyle w:val="TableContents"/>
              <w:bidi w:val="0"/>
              <w:spacing w:before="0" w:after="283"/>
              <w:jc w:val="right"/>
              <w:rPr/>
            </w:pPr>
            <w:r>
              <w:rPr/>
              <w:t>25,967</w:t>
            </w:r>
          </w:p>
        </w:tc>
        <w:tc>
          <w:tcPr>
            <w:tcW w:w="110" w:type="dxa"/>
            <w:tcBorders/>
            <w:shd w:fill="CCEEFF" w:val="clear"/>
            <w:vAlign w:val="center"/>
          </w:tcPr>
          <w:p>
            <w:pPr>
              <w:pStyle w:val="TableContents"/>
              <w:bidi w:val="0"/>
              <w:spacing w:before="0" w:after="283"/>
              <w:jc w:val="left"/>
              <w:rPr/>
            </w:pPr>
            <w:r>
              <w:rPr/>
              <w:t> </w:t>
            </w:r>
          </w:p>
        </w:tc>
      </w:tr>
      <w:tr>
        <w:trPr/>
        <w:tc>
          <w:tcPr>
            <w:tcW w:w="4325" w:type="dxa"/>
            <w:tcBorders/>
            <w:shd w:fill="FFFFFF" w:val="clear"/>
            <w:vAlign w:val="center"/>
          </w:tcPr>
          <w:p>
            <w:pPr>
              <w:pStyle w:val="TableContents"/>
              <w:bidi w:val="0"/>
              <w:spacing w:before="0" w:after="283"/>
              <w:jc w:val="both"/>
              <w:rPr/>
            </w:pPr>
            <w:r>
              <w:rPr/>
              <w:t>Consideration transferred</w:t>
            </w:r>
          </w:p>
        </w:tc>
        <w:tc>
          <w:tcPr>
            <w:tcW w:w="60" w:type="dxa"/>
            <w:tcBorders/>
            <w:shd w:fill="FFFFFF" w:val="clear"/>
            <w:vAlign w:val="center"/>
          </w:tcPr>
          <w:p>
            <w:pPr>
              <w:pStyle w:val="TableContents"/>
              <w:bidi w:val="0"/>
              <w:spacing w:before="0" w:after="283"/>
              <w:jc w:val="left"/>
              <w:rPr/>
            </w:pPr>
            <w:r>
              <w:rPr/>
              <w:t> </w:t>
            </w:r>
          </w:p>
        </w:tc>
        <w:tc>
          <w:tcPr>
            <w:tcW w:w="23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44" w:type="dxa"/>
            <w:tcBorders>
              <w:bottom w:val="single" w:sz="12" w:space="0" w:color="000000"/>
            </w:tcBorders>
            <w:shd w:fill="FFFFFF" w:val="clear"/>
            <w:tcMar>
              <w:bottom w:w="28" w:type="dxa"/>
            </w:tcMar>
            <w:vAlign w:val="center"/>
          </w:tcPr>
          <w:p>
            <w:pPr>
              <w:pStyle w:val="TableContents"/>
              <w:bidi w:val="0"/>
              <w:spacing w:before="0" w:after="283"/>
              <w:jc w:val="right"/>
              <w:rPr/>
            </w:pPr>
            <w:r>
              <w:rPr/>
              <w:t>57,789</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5"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69"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2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94" w:type="dxa"/>
            <w:tcBorders>
              <w:bottom w:val="single" w:sz="12" w:space="0" w:color="000000"/>
            </w:tcBorders>
            <w:shd w:fill="FFFFFF" w:val="clear"/>
            <w:tcMar>
              <w:bottom w:w="28" w:type="dxa"/>
            </w:tcMar>
            <w:vAlign w:val="center"/>
          </w:tcPr>
          <w:p>
            <w:pPr>
              <w:pStyle w:val="TableContents"/>
              <w:bidi w:val="0"/>
              <w:spacing w:before="0" w:after="283"/>
              <w:jc w:val="right"/>
              <w:rPr/>
            </w:pPr>
            <w:r>
              <w:rPr/>
              <w:t>57,789</w:t>
            </w:r>
          </w:p>
        </w:tc>
        <w:tc>
          <w:tcPr>
            <w:tcW w:w="110" w:type="dxa"/>
            <w:tcBorders/>
            <w:shd w:fill="FFFFFF" w:val="clear"/>
            <w:vAlign w:val="center"/>
          </w:tcPr>
          <w:p>
            <w:pPr>
              <w:pStyle w:val="TableContents"/>
              <w:bidi w:val="0"/>
              <w:spacing w:before="0" w:after="283"/>
              <w:jc w:val="left"/>
              <w:rPr/>
            </w:pPr>
            <w:r>
              <w:rPr/>
              <w:t> </w:t>
            </w:r>
          </w:p>
        </w:tc>
      </w:tr>
      <w:tr>
        <w:trPr/>
        <w:tc>
          <w:tcPr>
            <w:tcW w:w="4325" w:type="dxa"/>
            <w:tcBorders/>
            <w:shd w:fill="CCEEFF" w:val="clear"/>
            <w:vAlign w:val="center"/>
          </w:tcPr>
          <w:p>
            <w:pPr>
              <w:pStyle w:val="TableContents"/>
              <w:bidi w:val="0"/>
              <w:spacing w:before="0" w:after="283"/>
              <w:jc w:val="both"/>
              <w:rPr/>
            </w:pPr>
            <w:r>
              <w:rPr/>
              <w:t>Goodwill recognized</w:t>
            </w:r>
          </w:p>
        </w:tc>
        <w:tc>
          <w:tcPr>
            <w:tcW w:w="60" w:type="dxa"/>
            <w:tcBorders/>
            <w:shd w:fill="CCEEFF" w:val="clear"/>
            <w:vAlign w:val="center"/>
          </w:tcPr>
          <w:p>
            <w:pPr>
              <w:pStyle w:val="TableContents"/>
              <w:bidi w:val="0"/>
              <w:spacing w:before="0" w:after="283"/>
              <w:jc w:val="left"/>
              <w:rPr/>
            </w:pPr>
            <w:r>
              <w:rPr/>
              <w:t> </w:t>
            </w:r>
          </w:p>
        </w:tc>
        <w:tc>
          <w:tcPr>
            <w:tcW w:w="230"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244" w:type="dxa"/>
            <w:tcBorders>
              <w:bottom w:val="double" w:sz="10" w:space="0" w:color="000000"/>
            </w:tcBorders>
            <w:shd w:fill="CCEEFF" w:val="clear"/>
            <w:tcMar>
              <w:bottom w:w="28" w:type="dxa"/>
            </w:tcMar>
            <w:vAlign w:val="center"/>
          </w:tcPr>
          <w:p>
            <w:pPr>
              <w:pStyle w:val="TableContents"/>
              <w:bidi w:val="0"/>
              <w:spacing w:before="0" w:after="283"/>
              <w:jc w:val="right"/>
              <w:rPr/>
            </w:pPr>
            <w:r>
              <w:rPr/>
              <w:t>42,911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5"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269" w:type="dxa"/>
            <w:tcBorders>
              <w:bottom w:val="double" w:sz="10" w:space="0" w:color="000000"/>
            </w:tcBorders>
            <w:shd w:fill="CCEEFF" w:val="clear"/>
            <w:tcMar>
              <w:bottom w:w="28" w:type="dxa"/>
            </w:tcMar>
            <w:vAlign w:val="center"/>
          </w:tcPr>
          <w:p>
            <w:pPr>
              <w:pStyle w:val="TableContents"/>
              <w:bidi w:val="0"/>
              <w:spacing w:before="0" w:after="283"/>
              <w:jc w:val="right"/>
              <w:rPr/>
            </w:pPr>
            <w:r>
              <w:rPr/>
              <w:t>(11,089</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220"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194" w:type="dxa"/>
            <w:tcBorders>
              <w:bottom w:val="double" w:sz="10" w:space="0" w:color="000000"/>
            </w:tcBorders>
            <w:shd w:fill="CCEEFF" w:val="clear"/>
            <w:tcMar>
              <w:bottom w:w="28" w:type="dxa"/>
            </w:tcMar>
            <w:vAlign w:val="center"/>
          </w:tcPr>
          <w:p>
            <w:pPr>
              <w:pStyle w:val="TableContents"/>
              <w:bidi w:val="0"/>
              <w:spacing w:before="0" w:after="283"/>
              <w:jc w:val="right"/>
              <w:rPr/>
            </w:pPr>
            <w:r>
              <w:rPr/>
              <w:t>31,822</w:t>
            </w:r>
          </w:p>
        </w:tc>
        <w:tc>
          <w:tcPr>
            <w:tcW w:w="11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the date of acquisition, the intangible assets acquired and estimated useful lives were as follows:</w:t>
      </w:r>
    </w:p>
    <w:p>
      <w:pPr>
        <w:pStyle w:val="TextBody"/>
        <w:bidi w:val="0"/>
        <w:spacing w:before="0" w:after="0"/>
        <w:ind w:left="0" w:right="0" w:hanging="0"/>
        <w:jc w:val="both"/>
        <w:rPr>
          <w:caps w:val="false"/>
          <w:smallCaps w:val="false"/>
        </w:rPr>
      </w:pPr>
      <w:r>
        <w:rPr>
          <w:caps w:val="false"/>
          <w:smallCaps w:val="false"/>
        </w:rPr>
        <w:t> </w:t>
      </w:r>
    </w:p>
    <w:tbl>
      <w:tblPr>
        <w:tblW w:w="7617" w:type="dxa"/>
        <w:jc w:val="left"/>
        <w:tblInd w:w="0" w:type="dxa"/>
        <w:tblLayout w:type="fixed"/>
        <w:tblCellMar>
          <w:top w:w="0" w:type="dxa"/>
          <w:left w:w="0" w:type="dxa"/>
          <w:bottom w:w="0" w:type="dxa"/>
          <w:right w:w="0" w:type="dxa"/>
        </w:tblCellMar>
      </w:tblPr>
      <w:tblGrid>
        <w:gridCol w:w="2615"/>
        <w:gridCol w:w="60"/>
        <w:gridCol w:w="875"/>
        <w:gridCol w:w="60"/>
        <w:gridCol w:w="220"/>
        <w:gridCol w:w="1044"/>
        <w:gridCol w:w="60"/>
        <w:gridCol w:w="60"/>
        <w:gridCol w:w="198"/>
        <w:gridCol w:w="1036"/>
        <w:gridCol w:w="80"/>
        <w:gridCol w:w="60"/>
        <w:gridCol w:w="204"/>
        <w:gridCol w:w="970"/>
        <w:gridCol w:w="75"/>
      </w:tblGrid>
      <w:tr>
        <w:trPr/>
        <w:tc>
          <w:tcPr>
            <w:tcW w:w="2615"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p>
        </w:tc>
        <w:tc>
          <w:tcPr>
            <w:tcW w:w="875" w:type="dxa"/>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Estimated</w:t>
              <w:br/>
              <w:t>useful life</w:t>
            </w:r>
          </w:p>
        </w:tc>
        <w:tc>
          <w:tcPr>
            <w:tcW w:w="60" w:type="dxa"/>
            <w:tcBorders/>
            <w:vAlign w:val="center"/>
          </w:tcPr>
          <w:p>
            <w:pPr>
              <w:pStyle w:val="TableContents"/>
              <w:bidi w:val="0"/>
              <w:spacing w:before="0" w:after="283"/>
              <w:jc w:val="left"/>
              <w:rPr/>
            </w:pPr>
            <w:r>
              <w:rPr/>
              <w:t> </w:t>
            </w:r>
          </w:p>
        </w:tc>
        <w:tc>
          <w:tcPr>
            <w:tcW w:w="1264"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 xml:space="preserve">Provisional </w:t>
              <w:br/>
              <w:t>fair values</w:t>
              <w:br/>
              <w:t xml:space="preserve">as of </w:t>
              <w:br/>
              <w:t xml:space="preserve">September 24, </w:t>
              <w:br/>
              <w:t>2025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34"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Measurement</w:t>
              <w:br/>
              <w:t>period</w:t>
              <w:br/>
              <w:t>adjustments in</w:t>
              <w:br/>
              <w:t>fiscal</w:t>
              <w:br/>
              <w:t>2025</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74"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 xml:space="preserve">Provisional </w:t>
              <w:br/>
              <w:t>fair values</w:t>
              <w:br/>
              <w:t>as of</w:t>
              <w:br/>
              <w:t>December 28,</w:t>
              <w:br/>
              <w:t>2025</w:t>
            </w:r>
          </w:p>
        </w:tc>
        <w:tc>
          <w:tcPr>
            <w:tcW w:w="75" w:type="dxa"/>
            <w:tcBorders/>
            <w:vAlign w:val="center"/>
          </w:tcPr>
          <w:p>
            <w:pPr>
              <w:pStyle w:val="TableContents"/>
              <w:bidi w:val="0"/>
              <w:spacing w:before="0" w:after="283"/>
              <w:jc w:val="left"/>
              <w:rPr/>
            </w:pPr>
            <w:r>
              <w:rPr/>
              <w:t> </w:t>
            </w:r>
          </w:p>
        </w:tc>
      </w:tr>
      <w:tr>
        <w:trPr/>
        <w:tc>
          <w:tcPr>
            <w:tcW w:w="2615" w:type="dxa"/>
            <w:tcBorders/>
            <w:shd w:fill="CCEEFF" w:val="cle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Customer relationships</w:t>
            </w:r>
          </w:p>
        </w:tc>
        <w:tc>
          <w:tcPr>
            <w:tcW w:w="6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10 years</w:t>
            </w:r>
          </w:p>
        </w:tc>
        <w:tc>
          <w:tcPr>
            <w:tcW w:w="60" w:type="dxa"/>
            <w:tcBorders/>
            <w:shd w:fill="CCEEFF" w:val="clear"/>
            <w:vAlign w:val="center"/>
          </w:tcPr>
          <w:p>
            <w:pPr>
              <w:pStyle w:val="TableContents"/>
              <w:bidi w:val="0"/>
              <w:spacing w:before="0" w:after="283"/>
              <w:jc w:val="left"/>
              <w:rPr/>
            </w:pPr>
            <w:r>
              <w:rPr/>
              <w:t> </w:t>
            </w:r>
          </w:p>
        </w:tc>
        <w:tc>
          <w:tcPr>
            <w:tcW w:w="22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044"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9,279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8"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036"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21,321</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4"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97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30,600</w:t>
            </w:r>
          </w:p>
        </w:tc>
        <w:tc>
          <w:tcPr>
            <w:tcW w:w="75" w:type="dxa"/>
            <w:tcBorders/>
            <w:shd w:fill="CCEEFF" w:val="clear"/>
            <w:vAlign w:val="center"/>
          </w:tcPr>
          <w:p>
            <w:pPr>
              <w:pStyle w:val="TableContents"/>
              <w:bidi w:val="0"/>
              <w:spacing w:before="0" w:after="283"/>
              <w:jc w:val="left"/>
              <w:rPr/>
            </w:pPr>
            <w:r>
              <w:rPr/>
              <w:t> </w:t>
            </w:r>
          </w:p>
        </w:tc>
      </w:tr>
      <w:tr>
        <w:trPr/>
        <w:tc>
          <w:tcPr>
            <w:tcW w:w="2615" w:type="dxa"/>
            <w:tcBorders/>
            <w:shd w:fill="FFFFFF" w:val="cle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Trademark - Sunder</w:t>
            </w:r>
          </w:p>
        </w:tc>
        <w:tc>
          <w:tcPr>
            <w:tcW w:w="6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10 years</w:t>
            </w:r>
          </w:p>
        </w:tc>
        <w:tc>
          <w:tcPr>
            <w:tcW w:w="60" w:type="dxa"/>
            <w:tcBorders/>
            <w:shd w:fill="FFFFFF" w:val="clear"/>
            <w:vAlign w:val="center"/>
          </w:tcPr>
          <w:p>
            <w:pPr>
              <w:pStyle w:val="TableContents"/>
              <w:bidi w:val="0"/>
              <w:spacing w:before="0" w:after="283"/>
              <w:jc w:val="left"/>
              <w:rPr/>
            </w:pPr>
            <w:r>
              <w:rPr/>
              <w:t> </w:t>
            </w:r>
          </w:p>
        </w:tc>
        <w:tc>
          <w:tcPr>
            <w:tcW w:w="220" w:type="dxa"/>
            <w:tcBorders/>
            <w:shd w:fill="FFFFFF" w:val="clear"/>
            <w:vAlign w:val="center"/>
          </w:tcPr>
          <w:p>
            <w:pPr>
              <w:pStyle w:val="TableContents"/>
              <w:bidi w:val="0"/>
              <w:spacing w:before="0" w:after="283"/>
              <w:jc w:val="left"/>
              <w:rPr/>
            </w:pPr>
            <w:r>
              <w:rPr/>
              <w:t> </w:t>
            </w:r>
          </w:p>
        </w:tc>
        <w:tc>
          <w:tcPr>
            <w:tcW w:w="1044"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2,427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8" w:type="dxa"/>
            <w:tcBorders/>
            <w:shd w:fill="FFFFFF" w:val="clear"/>
            <w:vAlign w:val="center"/>
          </w:tcPr>
          <w:p>
            <w:pPr>
              <w:pStyle w:val="TableContents"/>
              <w:bidi w:val="0"/>
              <w:spacing w:before="0" w:after="283"/>
              <w:jc w:val="left"/>
              <w:rPr/>
            </w:pPr>
            <w:r>
              <w:rPr/>
              <w:t> </w:t>
            </w:r>
          </w:p>
        </w:tc>
        <w:tc>
          <w:tcPr>
            <w:tcW w:w="1036"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3,673</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4" w:type="dxa"/>
            <w:tcBorders/>
            <w:shd w:fill="FFFFFF" w:val="clear"/>
            <w:vAlign w:val="center"/>
          </w:tcPr>
          <w:p>
            <w:pPr>
              <w:pStyle w:val="TableContents"/>
              <w:bidi w:val="0"/>
              <w:spacing w:before="0" w:after="283"/>
              <w:jc w:val="left"/>
              <w:rPr/>
            </w:pPr>
            <w:r>
              <w:rPr/>
              <w:t> </w:t>
            </w:r>
          </w:p>
        </w:tc>
        <w:tc>
          <w:tcPr>
            <w:tcW w:w="970"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6,100</w:t>
            </w:r>
          </w:p>
        </w:tc>
        <w:tc>
          <w:tcPr>
            <w:tcW w:w="75" w:type="dxa"/>
            <w:tcBorders/>
            <w:shd w:fill="FFFFFF" w:val="clear"/>
            <w:vAlign w:val="center"/>
          </w:tcPr>
          <w:p>
            <w:pPr>
              <w:pStyle w:val="TableContents"/>
              <w:bidi w:val="0"/>
              <w:spacing w:before="0" w:after="283"/>
              <w:jc w:val="left"/>
              <w:rPr/>
            </w:pPr>
            <w:r>
              <w:rPr/>
              <w:t> </w:t>
            </w:r>
          </w:p>
        </w:tc>
      </w:tr>
      <w:tr>
        <w:trPr/>
        <w:tc>
          <w:tcPr>
            <w:tcW w:w="2615" w:type="dxa"/>
            <w:tcBorders/>
            <w:shd w:fill="CCEEFF" w:val="cle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Developed technology - Sunder</w:t>
            </w:r>
          </w:p>
        </w:tc>
        <w:tc>
          <w:tcPr>
            <w:tcW w:w="6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 years</w:t>
            </w:r>
          </w:p>
        </w:tc>
        <w:tc>
          <w:tcPr>
            <w:tcW w:w="60" w:type="dxa"/>
            <w:tcBorders/>
            <w:shd w:fill="CCEEFF" w:val="clear"/>
            <w:vAlign w:val="center"/>
          </w:tcPr>
          <w:p>
            <w:pPr>
              <w:pStyle w:val="TableContents"/>
              <w:bidi w:val="0"/>
              <w:spacing w:before="0" w:after="283"/>
              <w:jc w:val="left"/>
              <w:rPr/>
            </w:pPr>
            <w:r>
              <w:rPr/>
              <w:t> </w:t>
            </w:r>
          </w:p>
        </w:tc>
        <w:tc>
          <w:tcPr>
            <w:tcW w:w="22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44"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14,216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8"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36"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(13,416</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204"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70"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800</w:t>
            </w:r>
          </w:p>
        </w:tc>
        <w:tc>
          <w:tcPr>
            <w:tcW w:w="75" w:type="dxa"/>
            <w:tcBorders/>
            <w:shd w:fill="CCEEFF" w:val="clear"/>
            <w:vAlign w:val="center"/>
          </w:tcPr>
          <w:p>
            <w:pPr>
              <w:pStyle w:val="TableContents"/>
              <w:bidi w:val="0"/>
              <w:spacing w:before="0" w:after="283"/>
              <w:jc w:val="left"/>
              <w:rPr/>
            </w:pPr>
            <w:r>
              <w:rPr/>
              <w:t> </w:t>
            </w:r>
          </w:p>
        </w:tc>
      </w:tr>
      <w:tr>
        <w:trPr/>
        <w:tc>
          <w:tcPr>
            <w:tcW w:w="261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Total</w:t>
            </w:r>
          </w:p>
        </w:tc>
        <w:tc>
          <w:tcPr>
            <w:tcW w:w="6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220" w:type="dxa"/>
            <w:tcBorders>
              <w:bottom w:val="double" w:sz="10"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044" w:type="dxa"/>
            <w:tcBorders>
              <w:bottom w:val="double" w:sz="10"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25,922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8" w:type="dxa"/>
            <w:tcBorders>
              <w:bottom w:val="double" w:sz="10"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036" w:type="dxa"/>
            <w:tcBorders>
              <w:bottom w:val="double" w:sz="10"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11,578</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4" w:type="dxa"/>
            <w:tcBorders>
              <w:bottom w:val="double" w:sz="10"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970" w:type="dxa"/>
            <w:tcBorders>
              <w:bottom w:val="double" w:sz="10"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37,500</w:t>
            </w:r>
          </w:p>
        </w:tc>
        <w:tc>
          <w:tcPr>
            <w:tcW w:w="75"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fair value of customer relationships was estimated using the excess earnings method, which measures the cash flows attributable to existing customers after deducting all supporting expenses and contributory asset charges. The assumptions used included revenue included all business enterprise valuation sales, reduced by a 5% attrition rate based on historical customer turnover, with operating expenses estimated as a percentage of sales and no sales-and-marketing adjustment since such efforts do not directly support existing customers. Contributory asset charges were applied for the use of working capital, fixed assets, workforce, trademarks, and internal-use software, and cash flows were projected over the period in which customer relationships were expected to produce meaningful benefit, with the economic life extending until those cash flows became minimal.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fair value of the trademark was estimated using the relief-from-royalty method. This approach measures the value of the asset based on the hypothetical royalties the Company would avoid paying if it had to license the trademark from a third party. The assumptions used to value the trademark included projected sales based upon the business enterprise valuation considered attributable to the trademark, a royalty rate of 1.0% supported by a profit-split analysis and benchmarking against comparable licensing arrangements in the solar and broader energy industries and a useful economic life of 10 years consistent with management’s expectations for continued use and the anticipated longevity of the brand’s market relevance.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fair value of Sunder’s developed technology was estimated using the cost approach, which measures value based on the cost to reproduce or replace the existing software in its current state. The analysis considered the historical direct development costs, including Sunder’s ongoing investment of approximately since late 2023, representing labor, design, coding, and testing efforts required to build the technology. In addition to direct costs, the valuation incorporated opportunity costs, which reflect the portion of the software expected to be added, modified, or removed over time based on management’s estimates of ongoing development needs. Together, these inputs approximate the current replacement cost of the technology, adjusted for necessary updates and functional improvements.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sz w:val="20"/>
          <w:bdr w:val="single" w:sz="12" w:space="1" w:color="000000"/>
        </w:rPr>
      </w:pPr>
      <w:r>
        <w:rPr>
          <w:sz w:val="20"/>
          <w:bdr w:val="single" w:sz="12" w:space="1" w:color="000000"/>
        </w:rPr>
        <w:t>F-72</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Goodwill represents the excess of the preliminary estimated consideration transferred over the fair value of the net tangible and intangible assets acquired that is associated with the excess cash flows that the acquisition is expected to generate in the future. The goodwill is tax deductible.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Sunder contributed $14.4 million and $6.2 million in revenue and income before income taxes from continuing operations, respectively, for the period from the acquisition date to the fiscal year ended December 28, 2025.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Ambia Energy LLC Acquisition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November 21, 2025, the Company entered into a Membership Interest Purchase Agreement (the “Ambia MIPA”) with Ambia and Ambia Holdings, Inc., a Delaware corporation and the sole member of Ambia (“Ambia Holdings”) to acquire Ambia (the “Ambia Acquisition”). Ambia was the sole operating entity within Ambia Holdings.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Ambia and Ambia Holdings completed the closing under the Ambia MIPA on November 21, 2025 (the “Ambia Closing”). At the Ambia Closing, the Company acquired all of the outstanding membership interests of Ambia from Ambia Holdings for: (a) 10,243,924 shares of common stock of the Company (the “Ambia Closing Consideration Shares”), issued at the Ambia Closing to Ambia Holdings; and (b) an agreement to issue an additional $9.375 million of shares of the Company’s common stock on each of the six-month anniversary of the Ambia Closing and the 12-month anniversary of the Ambia Closing (collectively such additional shares of common stock, the “Deferred Ambia Consideration Shares”). The issuance of the Deferred Ambia Consideration Shares is subject to approval by the Company’s stockholders following the Ambia Closing.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actual number of Deferred Ambia Consideration Shares issuable by the Company on the six- and 12-month anniversaries of the Ambia Closing will be determined based on the 20-day trailing volume-weighted average price of the Company’s common stock after market close on the business day immediately prior to the issuance date of the applicable shares (the “VWAP Value”); provided that the VWAP Value for the calculation of the actual number of Deferred Ambia Consideration Shares issuable by the Company will not be more than $2.8102 per share or less than $1.4988 per share. Additionally, the number of Deferred Ambia Consideration Shares issuable by the Company is subject to adjustment pursuant to customary working capital and balance sheet adjustment terms and subject to offset for certain indemnifiable damages in accordance with the Ambia MIPA.</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fair value of the deferred consideration shares at the Ambia Closing was $16.9 million. The Company’s closing share price for its common stock of $1.61 on November 21, 2025 was used to fair value the shares issued at the Ambia Closing. The total consideration is summarized as follows </w:t>
      </w:r>
      <w:r>
        <w:rPr>
          <w:rFonts w:ascii="Times New Roman;Times;Serif" w:hAnsi="Times New Roman;Times;Serif"/>
          <w:b w:val="false"/>
          <w:i/>
          <w:caps w:val="false"/>
          <w:smallCaps w:val="false"/>
          <w:sz w:val="20"/>
        </w:rPr>
        <w:t>(in thousands):</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9355"/>
        <w:gridCol w:w="60"/>
        <w:gridCol w:w="125"/>
        <w:gridCol w:w="590"/>
        <w:gridCol w:w="75"/>
      </w:tblGrid>
      <w:tr>
        <w:trPr/>
        <w:tc>
          <w:tcPr>
            <w:tcW w:w="935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Consideration</w:t>
            </w:r>
          </w:p>
        </w:tc>
        <w:tc>
          <w:tcPr>
            <w:tcW w:w="60" w:type="dxa"/>
            <w:tcBorders/>
            <w:vAlign w:val="center"/>
          </w:tcPr>
          <w:p>
            <w:pPr>
              <w:pStyle w:val="TableContents"/>
              <w:bidi w:val="0"/>
              <w:spacing w:before="0" w:after="283"/>
              <w:jc w:val="left"/>
              <w:rPr/>
            </w:pPr>
            <w:r>
              <w:rPr/>
              <w:t> </w:t>
            </w:r>
          </w:p>
        </w:tc>
        <w:tc>
          <w:tcPr>
            <w:tcW w:w="715" w:type="dxa"/>
            <w:gridSpan w:val="2"/>
            <w:tcBorders/>
            <w:vAlign w:val="center"/>
          </w:tcPr>
          <w:p>
            <w:pPr>
              <w:pStyle w:val="TableContents"/>
              <w:bidi w:val="0"/>
              <w:spacing w:before="0" w:after="283"/>
              <w:jc w:val="right"/>
              <w:rPr/>
            </w:pPr>
            <w:r>
              <w:rPr/>
              <w:t> </w:t>
            </w:r>
          </w:p>
        </w:tc>
        <w:tc>
          <w:tcPr>
            <w:tcW w:w="75" w:type="dxa"/>
            <w:tcBorders/>
            <w:vAlign w:val="center"/>
          </w:tcPr>
          <w:p>
            <w:pPr>
              <w:pStyle w:val="TableContents"/>
              <w:bidi w:val="0"/>
              <w:spacing w:before="0" w:after="283"/>
              <w:jc w:val="left"/>
              <w:rPr/>
            </w:pPr>
            <w:r>
              <w:rPr/>
              <w:t> </w:t>
            </w:r>
          </w:p>
        </w:tc>
      </w:tr>
      <w:tr>
        <w:trPr/>
        <w:tc>
          <w:tcPr>
            <w:tcW w:w="935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Fair value of 10,243,924 shares of the Company’s common stock issued at Ambia Closing (classified within Additional paid-in capital)</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59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16,493</w:t>
            </w:r>
          </w:p>
        </w:tc>
        <w:tc>
          <w:tcPr>
            <w:tcW w:w="75" w:type="dxa"/>
            <w:tcBorders/>
            <w:shd w:fill="CCEEFF" w:val="clear"/>
            <w:vAlign w:val="center"/>
          </w:tcPr>
          <w:p>
            <w:pPr>
              <w:pStyle w:val="TableContents"/>
              <w:bidi w:val="0"/>
              <w:spacing w:before="0" w:after="283"/>
              <w:jc w:val="left"/>
              <w:rPr/>
            </w:pPr>
            <w:r>
              <w:rPr/>
              <w:t> </w:t>
            </w:r>
          </w:p>
        </w:tc>
      </w:tr>
      <w:tr>
        <w:trPr/>
        <w:tc>
          <w:tcPr>
            <w:tcW w:w="935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Deferred Ambia Consideration Shares (Classified within Deferred consideration, current)</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590"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16,879</w:t>
            </w:r>
          </w:p>
        </w:tc>
        <w:tc>
          <w:tcPr>
            <w:tcW w:w="75" w:type="dxa"/>
            <w:tcBorders/>
            <w:shd w:fill="FFFFFF" w:val="clear"/>
            <w:vAlign w:val="center"/>
          </w:tcPr>
          <w:p>
            <w:pPr>
              <w:pStyle w:val="TableContents"/>
              <w:bidi w:val="0"/>
              <w:spacing w:before="0" w:after="283"/>
              <w:jc w:val="left"/>
              <w:rPr/>
            </w:pPr>
            <w:r>
              <w:rPr/>
              <w:t> </w:t>
            </w:r>
          </w:p>
        </w:tc>
      </w:tr>
      <w:tr>
        <w:trPr/>
        <w:tc>
          <w:tcPr>
            <w:tcW w:w="935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Fair value of total consideration</w:t>
            </w:r>
          </w:p>
        </w:tc>
        <w:tc>
          <w:tcPr>
            <w:tcW w:w="60" w:type="dxa"/>
            <w:tcBorders/>
            <w:shd w:fill="CCEEFF" w:val="clear"/>
            <w:vAlign w:val="center"/>
          </w:tcPr>
          <w:p>
            <w:pPr>
              <w:pStyle w:val="TableContents"/>
              <w:bidi w:val="0"/>
              <w:spacing w:before="0" w:after="283"/>
              <w:jc w:val="left"/>
              <w:rPr/>
            </w:pPr>
            <w:r>
              <w:rPr/>
              <w:t> </w:t>
            </w:r>
          </w:p>
        </w:tc>
        <w:tc>
          <w:tcPr>
            <w:tcW w:w="125" w:type="dxa"/>
            <w:tcBorders>
              <w:bottom w:val="double" w:sz="10"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590" w:type="dxa"/>
            <w:tcBorders>
              <w:bottom w:val="double" w:sz="10"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33,372</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Ambia is a residential solar energy system installer and operates in various markets throughout the United States.</w:t>
      </w:r>
    </w:p>
    <w:p>
      <w:pPr>
        <w:pStyle w:val="TextBody"/>
        <w:bidi w:val="0"/>
        <w:spacing w:before="0" w:after="0"/>
        <w:ind w:left="0" w:right="0" w:hanging="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provisional fair values of assets acquired and liabilities assumed were based upon the facts and circumstances existing at the date of acquisition. The purchase price accounting remains open for the valuation of the customer relationship and allocation of goodwill. The Company elected the practical expedient within ASC 805-20-30-27 through 805-20-30-30 to recognize and measure contract liabilities in accordance with ASC 606 as if it had originated the acquired contract. Thus, the amount of any contract liabilities immediately prior to the acquisition will be the comparable amounts recognized in the determination of assets acquired and liabilities assumed by the Company.</w:t>
      </w:r>
    </w:p>
    <w:p>
      <w:pPr>
        <w:pStyle w:val="TextBody"/>
        <w:bidi w:val="0"/>
        <w:jc w:val="both"/>
        <w:rPr>
          <w:caps w:val="false"/>
          <w:smallCaps w:val="false"/>
        </w:rPr>
      </w:pPr>
      <w:r>
        <w:rPr>
          <w:caps w:val="false"/>
          <w:smallCaps w:val="false"/>
        </w:rPr>
        <w:t> </w:t>
      </w:r>
    </w:p>
    <w:p>
      <w:pPr>
        <w:pStyle w:val="TextBody"/>
        <w:bidi w:val="0"/>
        <w:spacing w:before="0" w:after="0"/>
        <w:ind w:left="0" w:right="0" w:hanging="0"/>
        <w:jc w:val="center"/>
        <w:rPr>
          <w:sz w:val="20"/>
          <w:bdr w:val="single" w:sz="12" w:space="1" w:color="000000"/>
        </w:rPr>
      </w:pPr>
      <w:r>
        <w:rPr>
          <w:sz w:val="20"/>
          <w:bdr w:val="single" w:sz="12" w:space="1" w:color="000000"/>
        </w:rPr>
        <w:t>F-73</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provisional fair values of identifiable assets acquired and liabilities assumed are identified below </w:t>
      </w:r>
      <w:r>
        <w:rPr>
          <w:rFonts w:ascii="Times New Roman;Times;Serif" w:hAnsi="Times New Roman;Times;Serif"/>
          <w:b w:val="false"/>
          <w:i/>
          <w:caps w:val="false"/>
          <w:smallCaps w:val="false"/>
          <w:sz w:val="20"/>
        </w:rPr>
        <w:t>(in thousands)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8567"/>
        <w:gridCol w:w="60"/>
        <w:gridCol w:w="249"/>
        <w:gridCol w:w="1217"/>
        <w:gridCol w:w="112"/>
      </w:tblGrid>
      <w:tr>
        <w:trPr/>
        <w:tc>
          <w:tcPr>
            <w:tcW w:w="8567"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p>
        </w:tc>
        <w:tc>
          <w:tcPr>
            <w:tcW w:w="1466"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 xml:space="preserve">Provisional </w:t>
              <w:br/>
              <w:t>fair values</w:t>
              <w:br/>
              <w:t>as of</w:t>
              <w:br/>
              <w:t xml:space="preserve">December 28, </w:t>
              <w:br/>
              <w:t>2025</w:t>
            </w:r>
          </w:p>
        </w:tc>
        <w:tc>
          <w:tcPr>
            <w:tcW w:w="112" w:type="dxa"/>
            <w:tcBorders/>
            <w:vAlign w:val="center"/>
          </w:tcPr>
          <w:p>
            <w:pPr>
              <w:pStyle w:val="TableContents"/>
              <w:bidi w:val="0"/>
              <w:spacing w:before="0" w:after="283"/>
              <w:jc w:val="left"/>
              <w:rPr/>
            </w:pPr>
            <w:r>
              <w:rPr/>
              <w:t> </w:t>
            </w:r>
          </w:p>
        </w:tc>
      </w:tr>
      <w:tr>
        <w:trPr/>
        <w:tc>
          <w:tcPr>
            <w:tcW w:w="8567" w:type="dxa"/>
            <w:tcBorders/>
            <w:vAlign w:val="center"/>
          </w:tcPr>
          <w:p>
            <w:pPr>
              <w:pStyle w:val="TableContents"/>
              <w:bidi w:val="0"/>
              <w:spacing w:before="0" w:after="283"/>
              <w:jc w:val="both"/>
              <w:rPr>
                <w:b/>
              </w:rPr>
            </w:pPr>
            <w:r>
              <w:rPr>
                <w:b/>
              </w:rPr>
              <w:t>Net assets acquired:</w:t>
            </w:r>
          </w:p>
        </w:tc>
        <w:tc>
          <w:tcPr>
            <w:tcW w:w="60" w:type="dxa"/>
            <w:tcBorders/>
            <w:vAlign w:val="center"/>
          </w:tcPr>
          <w:p>
            <w:pPr>
              <w:pStyle w:val="TableContents"/>
              <w:bidi w:val="0"/>
              <w:spacing w:before="0" w:after="283"/>
              <w:jc w:val="left"/>
              <w:rPr/>
            </w:pPr>
            <w:r>
              <w:rPr/>
              <w:t> </w:t>
            </w:r>
          </w:p>
        </w:tc>
        <w:tc>
          <w:tcPr>
            <w:tcW w:w="1466" w:type="dxa"/>
            <w:gridSpan w:val="2"/>
            <w:tcBorders/>
            <w:vAlign w:val="center"/>
          </w:tcPr>
          <w:p>
            <w:pPr>
              <w:pStyle w:val="TableContents"/>
              <w:bidi w:val="0"/>
              <w:spacing w:before="0" w:after="283"/>
              <w:jc w:val="right"/>
              <w:rPr/>
            </w:pPr>
            <w:r>
              <w:rPr/>
              <w:t> </w:t>
            </w:r>
          </w:p>
        </w:tc>
        <w:tc>
          <w:tcPr>
            <w:tcW w:w="112" w:type="dxa"/>
            <w:tcBorders/>
            <w:vAlign w:val="center"/>
          </w:tcPr>
          <w:p>
            <w:pPr>
              <w:pStyle w:val="TableContents"/>
              <w:bidi w:val="0"/>
              <w:spacing w:before="0" w:after="283"/>
              <w:jc w:val="left"/>
              <w:rPr/>
            </w:pPr>
            <w:r>
              <w:rPr/>
              <w:t> </w:t>
            </w:r>
          </w:p>
        </w:tc>
      </w:tr>
      <w:tr>
        <w:trPr/>
        <w:tc>
          <w:tcPr>
            <w:tcW w:w="8567" w:type="dxa"/>
            <w:tcBorders/>
            <w:shd w:fill="CCEEFF" w:val="clear"/>
            <w:vAlign w:val="center"/>
          </w:tcPr>
          <w:p>
            <w:pPr>
              <w:pStyle w:val="TableContents"/>
              <w:bidi w:val="0"/>
              <w:spacing w:before="0" w:after="283"/>
              <w:jc w:val="both"/>
              <w:rPr/>
            </w:pPr>
            <w:r>
              <w:rPr/>
              <w:t>Cash and cash equivalents</w:t>
            </w:r>
          </w:p>
        </w:tc>
        <w:tc>
          <w:tcPr>
            <w:tcW w:w="60" w:type="dxa"/>
            <w:tcBorders/>
            <w:shd w:fill="CCEEFF" w:val="clear"/>
            <w:vAlign w:val="center"/>
          </w:tcPr>
          <w:p>
            <w:pPr>
              <w:pStyle w:val="TableContents"/>
              <w:bidi w:val="0"/>
              <w:spacing w:before="0" w:after="283"/>
              <w:jc w:val="left"/>
              <w:rPr/>
            </w:pPr>
            <w:r>
              <w:rPr/>
              <w:t> </w:t>
            </w:r>
          </w:p>
        </w:tc>
        <w:tc>
          <w:tcPr>
            <w:tcW w:w="249" w:type="dxa"/>
            <w:tcBorders/>
            <w:shd w:fill="CCEEFF" w:val="clear"/>
            <w:vAlign w:val="center"/>
          </w:tcPr>
          <w:p>
            <w:pPr>
              <w:pStyle w:val="TableContents"/>
              <w:bidi w:val="0"/>
              <w:spacing w:before="0" w:after="283"/>
              <w:jc w:val="left"/>
              <w:rPr/>
            </w:pPr>
            <w:r>
              <w:rPr/>
              <w:t>$</w:t>
            </w:r>
          </w:p>
        </w:tc>
        <w:tc>
          <w:tcPr>
            <w:tcW w:w="1217" w:type="dxa"/>
            <w:tcBorders/>
            <w:shd w:fill="CCEEFF" w:val="clear"/>
            <w:vAlign w:val="center"/>
          </w:tcPr>
          <w:p>
            <w:pPr>
              <w:pStyle w:val="TableContents"/>
              <w:bidi w:val="0"/>
              <w:spacing w:before="0" w:after="283"/>
              <w:jc w:val="right"/>
              <w:rPr/>
            </w:pPr>
            <w:r>
              <w:rPr/>
              <w:t>1,350</w:t>
            </w:r>
          </w:p>
        </w:tc>
        <w:tc>
          <w:tcPr>
            <w:tcW w:w="112" w:type="dxa"/>
            <w:tcBorders/>
            <w:shd w:fill="CCEEFF" w:val="clear"/>
            <w:vAlign w:val="center"/>
          </w:tcPr>
          <w:p>
            <w:pPr>
              <w:pStyle w:val="TableContents"/>
              <w:bidi w:val="0"/>
              <w:spacing w:before="0" w:after="283"/>
              <w:jc w:val="left"/>
              <w:rPr/>
            </w:pPr>
            <w:r>
              <w:rPr/>
              <w:t> </w:t>
            </w:r>
          </w:p>
        </w:tc>
      </w:tr>
      <w:tr>
        <w:trPr/>
        <w:tc>
          <w:tcPr>
            <w:tcW w:w="8567" w:type="dxa"/>
            <w:tcBorders/>
            <w:shd w:fill="FFFFFF" w:val="clear"/>
            <w:vAlign w:val="center"/>
          </w:tcPr>
          <w:p>
            <w:pPr>
              <w:pStyle w:val="TableContents"/>
              <w:bidi w:val="0"/>
              <w:spacing w:before="0" w:after="283"/>
              <w:jc w:val="both"/>
              <w:rPr/>
            </w:pPr>
            <w:r>
              <w:rPr/>
              <w:t>Accounts receivable</w:t>
            </w:r>
          </w:p>
        </w:tc>
        <w:tc>
          <w:tcPr>
            <w:tcW w:w="60" w:type="dxa"/>
            <w:tcBorders/>
            <w:shd w:fill="FFFFFF" w:val="clear"/>
            <w:vAlign w:val="center"/>
          </w:tcPr>
          <w:p>
            <w:pPr>
              <w:pStyle w:val="TableContents"/>
              <w:bidi w:val="0"/>
              <w:spacing w:before="0" w:after="283"/>
              <w:jc w:val="left"/>
              <w:rPr/>
            </w:pPr>
            <w:r>
              <w:rPr/>
              <w:t> </w:t>
            </w:r>
          </w:p>
        </w:tc>
        <w:tc>
          <w:tcPr>
            <w:tcW w:w="249" w:type="dxa"/>
            <w:tcBorders/>
            <w:shd w:fill="FFFFFF" w:val="clear"/>
            <w:vAlign w:val="center"/>
          </w:tcPr>
          <w:p>
            <w:pPr>
              <w:pStyle w:val="TableContents"/>
              <w:bidi w:val="0"/>
              <w:spacing w:before="0" w:after="283"/>
              <w:jc w:val="left"/>
              <w:rPr/>
            </w:pPr>
            <w:r>
              <w:rPr/>
              <w:t> </w:t>
            </w:r>
          </w:p>
        </w:tc>
        <w:tc>
          <w:tcPr>
            <w:tcW w:w="1217" w:type="dxa"/>
            <w:tcBorders/>
            <w:shd w:fill="FFFFFF" w:val="clear"/>
            <w:vAlign w:val="center"/>
          </w:tcPr>
          <w:p>
            <w:pPr>
              <w:pStyle w:val="TableContents"/>
              <w:bidi w:val="0"/>
              <w:spacing w:before="0" w:after="283"/>
              <w:jc w:val="right"/>
              <w:rPr/>
            </w:pPr>
            <w:r>
              <w:rPr/>
              <w:t>1,368</w:t>
            </w:r>
          </w:p>
        </w:tc>
        <w:tc>
          <w:tcPr>
            <w:tcW w:w="112" w:type="dxa"/>
            <w:tcBorders/>
            <w:shd w:fill="FFFFFF" w:val="clear"/>
            <w:vAlign w:val="center"/>
          </w:tcPr>
          <w:p>
            <w:pPr>
              <w:pStyle w:val="TableContents"/>
              <w:bidi w:val="0"/>
              <w:spacing w:before="0" w:after="283"/>
              <w:jc w:val="left"/>
              <w:rPr/>
            </w:pPr>
            <w:r>
              <w:rPr/>
              <w:t> </w:t>
            </w:r>
          </w:p>
        </w:tc>
      </w:tr>
      <w:tr>
        <w:trPr/>
        <w:tc>
          <w:tcPr>
            <w:tcW w:w="8567" w:type="dxa"/>
            <w:tcBorders/>
            <w:shd w:fill="CCEEFF" w:val="clear"/>
            <w:vAlign w:val="center"/>
          </w:tcPr>
          <w:p>
            <w:pPr>
              <w:pStyle w:val="TableContents"/>
              <w:bidi w:val="0"/>
              <w:spacing w:before="0" w:after="283"/>
              <w:jc w:val="both"/>
              <w:rPr/>
            </w:pPr>
            <w:r>
              <w:rPr/>
              <w:t>Contract assets - unbilled receivables</w:t>
            </w:r>
          </w:p>
        </w:tc>
        <w:tc>
          <w:tcPr>
            <w:tcW w:w="60" w:type="dxa"/>
            <w:tcBorders/>
            <w:shd w:fill="CCEEFF" w:val="clear"/>
            <w:vAlign w:val="center"/>
          </w:tcPr>
          <w:p>
            <w:pPr>
              <w:pStyle w:val="TableContents"/>
              <w:bidi w:val="0"/>
              <w:spacing w:before="0" w:after="283"/>
              <w:jc w:val="left"/>
              <w:rPr/>
            </w:pPr>
            <w:r>
              <w:rPr/>
              <w:t> </w:t>
            </w:r>
          </w:p>
        </w:tc>
        <w:tc>
          <w:tcPr>
            <w:tcW w:w="249" w:type="dxa"/>
            <w:tcBorders/>
            <w:shd w:fill="CCEEFF" w:val="clear"/>
            <w:vAlign w:val="center"/>
          </w:tcPr>
          <w:p>
            <w:pPr>
              <w:pStyle w:val="TableContents"/>
              <w:bidi w:val="0"/>
              <w:spacing w:before="0" w:after="283"/>
              <w:jc w:val="left"/>
              <w:rPr/>
            </w:pPr>
            <w:r>
              <w:rPr/>
              <w:t> </w:t>
            </w:r>
          </w:p>
        </w:tc>
        <w:tc>
          <w:tcPr>
            <w:tcW w:w="1217" w:type="dxa"/>
            <w:tcBorders/>
            <w:shd w:fill="CCEEFF" w:val="clear"/>
            <w:vAlign w:val="center"/>
          </w:tcPr>
          <w:p>
            <w:pPr>
              <w:pStyle w:val="TableContents"/>
              <w:bidi w:val="0"/>
              <w:spacing w:before="0" w:after="283"/>
              <w:jc w:val="right"/>
              <w:rPr/>
            </w:pPr>
            <w:r>
              <w:rPr/>
              <w:t>1,143</w:t>
            </w:r>
          </w:p>
        </w:tc>
        <w:tc>
          <w:tcPr>
            <w:tcW w:w="112" w:type="dxa"/>
            <w:tcBorders/>
            <w:shd w:fill="CCEEFF" w:val="clear"/>
            <w:vAlign w:val="center"/>
          </w:tcPr>
          <w:p>
            <w:pPr>
              <w:pStyle w:val="TableContents"/>
              <w:bidi w:val="0"/>
              <w:spacing w:before="0" w:after="283"/>
              <w:jc w:val="left"/>
              <w:rPr/>
            </w:pPr>
            <w:r>
              <w:rPr/>
              <w:t> </w:t>
            </w:r>
          </w:p>
        </w:tc>
      </w:tr>
      <w:tr>
        <w:trPr/>
        <w:tc>
          <w:tcPr>
            <w:tcW w:w="8567" w:type="dxa"/>
            <w:tcBorders/>
            <w:shd w:fill="FFFFFF" w:val="clear"/>
            <w:vAlign w:val="center"/>
          </w:tcPr>
          <w:p>
            <w:pPr>
              <w:pStyle w:val="TableContents"/>
              <w:bidi w:val="0"/>
              <w:spacing w:before="0" w:after="283"/>
              <w:jc w:val="both"/>
              <w:rPr/>
            </w:pPr>
            <w:r>
              <w:rPr/>
              <w:t>Prepaid expenses and other current assets</w:t>
            </w:r>
          </w:p>
        </w:tc>
        <w:tc>
          <w:tcPr>
            <w:tcW w:w="60" w:type="dxa"/>
            <w:tcBorders/>
            <w:shd w:fill="FFFFFF" w:val="clear"/>
            <w:vAlign w:val="center"/>
          </w:tcPr>
          <w:p>
            <w:pPr>
              <w:pStyle w:val="TableContents"/>
              <w:bidi w:val="0"/>
              <w:spacing w:before="0" w:after="283"/>
              <w:jc w:val="left"/>
              <w:rPr/>
            </w:pPr>
            <w:r>
              <w:rPr/>
              <w:t> </w:t>
            </w:r>
          </w:p>
        </w:tc>
        <w:tc>
          <w:tcPr>
            <w:tcW w:w="249" w:type="dxa"/>
            <w:tcBorders/>
            <w:shd w:fill="FFFFFF" w:val="clear"/>
            <w:vAlign w:val="center"/>
          </w:tcPr>
          <w:p>
            <w:pPr>
              <w:pStyle w:val="TableContents"/>
              <w:bidi w:val="0"/>
              <w:spacing w:before="0" w:after="283"/>
              <w:jc w:val="left"/>
              <w:rPr/>
            </w:pPr>
            <w:r>
              <w:rPr/>
              <w:t> </w:t>
            </w:r>
          </w:p>
        </w:tc>
        <w:tc>
          <w:tcPr>
            <w:tcW w:w="1217" w:type="dxa"/>
            <w:tcBorders/>
            <w:shd w:fill="FFFFFF" w:val="clear"/>
            <w:vAlign w:val="center"/>
          </w:tcPr>
          <w:p>
            <w:pPr>
              <w:pStyle w:val="TableContents"/>
              <w:bidi w:val="0"/>
              <w:spacing w:before="0" w:after="283"/>
              <w:jc w:val="right"/>
              <w:rPr/>
            </w:pPr>
            <w:r>
              <w:rPr/>
              <w:t>797</w:t>
            </w:r>
          </w:p>
        </w:tc>
        <w:tc>
          <w:tcPr>
            <w:tcW w:w="112" w:type="dxa"/>
            <w:tcBorders/>
            <w:shd w:fill="FFFFFF" w:val="clear"/>
            <w:vAlign w:val="center"/>
          </w:tcPr>
          <w:p>
            <w:pPr>
              <w:pStyle w:val="TableContents"/>
              <w:bidi w:val="0"/>
              <w:spacing w:before="0" w:after="283"/>
              <w:jc w:val="left"/>
              <w:rPr/>
            </w:pPr>
            <w:r>
              <w:rPr/>
              <w:t> </w:t>
            </w:r>
          </w:p>
        </w:tc>
      </w:tr>
      <w:tr>
        <w:trPr/>
        <w:tc>
          <w:tcPr>
            <w:tcW w:w="8567" w:type="dxa"/>
            <w:tcBorders/>
            <w:shd w:fill="CCEEFF" w:val="clear"/>
            <w:vAlign w:val="center"/>
          </w:tcPr>
          <w:p>
            <w:pPr>
              <w:pStyle w:val="TableContents"/>
              <w:bidi w:val="0"/>
              <w:spacing w:before="0" w:after="283"/>
              <w:jc w:val="both"/>
              <w:rPr/>
            </w:pPr>
            <w:r>
              <w:rPr/>
              <w:t>Property and equipment, net</w:t>
            </w:r>
          </w:p>
        </w:tc>
        <w:tc>
          <w:tcPr>
            <w:tcW w:w="60" w:type="dxa"/>
            <w:tcBorders/>
            <w:shd w:fill="CCEEFF" w:val="clear"/>
            <w:vAlign w:val="center"/>
          </w:tcPr>
          <w:p>
            <w:pPr>
              <w:pStyle w:val="TableContents"/>
              <w:bidi w:val="0"/>
              <w:spacing w:before="0" w:after="283"/>
              <w:jc w:val="left"/>
              <w:rPr/>
            </w:pPr>
            <w:r>
              <w:rPr/>
              <w:t> </w:t>
            </w:r>
          </w:p>
        </w:tc>
        <w:tc>
          <w:tcPr>
            <w:tcW w:w="249" w:type="dxa"/>
            <w:tcBorders/>
            <w:shd w:fill="CCEEFF" w:val="clear"/>
            <w:vAlign w:val="center"/>
          </w:tcPr>
          <w:p>
            <w:pPr>
              <w:pStyle w:val="TableContents"/>
              <w:bidi w:val="0"/>
              <w:spacing w:before="0" w:after="283"/>
              <w:jc w:val="left"/>
              <w:rPr/>
            </w:pPr>
            <w:r>
              <w:rPr/>
              <w:t> </w:t>
            </w:r>
          </w:p>
        </w:tc>
        <w:tc>
          <w:tcPr>
            <w:tcW w:w="1217" w:type="dxa"/>
            <w:tcBorders/>
            <w:shd w:fill="CCEEFF" w:val="clear"/>
            <w:vAlign w:val="center"/>
          </w:tcPr>
          <w:p>
            <w:pPr>
              <w:pStyle w:val="TableContents"/>
              <w:bidi w:val="0"/>
              <w:spacing w:before="0" w:after="283"/>
              <w:jc w:val="right"/>
              <w:rPr/>
            </w:pPr>
            <w:r>
              <w:rPr/>
              <w:t>2,230</w:t>
            </w:r>
          </w:p>
        </w:tc>
        <w:tc>
          <w:tcPr>
            <w:tcW w:w="112" w:type="dxa"/>
            <w:tcBorders/>
            <w:shd w:fill="CCEEFF" w:val="clear"/>
            <w:vAlign w:val="center"/>
          </w:tcPr>
          <w:p>
            <w:pPr>
              <w:pStyle w:val="TableContents"/>
              <w:bidi w:val="0"/>
              <w:spacing w:before="0" w:after="283"/>
              <w:jc w:val="left"/>
              <w:rPr/>
            </w:pPr>
            <w:r>
              <w:rPr/>
              <w:t> </w:t>
            </w:r>
          </w:p>
        </w:tc>
      </w:tr>
      <w:tr>
        <w:trPr/>
        <w:tc>
          <w:tcPr>
            <w:tcW w:w="8567" w:type="dxa"/>
            <w:tcBorders/>
            <w:shd w:fill="FFFFFF" w:val="clear"/>
            <w:vAlign w:val="center"/>
          </w:tcPr>
          <w:p>
            <w:pPr>
              <w:pStyle w:val="TableContents"/>
              <w:bidi w:val="0"/>
              <w:spacing w:before="0" w:after="283"/>
              <w:jc w:val="both"/>
              <w:rPr/>
            </w:pPr>
            <w:r>
              <w:rPr/>
              <w:t>Intangible assets</w:t>
            </w:r>
          </w:p>
        </w:tc>
        <w:tc>
          <w:tcPr>
            <w:tcW w:w="60" w:type="dxa"/>
            <w:tcBorders/>
            <w:shd w:fill="FFFFFF" w:val="clear"/>
            <w:vAlign w:val="center"/>
          </w:tcPr>
          <w:p>
            <w:pPr>
              <w:pStyle w:val="TableContents"/>
              <w:bidi w:val="0"/>
              <w:spacing w:before="0" w:after="283"/>
              <w:jc w:val="left"/>
              <w:rPr/>
            </w:pPr>
            <w:r>
              <w:rPr/>
              <w:t> </w:t>
            </w:r>
          </w:p>
        </w:tc>
        <w:tc>
          <w:tcPr>
            <w:tcW w:w="249" w:type="dxa"/>
            <w:tcBorders/>
            <w:shd w:fill="FFFFFF" w:val="clear"/>
            <w:vAlign w:val="center"/>
          </w:tcPr>
          <w:p>
            <w:pPr>
              <w:pStyle w:val="TableContents"/>
              <w:bidi w:val="0"/>
              <w:spacing w:before="0" w:after="283"/>
              <w:jc w:val="left"/>
              <w:rPr/>
            </w:pPr>
            <w:r>
              <w:rPr/>
              <w:t> </w:t>
            </w:r>
          </w:p>
        </w:tc>
        <w:tc>
          <w:tcPr>
            <w:tcW w:w="1217" w:type="dxa"/>
            <w:tcBorders/>
            <w:shd w:fill="FFFFFF" w:val="clear"/>
            <w:vAlign w:val="center"/>
          </w:tcPr>
          <w:p>
            <w:pPr>
              <w:pStyle w:val="TableContents"/>
              <w:bidi w:val="0"/>
              <w:spacing w:before="0" w:after="283"/>
              <w:jc w:val="right"/>
              <w:rPr/>
            </w:pPr>
            <w:r>
              <w:rPr/>
              <w:t>4,300</w:t>
            </w:r>
          </w:p>
        </w:tc>
        <w:tc>
          <w:tcPr>
            <w:tcW w:w="112" w:type="dxa"/>
            <w:tcBorders/>
            <w:shd w:fill="FFFFFF" w:val="clear"/>
            <w:vAlign w:val="center"/>
          </w:tcPr>
          <w:p>
            <w:pPr>
              <w:pStyle w:val="TableContents"/>
              <w:bidi w:val="0"/>
              <w:spacing w:before="0" w:after="283"/>
              <w:jc w:val="left"/>
              <w:rPr/>
            </w:pPr>
            <w:r>
              <w:rPr/>
              <w:t> </w:t>
            </w:r>
          </w:p>
        </w:tc>
      </w:tr>
      <w:tr>
        <w:trPr/>
        <w:tc>
          <w:tcPr>
            <w:tcW w:w="8567" w:type="dxa"/>
            <w:tcBorders/>
            <w:shd w:fill="CCEEFF" w:val="clear"/>
            <w:vAlign w:val="center"/>
          </w:tcPr>
          <w:p>
            <w:pPr>
              <w:pStyle w:val="TableContents"/>
              <w:bidi w:val="0"/>
              <w:spacing w:before="0" w:after="283"/>
              <w:jc w:val="both"/>
              <w:rPr/>
            </w:pPr>
            <w:r>
              <w:rPr/>
              <w:t>Operating lease right-of-use assets</w:t>
            </w:r>
          </w:p>
        </w:tc>
        <w:tc>
          <w:tcPr>
            <w:tcW w:w="60" w:type="dxa"/>
            <w:tcBorders/>
            <w:shd w:fill="CCEEFF" w:val="clear"/>
            <w:vAlign w:val="center"/>
          </w:tcPr>
          <w:p>
            <w:pPr>
              <w:pStyle w:val="TableContents"/>
              <w:bidi w:val="0"/>
              <w:spacing w:before="0" w:after="283"/>
              <w:jc w:val="left"/>
              <w:rPr/>
            </w:pPr>
            <w:r>
              <w:rPr/>
              <w:t> </w:t>
            </w:r>
          </w:p>
        </w:tc>
        <w:tc>
          <w:tcPr>
            <w:tcW w:w="249" w:type="dxa"/>
            <w:tcBorders/>
            <w:shd w:fill="CCEEFF" w:val="clear"/>
            <w:vAlign w:val="center"/>
          </w:tcPr>
          <w:p>
            <w:pPr>
              <w:pStyle w:val="TableContents"/>
              <w:bidi w:val="0"/>
              <w:spacing w:before="0" w:after="283"/>
              <w:jc w:val="left"/>
              <w:rPr/>
            </w:pPr>
            <w:r>
              <w:rPr/>
              <w:t> </w:t>
            </w:r>
          </w:p>
        </w:tc>
        <w:tc>
          <w:tcPr>
            <w:tcW w:w="1217" w:type="dxa"/>
            <w:tcBorders/>
            <w:shd w:fill="CCEEFF" w:val="clear"/>
            <w:vAlign w:val="center"/>
          </w:tcPr>
          <w:p>
            <w:pPr>
              <w:pStyle w:val="TableContents"/>
              <w:bidi w:val="0"/>
              <w:spacing w:before="0" w:after="283"/>
              <w:jc w:val="right"/>
              <w:rPr/>
            </w:pPr>
            <w:r>
              <w:rPr/>
              <w:t>2,563</w:t>
            </w:r>
          </w:p>
        </w:tc>
        <w:tc>
          <w:tcPr>
            <w:tcW w:w="112" w:type="dxa"/>
            <w:tcBorders/>
            <w:shd w:fill="CCEEFF" w:val="clear"/>
            <w:vAlign w:val="center"/>
          </w:tcPr>
          <w:p>
            <w:pPr>
              <w:pStyle w:val="TableContents"/>
              <w:bidi w:val="0"/>
              <w:spacing w:before="0" w:after="283"/>
              <w:jc w:val="left"/>
              <w:rPr/>
            </w:pPr>
            <w:r>
              <w:rPr/>
              <w:t> </w:t>
            </w:r>
          </w:p>
        </w:tc>
      </w:tr>
      <w:tr>
        <w:trPr/>
        <w:tc>
          <w:tcPr>
            <w:tcW w:w="8567" w:type="dxa"/>
            <w:tcBorders/>
            <w:shd w:fill="FFFFFF" w:val="clear"/>
            <w:vAlign w:val="center"/>
          </w:tcPr>
          <w:p>
            <w:pPr>
              <w:pStyle w:val="TableContents"/>
              <w:bidi w:val="0"/>
              <w:spacing w:before="0" w:after="283"/>
              <w:jc w:val="both"/>
              <w:rPr/>
            </w:pPr>
            <w:r>
              <w:rPr/>
              <w:t>Other noncurrent assets</w:t>
            </w:r>
          </w:p>
        </w:tc>
        <w:tc>
          <w:tcPr>
            <w:tcW w:w="60" w:type="dxa"/>
            <w:tcBorders/>
            <w:shd w:fill="FFFFFF" w:val="clear"/>
            <w:vAlign w:val="center"/>
          </w:tcPr>
          <w:p>
            <w:pPr>
              <w:pStyle w:val="TableContents"/>
              <w:bidi w:val="0"/>
              <w:spacing w:before="0" w:after="283"/>
              <w:jc w:val="left"/>
              <w:rPr/>
            </w:pPr>
            <w:r>
              <w:rPr/>
              <w:t> </w:t>
            </w:r>
          </w:p>
        </w:tc>
        <w:tc>
          <w:tcPr>
            <w:tcW w:w="249" w:type="dxa"/>
            <w:tcBorders/>
            <w:shd w:fill="FFFFFF" w:val="clear"/>
            <w:vAlign w:val="center"/>
          </w:tcPr>
          <w:p>
            <w:pPr>
              <w:pStyle w:val="TableContents"/>
              <w:bidi w:val="0"/>
              <w:spacing w:before="0" w:after="283"/>
              <w:jc w:val="left"/>
              <w:rPr/>
            </w:pPr>
            <w:r>
              <w:rPr/>
              <w:t> </w:t>
            </w:r>
          </w:p>
        </w:tc>
        <w:tc>
          <w:tcPr>
            <w:tcW w:w="1217" w:type="dxa"/>
            <w:tcBorders/>
            <w:shd w:fill="FFFFFF" w:val="clear"/>
            <w:vAlign w:val="center"/>
          </w:tcPr>
          <w:p>
            <w:pPr>
              <w:pStyle w:val="TableContents"/>
              <w:bidi w:val="0"/>
              <w:spacing w:before="0" w:after="283"/>
              <w:jc w:val="right"/>
              <w:rPr/>
            </w:pPr>
            <w:r>
              <w:rPr/>
              <w:t>182</w:t>
            </w:r>
          </w:p>
        </w:tc>
        <w:tc>
          <w:tcPr>
            <w:tcW w:w="112" w:type="dxa"/>
            <w:tcBorders/>
            <w:shd w:fill="FFFFFF" w:val="clear"/>
            <w:vAlign w:val="center"/>
          </w:tcPr>
          <w:p>
            <w:pPr>
              <w:pStyle w:val="TableContents"/>
              <w:bidi w:val="0"/>
              <w:spacing w:before="0" w:after="283"/>
              <w:jc w:val="left"/>
              <w:rPr/>
            </w:pPr>
            <w:r>
              <w:rPr/>
              <w:t> </w:t>
            </w:r>
          </w:p>
        </w:tc>
      </w:tr>
      <w:tr>
        <w:trPr/>
        <w:tc>
          <w:tcPr>
            <w:tcW w:w="8567" w:type="dxa"/>
            <w:tcBorders/>
            <w:shd w:fill="CCEEFF" w:val="clear"/>
            <w:vAlign w:val="center"/>
          </w:tcPr>
          <w:p>
            <w:pPr>
              <w:pStyle w:val="TableContents"/>
              <w:bidi w:val="0"/>
              <w:spacing w:before="0" w:after="283"/>
              <w:jc w:val="both"/>
              <w:rPr/>
            </w:pPr>
            <w:r>
              <w:rPr/>
              <w:t>Accounts payable</w:t>
            </w:r>
          </w:p>
        </w:tc>
        <w:tc>
          <w:tcPr>
            <w:tcW w:w="60" w:type="dxa"/>
            <w:tcBorders/>
            <w:shd w:fill="CCEEFF" w:val="clear"/>
            <w:vAlign w:val="center"/>
          </w:tcPr>
          <w:p>
            <w:pPr>
              <w:pStyle w:val="TableContents"/>
              <w:bidi w:val="0"/>
              <w:spacing w:before="0" w:after="283"/>
              <w:jc w:val="left"/>
              <w:rPr/>
            </w:pPr>
            <w:r>
              <w:rPr/>
              <w:t> </w:t>
            </w:r>
          </w:p>
        </w:tc>
        <w:tc>
          <w:tcPr>
            <w:tcW w:w="249" w:type="dxa"/>
            <w:tcBorders/>
            <w:shd w:fill="CCEEFF" w:val="clear"/>
            <w:vAlign w:val="center"/>
          </w:tcPr>
          <w:p>
            <w:pPr>
              <w:pStyle w:val="TableContents"/>
              <w:bidi w:val="0"/>
              <w:spacing w:before="0" w:after="283"/>
              <w:jc w:val="left"/>
              <w:rPr/>
            </w:pPr>
            <w:r>
              <w:rPr/>
              <w:t> </w:t>
            </w:r>
          </w:p>
        </w:tc>
        <w:tc>
          <w:tcPr>
            <w:tcW w:w="1217" w:type="dxa"/>
            <w:tcBorders/>
            <w:shd w:fill="CCEEFF" w:val="clear"/>
            <w:vAlign w:val="center"/>
          </w:tcPr>
          <w:p>
            <w:pPr>
              <w:pStyle w:val="TableContents"/>
              <w:bidi w:val="0"/>
              <w:spacing w:before="0" w:after="283"/>
              <w:jc w:val="right"/>
              <w:rPr/>
            </w:pPr>
            <w:r>
              <w:rPr/>
              <w:t>(2,806</w:t>
            </w:r>
          </w:p>
        </w:tc>
        <w:tc>
          <w:tcPr>
            <w:tcW w:w="112" w:type="dxa"/>
            <w:tcBorders/>
            <w:shd w:fill="CCEEFF" w:val="clear"/>
            <w:vAlign w:val="center"/>
          </w:tcPr>
          <w:p>
            <w:pPr>
              <w:pStyle w:val="TableContents"/>
              <w:bidi w:val="0"/>
              <w:spacing w:before="0" w:after="283"/>
              <w:jc w:val="left"/>
              <w:rPr/>
            </w:pPr>
            <w:r>
              <w:rPr/>
              <w:t>)</w:t>
            </w:r>
          </w:p>
        </w:tc>
      </w:tr>
      <w:tr>
        <w:trPr/>
        <w:tc>
          <w:tcPr>
            <w:tcW w:w="8567" w:type="dxa"/>
            <w:tcBorders/>
            <w:shd w:fill="FFFFFF" w:val="clear"/>
            <w:vAlign w:val="center"/>
          </w:tcPr>
          <w:p>
            <w:pPr>
              <w:pStyle w:val="TableContents"/>
              <w:bidi w:val="0"/>
              <w:spacing w:before="0" w:after="283"/>
              <w:jc w:val="both"/>
              <w:rPr/>
            </w:pPr>
            <w:r>
              <w:rPr/>
              <w:t>Accrued expenses and other current liabilities</w:t>
            </w:r>
          </w:p>
        </w:tc>
        <w:tc>
          <w:tcPr>
            <w:tcW w:w="60" w:type="dxa"/>
            <w:tcBorders/>
            <w:shd w:fill="FFFFFF" w:val="clear"/>
            <w:vAlign w:val="center"/>
          </w:tcPr>
          <w:p>
            <w:pPr>
              <w:pStyle w:val="TableContents"/>
              <w:bidi w:val="0"/>
              <w:spacing w:before="0" w:after="283"/>
              <w:jc w:val="left"/>
              <w:rPr/>
            </w:pPr>
            <w:r>
              <w:rPr/>
              <w:t> </w:t>
            </w:r>
          </w:p>
        </w:tc>
        <w:tc>
          <w:tcPr>
            <w:tcW w:w="249" w:type="dxa"/>
            <w:tcBorders/>
            <w:shd w:fill="FFFFFF" w:val="clear"/>
            <w:vAlign w:val="center"/>
          </w:tcPr>
          <w:p>
            <w:pPr>
              <w:pStyle w:val="TableContents"/>
              <w:bidi w:val="0"/>
              <w:spacing w:before="0" w:after="283"/>
              <w:jc w:val="left"/>
              <w:rPr/>
            </w:pPr>
            <w:r>
              <w:rPr/>
              <w:t> </w:t>
            </w:r>
          </w:p>
        </w:tc>
        <w:tc>
          <w:tcPr>
            <w:tcW w:w="1217" w:type="dxa"/>
            <w:tcBorders/>
            <w:shd w:fill="FFFFFF" w:val="clear"/>
            <w:vAlign w:val="center"/>
          </w:tcPr>
          <w:p>
            <w:pPr>
              <w:pStyle w:val="TableContents"/>
              <w:bidi w:val="0"/>
              <w:spacing w:before="0" w:after="283"/>
              <w:jc w:val="right"/>
              <w:rPr/>
            </w:pPr>
            <w:r>
              <w:rPr/>
              <w:t>(2,917</w:t>
            </w:r>
          </w:p>
        </w:tc>
        <w:tc>
          <w:tcPr>
            <w:tcW w:w="112" w:type="dxa"/>
            <w:tcBorders/>
            <w:shd w:fill="FFFFFF" w:val="clear"/>
            <w:vAlign w:val="center"/>
          </w:tcPr>
          <w:p>
            <w:pPr>
              <w:pStyle w:val="TableContents"/>
              <w:bidi w:val="0"/>
              <w:spacing w:before="0" w:after="283"/>
              <w:jc w:val="left"/>
              <w:rPr/>
            </w:pPr>
            <w:r>
              <w:rPr/>
              <w:t>)</w:t>
            </w:r>
          </w:p>
        </w:tc>
      </w:tr>
      <w:tr>
        <w:trPr/>
        <w:tc>
          <w:tcPr>
            <w:tcW w:w="8567" w:type="dxa"/>
            <w:tcBorders/>
            <w:shd w:fill="CCEEFF" w:val="clear"/>
            <w:vAlign w:val="center"/>
          </w:tcPr>
          <w:p>
            <w:pPr>
              <w:pStyle w:val="TableContents"/>
              <w:bidi w:val="0"/>
              <w:spacing w:before="0" w:after="283"/>
              <w:jc w:val="both"/>
              <w:rPr/>
            </w:pPr>
            <w:r>
              <w:rPr/>
              <w:t>Contract liabilities</w:t>
            </w:r>
          </w:p>
        </w:tc>
        <w:tc>
          <w:tcPr>
            <w:tcW w:w="60" w:type="dxa"/>
            <w:tcBorders/>
            <w:shd w:fill="CCEEFF" w:val="clear"/>
            <w:vAlign w:val="center"/>
          </w:tcPr>
          <w:p>
            <w:pPr>
              <w:pStyle w:val="TableContents"/>
              <w:bidi w:val="0"/>
              <w:spacing w:before="0" w:after="283"/>
              <w:jc w:val="left"/>
              <w:rPr/>
            </w:pPr>
            <w:r>
              <w:rPr/>
              <w:t> </w:t>
            </w:r>
          </w:p>
        </w:tc>
        <w:tc>
          <w:tcPr>
            <w:tcW w:w="249" w:type="dxa"/>
            <w:tcBorders/>
            <w:shd w:fill="CCEEFF" w:val="clear"/>
            <w:vAlign w:val="center"/>
          </w:tcPr>
          <w:p>
            <w:pPr>
              <w:pStyle w:val="TableContents"/>
              <w:bidi w:val="0"/>
              <w:spacing w:before="0" w:after="283"/>
              <w:jc w:val="left"/>
              <w:rPr/>
            </w:pPr>
            <w:r>
              <w:rPr/>
              <w:t> </w:t>
            </w:r>
          </w:p>
        </w:tc>
        <w:tc>
          <w:tcPr>
            <w:tcW w:w="1217" w:type="dxa"/>
            <w:tcBorders/>
            <w:shd w:fill="CCEEFF" w:val="clear"/>
            <w:vAlign w:val="center"/>
          </w:tcPr>
          <w:p>
            <w:pPr>
              <w:pStyle w:val="TableContents"/>
              <w:bidi w:val="0"/>
              <w:spacing w:before="0" w:after="283"/>
              <w:jc w:val="right"/>
              <w:rPr/>
            </w:pPr>
            <w:r>
              <w:rPr/>
              <w:t>(1,675</w:t>
            </w:r>
          </w:p>
        </w:tc>
        <w:tc>
          <w:tcPr>
            <w:tcW w:w="112" w:type="dxa"/>
            <w:tcBorders/>
            <w:shd w:fill="CCEEFF" w:val="clear"/>
            <w:vAlign w:val="center"/>
          </w:tcPr>
          <w:p>
            <w:pPr>
              <w:pStyle w:val="TableContents"/>
              <w:bidi w:val="0"/>
              <w:spacing w:before="0" w:after="283"/>
              <w:jc w:val="left"/>
              <w:rPr/>
            </w:pPr>
            <w:r>
              <w:rPr/>
              <w:t>)</w:t>
            </w:r>
          </w:p>
        </w:tc>
      </w:tr>
      <w:tr>
        <w:trPr/>
        <w:tc>
          <w:tcPr>
            <w:tcW w:w="8567" w:type="dxa"/>
            <w:tcBorders/>
            <w:shd w:fill="FFFFFF" w:val="clear"/>
            <w:vAlign w:val="center"/>
          </w:tcPr>
          <w:p>
            <w:pPr>
              <w:pStyle w:val="TableContents"/>
              <w:bidi w:val="0"/>
              <w:spacing w:before="0" w:after="283"/>
              <w:jc w:val="both"/>
              <w:rPr/>
            </w:pPr>
            <w:r>
              <w:rPr/>
              <w:t>Operating lease liabilities, noncurrent</w:t>
            </w:r>
          </w:p>
        </w:tc>
        <w:tc>
          <w:tcPr>
            <w:tcW w:w="60" w:type="dxa"/>
            <w:tcBorders/>
            <w:shd w:fill="FFFFFF" w:val="clear"/>
            <w:vAlign w:val="center"/>
          </w:tcPr>
          <w:p>
            <w:pPr>
              <w:pStyle w:val="TableContents"/>
              <w:bidi w:val="0"/>
              <w:spacing w:before="0" w:after="283"/>
              <w:jc w:val="left"/>
              <w:rPr/>
            </w:pPr>
            <w:r>
              <w:rPr/>
              <w:t> </w:t>
            </w:r>
          </w:p>
        </w:tc>
        <w:tc>
          <w:tcPr>
            <w:tcW w:w="249" w:type="dxa"/>
            <w:tcBorders/>
            <w:shd w:fill="FFFFFF" w:val="clear"/>
            <w:vAlign w:val="center"/>
          </w:tcPr>
          <w:p>
            <w:pPr>
              <w:pStyle w:val="TableContents"/>
              <w:bidi w:val="0"/>
              <w:spacing w:before="0" w:after="283"/>
              <w:jc w:val="left"/>
              <w:rPr/>
            </w:pPr>
            <w:r>
              <w:rPr/>
              <w:t> </w:t>
            </w:r>
          </w:p>
        </w:tc>
        <w:tc>
          <w:tcPr>
            <w:tcW w:w="1217" w:type="dxa"/>
            <w:tcBorders/>
            <w:shd w:fill="FFFFFF" w:val="clear"/>
            <w:vAlign w:val="center"/>
          </w:tcPr>
          <w:p>
            <w:pPr>
              <w:pStyle w:val="TableContents"/>
              <w:bidi w:val="0"/>
              <w:spacing w:before="0" w:after="283"/>
              <w:jc w:val="right"/>
              <w:rPr/>
            </w:pPr>
            <w:r>
              <w:rPr/>
              <w:t>(2,702</w:t>
            </w:r>
          </w:p>
        </w:tc>
        <w:tc>
          <w:tcPr>
            <w:tcW w:w="112" w:type="dxa"/>
            <w:tcBorders/>
            <w:shd w:fill="FFFFFF" w:val="clear"/>
            <w:vAlign w:val="center"/>
          </w:tcPr>
          <w:p>
            <w:pPr>
              <w:pStyle w:val="TableContents"/>
              <w:bidi w:val="0"/>
              <w:spacing w:before="0" w:after="283"/>
              <w:jc w:val="left"/>
              <w:rPr/>
            </w:pPr>
            <w:r>
              <w:rPr/>
              <w:t>)</w:t>
            </w:r>
          </w:p>
        </w:tc>
      </w:tr>
      <w:tr>
        <w:trPr/>
        <w:tc>
          <w:tcPr>
            <w:tcW w:w="8567" w:type="dxa"/>
            <w:tcBorders/>
            <w:shd w:fill="CCEEFF" w:val="clear"/>
            <w:vAlign w:val="center"/>
          </w:tcPr>
          <w:p>
            <w:pPr>
              <w:pStyle w:val="TableContents"/>
              <w:bidi w:val="0"/>
              <w:spacing w:before="0" w:after="283"/>
              <w:jc w:val="both"/>
              <w:rPr/>
            </w:pPr>
            <w:r>
              <w:rPr/>
              <w:t>Finance lease liabilities</w:t>
            </w:r>
          </w:p>
        </w:tc>
        <w:tc>
          <w:tcPr>
            <w:tcW w:w="60" w:type="dxa"/>
            <w:tcBorders/>
            <w:shd w:fill="CCEEFF" w:val="clear"/>
            <w:vAlign w:val="center"/>
          </w:tcPr>
          <w:p>
            <w:pPr>
              <w:pStyle w:val="TableContents"/>
              <w:bidi w:val="0"/>
              <w:spacing w:before="0" w:after="283"/>
              <w:jc w:val="left"/>
              <w:rPr/>
            </w:pPr>
            <w:r>
              <w:rPr/>
              <w:t> </w:t>
            </w:r>
          </w:p>
        </w:tc>
        <w:tc>
          <w:tcPr>
            <w:tcW w:w="249"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17" w:type="dxa"/>
            <w:tcBorders>
              <w:bottom w:val="single" w:sz="12" w:space="0" w:color="000000"/>
            </w:tcBorders>
            <w:shd w:fill="CCEEFF" w:val="clear"/>
            <w:tcMar>
              <w:bottom w:w="28" w:type="dxa"/>
            </w:tcMar>
            <w:vAlign w:val="center"/>
          </w:tcPr>
          <w:p>
            <w:pPr>
              <w:pStyle w:val="TableContents"/>
              <w:bidi w:val="0"/>
              <w:spacing w:before="0" w:after="283"/>
              <w:jc w:val="right"/>
              <w:rPr/>
            </w:pPr>
            <w:r>
              <w:rPr/>
              <w:t>(1,269</w:t>
            </w:r>
          </w:p>
        </w:tc>
        <w:tc>
          <w:tcPr>
            <w:tcW w:w="112" w:type="dxa"/>
            <w:tcBorders/>
            <w:shd w:fill="CCEEFF" w:val="clear"/>
            <w:vAlign w:val="center"/>
          </w:tcPr>
          <w:p>
            <w:pPr>
              <w:pStyle w:val="TableContents"/>
              <w:bidi w:val="0"/>
              <w:spacing w:before="0" w:after="283"/>
              <w:jc w:val="left"/>
              <w:rPr/>
            </w:pPr>
            <w:r>
              <w:rPr/>
              <w:t>)</w:t>
            </w:r>
          </w:p>
        </w:tc>
      </w:tr>
      <w:tr>
        <w:trPr/>
        <w:tc>
          <w:tcPr>
            <w:tcW w:w="8567" w:type="dxa"/>
            <w:tcBorders/>
            <w:shd w:fill="FFFFFF" w:val="clear"/>
            <w:vAlign w:val="center"/>
          </w:tcPr>
          <w:p>
            <w:pPr>
              <w:pStyle w:val="TableContents"/>
              <w:bidi w:val="0"/>
              <w:spacing w:before="0" w:after="283"/>
              <w:jc w:val="both"/>
              <w:rPr/>
            </w:pPr>
            <w:r>
              <w:rPr/>
              <w:t>Fair value of net assets acquired</w:t>
            </w:r>
          </w:p>
        </w:tc>
        <w:tc>
          <w:tcPr>
            <w:tcW w:w="60" w:type="dxa"/>
            <w:tcBorders/>
            <w:shd w:fill="FFFFFF" w:val="clear"/>
            <w:vAlign w:val="center"/>
          </w:tcPr>
          <w:p>
            <w:pPr>
              <w:pStyle w:val="TableContents"/>
              <w:bidi w:val="0"/>
              <w:spacing w:before="0" w:after="283"/>
              <w:jc w:val="left"/>
              <w:rPr/>
            </w:pPr>
            <w:r>
              <w:rPr/>
              <w:t> </w:t>
            </w:r>
          </w:p>
        </w:tc>
        <w:tc>
          <w:tcPr>
            <w:tcW w:w="249"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17" w:type="dxa"/>
            <w:tcBorders>
              <w:bottom w:val="single" w:sz="12" w:space="0" w:color="000000"/>
            </w:tcBorders>
            <w:shd w:fill="FFFFFF" w:val="clear"/>
            <w:tcMar>
              <w:bottom w:w="28" w:type="dxa"/>
            </w:tcMar>
            <w:vAlign w:val="center"/>
          </w:tcPr>
          <w:p>
            <w:pPr>
              <w:pStyle w:val="TableContents"/>
              <w:bidi w:val="0"/>
              <w:spacing w:before="0" w:after="283"/>
              <w:jc w:val="right"/>
              <w:rPr/>
            </w:pPr>
            <w:r>
              <w:rPr/>
              <w:t>2,564</w:t>
            </w:r>
          </w:p>
        </w:tc>
        <w:tc>
          <w:tcPr>
            <w:tcW w:w="112" w:type="dxa"/>
            <w:tcBorders/>
            <w:shd w:fill="FFFFFF" w:val="clear"/>
            <w:vAlign w:val="center"/>
          </w:tcPr>
          <w:p>
            <w:pPr>
              <w:pStyle w:val="TableContents"/>
              <w:bidi w:val="0"/>
              <w:spacing w:before="0" w:after="283"/>
              <w:jc w:val="left"/>
              <w:rPr/>
            </w:pPr>
            <w:r>
              <w:rPr/>
              <w:t> </w:t>
            </w:r>
          </w:p>
        </w:tc>
      </w:tr>
      <w:tr>
        <w:trPr/>
        <w:tc>
          <w:tcPr>
            <w:tcW w:w="8567" w:type="dxa"/>
            <w:tcBorders/>
            <w:shd w:fill="CCEEFF" w:val="clear"/>
            <w:vAlign w:val="center"/>
          </w:tcPr>
          <w:p>
            <w:pPr>
              <w:pStyle w:val="TableContents"/>
              <w:bidi w:val="0"/>
              <w:spacing w:before="0" w:after="283"/>
              <w:jc w:val="both"/>
              <w:rPr/>
            </w:pPr>
            <w:r>
              <w:rPr/>
              <w:t>Fair value of common stock issued (classified within Additional paid-in-capital)</w:t>
            </w:r>
          </w:p>
        </w:tc>
        <w:tc>
          <w:tcPr>
            <w:tcW w:w="60" w:type="dxa"/>
            <w:tcBorders/>
            <w:shd w:fill="CCEEFF" w:val="clear"/>
            <w:vAlign w:val="center"/>
          </w:tcPr>
          <w:p>
            <w:pPr>
              <w:pStyle w:val="TableContents"/>
              <w:bidi w:val="0"/>
              <w:spacing w:before="0" w:after="283"/>
              <w:jc w:val="left"/>
              <w:rPr/>
            </w:pPr>
            <w:r>
              <w:rPr/>
              <w:t> </w:t>
            </w:r>
          </w:p>
        </w:tc>
        <w:tc>
          <w:tcPr>
            <w:tcW w:w="249" w:type="dxa"/>
            <w:tcBorders/>
            <w:shd w:fill="CCEEFF" w:val="clear"/>
            <w:vAlign w:val="center"/>
          </w:tcPr>
          <w:p>
            <w:pPr>
              <w:pStyle w:val="TableContents"/>
              <w:bidi w:val="0"/>
              <w:spacing w:before="0" w:after="283"/>
              <w:jc w:val="left"/>
              <w:rPr/>
            </w:pPr>
            <w:r>
              <w:rPr/>
              <w:t> </w:t>
            </w:r>
          </w:p>
        </w:tc>
        <w:tc>
          <w:tcPr>
            <w:tcW w:w="1217" w:type="dxa"/>
            <w:tcBorders/>
            <w:shd w:fill="CCEEFF" w:val="clear"/>
            <w:vAlign w:val="center"/>
          </w:tcPr>
          <w:p>
            <w:pPr>
              <w:pStyle w:val="TableContents"/>
              <w:bidi w:val="0"/>
              <w:spacing w:before="0" w:after="283"/>
              <w:jc w:val="right"/>
              <w:rPr/>
            </w:pPr>
            <w:r>
              <w:rPr/>
              <w:t>16,493</w:t>
            </w:r>
          </w:p>
        </w:tc>
        <w:tc>
          <w:tcPr>
            <w:tcW w:w="112" w:type="dxa"/>
            <w:tcBorders/>
            <w:shd w:fill="CCEEFF" w:val="clear"/>
            <w:vAlign w:val="center"/>
          </w:tcPr>
          <w:p>
            <w:pPr>
              <w:pStyle w:val="TableContents"/>
              <w:bidi w:val="0"/>
              <w:spacing w:before="0" w:after="283"/>
              <w:ind w:left="0" w:right="0" w:hanging="180"/>
              <w:jc w:val="left"/>
              <w:rPr/>
            </w:pPr>
            <w:r>
              <w:rPr/>
              <w:t> </w:t>
            </w:r>
          </w:p>
        </w:tc>
      </w:tr>
      <w:tr>
        <w:trPr/>
        <w:tc>
          <w:tcPr>
            <w:tcW w:w="8567" w:type="dxa"/>
            <w:tcBorders/>
            <w:shd w:fill="FFFFFF" w:val="clear"/>
            <w:vAlign w:val="center"/>
          </w:tcPr>
          <w:p>
            <w:pPr>
              <w:pStyle w:val="TableContents"/>
              <w:bidi w:val="0"/>
              <w:spacing w:before="0" w:after="283"/>
              <w:jc w:val="both"/>
              <w:rPr/>
            </w:pPr>
            <w:r>
              <w:rPr/>
              <w:t>Fair value of Deferred Ambia Consideration Shares (Accrued expenses and other current liabilities)</w:t>
            </w:r>
          </w:p>
        </w:tc>
        <w:tc>
          <w:tcPr>
            <w:tcW w:w="60" w:type="dxa"/>
            <w:tcBorders/>
            <w:shd w:fill="FFFFFF" w:val="clear"/>
            <w:vAlign w:val="center"/>
          </w:tcPr>
          <w:p>
            <w:pPr>
              <w:pStyle w:val="TableContents"/>
              <w:bidi w:val="0"/>
              <w:spacing w:before="0" w:after="283"/>
              <w:jc w:val="left"/>
              <w:rPr/>
            </w:pPr>
            <w:r>
              <w:rPr/>
              <w:t> </w:t>
            </w:r>
          </w:p>
        </w:tc>
        <w:tc>
          <w:tcPr>
            <w:tcW w:w="249"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17" w:type="dxa"/>
            <w:tcBorders>
              <w:bottom w:val="single" w:sz="12" w:space="0" w:color="000000"/>
            </w:tcBorders>
            <w:shd w:fill="FFFFFF" w:val="clear"/>
            <w:tcMar>
              <w:bottom w:w="28" w:type="dxa"/>
            </w:tcMar>
            <w:vAlign w:val="center"/>
          </w:tcPr>
          <w:p>
            <w:pPr>
              <w:pStyle w:val="TableContents"/>
              <w:bidi w:val="0"/>
              <w:spacing w:before="0" w:after="283"/>
              <w:jc w:val="right"/>
              <w:rPr/>
            </w:pPr>
            <w:r>
              <w:rPr/>
              <w:t>16,879</w:t>
            </w:r>
          </w:p>
        </w:tc>
        <w:tc>
          <w:tcPr>
            <w:tcW w:w="112" w:type="dxa"/>
            <w:tcBorders/>
            <w:shd w:fill="FFFFFF" w:val="clear"/>
            <w:vAlign w:val="center"/>
          </w:tcPr>
          <w:p>
            <w:pPr>
              <w:pStyle w:val="TableContents"/>
              <w:bidi w:val="0"/>
              <w:spacing w:before="0" w:after="283"/>
              <w:jc w:val="left"/>
              <w:rPr/>
            </w:pPr>
            <w:r>
              <w:rPr/>
              <w:t> </w:t>
            </w:r>
          </w:p>
        </w:tc>
      </w:tr>
      <w:tr>
        <w:trPr/>
        <w:tc>
          <w:tcPr>
            <w:tcW w:w="8567" w:type="dxa"/>
            <w:tcBorders/>
            <w:shd w:fill="CCEEFF" w:val="clear"/>
            <w:vAlign w:val="center"/>
          </w:tcPr>
          <w:p>
            <w:pPr>
              <w:pStyle w:val="TableContents"/>
              <w:bidi w:val="0"/>
              <w:spacing w:before="0" w:after="283"/>
              <w:jc w:val="both"/>
              <w:rPr/>
            </w:pPr>
            <w:r>
              <w:rPr/>
              <w:t>Consideration transferred</w:t>
            </w:r>
          </w:p>
        </w:tc>
        <w:tc>
          <w:tcPr>
            <w:tcW w:w="60" w:type="dxa"/>
            <w:tcBorders/>
            <w:shd w:fill="CCEEFF" w:val="clear"/>
            <w:vAlign w:val="center"/>
          </w:tcPr>
          <w:p>
            <w:pPr>
              <w:pStyle w:val="TableContents"/>
              <w:bidi w:val="0"/>
              <w:spacing w:before="0" w:after="283"/>
              <w:jc w:val="left"/>
              <w:rPr/>
            </w:pPr>
            <w:r>
              <w:rPr/>
              <w:t> </w:t>
            </w:r>
          </w:p>
        </w:tc>
        <w:tc>
          <w:tcPr>
            <w:tcW w:w="249"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17" w:type="dxa"/>
            <w:tcBorders>
              <w:bottom w:val="single" w:sz="12" w:space="0" w:color="000000"/>
            </w:tcBorders>
            <w:shd w:fill="CCEEFF" w:val="clear"/>
            <w:tcMar>
              <w:bottom w:w="28" w:type="dxa"/>
            </w:tcMar>
            <w:vAlign w:val="center"/>
          </w:tcPr>
          <w:p>
            <w:pPr>
              <w:pStyle w:val="TableContents"/>
              <w:bidi w:val="0"/>
              <w:spacing w:before="0" w:after="283"/>
              <w:jc w:val="right"/>
              <w:rPr/>
            </w:pPr>
            <w:r>
              <w:rPr/>
              <w:t>33,372</w:t>
            </w:r>
          </w:p>
        </w:tc>
        <w:tc>
          <w:tcPr>
            <w:tcW w:w="112" w:type="dxa"/>
            <w:tcBorders/>
            <w:shd w:fill="CCEEFF" w:val="clear"/>
            <w:vAlign w:val="center"/>
          </w:tcPr>
          <w:p>
            <w:pPr>
              <w:pStyle w:val="TableContents"/>
              <w:bidi w:val="0"/>
              <w:spacing w:before="0" w:after="283"/>
              <w:jc w:val="left"/>
              <w:rPr/>
            </w:pPr>
            <w:r>
              <w:rPr/>
              <w:t> </w:t>
            </w:r>
          </w:p>
        </w:tc>
      </w:tr>
      <w:tr>
        <w:trPr/>
        <w:tc>
          <w:tcPr>
            <w:tcW w:w="8567" w:type="dxa"/>
            <w:tcBorders/>
            <w:shd w:fill="FFFFFF" w:val="clear"/>
            <w:vAlign w:val="center"/>
          </w:tcPr>
          <w:p>
            <w:pPr>
              <w:pStyle w:val="TableContents"/>
              <w:bidi w:val="0"/>
              <w:spacing w:before="0" w:after="283"/>
              <w:jc w:val="both"/>
              <w:rPr/>
            </w:pPr>
            <w:r>
              <w:rPr/>
              <w:t>Goodwill recognized</w:t>
            </w:r>
          </w:p>
        </w:tc>
        <w:tc>
          <w:tcPr>
            <w:tcW w:w="60" w:type="dxa"/>
            <w:tcBorders/>
            <w:shd w:fill="FFFFFF" w:val="clear"/>
            <w:vAlign w:val="center"/>
          </w:tcPr>
          <w:p>
            <w:pPr>
              <w:pStyle w:val="TableContents"/>
              <w:bidi w:val="0"/>
              <w:spacing w:before="0" w:after="283"/>
              <w:jc w:val="left"/>
              <w:rPr/>
            </w:pPr>
            <w:r>
              <w:rPr/>
              <w:t> </w:t>
            </w:r>
          </w:p>
        </w:tc>
        <w:tc>
          <w:tcPr>
            <w:tcW w:w="249" w:type="dxa"/>
            <w:tcBorders>
              <w:bottom w:val="double" w:sz="10" w:space="0" w:color="000000"/>
            </w:tcBorders>
            <w:shd w:fill="FFFFFF" w:val="clear"/>
            <w:tcMar>
              <w:bottom w:w="28" w:type="dxa"/>
            </w:tcMar>
            <w:vAlign w:val="center"/>
          </w:tcPr>
          <w:p>
            <w:pPr>
              <w:pStyle w:val="TableContents"/>
              <w:bidi w:val="0"/>
              <w:spacing w:before="0" w:after="283"/>
              <w:jc w:val="left"/>
              <w:rPr/>
            </w:pPr>
            <w:r>
              <w:rPr/>
              <w:t>$</w:t>
            </w:r>
          </w:p>
        </w:tc>
        <w:tc>
          <w:tcPr>
            <w:tcW w:w="1217" w:type="dxa"/>
            <w:tcBorders>
              <w:bottom w:val="double" w:sz="10" w:space="0" w:color="000000"/>
            </w:tcBorders>
            <w:shd w:fill="FFFFFF" w:val="clear"/>
            <w:tcMar>
              <w:bottom w:w="28" w:type="dxa"/>
            </w:tcMar>
            <w:vAlign w:val="center"/>
          </w:tcPr>
          <w:p>
            <w:pPr>
              <w:pStyle w:val="TableContents"/>
              <w:bidi w:val="0"/>
              <w:spacing w:before="0" w:after="283"/>
              <w:jc w:val="right"/>
              <w:rPr/>
            </w:pPr>
            <w:r>
              <w:rPr/>
              <w:t>30,808</w:t>
            </w:r>
          </w:p>
        </w:tc>
        <w:tc>
          <w:tcPr>
            <w:tcW w:w="112"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the date of acquisition, the intangible assets acquired and estimated useful lives were as follows:</w:t>
      </w:r>
    </w:p>
    <w:p>
      <w:pPr>
        <w:pStyle w:val="TextBody"/>
        <w:bidi w:val="0"/>
        <w:spacing w:before="0" w:after="0"/>
        <w:ind w:left="0" w:right="0" w:hanging="0"/>
        <w:jc w:val="both"/>
        <w:rPr>
          <w:caps w:val="false"/>
          <w:smallCaps w:val="false"/>
        </w:rPr>
      </w:pPr>
      <w:r>
        <w:rPr>
          <w:caps w:val="false"/>
          <w:smallCaps w:val="false"/>
        </w:rPr>
        <w:t> </w:t>
      </w:r>
    </w:p>
    <w:tbl>
      <w:tblPr>
        <w:tblW w:w="5910" w:type="dxa"/>
        <w:jc w:val="left"/>
        <w:tblInd w:w="0" w:type="dxa"/>
        <w:tblLayout w:type="fixed"/>
        <w:tblCellMar>
          <w:top w:w="0" w:type="dxa"/>
          <w:left w:w="0" w:type="dxa"/>
          <w:bottom w:w="0" w:type="dxa"/>
          <w:right w:w="0" w:type="dxa"/>
        </w:tblCellMar>
      </w:tblPr>
      <w:tblGrid>
        <w:gridCol w:w="3200"/>
        <w:gridCol w:w="60"/>
        <w:gridCol w:w="1040"/>
        <w:gridCol w:w="60"/>
        <w:gridCol w:w="295"/>
        <w:gridCol w:w="1180"/>
        <w:gridCol w:w="75"/>
      </w:tblGrid>
      <w:tr>
        <w:trPr/>
        <w:tc>
          <w:tcPr>
            <w:tcW w:w="3200"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p>
        </w:tc>
        <w:tc>
          <w:tcPr>
            <w:tcW w:w="1040" w:type="dxa"/>
            <w:tcBorders>
              <w:bottom w:val="single" w:sz="12" w:space="0" w:color="000000"/>
            </w:tcBorders>
            <w:tcMar>
              <w:bottom w:w="28" w:type="dxa"/>
            </w:tcMar>
            <w:vAlign w:val="center"/>
          </w:tcPr>
          <w:p>
            <w:pPr>
              <w:pStyle w:val="TableContents"/>
              <w:bidi w:val="0"/>
              <w:spacing w:before="0" w:after="283"/>
              <w:jc w:val="center"/>
              <w:rPr>
                <w:b/>
              </w:rPr>
            </w:pPr>
            <w:r>
              <w:rPr>
                <w:b/>
              </w:rPr>
              <w:t>Estimated</w:t>
              <w:br/>
              <w:t>useful life</w:t>
            </w:r>
          </w:p>
        </w:tc>
        <w:tc>
          <w:tcPr>
            <w:tcW w:w="60" w:type="dxa"/>
            <w:tcBorders/>
            <w:vAlign w:val="center"/>
          </w:tcPr>
          <w:p>
            <w:pPr>
              <w:pStyle w:val="TableContents"/>
              <w:bidi w:val="0"/>
              <w:spacing w:before="0" w:after="283"/>
              <w:jc w:val="left"/>
              <w:rPr/>
            </w:pPr>
            <w:r>
              <w:rPr/>
              <w:t> </w:t>
            </w:r>
          </w:p>
        </w:tc>
        <w:tc>
          <w:tcPr>
            <w:tcW w:w="147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 xml:space="preserve">Provisional </w:t>
              <w:br/>
              <w:t>Fair values</w:t>
              <w:br/>
              <w:t>as of</w:t>
              <w:br/>
              <w:t xml:space="preserve">December 28, </w:t>
              <w:br/>
              <w:t>2025</w:t>
            </w:r>
          </w:p>
        </w:tc>
        <w:tc>
          <w:tcPr>
            <w:tcW w:w="75" w:type="dxa"/>
            <w:tcBorders/>
            <w:vAlign w:val="center"/>
          </w:tcPr>
          <w:p>
            <w:pPr>
              <w:pStyle w:val="TableContents"/>
              <w:bidi w:val="0"/>
              <w:spacing w:before="0" w:after="283"/>
              <w:jc w:val="left"/>
              <w:rPr/>
            </w:pPr>
            <w:r>
              <w:rPr/>
              <w:t> </w:t>
            </w:r>
          </w:p>
        </w:tc>
      </w:tr>
      <w:tr>
        <w:trPr/>
        <w:tc>
          <w:tcPr>
            <w:tcW w:w="3200" w:type="dxa"/>
            <w:tcBorders/>
            <w:shd w:fill="CCEEFF" w:val="clear"/>
            <w:vAlign w:val="center"/>
          </w:tcPr>
          <w:p>
            <w:pPr>
              <w:pStyle w:val="TableContents"/>
              <w:bidi w:val="0"/>
              <w:spacing w:before="0" w:after="283"/>
              <w:jc w:val="both"/>
              <w:rPr/>
            </w:pPr>
            <w:r>
              <w:rPr/>
              <w:t>Customer relationships (Backlog)</w:t>
            </w:r>
          </w:p>
        </w:tc>
        <w:tc>
          <w:tcPr>
            <w:tcW w:w="60" w:type="dxa"/>
            <w:tcBorders/>
            <w:shd w:fill="CCEEFF" w:val="clear"/>
            <w:vAlign w:val="center"/>
          </w:tcPr>
          <w:p>
            <w:pPr>
              <w:pStyle w:val="TableContents"/>
              <w:bidi w:val="0"/>
              <w:spacing w:before="0" w:after="283"/>
              <w:jc w:val="left"/>
              <w:rPr/>
            </w:pPr>
            <w:r>
              <w:rPr/>
              <w:t> </w:t>
            </w:r>
          </w:p>
        </w:tc>
        <w:tc>
          <w:tcPr>
            <w:tcW w:w="1040"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 xml:space="preserve">1 year </w:t>
            </w:r>
            <w:r>
              <w:rPr>
                <w:rFonts w:ascii="Times New Roman;Times;Serif" w:hAnsi="Times New Roman;Times;Serif"/>
                <w:position w:val="7"/>
                <w:sz w:val="16"/>
                <w:sz w:val="20"/>
              </w:rPr>
              <w:t>(1)</w:t>
            </w:r>
          </w:p>
        </w:tc>
        <w:tc>
          <w:tcPr>
            <w:tcW w:w="60" w:type="dxa"/>
            <w:tcBorders/>
            <w:shd w:fill="CCEEFF" w:val="clear"/>
            <w:vAlign w:val="center"/>
          </w:tcPr>
          <w:p>
            <w:pPr>
              <w:pStyle w:val="TableContents"/>
              <w:bidi w:val="0"/>
              <w:spacing w:before="0" w:after="283"/>
              <w:jc w:val="left"/>
              <w:rPr/>
            </w:pPr>
            <w:r>
              <w:rPr/>
              <w:t> </w:t>
            </w:r>
          </w:p>
        </w:tc>
        <w:tc>
          <w:tcPr>
            <w:tcW w:w="295" w:type="dxa"/>
            <w:tcBorders/>
            <w:shd w:fill="CCEEFF" w:val="clear"/>
            <w:vAlign w:val="center"/>
          </w:tcPr>
          <w:p>
            <w:pPr>
              <w:pStyle w:val="TableContents"/>
              <w:bidi w:val="0"/>
              <w:spacing w:before="0" w:after="283"/>
              <w:jc w:val="left"/>
              <w:rPr/>
            </w:pPr>
            <w:r>
              <w:rPr/>
              <w:t>$</w:t>
            </w:r>
          </w:p>
        </w:tc>
        <w:tc>
          <w:tcPr>
            <w:tcW w:w="1180" w:type="dxa"/>
            <w:tcBorders/>
            <w:shd w:fill="CCEEFF" w:val="clear"/>
            <w:vAlign w:val="center"/>
          </w:tcPr>
          <w:p>
            <w:pPr>
              <w:pStyle w:val="TableContents"/>
              <w:bidi w:val="0"/>
              <w:spacing w:before="0" w:after="283"/>
              <w:jc w:val="right"/>
              <w:rPr/>
            </w:pPr>
            <w:r>
              <w:rPr/>
              <w:t>3,400</w:t>
            </w:r>
          </w:p>
        </w:tc>
        <w:tc>
          <w:tcPr>
            <w:tcW w:w="75" w:type="dxa"/>
            <w:tcBorders/>
            <w:shd w:fill="CCEEFF" w:val="clear"/>
            <w:vAlign w:val="center"/>
          </w:tcPr>
          <w:p>
            <w:pPr>
              <w:pStyle w:val="TableContents"/>
              <w:bidi w:val="0"/>
              <w:spacing w:before="0" w:after="283"/>
              <w:jc w:val="left"/>
              <w:rPr/>
            </w:pPr>
            <w:r>
              <w:rPr/>
              <w:t> </w:t>
            </w:r>
          </w:p>
        </w:tc>
      </w:tr>
      <w:tr>
        <w:trPr/>
        <w:tc>
          <w:tcPr>
            <w:tcW w:w="3200" w:type="dxa"/>
            <w:tcBorders/>
            <w:shd w:fill="FFFFFF" w:val="clear"/>
            <w:vAlign w:val="center"/>
          </w:tcPr>
          <w:p>
            <w:pPr>
              <w:pStyle w:val="TableContents"/>
              <w:bidi w:val="0"/>
              <w:spacing w:before="0" w:after="283"/>
              <w:jc w:val="both"/>
              <w:rPr/>
            </w:pPr>
            <w:r>
              <w:rPr/>
              <w:t>Trademarks - Ambia</w:t>
            </w:r>
          </w:p>
        </w:tc>
        <w:tc>
          <w:tcPr>
            <w:tcW w:w="60" w:type="dxa"/>
            <w:tcBorders/>
            <w:shd w:fill="FFFFFF" w:val="clear"/>
            <w:vAlign w:val="center"/>
          </w:tcPr>
          <w:p>
            <w:pPr>
              <w:pStyle w:val="TableContents"/>
              <w:bidi w:val="0"/>
              <w:spacing w:before="0" w:after="283"/>
              <w:jc w:val="left"/>
              <w:rPr/>
            </w:pPr>
            <w:r>
              <w:rPr/>
              <w:t> </w:t>
            </w:r>
          </w:p>
        </w:tc>
        <w:tc>
          <w:tcPr>
            <w:tcW w:w="1040" w:type="dxa"/>
            <w:tcBorders/>
            <w:shd w:fill="FFFFFF" w:val="clear"/>
            <w:vAlign w:val="center"/>
          </w:tcPr>
          <w:p>
            <w:pPr>
              <w:pStyle w:val="TableContents"/>
              <w:bidi w:val="0"/>
              <w:spacing w:before="0" w:after="283"/>
              <w:jc w:val="center"/>
              <w:rPr/>
            </w:pPr>
            <w:r>
              <w:rPr/>
              <w:t>1 year</w:t>
            </w:r>
          </w:p>
        </w:tc>
        <w:tc>
          <w:tcPr>
            <w:tcW w:w="60" w:type="dxa"/>
            <w:tcBorders/>
            <w:shd w:fill="FFFFFF" w:val="clear"/>
            <w:vAlign w:val="center"/>
          </w:tcPr>
          <w:p>
            <w:pPr>
              <w:pStyle w:val="TableContents"/>
              <w:bidi w:val="0"/>
              <w:spacing w:before="0" w:after="283"/>
              <w:jc w:val="left"/>
              <w:rPr/>
            </w:pPr>
            <w:r>
              <w:rPr/>
              <w:t> </w:t>
            </w:r>
          </w:p>
        </w:tc>
        <w:tc>
          <w:tcPr>
            <w:tcW w:w="295"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80" w:type="dxa"/>
            <w:tcBorders>
              <w:bottom w:val="single" w:sz="12" w:space="0" w:color="000000"/>
            </w:tcBorders>
            <w:shd w:fill="FFFFFF" w:val="clear"/>
            <w:tcMar>
              <w:bottom w:w="28" w:type="dxa"/>
            </w:tcMar>
            <w:vAlign w:val="center"/>
          </w:tcPr>
          <w:p>
            <w:pPr>
              <w:pStyle w:val="TableContents"/>
              <w:bidi w:val="0"/>
              <w:spacing w:before="0" w:after="283"/>
              <w:jc w:val="right"/>
              <w:rPr/>
            </w:pPr>
            <w:r>
              <w:rPr/>
              <w:t>900</w:t>
            </w:r>
          </w:p>
        </w:tc>
        <w:tc>
          <w:tcPr>
            <w:tcW w:w="75" w:type="dxa"/>
            <w:tcBorders/>
            <w:shd w:fill="FFFFFF" w:val="clear"/>
            <w:vAlign w:val="center"/>
          </w:tcPr>
          <w:p>
            <w:pPr>
              <w:pStyle w:val="TableContents"/>
              <w:bidi w:val="0"/>
              <w:spacing w:before="0" w:after="283"/>
              <w:jc w:val="left"/>
              <w:rPr/>
            </w:pPr>
            <w:r>
              <w:rPr/>
              <w:t> </w:t>
            </w:r>
          </w:p>
        </w:tc>
      </w:tr>
      <w:tr>
        <w:trPr/>
        <w:tc>
          <w:tcPr>
            <w:tcW w:w="3200" w:type="dxa"/>
            <w:tcBorders/>
            <w:shd w:fill="CCEEFF" w:val="clear"/>
            <w:vAlign w:val="center"/>
          </w:tcPr>
          <w:p>
            <w:pPr>
              <w:pStyle w:val="TableContents"/>
              <w:bidi w:val="0"/>
              <w:spacing w:before="0" w:after="283"/>
              <w:jc w:val="left"/>
              <w:rPr/>
            </w:pPr>
            <w:r>
              <w:rPr/>
              <w:t>Total</w:t>
            </w:r>
          </w:p>
        </w:tc>
        <w:tc>
          <w:tcPr>
            <w:tcW w:w="60" w:type="dxa"/>
            <w:tcBorders/>
            <w:shd w:fill="CCEEFF" w:val="clear"/>
            <w:vAlign w:val="center"/>
          </w:tcPr>
          <w:p>
            <w:pPr>
              <w:pStyle w:val="TableContents"/>
              <w:bidi w:val="0"/>
              <w:spacing w:before="0" w:after="283"/>
              <w:jc w:val="left"/>
              <w:rPr/>
            </w:pPr>
            <w:r>
              <w:rPr/>
              <w:t> </w:t>
            </w:r>
          </w:p>
        </w:tc>
        <w:tc>
          <w:tcPr>
            <w:tcW w:w="104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295"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180" w:type="dxa"/>
            <w:tcBorders>
              <w:bottom w:val="double" w:sz="10" w:space="0" w:color="000000"/>
            </w:tcBorders>
            <w:shd w:fill="CCEEFF" w:val="clear"/>
            <w:tcMar>
              <w:bottom w:w="28" w:type="dxa"/>
            </w:tcMar>
            <w:vAlign w:val="center"/>
          </w:tcPr>
          <w:p>
            <w:pPr>
              <w:pStyle w:val="TableContents"/>
              <w:bidi w:val="0"/>
              <w:spacing w:before="0" w:after="283"/>
              <w:jc w:val="right"/>
              <w:rPr/>
            </w:pPr>
            <w:r>
              <w:rPr/>
              <w:t>4,300</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27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Useful life is based upon customer consumption, expected to occur within one year.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Trademarks were derived using the relief from royalty method based upon the following key assumptions; (i) all sales based upon the business enterprise value; (ii) a royalty rate of 1% based upon profit split analysis and comparable licensing royalty agreements and (iii) an economic life of the Ambia name through the end of 2026, the Ambia name will only be used in certain small markets and that all sales, marketing and branding will be done under the SunPower brand name in relatively short order.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Customer relationships (backlog) was derived using the excess earnings method based upon the following key assumptions: (i) backlog meets the appropriate contractual criteria; (ii) sales were based upon the backlog of sales; (iii) expenses were based upon a percentage of sales with an adjustments for sales and marketing expenses, upon which management estimates that 100% of Ambia’s sales and marketing expenses are directed at acquiring new customers and is not required to support the backlog; (iv) charges were taken for the use of working capital, fixed assets, workforce and trademarks; (v) the economic life of the backlog is to the end of fiscal 2026 based upon management’s estimate of average deal length.</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sz w:val="20"/>
          <w:bdr w:val="single" w:sz="12" w:space="1" w:color="000000"/>
        </w:rPr>
      </w:pPr>
      <w:r>
        <w:rPr>
          <w:sz w:val="20"/>
          <w:bdr w:val="single" w:sz="12" w:space="1" w:color="000000"/>
        </w:rPr>
        <w:t>F-74</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Goodwill represents the excess of the preliminary estimated consideration transferred over the fair value of the net tangible and intangible assets acquired that is associated with the excess cash flows that the acquisition is expected to generate in the future. The goodwill is tax deductible.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Ambia contributed $7.0 million and $2.8 million in revenue and loss before income taxes from continuing operations, respectively, for the period from the acquisition date to the fiscal year ended December 28, 2025.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Unaudited Pro Forma Financial Information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unaudited pro forma financial information represents the consolidated financial statements of the Company for the periods presented, as if the SunPower Businesses acquisition occurred on January 1, 2023 and the Sunder and Ambia acquisitions occurred on December 30, 2024.</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unaudited pro forma combined financial information does not give effect to any cost savings, operating synergies or revenue synergies that may result from the acquisitions. The pro forma results do not necessarily reflect the actual results of operations of the combined business </w:t>
      </w:r>
      <w:r>
        <w:rPr>
          <w:rFonts w:ascii="Times New Roman;Times;Serif" w:hAnsi="Times New Roman;Times;Serif"/>
          <w:b w:val="false"/>
          <w:i/>
          <w:caps w:val="false"/>
          <w:smallCaps w:val="false"/>
          <w:sz w:val="20"/>
        </w:rPr>
        <w:t>(in thousands)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tbl>
      <w:tblPr>
        <w:tblW w:w="7508" w:type="dxa"/>
        <w:jc w:val="left"/>
        <w:tblInd w:w="0" w:type="dxa"/>
        <w:tblLayout w:type="fixed"/>
        <w:tblCellMar>
          <w:top w:w="0" w:type="dxa"/>
          <w:left w:w="0" w:type="dxa"/>
          <w:bottom w:w="0" w:type="dxa"/>
          <w:right w:w="0" w:type="dxa"/>
        </w:tblCellMar>
      </w:tblPr>
      <w:tblGrid>
        <w:gridCol w:w="4355"/>
        <w:gridCol w:w="60"/>
        <w:gridCol w:w="209"/>
        <w:gridCol w:w="1205"/>
        <w:gridCol w:w="95"/>
        <w:gridCol w:w="60"/>
        <w:gridCol w:w="194"/>
        <w:gridCol w:w="1220"/>
        <w:gridCol w:w="110"/>
      </w:tblGrid>
      <w:tr>
        <w:trPr/>
        <w:tc>
          <w:tcPr>
            <w:tcW w:w="43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983"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Unaudited</w:t>
            </w:r>
          </w:p>
        </w:tc>
        <w:tc>
          <w:tcPr>
            <w:tcW w:w="110" w:type="dxa"/>
            <w:tcBorders/>
            <w:vAlign w:val="center"/>
          </w:tcPr>
          <w:p>
            <w:pPr>
              <w:pStyle w:val="TableContents"/>
              <w:bidi w:val="0"/>
              <w:spacing w:before="0" w:after="283"/>
              <w:jc w:val="left"/>
              <w:rPr/>
            </w:pPr>
            <w:r>
              <w:rPr/>
              <w:t> </w:t>
            </w:r>
          </w:p>
        </w:tc>
      </w:tr>
      <w:tr>
        <w:trPr/>
        <w:tc>
          <w:tcPr>
            <w:tcW w:w="43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983"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Fiscal Year Ended</w:t>
            </w:r>
          </w:p>
        </w:tc>
        <w:tc>
          <w:tcPr>
            <w:tcW w:w="110" w:type="dxa"/>
            <w:tcBorders/>
            <w:vAlign w:val="center"/>
          </w:tcPr>
          <w:p>
            <w:pPr>
              <w:pStyle w:val="TableContents"/>
              <w:bidi w:val="0"/>
              <w:spacing w:before="0" w:after="283"/>
              <w:jc w:val="left"/>
              <w:rPr/>
            </w:pPr>
            <w:r>
              <w:rPr/>
              <w:t> </w:t>
            </w:r>
          </w:p>
        </w:tc>
      </w:tr>
      <w:tr>
        <w:trPr/>
        <w:tc>
          <w:tcPr>
            <w:tcW w:w="43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14" w:type="dxa"/>
            <w:gridSpan w:val="2"/>
            <w:tcBorders/>
            <w:vAlign w:val="center"/>
          </w:tcPr>
          <w:p>
            <w:pPr>
              <w:pStyle w:val="TableContents"/>
              <w:bidi w:val="0"/>
              <w:spacing w:before="0" w:after="283"/>
              <w:jc w:val="center"/>
              <w:rPr>
                <w:b/>
              </w:rPr>
            </w:pPr>
            <w:r>
              <w:rPr>
                <w:b/>
              </w:rPr>
              <w:t>December 28,</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14" w:type="dxa"/>
            <w:gridSpan w:val="2"/>
            <w:tcBorders/>
            <w:vAlign w:val="center"/>
          </w:tcPr>
          <w:p>
            <w:pPr>
              <w:pStyle w:val="TableContents"/>
              <w:bidi w:val="0"/>
              <w:spacing w:before="0" w:after="283"/>
              <w:jc w:val="center"/>
              <w:rPr>
                <w:b/>
              </w:rPr>
            </w:pPr>
            <w:r>
              <w:rPr>
                <w:b/>
              </w:rPr>
              <w:t>December 29,</w:t>
            </w:r>
          </w:p>
        </w:tc>
        <w:tc>
          <w:tcPr>
            <w:tcW w:w="110" w:type="dxa"/>
            <w:tcBorders/>
            <w:vAlign w:val="center"/>
          </w:tcPr>
          <w:p>
            <w:pPr>
              <w:pStyle w:val="TableContents"/>
              <w:bidi w:val="0"/>
              <w:spacing w:before="0" w:after="283"/>
              <w:jc w:val="left"/>
              <w:rPr/>
            </w:pPr>
            <w:r>
              <w:rPr/>
              <w:t> </w:t>
            </w:r>
          </w:p>
        </w:tc>
      </w:tr>
      <w:tr>
        <w:trPr/>
        <w:tc>
          <w:tcPr>
            <w:tcW w:w="43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14"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2025</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14"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2024</w:t>
            </w:r>
          </w:p>
        </w:tc>
        <w:tc>
          <w:tcPr>
            <w:tcW w:w="110" w:type="dxa"/>
            <w:tcBorders/>
            <w:vAlign w:val="center"/>
          </w:tcPr>
          <w:p>
            <w:pPr>
              <w:pStyle w:val="TableContents"/>
              <w:bidi w:val="0"/>
              <w:spacing w:before="0" w:after="283"/>
              <w:jc w:val="left"/>
              <w:rPr/>
            </w:pPr>
            <w:r>
              <w:rPr/>
              <w:t> </w:t>
            </w:r>
          </w:p>
        </w:tc>
      </w:tr>
      <w:tr>
        <w:trPr/>
        <w:tc>
          <w:tcPr>
            <w:tcW w:w="43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14" w:type="dxa"/>
            <w:gridSpan w:val="2"/>
            <w:tcBorders/>
            <w:vAlign w:val="center"/>
          </w:tcPr>
          <w:p>
            <w:pPr>
              <w:pStyle w:val="TableContents"/>
              <w:bidi w:val="0"/>
              <w:spacing w:before="0" w:after="283"/>
              <w:jc w:val="righ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14" w:type="dxa"/>
            <w:gridSpan w:val="2"/>
            <w:tcBorders/>
            <w:vAlign w:val="center"/>
          </w:tcPr>
          <w:p>
            <w:pPr>
              <w:pStyle w:val="TableContents"/>
              <w:bidi w:val="0"/>
              <w:spacing w:before="0" w:after="283"/>
              <w:jc w:val="right"/>
              <w:rPr/>
            </w:pPr>
            <w:r>
              <w:rPr/>
              <w:t> </w:t>
            </w:r>
          </w:p>
        </w:tc>
        <w:tc>
          <w:tcPr>
            <w:tcW w:w="110" w:type="dxa"/>
            <w:tcBorders/>
            <w:vAlign w:val="center"/>
          </w:tcPr>
          <w:p>
            <w:pPr>
              <w:pStyle w:val="TableContents"/>
              <w:bidi w:val="0"/>
              <w:spacing w:before="0" w:after="283"/>
              <w:jc w:val="left"/>
              <w:rPr/>
            </w:pPr>
            <w:r>
              <w:rPr/>
              <w:t> </w:t>
            </w:r>
          </w:p>
        </w:tc>
      </w:tr>
      <w:tr>
        <w:trPr/>
        <w:tc>
          <w:tcPr>
            <w:tcW w:w="4355" w:type="dxa"/>
            <w:tcBorders/>
            <w:shd w:fill="CCEEFF" w:val="clear"/>
            <w:vAlign w:val="center"/>
          </w:tcPr>
          <w:p>
            <w:pPr>
              <w:pStyle w:val="TableContents"/>
              <w:bidi w:val="0"/>
              <w:spacing w:before="0" w:after="283"/>
              <w:jc w:val="left"/>
              <w:rPr/>
            </w:pPr>
            <w:r>
              <w:rPr/>
              <w:t>Pro forma revenue</w:t>
            </w:r>
          </w:p>
        </w:tc>
        <w:tc>
          <w:tcPr>
            <w:tcW w:w="60" w:type="dxa"/>
            <w:tcBorders/>
            <w:shd w:fill="CCEEFF" w:val="clear"/>
            <w:vAlign w:val="center"/>
          </w:tcPr>
          <w:p>
            <w:pPr>
              <w:pStyle w:val="TableContents"/>
              <w:bidi w:val="0"/>
              <w:spacing w:before="0" w:after="283"/>
              <w:jc w:val="left"/>
              <w:rPr/>
            </w:pPr>
            <w:r>
              <w:rPr/>
              <w:t> </w:t>
            </w:r>
          </w:p>
        </w:tc>
        <w:tc>
          <w:tcPr>
            <w:tcW w:w="209" w:type="dxa"/>
            <w:tcBorders/>
            <w:shd w:fill="CCEEFF" w:val="clear"/>
            <w:vAlign w:val="center"/>
          </w:tcPr>
          <w:p>
            <w:pPr>
              <w:pStyle w:val="TableContents"/>
              <w:bidi w:val="0"/>
              <w:spacing w:before="0" w:after="283"/>
              <w:jc w:val="left"/>
              <w:rPr/>
            </w:pPr>
            <w:r>
              <w:rPr/>
              <w:t>$</w:t>
            </w:r>
          </w:p>
        </w:tc>
        <w:tc>
          <w:tcPr>
            <w:tcW w:w="1205" w:type="dxa"/>
            <w:tcBorders/>
            <w:shd w:fill="CCEEFF" w:val="clear"/>
            <w:vAlign w:val="center"/>
          </w:tcPr>
          <w:p>
            <w:pPr>
              <w:pStyle w:val="TableContents"/>
              <w:bidi w:val="0"/>
              <w:spacing w:before="0" w:after="283"/>
              <w:jc w:val="right"/>
              <w:rPr/>
            </w:pPr>
            <w:r>
              <w:rPr/>
              <w:t>429,689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4" w:type="dxa"/>
            <w:tcBorders/>
            <w:shd w:fill="CCEEFF" w:val="clear"/>
            <w:vAlign w:val="center"/>
          </w:tcPr>
          <w:p>
            <w:pPr>
              <w:pStyle w:val="TableContents"/>
              <w:bidi w:val="0"/>
              <w:spacing w:before="0" w:after="283"/>
              <w:jc w:val="left"/>
              <w:rPr/>
            </w:pPr>
            <w:r>
              <w:rPr/>
              <w:t>$</w:t>
            </w:r>
          </w:p>
        </w:tc>
        <w:tc>
          <w:tcPr>
            <w:tcW w:w="1220" w:type="dxa"/>
            <w:tcBorders/>
            <w:shd w:fill="CCEEFF" w:val="clear"/>
            <w:vAlign w:val="center"/>
          </w:tcPr>
          <w:p>
            <w:pPr>
              <w:pStyle w:val="TableContents"/>
              <w:bidi w:val="0"/>
              <w:spacing w:before="0" w:after="283"/>
              <w:jc w:val="right"/>
              <w:rPr/>
            </w:pPr>
            <w:r>
              <w:rPr/>
              <w:t>480,427</w:t>
            </w:r>
          </w:p>
        </w:tc>
        <w:tc>
          <w:tcPr>
            <w:tcW w:w="110" w:type="dxa"/>
            <w:tcBorders/>
            <w:shd w:fill="CCEEFF" w:val="clear"/>
            <w:vAlign w:val="center"/>
          </w:tcPr>
          <w:p>
            <w:pPr>
              <w:pStyle w:val="TableContents"/>
              <w:bidi w:val="0"/>
              <w:spacing w:before="0" w:after="283"/>
              <w:jc w:val="left"/>
              <w:rPr/>
            </w:pPr>
            <w:r>
              <w:rPr/>
              <w:t> </w:t>
            </w:r>
          </w:p>
        </w:tc>
      </w:tr>
      <w:tr>
        <w:trPr/>
        <w:tc>
          <w:tcPr>
            <w:tcW w:w="4355" w:type="dxa"/>
            <w:tcBorders/>
            <w:shd w:fill="FFFFFF" w:val="clear"/>
            <w:vAlign w:val="center"/>
          </w:tcPr>
          <w:p>
            <w:pPr>
              <w:pStyle w:val="TableContents"/>
              <w:bidi w:val="0"/>
              <w:spacing w:before="0" w:after="283"/>
              <w:jc w:val="left"/>
              <w:rPr/>
            </w:pPr>
            <w:r>
              <w:rPr/>
              <w:t>Pro forma net loss from continuing operations</w:t>
            </w:r>
          </w:p>
        </w:tc>
        <w:tc>
          <w:tcPr>
            <w:tcW w:w="60" w:type="dxa"/>
            <w:tcBorders/>
            <w:shd w:fill="FFFFFF" w:val="clear"/>
            <w:vAlign w:val="center"/>
          </w:tcPr>
          <w:p>
            <w:pPr>
              <w:pStyle w:val="TableContents"/>
              <w:bidi w:val="0"/>
              <w:spacing w:before="0" w:after="283"/>
              <w:jc w:val="left"/>
              <w:rPr/>
            </w:pPr>
            <w:r>
              <w:rPr/>
              <w:t> </w:t>
            </w:r>
          </w:p>
        </w:tc>
        <w:tc>
          <w:tcPr>
            <w:tcW w:w="209" w:type="dxa"/>
            <w:tcBorders/>
            <w:shd w:fill="FFFFFF" w:val="clear"/>
            <w:vAlign w:val="center"/>
          </w:tcPr>
          <w:p>
            <w:pPr>
              <w:pStyle w:val="TableContents"/>
              <w:bidi w:val="0"/>
              <w:spacing w:before="0" w:after="283"/>
              <w:jc w:val="left"/>
              <w:rPr/>
            </w:pPr>
            <w:r>
              <w:rPr/>
              <w:t> </w:t>
            </w:r>
          </w:p>
        </w:tc>
        <w:tc>
          <w:tcPr>
            <w:tcW w:w="1205" w:type="dxa"/>
            <w:tcBorders/>
            <w:shd w:fill="FFFFFF" w:val="clear"/>
            <w:vAlign w:val="center"/>
          </w:tcPr>
          <w:p>
            <w:pPr>
              <w:pStyle w:val="TableContents"/>
              <w:bidi w:val="0"/>
              <w:spacing w:before="0" w:after="283"/>
              <w:jc w:val="right"/>
              <w:rPr/>
            </w:pPr>
            <w:r>
              <w:rPr/>
              <w:t>(59,168</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94"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(312,801</w:t>
            </w:r>
          </w:p>
        </w:tc>
        <w:tc>
          <w:tcPr>
            <w:tcW w:w="110" w:type="dxa"/>
            <w:tcBorders/>
            <w:shd w:fill="FFFFFF" w:val="clear"/>
            <w:vAlign w:val="center"/>
          </w:tcPr>
          <w:p>
            <w:pPr>
              <w:pStyle w:val="TableContents"/>
              <w:bidi w:val="0"/>
              <w:spacing w:before="0" w:after="283"/>
              <w:jc w:val="left"/>
              <w:rPr/>
            </w:pPr>
            <w:r>
              <w:rPr/>
              <w: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(4) Revenue Recognition and Contract Balances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Disaggregated revenue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All revenue is generated in the U.S. Revenue is disaggregated as follows </w:t>
      </w:r>
      <w:r>
        <w:rPr>
          <w:rFonts w:ascii="Times New Roman;Times;Serif" w:hAnsi="Times New Roman;Times;Serif"/>
          <w:b w:val="false"/>
          <w:i/>
          <w:caps w:val="false"/>
          <w:smallCaps w:val="false"/>
          <w:sz w:val="20"/>
        </w:rPr>
        <w:t>(in thousands)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tbl>
      <w:tblPr>
        <w:tblW w:w="7153" w:type="dxa"/>
        <w:jc w:val="left"/>
        <w:tblInd w:w="0" w:type="dxa"/>
        <w:tblLayout w:type="fixed"/>
        <w:tblCellMar>
          <w:top w:w="0" w:type="dxa"/>
          <w:left w:w="0" w:type="dxa"/>
          <w:bottom w:w="0" w:type="dxa"/>
          <w:right w:w="0" w:type="dxa"/>
        </w:tblCellMar>
      </w:tblPr>
      <w:tblGrid>
        <w:gridCol w:w="4070"/>
        <w:gridCol w:w="60"/>
        <w:gridCol w:w="209"/>
        <w:gridCol w:w="1205"/>
        <w:gridCol w:w="60"/>
        <w:gridCol w:w="60"/>
        <w:gridCol w:w="209"/>
        <w:gridCol w:w="1205"/>
        <w:gridCol w:w="75"/>
      </w:tblGrid>
      <w:tr>
        <w:trPr/>
        <w:tc>
          <w:tcPr>
            <w:tcW w:w="407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948"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Fiscal Year Ended</w:t>
            </w:r>
          </w:p>
        </w:tc>
        <w:tc>
          <w:tcPr>
            <w:tcW w:w="75" w:type="dxa"/>
            <w:tcBorders/>
            <w:vAlign w:val="center"/>
          </w:tcPr>
          <w:p>
            <w:pPr>
              <w:pStyle w:val="TableContents"/>
              <w:bidi w:val="0"/>
              <w:spacing w:before="0" w:after="283"/>
              <w:jc w:val="left"/>
              <w:rPr/>
            </w:pPr>
            <w:r>
              <w:rPr/>
              <w:t> </w:t>
            </w:r>
          </w:p>
        </w:tc>
      </w:tr>
      <w:tr>
        <w:trPr/>
        <w:tc>
          <w:tcPr>
            <w:tcW w:w="407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14" w:type="dxa"/>
            <w:gridSpan w:val="2"/>
            <w:tcBorders/>
            <w:vAlign w:val="center"/>
          </w:tcPr>
          <w:p>
            <w:pPr>
              <w:pStyle w:val="TableContents"/>
              <w:bidi w:val="0"/>
              <w:spacing w:before="0" w:after="283"/>
              <w:jc w:val="center"/>
              <w:rPr>
                <w:b/>
              </w:rPr>
            </w:pPr>
            <w:r>
              <w:rPr>
                <w:b/>
              </w:rPr>
              <w:t>December 28,</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14" w:type="dxa"/>
            <w:gridSpan w:val="2"/>
            <w:tcBorders/>
            <w:vAlign w:val="center"/>
          </w:tcPr>
          <w:p>
            <w:pPr>
              <w:pStyle w:val="TableContents"/>
              <w:bidi w:val="0"/>
              <w:spacing w:before="0" w:after="283"/>
              <w:jc w:val="center"/>
              <w:rPr>
                <w:b/>
              </w:rPr>
            </w:pPr>
            <w:r>
              <w:rPr>
                <w:b/>
              </w:rPr>
              <w:t>December 29,</w:t>
            </w:r>
          </w:p>
        </w:tc>
        <w:tc>
          <w:tcPr>
            <w:tcW w:w="75" w:type="dxa"/>
            <w:tcBorders/>
            <w:vAlign w:val="center"/>
          </w:tcPr>
          <w:p>
            <w:pPr>
              <w:pStyle w:val="TableContents"/>
              <w:bidi w:val="0"/>
              <w:spacing w:before="0" w:after="283"/>
              <w:jc w:val="left"/>
              <w:rPr/>
            </w:pPr>
            <w:r>
              <w:rPr/>
              <w:t> </w:t>
            </w:r>
          </w:p>
        </w:tc>
      </w:tr>
      <w:tr>
        <w:trPr/>
        <w:tc>
          <w:tcPr>
            <w:tcW w:w="407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14"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14"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2024</w:t>
            </w:r>
          </w:p>
        </w:tc>
        <w:tc>
          <w:tcPr>
            <w:tcW w:w="75" w:type="dxa"/>
            <w:tcBorders/>
            <w:vAlign w:val="center"/>
          </w:tcPr>
          <w:p>
            <w:pPr>
              <w:pStyle w:val="TableContents"/>
              <w:bidi w:val="0"/>
              <w:spacing w:before="0" w:after="283"/>
              <w:jc w:val="left"/>
              <w:rPr/>
            </w:pPr>
            <w:r>
              <w:rPr/>
              <w:t> </w:t>
            </w:r>
          </w:p>
        </w:tc>
      </w:tr>
      <w:tr>
        <w:trPr/>
        <w:tc>
          <w:tcPr>
            <w:tcW w:w="4070" w:type="dxa"/>
            <w:tcBorders/>
            <w:vAlign w:val="center"/>
          </w:tcPr>
          <w:p>
            <w:pPr>
              <w:pStyle w:val="TableContents"/>
              <w:bidi w:val="0"/>
              <w:spacing w:before="0" w:after="283"/>
              <w:jc w:val="left"/>
              <w:rPr/>
            </w:pPr>
            <w:r>
              <w:rPr/>
              <w:t>Residential Solar Installation</w:t>
            </w:r>
          </w:p>
        </w:tc>
        <w:tc>
          <w:tcPr>
            <w:tcW w:w="60" w:type="dxa"/>
            <w:tcBorders/>
            <w:vAlign w:val="center"/>
          </w:tcPr>
          <w:p>
            <w:pPr>
              <w:pStyle w:val="TableContents"/>
              <w:bidi w:val="0"/>
              <w:spacing w:before="0" w:after="283"/>
              <w:jc w:val="left"/>
              <w:rPr/>
            </w:pPr>
            <w:r>
              <w:rPr/>
              <w:t> </w:t>
            </w:r>
          </w:p>
        </w:tc>
        <w:tc>
          <w:tcPr>
            <w:tcW w:w="1414" w:type="dxa"/>
            <w:gridSpan w:val="2"/>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14" w:type="dxa"/>
            <w:gridSpan w:val="2"/>
            <w:tcBorders/>
            <w:vAlign w:val="center"/>
          </w:tcPr>
          <w:p>
            <w:pPr>
              <w:pStyle w:val="TableContents"/>
              <w:bidi w:val="0"/>
              <w:spacing w:before="0" w:after="283"/>
              <w:jc w:val="right"/>
              <w:rPr/>
            </w:pPr>
            <w:r>
              <w:rPr/>
              <w:t> </w:t>
            </w:r>
          </w:p>
        </w:tc>
        <w:tc>
          <w:tcPr>
            <w:tcW w:w="75" w:type="dxa"/>
            <w:tcBorders/>
            <w:vAlign w:val="center"/>
          </w:tcPr>
          <w:p>
            <w:pPr>
              <w:pStyle w:val="TableContents"/>
              <w:bidi w:val="0"/>
              <w:spacing w:before="0" w:after="283"/>
              <w:jc w:val="left"/>
              <w:rPr/>
            </w:pPr>
            <w:r>
              <w:rPr/>
              <w:t> </w:t>
            </w:r>
          </w:p>
        </w:tc>
      </w:tr>
      <w:tr>
        <w:trPr/>
        <w:tc>
          <w:tcPr>
            <w:tcW w:w="4070" w:type="dxa"/>
            <w:tcBorders/>
            <w:shd w:fill="CCEEFF" w:val="clear"/>
            <w:vAlign w:val="center"/>
          </w:tcPr>
          <w:p>
            <w:pPr>
              <w:pStyle w:val="TableContents"/>
              <w:bidi w:val="0"/>
              <w:spacing w:before="0" w:after="283"/>
              <w:jc w:val="left"/>
              <w:rPr/>
            </w:pPr>
            <w:r>
              <w:rPr/>
              <w:t>Revenue recognized over time</w:t>
            </w:r>
          </w:p>
        </w:tc>
        <w:tc>
          <w:tcPr>
            <w:tcW w:w="60" w:type="dxa"/>
            <w:tcBorders/>
            <w:shd w:fill="CCEEFF" w:val="clear"/>
            <w:vAlign w:val="center"/>
          </w:tcPr>
          <w:p>
            <w:pPr>
              <w:pStyle w:val="TableContents"/>
              <w:bidi w:val="0"/>
              <w:spacing w:before="0" w:after="283"/>
              <w:jc w:val="left"/>
              <w:rPr/>
            </w:pPr>
            <w:r>
              <w:rPr/>
              <w:t> </w:t>
            </w:r>
          </w:p>
        </w:tc>
        <w:tc>
          <w:tcPr>
            <w:tcW w:w="209" w:type="dxa"/>
            <w:tcBorders>
              <w:bottom w:val="single" w:sz="12" w:space="0" w:color="000000"/>
            </w:tcBorders>
            <w:shd w:fill="CCEEFF" w:val="clear"/>
            <w:tcMar>
              <w:bottom w:w="28" w:type="dxa"/>
            </w:tcMar>
            <w:vAlign w:val="center"/>
          </w:tcPr>
          <w:p>
            <w:pPr>
              <w:pStyle w:val="TableContents"/>
              <w:bidi w:val="0"/>
              <w:spacing w:before="0" w:after="283"/>
              <w:jc w:val="left"/>
              <w:rPr/>
            </w:pPr>
            <w:r>
              <w:rPr/>
              <w:t>$</w:t>
            </w:r>
          </w:p>
        </w:tc>
        <w:tc>
          <w:tcPr>
            <w:tcW w:w="1205" w:type="dxa"/>
            <w:tcBorders>
              <w:bottom w:val="single" w:sz="12" w:space="0" w:color="000000"/>
            </w:tcBorders>
            <w:shd w:fill="CCEEFF" w:val="clear"/>
            <w:tcMar>
              <w:bottom w:w="28" w:type="dxa"/>
            </w:tcMar>
            <w:vAlign w:val="center"/>
          </w:tcPr>
          <w:p>
            <w:pPr>
              <w:pStyle w:val="TableContents"/>
              <w:bidi w:val="0"/>
              <w:spacing w:before="0" w:after="283"/>
              <w:jc w:val="right"/>
              <w:rPr/>
            </w:pPr>
            <w:r>
              <w:rPr/>
              <w:t>160,987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9" w:type="dxa"/>
            <w:tcBorders>
              <w:bottom w:val="single" w:sz="12" w:space="0" w:color="000000"/>
            </w:tcBorders>
            <w:shd w:fill="CCEEFF" w:val="clear"/>
            <w:tcMar>
              <w:bottom w:w="28" w:type="dxa"/>
            </w:tcMar>
            <w:vAlign w:val="center"/>
          </w:tcPr>
          <w:p>
            <w:pPr>
              <w:pStyle w:val="TableContents"/>
              <w:bidi w:val="0"/>
              <w:spacing w:before="0" w:after="283"/>
              <w:jc w:val="left"/>
              <w:rPr/>
            </w:pPr>
            <w:r>
              <w:rPr/>
              <w:t>$</w:t>
            </w:r>
          </w:p>
        </w:tc>
        <w:tc>
          <w:tcPr>
            <w:tcW w:w="1205" w:type="dxa"/>
            <w:tcBorders>
              <w:bottom w:val="single" w:sz="12" w:space="0" w:color="000000"/>
            </w:tcBorders>
            <w:shd w:fill="CCEEFF" w:val="clear"/>
            <w:tcMar>
              <w:bottom w:w="28" w:type="dxa"/>
            </w:tcMar>
            <w:vAlign w:val="center"/>
          </w:tcPr>
          <w:p>
            <w:pPr>
              <w:pStyle w:val="TableContents"/>
              <w:bidi w:val="0"/>
              <w:spacing w:before="0" w:after="283"/>
              <w:jc w:val="right"/>
              <w:rPr/>
            </w:pPr>
            <w:r>
              <w:rPr/>
              <w:t>67,460</w:t>
            </w:r>
          </w:p>
        </w:tc>
        <w:tc>
          <w:tcPr>
            <w:tcW w:w="75" w:type="dxa"/>
            <w:tcBorders/>
            <w:shd w:fill="CCEEFF" w:val="clear"/>
            <w:vAlign w:val="center"/>
          </w:tcPr>
          <w:p>
            <w:pPr>
              <w:pStyle w:val="TableContents"/>
              <w:bidi w:val="0"/>
              <w:spacing w:before="0" w:after="283"/>
              <w:jc w:val="left"/>
              <w:rPr/>
            </w:pPr>
            <w:r>
              <w:rPr/>
              <w:t> </w:t>
            </w:r>
          </w:p>
        </w:tc>
      </w:tr>
      <w:tr>
        <w:trPr/>
        <w:tc>
          <w:tcPr>
            <w:tcW w:w="4070" w:type="dxa"/>
            <w:tcBorders/>
            <w:shd w:fill="FFFFFF" w:val="clear"/>
            <w:vAlign w:val="center"/>
          </w:tcPr>
          <w:p>
            <w:pPr>
              <w:pStyle w:val="TableContents"/>
              <w:bidi w:val="0"/>
              <w:spacing w:before="0" w:after="283"/>
              <w:jc w:val="left"/>
              <w:rPr/>
            </w:pPr>
            <w:r>
              <w:rPr/>
              <w:t>Total Residential Solar Installation</w:t>
            </w:r>
          </w:p>
        </w:tc>
        <w:tc>
          <w:tcPr>
            <w:tcW w:w="60" w:type="dxa"/>
            <w:tcBorders/>
            <w:shd w:fill="FFFFFF" w:val="clear"/>
            <w:vAlign w:val="center"/>
          </w:tcPr>
          <w:p>
            <w:pPr>
              <w:pStyle w:val="TableContents"/>
              <w:bidi w:val="0"/>
              <w:spacing w:before="0" w:after="283"/>
              <w:jc w:val="left"/>
              <w:rPr/>
            </w:pPr>
            <w:r>
              <w:rPr/>
              <w:t> </w:t>
            </w:r>
          </w:p>
        </w:tc>
        <w:tc>
          <w:tcPr>
            <w:tcW w:w="209"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05" w:type="dxa"/>
            <w:tcBorders>
              <w:bottom w:val="single" w:sz="12" w:space="0" w:color="000000"/>
            </w:tcBorders>
            <w:shd w:fill="FFFFFF" w:val="clear"/>
            <w:tcMar>
              <w:bottom w:w="28" w:type="dxa"/>
            </w:tcMar>
            <w:vAlign w:val="center"/>
          </w:tcPr>
          <w:p>
            <w:pPr>
              <w:pStyle w:val="TableContents"/>
              <w:bidi w:val="0"/>
              <w:spacing w:before="0" w:after="283"/>
              <w:jc w:val="right"/>
              <w:rPr/>
            </w:pPr>
            <w:r>
              <w:rPr/>
              <w:t>160,987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9"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05" w:type="dxa"/>
            <w:tcBorders>
              <w:bottom w:val="single" w:sz="12" w:space="0" w:color="000000"/>
            </w:tcBorders>
            <w:shd w:fill="FFFFFF" w:val="clear"/>
            <w:tcMar>
              <w:bottom w:w="28" w:type="dxa"/>
            </w:tcMar>
            <w:vAlign w:val="center"/>
          </w:tcPr>
          <w:p>
            <w:pPr>
              <w:pStyle w:val="TableContents"/>
              <w:bidi w:val="0"/>
              <w:spacing w:before="0" w:after="283"/>
              <w:jc w:val="right"/>
              <w:rPr/>
            </w:pPr>
            <w:r>
              <w:rPr/>
              <w:t>67,460</w:t>
            </w:r>
          </w:p>
        </w:tc>
        <w:tc>
          <w:tcPr>
            <w:tcW w:w="75" w:type="dxa"/>
            <w:tcBorders/>
            <w:shd w:fill="FFFFFF" w:val="clear"/>
            <w:vAlign w:val="center"/>
          </w:tcPr>
          <w:p>
            <w:pPr>
              <w:pStyle w:val="TableContents"/>
              <w:bidi w:val="0"/>
              <w:spacing w:before="0" w:after="283"/>
              <w:jc w:val="left"/>
              <w:rPr/>
            </w:pPr>
            <w:r>
              <w:rPr/>
              <w:t> </w:t>
            </w:r>
          </w:p>
        </w:tc>
      </w:tr>
      <w:tr>
        <w:trPr/>
        <w:tc>
          <w:tcPr>
            <w:tcW w:w="4070" w:type="dxa"/>
            <w:tcBorders/>
            <w:shd w:fill="CCEEFF" w:val="clear"/>
            <w:vAlign w:val="center"/>
          </w:tcPr>
          <w:p>
            <w:pPr>
              <w:pStyle w:val="TableContents"/>
              <w:bidi w:val="0"/>
              <w:spacing w:before="0" w:after="283"/>
              <w:jc w:val="left"/>
              <w:rPr/>
            </w:pPr>
            <w:r>
              <w:rPr/>
              <w:t>New Homes Business</w:t>
            </w:r>
          </w:p>
        </w:tc>
        <w:tc>
          <w:tcPr>
            <w:tcW w:w="60" w:type="dxa"/>
            <w:tcBorders/>
            <w:shd w:fill="CCEEFF" w:val="clear"/>
            <w:vAlign w:val="center"/>
          </w:tcPr>
          <w:p>
            <w:pPr>
              <w:pStyle w:val="TableContents"/>
              <w:bidi w:val="0"/>
              <w:spacing w:before="0" w:after="283"/>
              <w:jc w:val="left"/>
              <w:rPr/>
            </w:pPr>
            <w:r>
              <w:rPr/>
              <w:t> </w:t>
            </w:r>
          </w:p>
        </w:tc>
        <w:tc>
          <w:tcPr>
            <w:tcW w:w="209" w:type="dxa"/>
            <w:tcBorders/>
            <w:shd w:fill="CCEEFF" w:val="clear"/>
            <w:vAlign w:val="center"/>
          </w:tcPr>
          <w:p>
            <w:pPr>
              <w:pStyle w:val="TableContents"/>
              <w:bidi w:val="0"/>
              <w:spacing w:before="0" w:after="283"/>
              <w:jc w:val="left"/>
              <w:rPr/>
            </w:pPr>
            <w:r>
              <w:rPr/>
              <w:t> </w:t>
            </w:r>
          </w:p>
        </w:tc>
        <w:tc>
          <w:tcPr>
            <w:tcW w:w="1205"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9" w:type="dxa"/>
            <w:tcBorders/>
            <w:shd w:fill="CCEEFF" w:val="clear"/>
            <w:vAlign w:val="center"/>
          </w:tcPr>
          <w:p>
            <w:pPr>
              <w:pStyle w:val="TableContents"/>
              <w:bidi w:val="0"/>
              <w:spacing w:before="0" w:after="283"/>
              <w:jc w:val="left"/>
              <w:rPr/>
            </w:pPr>
            <w:r>
              <w:rPr/>
              <w:t> </w:t>
            </w:r>
          </w:p>
        </w:tc>
        <w:tc>
          <w:tcPr>
            <w:tcW w:w="1205"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4070" w:type="dxa"/>
            <w:tcBorders/>
            <w:shd w:fill="FFFFFF" w:val="clear"/>
            <w:vAlign w:val="center"/>
          </w:tcPr>
          <w:p>
            <w:pPr>
              <w:pStyle w:val="TableContents"/>
              <w:bidi w:val="0"/>
              <w:spacing w:before="0" w:after="283"/>
              <w:jc w:val="left"/>
              <w:rPr/>
            </w:pPr>
            <w:r>
              <w:rPr/>
              <w:t>Revenue recognized over time</w:t>
            </w:r>
          </w:p>
        </w:tc>
        <w:tc>
          <w:tcPr>
            <w:tcW w:w="60" w:type="dxa"/>
            <w:tcBorders/>
            <w:shd w:fill="FFFFFF" w:val="clear"/>
            <w:vAlign w:val="center"/>
          </w:tcPr>
          <w:p>
            <w:pPr>
              <w:pStyle w:val="TableContents"/>
              <w:bidi w:val="0"/>
              <w:spacing w:before="0" w:after="283"/>
              <w:jc w:val="left"/>
              <w:rPr/>
            </w:pPr>
            <w:r>
              <w:rPr/>
              <w:t> </w:t>
            </w:r>
          </w:p>
        </w:tc>
        <w:tc>
          <w:tcPr>
            <w:tcW w:w="209" w:type="dxa"/>
            <w:tcBorders/>
            <w:shd w:fill="FFFFFF" w:val="clear"/>
            <w:vAlign w:val="center"/>
          </w:tcPr>
          <w:p>
            <w:pPr>
              <w:pStyle w:val="TableContents"/>
              <w:bidi w:val="0"/>
              <w:spacing w:before="0" w:after="283"/>
              <w:jc w:val="left"/>
              <w:rPr/>
            </w:pPr>
            <w:r>
              <w:rPr/>
              <w:t> </w:t>
            </w:r>
          </w:p>
        </w:tc>
        <w:tc>
          <w:tcPr>
            <w:tcW w:w="1205" w:type="dxa"/>
            <w:tcBorders/>
            <w:shd w:fill="FFFFFF" w:val="clear"/>
            <w:vAlign w:val="center"/>
          </w:tcPr>
          <w:p>
            <w:pPr>
              <w:pStyle w:val="TableContents"/>
              <w:bidi w:val="0"/>
              <w:spacing w:before="0" w:after="283"/>
              <w:jc w:val="right"/>
              <w:rPr/>
            </w:pPr>
            <w:r>
              <w:rPr/>
              <w:t>46,686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9" w:type="dxa"/>
            <w:tcBorders/>
            <w:shd w:fill="FFFFFF" w:val="clear"/>
            <w:vAlign w:val="center"/>
          </w:tcPr>
          <w:p>
            <w:pPr>
              <w:pStyle w:val="TableContents"/>
              <w:bidi w:val="0"/>
              <w:spacing w:before="0" w:after="283"/>
              <w:jc w:val="left"/>
              <w:rPr/>
            </w:pPr>
            <w:r>
              <w:rPr/>
              <w:t> </w:t>
            </w:r>
          </w:p>
        </w:tc>
        <w:tc>
          <w:tcPr>
            <w:tcW w:w="1205" w:type="dxa"/>
            <w:tcBorders/>
            <w:shd w:fill="FFFFFF" w:val="clear"/>
            <w:vAlign w:val="center"/>
          </w:tcPr>
          <w:p>
            <w:pPr>
              <w:pStyle w:val="TableContents"/>
              <w:bidi w:val="0"/>
              <w:spacing w:before="0" w:after="283"/>
              <w:jc w:val="right"/>
              <w:rPr/>
            </w:pPr>
            <w:r>
              <w:rPr/>
              <w:t>32,205</w:t>
            </w:r>
          </w:p>
        </w:tc>
        <w:tc>
          <w:tcPr>
            <w:tcW w:w="75" w:type="dxa"/>
            <w:tcBorders/>
            <w:shd w:fill="FFFFFF" w:val="clear"/>
            <w:vAlign w:val="center"/>
          </w:tcPr>
          <w:p>
            <w:pPr>
              <w:pStyle w:val="TableContents"/>
              <w:bidi w:val="0"/>
              <w:spacing w:before="0" w:after="283"/>
              <w:jc w:val="left"/>
              <w:rPr/>
            </w:pPr>
            <w:r>
              <w:rPr/>
              <w:t> </w:t>
            </w:r>
          </w:p>
        </w:tc>
      </w:tr>
      <w:tr>
        <w:trPr/>
        <w:tc>
          <w:tcPr>
            <w:tcW w:w="4070" w:type="dxa"/>
            <w:tcBorders/>
            <w:shd w:fill="CCEEFF" w:val="clear"/>
            <w:vAlign w:val="center"/>
          </w:tcPr>
          <w:p>
            <w:pPr>
              <w:pStyle w:val="TableContents"/>
              <w:bidi w:val="0"/>
              <w:spacing w:before="0" w:after="283"/>
              <w:jc w:val="left"/>
              <w:rPr/>
            </w:pPr>
            <w:r>
              <w:rPr/>
              <w:t>Revenue recognized at a point in time</w:t>
            </w:r>
          </w:p>
        </w:tc>
        <w:tc>
          <w:tcPr>
            <w:tcW w:w="60" w:type="dxa"/>
            <w:tcBorders/>
            <w:shd w:fill="CCEEFF" w:val="clear"/>
            <w:vAlign w:val="center"/>
          </w:tcPr>
          <w:p>
            <w:pPr>
              <w:pStyle w:val="TableContents"/>
              <w:bidi w:val="0"/>
              <w:spacing w:before="0" w:after="283"/>
              <w:jc w:val="left"/>
              <w:rPr/>
            </w:pPr>
            <w:r>
              <w:rPr/>
              <w:t> </w:t>
            </w:r>
          </w:p>
        </w:tc>
        <w:tc>
          <w:tcPr>
            <w:tcW w:w="209"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05" w:type="dxa"/>
            <w:tcBorders>
              <w:bottom w:val="single" w:sz="12" w:space="0" w:color="000000"/>
            </w:tcBorders>
            <w:shd w:fill="CCEEFF" w:val="clear"/>
            <w:tcMar>
              <w:bottom w:w="28" w:type="dxa"/>
            </w:tcMar>
            <w:vAlign w:val="center"/>
          </w:tcPr>
          <w:p>
            <w:pPr>
              <w:pStyle w:val="TableContents"/>
              <w:bidi w:val="0"/>
              <w:spacing w:before="0" w:after="283"/>
              <w:jc w:val="right"/>
              <w:rPr/>
            </w:pPr>
            <w:r>
              <w:rPr/>
              <w:t>77,909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9"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05" w:type="dxa"/>
            <w:tcBorders>
              <w:bottom w:val="single" w:sz="12" w:space="0" w:color="000000"/>
            </w:tcBorders>
            <w:shd w:fill="CCEEFF" w:val="clear"/>
            <w:tcMar>
              <w:bottom w:w="28" w:type="dxa"/>
            </w:tcMar>
            <w:vAlign w:val="center"/>
          </w:tcPr>
          <w:p>
            <w:pPr>
              <w:pStyle w:val="TableContents"/>
              <w:bidi w:val="0"/>
              <w:spacing w:before="0" w:after="283"/>
              <w:jc w:val="right"/>
              <w:rPr/>
            </w:pPr>
            <w:r>
              <w:rPr/>
              <w:t>9,077</w:t>
            </w:r>
          </w:p>
        </w:tc>
        <w:tc>
          <w:tcPr>
            <w:tcW w:w="75" w:type="dxa"/>
            <w:tcBorders/>
            <w:shd w:fill="CCEEFF" w:val="clear"/>
            <w:vAlign w:val="center"/>
          </w:tcPr>
          <w:p>
            <w:pPr>
              <w:pStyle w:val="TableContents"/>
              <w:bidi w:val="0"/>
              <w:spacing w:before="0" w:after="283"/>
              <w:jc w:val="left"/>
              <w:rPr/>
            </w:pPr>
            <w:r>
              <w:rPr/>
              <w:t> </w:t>
            </w:r>
          </w:p>
        </w:tc>
      </w:tr>
      <w:tr>
        <w:trPr/>
        <w:tc>
          <w:tcPr>
            <w:tcW w:w="4070" w:type="dxa"/>
            <w:tcBorders/>
            <w:shd w:fill="FFFFFF" w:val="clear"/>
            <w:vAlign w:val="center"/>
          </w:tcPr>
          <w:p>
            <w:pPr>
              <w:pStyle w:val="TableContents"/>
              <w:bidi w:val="0"/>
              <w:spacing w:before="0" w:after="283"/>
              <w:jc w:val="left"/>
              <w:rPr/>
            </w:pPr>
            <w:r>
              <w:rPr/>
              <w:t>Total New Homes Business</w:t>
            </w:r>
          </w:p>
        </w:tc>
        <w:tc>
          <w:tcPr>
            <w:tcW w:w="60" w:type="dxa"/>
            <w:tcBorders/>
            <w:shd w:fill="FFFFFF" w:val="clear"/>
            <w:vAlign w:val="center"/>
          </w:tcPr>
          <w:p>
            <w:pPr>
              <w:pStyle w:val="TableContents"/>
              <w:bidi w:val="0"/>
              <w:spacing w:before="0" w:after="283"/>
              <w:jc w:val="left"/>
              <w:rPr/>
            </w:pPr>
            <w:r>
              <w:rPr/>
              <w:t> </w:t>
            </w:r>
          </w:p>
        </w:tc>
        <w:tc>
          <w:tcPr>
            <w:tcW w:w="209"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05" w:type="dxa"/>
            <w:tcBorders>
              <w:bottom w:val="single" w:sz="12" w:space="0" w:color="000000"/>
            </w:tcBorders>
            <w:shd w:fill="FFFFFF" w:val="clear"/>
            <w:tcMar>
              <w:bottom w:w="28" w:type="dxa"/>
            </w:tcMar>
            <w:vAlign w:val="center"/>
          </w:tcPr>
          <w:p>
            <w:pPr>
              <w:pStyle w:val="TableContents"/>
              <w:bidi w:val="0"/>
              <w:spacing w:before="0" w:after="283"/>
              <w:jc w:val="right"/>
              <w:rPr/>
            </w:pPr>
            <w:r>
              <w:rPr/>
              <w:t>124,595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9"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05" w:type="dxa"/>
            <w:tcBorders>
              <w:bottom w:val="single" w:sz="12" w:space="0" w:color="000000"/>
            </w:tcBorders>
            <w:shd w:fill="FFFFFF" w:val="clear"/>
            <w:tcMar>
              <w:bottom w:w="28" w:type="dxa"/>
            </w:tcMar>
            <w:vAlign w:val="center"/>
          </w:tcPr>
          <w:p>
            <w:pPr>
              <w:pStyle w:val="TableContents"/>
              <w:bidi w:val="0"/>
              <w:spacing w:before="0" w:after="283"/>
              <w:jc w:val="right"/>
              <w:rPr/>
            </w:pPr>
            <w:r>
              <w:rPr/>
              <w:t>41,282</w:t>
            </w:r>
          </w:p>
        </w:tc>
        <w:tc>
          <w:tcPr>
            <w:tcW w:w="75" w:type="dxa"/>
            <w:tcBorders/>
            <w:shd w:fill="FFFFFF" w:val="clear"/>
            <w:vAlign w:val="center"/>
          </w:tcPr>
          <w:p>
            <w:pPr>
              <w:pStyle w:val="TableContents"/>
              <w:bidi w:val="0"/>
              <w:spacing w:before="0" w:after="283"/>
              <w:jc w:val="left"/>
              <w:rPr/>
            </w:pPr>
            <w:r>
              <w:rPr/>
              <w:t> </w:t>
            </w:r>
          </w:p>
        </w:tc>
      </w:tr>
      <w:tr>
        <w:trPr/>
        <w:tc>
          <w:tcPr>
            <w:tcW w:w="4070" w:type="dxa"/>
            <w:tcBorders/>
            <w:shd w:fill="CCEEFF" w:val="clear"/>
            <w:vAlign w:val="center"/>
          </w:tcPr>
          <w:p>
            <w:pPr>
              <w:pStyle w:val="TableContents"/>
              <w:bidi w:val="0"/>
              <w:spacing w:before="0" w:after="283"/>
              <w:jc w:val="left"/>
              <w:rPr/>
            </w:pPr>
            <w:r>
              <w:rPr/>
              <w:t>Dealer</w:t>
            </w:r>
          </w:p>
        </w:tc>
        <w:tc>
          <w:tcPr>
            <w:tcW w:w="60" w:type="dxa"/>
            <w:tcBorders/>
            <w:shd w:fill="CCEEFF" w:val="clear"/>
            <w:vAlign w:val="center"/>
          </w:tcPr>
          <w:p>
            <w:pPr>
              <w:pStyle w:val="TableContents"/>
              <w:bidi w:val="0"/>
              <w:spacing w:before="0" w:after="283"/>
              <w:jc w:val="left"/>
              <w:rPr/>
            </w:pPr>
            <w:r>
              <w:rPr/>
              <w:t> </w:t>
            </w:r>
          </w:p>
        </w:tc>
        <w:tc>
          <w:tcPr>
            <w:tcW w:w="209" w:type="dxa"/>
            <w:tcBorders/>
            <w:shd w:fill="CCEEFF" w:val="clear"/>
            <w:vAlign w:val="center"/>
          </w:tcPr>
          <w:p>
            <w:pPr>
              <w:pStyle w:val="TableContents"/>
              <w:bidi w:val="0"/>
              <w:spacing w:before="0" w:after="283"/>
              <w:jc w:val="left"/>
              <w:rPr/>
            </w:pPr>
            <w:r>
              <w:rPr/>
              <w:t> </w:t>
            </w:r>
          </w:p>
        </w:tc>
        <w:tc>
          <w:tcPr>
            <w:tcW w:w="1205"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9" w:type="dxa"/>
            <w:tcBorders/>
            <w:shd w:fill="CCEEFF" w:val="clear"/>
            <w:vAlign w:val="center"/>
          </w:tcPr>
          <w:p>
            <w:pPr>
              <w:pStyle w:val="TableContents"/>
              <w:bidi w:val="0"/>
              <w:spacing w:before="0" w:after="283"/>
              <w:jc w:val="left"/>
              <w:rPr/>
            </w:pPr>
            <w:r>
              <w:rPr/>
              <w:t> </w:t>
            </w:r>
          </w:p>
        </w:tc>
        <w:tc>
          <w:tcPr>
            <w:tcW w:w="1205"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4070" w:type="dxa"/>
            <w:tcBorders/>
            <w:shd w:fill="FFFFFF" w:val="clear"/>
            <w:vAlign w:val="center"/>
          </w:tcPr>
          <w:p>
            <w:pPr>
              <w:pStyle w:val="TableContents"/>
              <w:bidi w:val="0"/>
              <w:spacing w:before="0" w:after="283"/>
              <w:jc w:val="left"/>
              <w:rPr/>
            </w:pPr>
            <w:r>
              <w:rPr/>
              <w:t>Revenue recognized at a point in time</w:t>
            </w:r>
          </w:p>
        </w:tc>
        <w:tc>
          <w:tcPr>
            <w:tcW w:w="60" w:type="dxa"/>
            <w:tcBorders/>
            <w:shd w:fill="FFFFFF" w:val="clear"/>
            <w:vAlign w:val="center"/>
          </w:tcPr>
          <w:p>
            <w:pPr>
              <w:pStyle w:val="TableContents"/>
              <w:bidi w:val="0"/>
              <w:spacing w:before="0" w:after="283"/>
              <w:jc w:val="left"/>
              <w:rPr/>
            </w:pPr>
            <w:r>
              <w:rPr/>
              <w:t> </w:t>
            </w:r>
          </w:p>
        </w:tc>
        <w:tc>
          <w:tcPr>
            <w:tcW w:w="209"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05" w:type="dxa"/>
            <w:tcBorders>
              <w:bottom w:val="single" w:sz="12" w:space="0" w:color="000000"/>
            </w:tcBorders>
            <w:shd w:fill="FFFFFF" w:val="clear"/>
            <w:tcMar>
              <w:bottom w:w="28" w:type="dxa"/>
            </w:tcMar>
            <w:vAlign w:val="center"/>
          </w:tcPr>
          <w:p>
            <w:pPr>
              <w:pStyle w:val="TableContents"/>
              <w:bidi w:val="0"/>
              <w:spacing w:before="0" w:after="283"/>
              <w:jc w:val="right"/>
              <w:rPr/>
            </w:pPr>
            <w:r>
              <w:rPr/>
              <w:t>14,418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9"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05"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75" w:type="dxa"/>
            <w:tcBorders/>
            <w:shd w:fill="FFFFFF" w:val="clear"/>
            <w:vAlign w:val="center"/>
          </w:tcPr>
          <w:p>
            <w:pPr>
              <w:pStyle w:val="TableContents"/>
              <w:bidi w:val="0"/>
              <w:spacing w:before="0" w:after="283"/>
              <w:jc w:val="left"/>
              <w:rPr/>
            </w:pPr>
            <w:r>
              <w:rPr/>
              <w:t> </w:t>
            </w:r>
          </w:p>
        </w:tc>
      </w:tr>
      <w:tr>
        <w:trPr/>
        <w:tc>
          <w:tcPr>
            <w:tcW w:w="4070" w:type="dxa"/>
            <w:tcBorders/>
            <w:shd w:fill="CCEEFF" w:val="clear"/>
            <w:vAlign w:val="center"/>
          </w:tcPr>
          <w:p>
            <w:pPr>
              <w:pStyle w:val="TableContents"/>
              <w:bidi w:val="0"/>
              <w:spacing w:before="0" w:after="283"/>
              <w:jc w:val="left"/>
              <w:rPr/>
            </w:pPr>
            <w:r>
              <w:rPr/>
              <w:t>Total Dealer</w:t>
            </w:r>
          </w:p>
        </w:tc>
        <w:tc>
          <w:tcPr>
            <w:tcW w:w="60" w:type="dxa"/>
            <w:tcBorders/>
            <w:shd w:fill="CCEEFF" w:val="clear"/>
            <w:vAlign w:val="center"/>
          </w:tcPr>
          <w:p>
            <w:pPr>
              <w:pStyle w:val="TableContents"/>
              <w:bidi w:val="0"/>
              <w:spacing w:before="0" w:after="283"/>
              <w:jc w:val="left"/>
              <w:rPr/>
            </w:pPr>
            <w:r>
              <w:rPr/>
              <w:t> </w:t>
            </w:r>
          </w:p>
        </w:tc>
        <w:tc>
          <w:tcPr>
            <w:tcW w:w="209"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05" w:type="dxa"/>
            <w:tcBorders>
              <w:bottom w:val="single" w:sz="12" w:space="0" w:color="000000"/>
            </w:tcBorders>
            <w:shd w:fill="CCEEFF" w:val="clear"/>
            <w:tcMar>
              <w:bottom w:w="28" w:type="dxa"/>
            </w:tcMar>
            <w:vAlign w:val="center"/>
          </w:tcPr>
          <w:p>
            <w:pPr>
              <w:pStyle w:val="TableContents"/>
              <w:bidi w:val="0"/>
              <w:spacing w:before="0" w:after="283"/>
              <w:jc w:val="right"/>
              <w:rPr/>
            </w:pPr>
            <w:r>
              <w:rPr/>
              <w:t>14,418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9"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05"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75" w:type="dxa"/>
            <w:tcBorders/>
            <w:shd w:fill="CCEEFF" w:val="clear"/>
            <w:vAlign w:val="center"/>
          </w:tcPr>
          <w:p>
            <w:pPr>
              <w:pStyle w:val="TableContents"/>
              <w:bidi w:val="0"/>
              <w:spacing w:before="0" w:after="283"/>
              <w:jc w:val="left"/>
              <w:rPr/>
            </w:pPr>
            <w:r>
              <w:rPr/>
              <w:t> </w:t>
            </w:r>
          </w:p>
        </w:tc>
      </w:tr>
      <w:tr>
        <w:trPr/>
        <w:tc>
          <w:tcPr>
            <w:tcW w:w="4070" w:type="dxa"/>
            <w:tcBorders/>
            <w:shd w:fill="FFFFFF" w:val="clear"/>
            <w:vAlign w:val="center"/>
          </w:tcPr>
          <w:p>
            <w:pPr>
              <w:pStyle w:val="TableContents"/>
              <w:bidi w:val="0"/>
              <w:spacing w:before="0" w:after="283"/>
              <w:jc w:val="left"/>
              <w:rPr/>
            </w:pPr>
            <w:r>
              <w:rPr/>
              <w:t>Total revenue</w:t>
            </w:r>
          </w:p>
        </w:tc>
        <w:tc>
          <w:tcPr>
            <w:tcW w:w="60" w:type="dxa"/>
            <w:tcBorders/>
            <w:shd w:fill="FFFFFF" w:val="clear"/>
            <w:vAlign w:val="center"/>
          </w:tcPr>
          <w:p>
            <w:pPr>
              <w:pStyle w:val="TableContents"/>
              <w:bidi w:val="0"/>
              <w:spacing w:before="0" w:after="283"/>
              <w:jc w:val="left"/>
              <w:rPr/>
            </w:pPr>
            <w:r>
              <w:rPr/>
              <w:t> </w:t>
            </w:r>
          </w:p>
        </w:tc>
        <w:tc>
          <w:tcPr>
            <w:tcW w:w="209" w:type="dxa"/>
            <w:tcBorders>
              <w:bottom w:val="double" w:sz="10" w:space="0" w:color="000000"/>
            </w:tcBorders>
            <w:shd w:fill="FFFFFF" w:val="clear"/>
            <w:tcMar>
              <w:bottom w:w="28" w:type="dxa"/>
            </w:tcMar>
            <w:vAlign w:val="center"/>
          </w:tcPr>
          <w:p>
            <w:pPr>
              <w:pStyle w:val="TableContents"/>
              <w:bidi w:val="0"/>
              <w:spacing w:before="0" w:after="283"/>
              <w:jc w:val="left"/>
              <w:rPr/>
            </w:pPr>
            <w:r>
              <w:rPr/>
              <w:t>$</w:t>
            </w:r>
          </w:p>
        </w:tc>
        <w:tc>
          <w:tcPr>
            <w:tcW w:w="1205" w:type="dxa"/>
            <w:tcBorders>
              <w:bottom w:val="double" w:sz="10" w:space="0" w:color="000000"/>
            </w:tcBorders>
            <w:shd w:fill="FFFFFF" w:val="clear"/>
            <w:tcMar>
              <w:bottom w:w="28" w:type="dxa"/>
            </w:tcMar>
            <w:vAlign w:val="center"/>
          </w:tcPr>
          <w:p>
            <w:pPr>
              <w:pStyle w:val="TableContents"/>
              <w:bidi w:val="0"/>
              <w:spacing w:before="0" w:after="283"/>
              <w:jc w:val="right"/>
              <w:rPr/>
            </w:pPr>
            <w:r>
              <w:rPr/>
              <w:t>300,000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9" w:type="dxa"/>
            <w:tcBorders>
              <w:bottom w:val="double" w:sz="10" w:space="0" w:color="000000"/>
            </w:tcBorders>
            <w:shd w:fill="FFFFFF" w:val="clear"/>
            <w:tcMar>
              <w:bottom w:w="28" w:type="dxa"/>
            </w:tcMar>
            <w:vAlign w:val="center"/>
          </w:tcPr>
          <w:p>
            <w:pPr>
              <w:pStyle w:val="TableContents"/>
              <w:bidi w:val="0"/>
              <w:spacing w:before="0" w:after="283"/>
              <w:jc w:val="left"/>
              <w:rPr/>
            </w:pPr>
            <w:r>
              <w:rPr/>
              <w:t>$</w:t>
            </w:r>
          </w:p>
        </w:tc>
        <w:tc>
          <w:tcPr>
            <w:tcW w:w="1205" w:type="dxa"/>
            <w:tcBorders>
              <w:bottom w:val="double" w:sz="10" w:space="0" w:color="000000"/>
            </w:tcBorders>
            <w:shd w:fill="FFFFFF" w:val="clear"/>
            <w:tcMar>
              <w:bottom w:w="28" w:type="dxa"/>
            </w:tcMar>
            <w:vAlign w:val="center"/>
          </w:tcPr>
          <w:p>
            <w:pPr>
              <w:pStyle w:val="TableContents"/>
              <w:bidi w:val="0"/>
              <w:spacing w:before="0" w:after="283"/>
              <w:jc w:val="right"/>
              <w:rPr/>
            </w:pPr>
            <w:r>
              <w:rPr/>
              <w:t>108,742</w:t>
            </w:r>
          </w:p>
        </w:tc>
        <w:tc>
          <w:tcPr>
            <w:tcW w:w="75" w:type="dxa"/>
            <w:tcBorders/>
            <w:shd w:fill="FFFFFF" w:val="clear"/>
            <w:vAlign w:val="center"/>
          </w:tcPr>
          <w:p>
            <w:pPr>
              <w:pStyle w:val="TableContents"/>
              <w:bidi w:val="0"/>
              <w:spacing w:before="0" w:after="283"/>
              <w:jc w:val="left"/>
              <w:rPr/>
            </w:pPr>
            <w:r>
              <w:rPr/>
              <w:t> </w:t>
            </w:r>
          </w:p>
        </w:tc>
      </w:tr>
      <w:tr>
        <w:trPr/>
        <w:tc>
          <w:tcPr>
            <w:tcW w:w="407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9" w:type="dxa"/>
            <w:tcBorders/>
            <w:shd w:fill="CCEEFF" w:val="clear"/>
            <w:vAlign w:val="center"/>
          </w:tcPr>
          <w:p>
            <w:pPr>
              <w:pStyle w:val="TableContents"/>
              <w:bidi w:val="0"/>
              <w:spacing w:before="0" w:after="283"/>
              <w:jc w:val="left"/>
              <w:rPr/>
            </w:pPr>
            <w:r>
              <w:rPr/>
              <w:t> </w:t>
            </w:r>
          </w:p>
        </w:tc>
        <w:tc>
          <w:tcPr>
            <w:tcW w:w="1205"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9" w:type="dxa"/>
            <w:tcBorders/>
            <w:shd w:fill="CCEEFF" w:val="clear"/>
            <w:vAlign w:val="center"/>
          </w:tcPr>
          <w:p>
            <w:pPr>
              <w:pStyle w:val="TableContents"/>
              <w:bidi w:val="0"/>
              <w:spacing w:before="0" w:after="283"/>
              <w:jc w:val="left"/>
              <w:rPr/>
            </w:pPr>
            <w:r>
              <w:rPr/>
              <w:t> </w:t>
            </w:r>
          </w:p>
        </w:tc>
        <w:tc>
          <w:tcPr>
            <w:tcW w:w="1205"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4070" w:type="dxa"/>
            <w:tcBorders/>
            <w:shd w:fill="FFFFFF" w:val="clear"/>
            <w:vAlign w:val="center"/>
          </w:tcPr>
          <w:p>
            <w:pPr>
              <w:pStyle w:val="TableContents"/>
              <w:bidi w:val="0"/>
              <w:spacing w:before="0" w:after="283"/>
              <w:jc w:val="left"/>
              <w:rPr/>
            </w:pPr>
            <w:r>
              <w:rPr/>
              <w:t>Total revenue recognized over time</w:t>
            </w:r>
          </w:p>
        </w:tc>
        <w:tc>
          <w:tcPr>
            <w:tcW w:w="60" w:type="dxa"/>
            <w:tcBorders/>
            <w:shd w:fill="FFFFFF" w:val="clear"/>
            <w:vAlign w:val="center"/>
          </w:tcPr>
          <w:p>
            <w:pPr>
              <w:pStyle w:val="TableContents"/>
              <w:bidi w:val="0"/>
              <w:spacing w:before="0" w:after="283"/>
              <w:jc w:val="left"/>
              <w:rPr/>
            </w:pPr>
            <w:r>
              <w:rPr/>
              <w:t> </w:t>
            </w:r>
          </w:p>
        </w:tc>
        <w:tc>
          <w:tcPr>
            <w:tcW w:w="209" w:type="dxa"/>
            <w:tcBorders/>
            <w:shd w:fill="FFFFFF" w:val="clear"/>
            <w:vAlign w:val="center"/>
          </w:tcPr>
          <w:p>
            <w:pPr>
              <w:pStyle w:val="TableContents"/>
              <w:bidi w:val="0"/>
              <w:spacing w:before="0" w:after="283"/>
              <w:jc w:val="left"/>
              <w:rPr/>
            </w:pPr>
            <w:r>
              <w:rPr/>
              <w:t>$</w:t>
            </w:r>
          </w:p>
        </w:tc>
        <w:tc>
          <w:tcPr>
            <w:tcW w:w="1205" w:type="dxa"/>
            <w:tcBorders/>
            <w:shd w:fill="FFFFFF" w:val="clear"/>
            <w:vAlign w:val="center"/>
          </w:tcPr>
          <w:p>
            <w:pPr>
              <w:pStyle w:val="TableContents"/>
              <w:bidi w:val="0"/>
              <w:spacing w:before="0" w:after="283"/>
              <w:jc w:val="right"/>
              <w:rPr/>
            </w:pPr>
            <w:r>
              <w:rPr/>
              <w:t>207,673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9" w:type="dxa"/>
            <w:tcBorders/>
            <w:shd w:fill="FFFFFF" w:val="clear"/>
            <w:vAlign w:val="center"/>
          </w:tcPr>
          <w:p>
            <w:pPr>
              <w:pStyle w:val="TableContents"/>
              <w:bidi w:val="0"/>
              <w:spacing w:before="0" w:after="283"/>
              <w:jc w:val="left"/>
              <w:rPr/>
            </w:pPr>
            <w:r>
              <w:rPr/>
              <w:t>$</w:t>
            </w:r>
          </w:p>
        </w:tc>
        <w:tc>
          <w:tcPr>
            <w:tcW w:w="1205" w:type="dxa"/>
            <w:tcBorders/>
            <w:shd w:fill="FFFFFF" w:val="clear"/>
            <w:vAlign w:val="center"/>
          </w:tcPr>
          <w:p>
            <w:pPr>
              <w:pStyle w:val="TableContents"/>
              <w:bidi w:val="0"/>
              <w:spacing w:before="0" w:after="283"/>
              <w:jc w:val="right"/>
              <w:rPr/>
            </w:pPr>
            <w:r>
              <w:rPr/>
              <w:t>99,665</w:t>
            </w:r>
          </w:p>
        </w:tc>
        <w:tc>
          <w:tcPr>
            <w:tcW w:w="75" w:type="dxa"/>
            <w:tcBorders/>
            <w:shd w:fill="FFFFFF" w:val="clear"/>
            <w:vAlign w:val="center"/>
          </w:tcPr>
          <w:p>
            <w:pPr>
              <w:pStyle w:val="TableContents"/>
              <w:bidi w:val="0"/>
              <w:spacing w:before="0" w:after="283"/>
              <w:jc w:val="left"/>
              <w:rPr/>
            </w:pPr>
            <w:r>
              <w:rPr/>
              <w:t> </w:t>
            </w:r>
          </w:p>
        </w:tc>
      </w:tr>
      <w:tr>
        <w:trPr/>
        <w:tc>
          <w:tcPr>
            <w:tcW w:w="4070" w:type="dxa"/>
            <w:tcBorders/>
            <w:shd w:fill="CCEEFF" w:val="clear"/>
            <w:vAlign w:val="center"/>
          </w:tcPr>
          <w:p>
            <w:pPr>
              <w:pStyle w:val="TableContents"/>
              <w:bidi w:val="0"/>
              <w:spacing w:before="0" w:after="283"/>
              <w:jc w:val="left"/>
              <w:rPr/>
            </w:pPr>
            <w:r>
              <w:rPr/>
              <w:t>Total revenue recognized at a point in time</w:t>
            </w:r>
          </w:p>
        </w:tc>
        <w:tc>
          <w:tcPr>
            <w:tcW w:w="60" w:type="dxa"/>
            <w:tcBorders/>
            <w:shd w:fill="CCEEFF" w:val="clear"/>
            <w:vAlign w:val="center"/>
          </w:tcPr>
          <w:p>
            <w:pPr>
              <w:pStyle w:val="TableContents"/>
              <w:bidi w:val="0"/>
              <w:spacing w:before="0" w:after="283"/>
              <w:jc w:val="left"/>
              <w:rPr/>
            </w:pPr>
            <w:r>
              <w:rPr/>
              <w:t> </w:t>
            </w:r>
          </w:p>
        </w:tc>
        <w:tc>
          <w:tcPr>
            <w:tcW w:w="209" w:type="dxa"/>
            <w:tcBorders/>
            <w:shd w:fill="CCEEFF" w:val="clear"/>
            <w:vAlign w:val="center"/>
          </w:tcPr>
          <w:p>
            <w:pPr>
              <w:pStyle w:val="TableContents"/>
              <w:bidi w:val="0"/>
              <w:spacing w:before="0" w:after="283"/>
              <w:jc w:val="left"/>
              <w:rPr/>
            </w:pPr>
            <w:r>
              <w:rPr/>
              <w:t> </w:t>
            </w:r>
          </w:p>
        </w:tc>
        <w:tc>
          <w:tcPr>
            <w:tcW w:w="1205" w:type="dxa"/>
            <w:tcBorders/>
            <w:shd w:fill="CCEEFF" w:val="clear"/>
            <w:vAlign w:val="center"/>
          </w:tcPr>
          <w:p>
            <w:pPr>
              <w:pStyle w:val="TableContents"/>
              <w:bidi w:val="0"/>
              <w:spacing w:before="0" w:after="283"/>
              <w:jc w:val="right"/>
              <w:rPr/>
            </w:pPr>
            <w:r>
              <w:rPr/>
              <w:t>92,327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9" w:type="dxa"/>
            <w:tcBorders/>
            <w:shd w:fill="CCEEFF" w:val="clear"/>
            <w:vAlign w:val="center"/>
          </w:tcPr>
          <w:p>
            <w:pPr>
              <w:pStyle w:val="TableContents"/>
              <w:bidi w:val="0"/>
              <w:spacing w:before="0" w:after="283"/>
              <w:jc w:val="left"/>
              <w:rPr/>
            </w:pPr>
            <w:r>
              <w:rPr/>
              <w:t> </w:t>
            </w:r>
          </w:p>
        </w:tc>
        <w:tc>
          <w:tcPr>
            <w:tcW w:w="1205" w:type="dxa"/>
            <w:tcBorders/>
            <w:shd w:fill="CCEEFF" w:val="clear"/>
            <w:vAlign w:val="center"/>
          </w:tcPr>
          <w:p>
            <w:pPr>
              <w:pStyle w:val="TableContents"/>
              <w:bidi w:val="0"/>
              <w:spacing w:before="0" w:after="283"/>
              <w:jc w:val="right"/>
              <w:rPr/>
            </w:pPr>
            <w:r>
              <w:rPr/>
              <w:t>9,077</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sz w:val="20"/>
          <w:bdr w:val="single" w:sz="12" w:space="1" w:color="000000"/>
        </w:rPr>
      </w:pPr>
      <w:r>
        <w:rPr>
          <w:sz w:val="20"/>
          <w:bdr w:val="single" w:sz="12" w:space="1" w:color="000000"/>
        </w:rPr>
        <w:t>F-75</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Contract balances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Accounts receivable, contract assets and contract liabilities from contracts with customers are as follows </w:t>
      </w:r>
      <w:r>
        <w:rPr>
          <w:rFonts w:ascii="Times New Roman;Times;Serif" w:hAnsi="Times New Roman;Times;Serif"/>
          <w:b w:val="false"/>
          <w:i/>
          <w:caps w:val="false"/>
          <w:smallCaps w:val="false"/>
          <w:sz w:val="20"/>
        </w:rPr>
        <w:t>(in thousands):</w:t>
      </w:r>
    </w:p>
    <w:p>
      <w:pPr>
        <w:pStyle w:val="TextBody"/>
        <w:bidi w:val="0"/>
        <w:spacing w:before="0" w:after="0"/>
        <w:ind w:left="0" w:right="0" w:hanging="0"/>
        <w:jc w:val="both"/>
        <w:rPr>
          <w:caps w:val="false"/>
          <w:smallCaps w:val="false"/>
        </w:rPr>
      </w:pPr>
      <w:r>
        <w:rPr>
          <w:caps w:val="false"/>
          <w:smallCaps w:val="false"/>
        </w:rPr>
        <w:t> </w:t>
      </w:r>
    </w:p>
    <w:tbl>
      <w:tblPr>
        <w:tblW w:w="5983" w:type="dxa"/>
        <w:jc w:val="left"/>
        <w:tblInd w:w="0" w:type="dxa"/>
        <w:tblLayout w:type="fixed"/>
        <w:tblCellMar>
          <w:top w:w="0" w:type="dxa"/>
          <w:left w:w="0" w:type="dxa"/>
          <w:bottom w:w="0" w:type="dxa"/>
          <w:right w:w="0" w:type="dxa"/>
        </w:tblCellMar>
      </w:tblPr>
      <w:tblGrid>
        <w:gridCol w:w="2900"/>
        <w:gridCol w:w="60"/>
        <w:gridCol w:w="241"/>
        <w:gridCol w:w="1173"/>
        <w:gridCol w:w="60"/>
        <w:gridCol w:w="60"/>
        <w:gridCol w:w="241"/>
        <w:gridCol w:w="1173"/>
        <w:gridCol w:w="75"/>
      </w:tblGrid>
      <w:tr>
        <w:trPr/>
        <w:tc>
          <w:tcPr>
            <w:tcW w:w="29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948"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As of</w:t>
            </w:r>
          </w:p>
        </w:tc>
        <w:tc>
          <w:tcPr>
            <w:tcW w:w="75" w:type="dxa"/>
            <w:tcBorders/>
            <w:vAlign w:val="center"/>
          </w:tcPr>
          <w:p>
            <w:pPr>
              <w:pStyle w:val="TableContents"/>
              <w:bidi w:val="0"/>
              <w:spacing w:before="0" w:after="283"/>
              <w:jc w:val="left"/>
              <w:rPr/>
            </w:pPr>
            <w:r>
              <w:rPr/>
              <w:t> </w:t>
            </w:r>
          </w:p>
        </w:tc>
      </w:tr>
      <w:tr>
        <w:trPr/>
        <w:tc>
          <w:tcPr>
            <w:tcW w:w="29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14" w:type="dxa"/>
            <w:gridSpan w:val="2"/>
            <w:tcBorders/>
            <w:vAlign w:val="center"/>
          </w:tcPr>
          <w:p>
            <w:pPr>
              <w:pStyle w:val="TableContents"/>
              <w:bidi w:val="0"/>
              <w:spacing w:before="0" w:after="283"/>
              <w:jc w:val="center"/>
              <w:rPr>
                <w:b/>
              </w:rPr>
            </w:pPr>
            <w:r>
              <w:rPr>
                <w:b/>
              </w:rPr>
              <w:t>December 28,</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14" w:type="dxa"/>
            <w:gridSpan w:val="2"/>
            <w:tcBorders/>
            <w:vAlign w:val="center"/>
          </w:tcPr>
          <w:p>
            <w:pPr>
              <w:pStyle w:val="TableContents"/>
              <w:bidi w:val="0"/>
              <w:spacing w:before="0" w:after="283"/>
              <w:jc w:val="center"/>
              <w:rPr>
                <w:b/>
              </w:rPr>
            </w:pPr>
            <w:r>
              <w:rPr>
                <w:b/>
              </w:rPr>
              <w:t>December 29,</w:t>
            </w:r>
          </w:p>
        </w:tc>
        <w:tc>
          <w:tcPr>
            <w:tcW w:w="75" w:type="dxa"/>
            <w:tcBorders/>
            <w:vAlign w:val="center"/>
          </w:tcPr>
          <w:p>
            <w:pPr>
              <w:pStyle w:val="TableContents"/>
              <w:bidi w:val="0"/>
              <w:spacing w:before="0" w:after="283"/>
              <w:jc w:val="left"/>
              <w:rPr/>
            </w:pPr>
            <w:r>
              <w:rPr/>
              <w:t> </w:t>
            </w:r>
          </w:p>
        </w:tc>
      </w:tr>
      <w:tr>
        <w:trPr/>
        <w:tc>
          <w:tcPr>
            <w:tcW w:w="29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14"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14"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2024</w:t>
            </w:r>
          </w:p>
        </w:tc>
        <w:tc>
          <w:tcPr>
            <w:tcW w:w="75" w:type="dxa"/>
            <w:tcBorders/>
            <w:vAlign w:val="center"/>
          </w:tcPr>
          <w:p>
            <w:pPr>
              <w:pStyle w:val="TableContents"/>
              <w:bidi w:val="0"/>
              <w:spacing w:before="0" w:after="283"/>
              <w:jc w:val="left"/>
              <w:rPr/>
            </w:pPr>
            <w:r>
              <w:rPr/>
              <w:t> </w:t>
            </w:r>
          </w:p>
        </w:tc>
      </w:tr>
      <w:tr>
        <w:trPr/>
        <w:tc>
          <w:tcPr>
            <w:tcW w:w="2900" w:type="dxa"/>
            <w:tcBorders/>
            <w:shd w:fill="CCEEFF" w:val="clear"/>
            <w:vAlign w:val="center"/>
          </w:tcPr>
          <w:p>
            <w:pPr>
              <w:pStyle w:val="TableContents"/>
              <w:bidi w:val="0"/>
              <w:spacing w:before="0" w:after="283"/>
              <w:jc w:val="left"/>
              <w:rPr/>
            </w:pPr>
            <w:r>
              <w:rPr/>
              <w:t>Trade accounts receivable, net</w:t>
            </w:r>
          </w:p>
        </w:tc>
        <w:tc>
          <w:tcPr>
            <w:tcW w:w="60" w:type="dxa"/>
            <w:tcBorders/>
            <w:shd w:fill="CCEEFF" w:val="clear"/>
            <w:vAlign w:val="center"/>
          </w:tcPr>
          <w:p>
            <w:pPr>
              <w:pStyle w:val="TableContents"/>
              <w:bidi w:val="0"/>
              <w:spacing w:before="0" w:after="283"/>
              <w:jc w:val="left"/>
              <w:rPr/>
            </w:pPr>
            <w:r>
              <w:rPr/>
              <w:t> </w:t>
            </w:r>
          </w:p>
        </w:tc>
        <w:tc>
          <w:tcPr>
            <w:tcW w:w="241"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173" w:type="dxa"/>
            <w:tcBorders>
              <w:bottom w:val="double" w:sz="10" w:space="0" w:color="000000"/>
            </w:tcBorders>
            <w:shd w:fill="CCEEFF" w:val="clear"/>
            <w:tcMar>
              <w:bottom w:w="28" w:type="dxa"/>
            </w:tcMar>
            <w:vAlign w:val="center"/>
          </w:tcPr>
          <w:p>
            <w:pPr>
              <w:pStyle w:val="TableContents"/>
              <w:bidi w:val="0"/>
              <w:spacing w:before="0" w:after="283"/>
              <w:jc w:val="right"/>
              <w:rPr/>
            </w:pPr>
            <w:r>
              <w:rPr/>
              <w:t>67,824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1"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173" w:type="dxa"/>
            <w:tcBorders>
              <w:bottom w:val="double" w:sz="10" w:space="0" w:color="000000"/>
            </w:tcBorders>
            <w:shd w:fill="CCEEFF" w:val="clear"/>
            <w:tcMar>
              <w:bottom w:w="28" w:type="dxa"/>
            </w:tcMar>
            <w:vAlign w:val="center"/>
          </w:tcPr>
          <w:p>
            <w:pPr>
              <w:pStyle w:val="TableContents"/>
              <w:bidi w:val="0"/>
              <w:spacing w:before="0" w:after="283"/>
              <w:jc w:val="right"/>
              <w:rPr/>
            </w:pPr>
            <w:r>
              <w:rPr/>
              <w:t>25,842</w:t>
            </w:r>
          </w:p>
        </w:tc>
        <w:tc>
          <w:tcPr>
            <w:tcW w:w="75" w:type="dxa"/>
            <w:tcBorders/>
            <w:shd w:fill="CCEEFF" w:val="clear"/>
            <w:vAlign w:val="center"/>
          </w:tcPr>
          <w:p>
            <w:pPr>
              <w:pStyle w:val="TableContents"/>
              <w:bidi w:val="0"/>
              <w:spacing w:before="0" w:after="283"/>
              <w:jc w:val="left"/>
              <w:rPr/>
            </w:pPr>
            <w:r>
              <w:rPr/>
              <w:t> </w:t>
            </w:r>
          </w:p>
        </w:tc>
      </w:tr>
      <w:tr>
        <w:trPr/>
        <w:tc>
          <w:tcPr>
            <w:tcW w:w="2900" w:type="dxa"/>
            <w:tcBorders/>
            <w:shd w:fill="FFFFFF" w:val="clear"/>
            <w:vAlign w:val="center"/>
          </w:tcPr>
          <w:p>
            <w:pPr>
              <w:pStyle w:val="TableContents"/>
              <w:bidi w:val="0"/>
              <w:spacing w:before="0" w:after="283"/>
              <w:jc w:val="left"/>
              <w:rPr/>
            </w:pPr>
            <w:r>
              <w:rPr/>
              <w:t>Contract assets:</w:t>
            </w:r>
          </w:p>
        </w:tc>
        <w:tc>
          <w:tcPr>
            <w:tcW w:w="60" w:type="dxa"/>
            <w:tcBorders/>
            <w:shd w:fill="FFFFFF" w:val="clear"/>
            <w:vAlign w:val="center"/>
          </w:tcPr>
          <w:p>
            <w:pPr>
              <w:pStyle w:val="TableContents"/>
              <w:bidi w:val="0"/>
              <w:spacing w:before="0" w:after="283"/>
              <w:jc w:val="left"/>
              <w:rPr/>
            </w:pPr>
            <w:r>
              <w:rPr/>
              <w:t> </w:t>
            </w:r>
          </w:p>
        </w:tc>
        <w:tc>
          <w:tcPr>
            <w:tcW w:w="241" w:type="dxa"/>
            <w:tcBorders/>
            <w:shd w:fill="FFFFFF" w:val="clear"/>
            <w:vAlign w:val="center"/>
          </w:tcPr>
          <w:p>
            <w:pPr>
              <w:pStyle w:val="TableContents"/>
              <w:bidi w:val="0"/>
              <w:spacing w:before="0" w:after="283"/>
              <w:jc w:val="left"/>
              <w:rPr/>
            </w:pPr>
            <w:r>
              <w:rPr/>
              <w:t> </w:t>
            </w:r>
          </w:p>
        </w:tc>
        <w:tc>
          <w:tcPr>
            <w:tcW w:w="1173"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41" w:type="dxa"/>
            <w:tcBorders/>
            <w:shd w:fill="FFFFFF" w:val="clear"/>
            <w:vAlign w:val="center"/>
          </w:tcPr>
          <w:p>
            <w:pPr>
              <w:pStyle w:val="TableContents"/>
              <w:bidi w:val="0"/>
              <w:spacing w:before="0" w:after="283"/>
              <w:jc w:val="left"/>
              <w:rPr/>
            </w:pPr>
            <w:r>
              <w:rPr/>
              <w:t> </w:t>
            </w:r>
          </w:p>
        </w:tc>
        <w:tc>
          <w:tcPr>
            <w:tcW w:w="1173" w:type="dxa"/>
            <w:tcBorders/>
            <w:shd w:fill="FFFFFF" w:val="clear"/>
            <w:vAlign w:val="center"/>
          </w:tcPr>
          <w:p>
            <w:pPr>
              <w:pStyle w:val="TableContents"/>
              <w:bidi w:val="0"/>
              <w:spacing w:before="0" w:after="283"/>
              <w:jc w:val="right"/>
              <w:rPr/>
            </w:pPr>
            <w:r>
              <w:rPr/>
              <w:t> </w:t>
            </w:r>
          </w:p>
        </w:tc>
        <w:tc>
          <w:tcPr>
            <w:tcW w:w="75" w:type="dxa"/>
            <w:tcBorders/>
            <w:shd w:fill="FFFFFF" w:val="clear"/>
            <w:vAlign w:val="center"/>
          </w:tcPr>
          <w:p>
            <w:pPr>
              <w:pStyle w:val="TableContents"/>
              <w:bidi w:val="0"/>
              <w:spacing w:before="0" w:after="283"/>
              <w:jc w:val="left"/>
              <w:rPr/>
            </w:pPr>
            <w:r>
              <w:rPr/>
              <w:t> </w:t>
            </w:r>
          </w:p>
        </w:tc>
      </w:tr>
      <w:tr>
        <w:trPr/>
        <w:tc>
          <w:tcPr>
            <w:tcW w:w="2900" w:type="dxa"/>
            <w:tcBorders/>
            <w:shd w:fill="CCEEFF" w:val="clear"/>
            <w:vAlign w:val="center"/>
          </w:tcPr>
          <w:p>
            <w:pPr>
              <w:pStyle w:val="TableContents"/>
              <w:bidi w:val="0"/>
              <w:spacing w:before="0" w:after="283"/>
              <w:jc w:val="left"/>
              <w:rPr/>
            </w:pPr>
            <w:r>
              <w:rPr/>
              <w:t>Contract assets, current</w:t>
            </w:r>
          </w:p>
        </w:tc>
        <w:tc>
          <w:tcPr>
            <w:tcW w:w="60" w:type="dxa"/>
            <w:tcBorders/>
            <w:shd w:fill="CCEEFF" w:val="clear"/>
            <w:vAlign w:val="center"/>
          </w:tcPr>
          <w:p>
            <w:pPr>
              <w:pStyle w:val="TableContents"/>
              <w:bidi w:val="0"/>
              <w:spacing w:before="0" w:after="283"/>
              <w:jc w:val="left"/>
              <w:rPr/>
            </w:pPr>
            <w:r>
              <w:rPr/>
              <w:t> </w:t>
            </w:r>
          </w:p>
        </w:tc>
        <w:tc>
          <w:tcPr>
            <w:tcW w:w="241" w:type="dxa"/>
            <w:tcBorders>
              <w:bottom w:val="single" w:sz="12" w:space="0" w:color="000000"/>
            </w:tcBorders>
            <w:shd w:fill="CCEEFF" w:val="clear"/>
            <w:tcMar>
              <w:bottom w:w="28" w:type="dxa"/>
            </w:tcMar>
            <w:vAlign w:val="center"/>
          </w:tcPr>
          <w:p>
            <w:pPr>
              <w:pStyle w:val="TableContents"/>
              <w:bidi w:val="0"/>
              <w:spacing w:before="0" w:after="283"/>
              <w:jc w:val="left"/>
              <w:rPr/>
            </w:pPr>
            <w:r>
              <w:rPr/>
              <w:t>$</w:t>
            </w:r>
          </w:p>
        </w:tc>
        <w:tc>
          <w:tcPr>
            <w:tcW w:w="1173" w:type="dxa"/>
            <w:tcBorders>
              <w:bottom w:val="single" w:sz="12" w:space="0" w:color="000000"/>
            </w:tcBorders>
            <w:shd w:fill="CCEEFF" w:val="clear"/>
            <w:tcMar>
              <w:bottom w:w="28" w:type="dxa"/>
            </w:tcMar>
            <w:vAlign w:val="center"/>
          </w:tcPr>
          <w:p>
            <w:pPr>
              <w:pStyle w:val="TableContents"/>
              <w:bidi w:val="0"/>
              <w:spacing w:before="0" w:after="283"/>
              <w:jc w:val="right"/>
              <w:rPr/>
            </w:pPr>
            <w:r>
              <w:rPr/>
              <w:t>14,122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1" w:type="dxa"/>
            <w:tcBorders>
              <w:bottom w:val="single" w:sz="12" w:space="0" w:color="000000"/>
            </w:tcBorders>
            <w:shd w:fill="CCEEFF" w:val="clear"/>
            <w:tcMar>
              <w:bottom w:w="28" w:type="dxa"/>
            </w:tcMar>
            <w:vAlign w:val="center"/>
          </w:tcPr>
          <w:p>
            <w:pPr>
              <w:pStyle w:val="TableContents"/>
              <w:bidi w:val="0"/>
              <w:spacing w:before="0" w:after="283"/>
              <w:jc w:val="left"/>
              <w:rPr/>
            </w:pPr>
            <w:r>
              <w:rPr/>
              <w:t>$</w:t>
            </w:r>
          </w:p>
        </w:tc>
        <w:tc>
          <w:tcPr>
            <w:tcW w:w="1173" w:type="dxa"/>
            <w:tcBorders>
              <w:bottom w:val="single" w:sz="12" w:space="0" w:color="000000"/>
            </w:tcBorders>
            <w:shd w:fill="CCEEFF" w:val="clear"/>
            <w:tcMar>
              <w:bottom w:w="28" w:type="dxa"/>
            </w:tcMar>
            <w:vAlign w:val="center"/>
          </w:tcPr>
          <w:p>
            <w:pPr>
              <w:pStyle w:val="TableContents"/>
              <w:bidi w:val="0"/>
              <w:spacing w:before="0" w:after="283"/>
              <w:jc w:val="right"/>
              <w:rPr/>
            </w:pPr>
            <w:r>
              <w:rPr/>
              <w:t>26,066</w:t>
            </w:r>
          </w:p>
        </w:tc>
        <w:tc>
          <w:tcPr>
            <w:tcW w:w="75" w:type="dxa"/>
            <w:tcBorders/>
            <w:shd w:fill="CCEEFF" w:val="clear"/>
            <w:vAlign w:val="center"/>
          </w:tcPr>
          <w:p>
            <w:pPr>
              <w:pStyle w:val="TableContents"/>
              <w:bidi w:val="0"/>
              <w:spacing w:before="0" w:after="283"/>
              <w:jc w:val="left"/>
              <w:rPr/>
            </w:pPr>
            <w:r>
              <w:rPr/>
              <w:t> </w:t>
            </w:r>
          </w:p>
        </w:tc>
      </w:tr>
      <w:tr>
        <w:trPr/>
        <w:tc>
          <w:tcPr>
            <w:tcW w:w="2900" w:type="dxa"/>
            <w:tcBorders/>
            <w:shd w:fill="FFFFFF" w:val="clear"/>
            <w:vAlign w:val="center"/>
          </w:tcPr>
          <w:p>
            <w:pPr>
              <w:pStyle w:val="TableContents"/>
              <w:bidi w:val="0"/>
              <w:spacing w:before="0" w:after="283"/>
              <w:jc w:val="left"/>
              <w:rPr/>
            </w:pPr>
            <w:r>
              <w:rPr/>
              <w:t>Total contract assets</w:t>
            </w:r>
          </w:p>
        </w:tc>
        <w:tc>
          <w:tcPr>
            <w:tcW w:w="60" w:type="dxa"/>
            <w:tcBorders/>
            <w:shd w:fill="FFFFFF" w:val="clear"/>
            <w:vAlign w:val="center"/>
          </w:tcPr>
          <w:p>
            <w:pPr>
              <w:pStyle w:val="TableContents"/>
              <w:bidi w:val="0"/>
              <w:spacing w:before="0" w:after="283"/>
              <w:jc w:val="left"/>
              <w:rPr/>
            </w:pPr>
            <w:r>
              <w:rPr/>
              <w:t> </w:t>
            </w:r>
          </w:p>
        </w:tc>
        <w:tc>
          <w:tcPr>
            <w:tcW w:w="241" w:type="dxa"/>
            <w:tcBorders>
              <w:bottom w:val="double" w:sz="10" w:space="0" w:color="000000"/>
            </w:tcBorders>
            <w:shd w:fill="FFFFFF" w:val="clear"/>
            <w:tcMar>
              <w:bottom w:w="28" w:type="dxa"/>
            </w:tcMar>
            <w:vAlign w:val="center"/>
          </w:tcPr>
          <w:p>
            <w:pPr>
              <w:pStyle w:val="TableContents"/>
              <w:bidi w:val="0"/>
              <w:spacing w:before="0" w:after="283"/>
              <w:jc w:val="left"/>
              <w:rPr/>
            </w:pPr>
            <w:r>
              <w:rPr/>
              <w:t>$</w:t>
            </w:r>
          </w:p>
        </w:tc>
        <w:tc>
          <w:tcPr>
            <w:tcW w:w="1173" w:type="dxa"/>
            <w:tcBorders>
              <w:bottom w:val="double" w:sz="10" w:space="0" w:color="000000"/>
            </w:tcBorders>
            <w:shd w:fill="FFFFFF" w:val="clear"/>
            <w:tcMar>
              <w:bottom w:w="28" w:type="dxa"/>
            </w:tcMar>
            <w:vAlign w:val="center"/>
          </w:tcPr>
          <w:p>
            <w:pPr>
              <w:pStyle w:val="TableContents"/>
              <w:bidi w:val="0"/>
              <w:spacing w:before="0" w:after="283"/>
              <w:jc w:val="right"/>
              <w:rPr/>
            </w:pPr>
            <w:r>
              <w:rPr/>
              <w:t>14,122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41" w:type="dxa"/>
            <w:tcBorders>
              <w:bottom w:val="double" w:sz="10" w:space="0" w:color="000000"/>
            </w:tcBorders>
            <w:shd w:fill="FFFFFF" w:val="clear"/>
            <w:tcMar>
              <w:bottom w:w="28" w:type="dxa"/>
            </w:tcMar>
            <w:vAlign w:val="center"/>
          </w:tcPr>
          <w:p>
            <w:pPr>
              <w:pStyle w:val="TableContents"/>
              <w:bidi w:val="0"/>
              <w:spacing w:before="0" w:after="283"/>
              <w:jc w:val="left"/>
              <w:rPr/>
            </w:pPr>
            <w:r>
              <w:rPr/>
              <w:t>$</w:t>
            </w:r>
          </w:p>
        </w:tc>
        <w:tc>
          <w:tcPr>
            <w:tcW w:w="1173" w:type="dxa"/>
            <w:tcBorders>
              <w:bottom w:val="double" w:sz="10" w:space="0" w:color="000000"/>
            </w:tcBorders>
            <w:shd w:fill="FFFFFF" w:val="clear"/>
            <w:tcMar>
              <w:bottom w:w="28" w:type="dxa"/>
            </w:tcMar>
            <w:vAlign w:val="center"/>
          </w:tcPr>
          <w:p>
            <w:pPr>
              <w:pStyle w:val="TableContents"/>
              <w:bidi w:val="0"/>
              <w:spacing w:before="0" w:after="283"/>
              <w:jc w:val="right"/>
              <w:rPr/>
            </w:pPr>
            <w:r>
              <w:rPr/>
              <w:t>26,066</w:t>
            </w:r>
          </w:p>
        </w:tc>
        <w:tc>
          <w:tcPr>
            <w:tcW w:w="75" w:type="dxa"/>
            <w:tcBorders/>
            <w:shd w:fill="FFFFFF" w:val="clear"/>
            <w:vAlign w:val="center"/>
          </w:tcPr>
          <w:p>
            <w:pPr>
              <w:pStyle w:val="TableContents"/>
              <w:bidi w:val="0"/>
              <w:spacing w:before="0" w:after="283"/>
              <w:jc w:val="left"/>
              <w:rPr/>
            </w:pPr>
            <w:r>
              <w:rPr/>
              <w:t> </w:t>
            </w:r>
          </w:p>
        </w:tc>
      </w:tr>
      <w:tr>
        <w:trPr/>
        <w:tc>
          <w:tcPr>
            <w:tcW w:w="2900" w:type="dxa"/>
            <w:tcBorders/>
            <w:shd w:fill="CCEEFF" w:val="clear"/>
            <w:vAlign w:val="center"/>
          </w:tcPr>
          <w:p>
            <w:pPr>
              <w:pStyle w:val="TableContents"/>
              <w:bidi w:val="0"/>
              <w:spacing w:before="0" w:after="283"/>
              <w:jc w:val="left"/>
              <w:rPr/>
            </w:pPr>
            <w:r>
              <w:rPr/>
              <w:t>Contract liabilities:</w:t>
            </w:r>
          </w:p>
        </w:tc>
        <w:tc>
          <w:tcPr>
            <w:tcW w:w="60" w:type="dxa"/>
            <w:tcBorders/>
            <w:shd w:fill="CCEEFF" w:val="clear"/>
            <w:vAlign w:val="center"/>
          </w:tcPr>
          <w:p>
            <w:pPr>
              <w:pStyle w:val="TableContents"/>
              <w:bidi w:val="0"/>
              <w:spacing w:before="0" w:after="283"/>
              <w:jc w:val="left"/>
              <w:rPr/>
            </w:pPr>
            <w:r>
              <w:rPr/>
              <w:t> </w:t>
            </w:r>
          </w:p>
        </w:tc>
        <w:tc>
          <w:tcPr>
            <w:tcW w:w="241" w:type="dxa"/>
            <w:tcBorders/>
            <w:shd w:fill="CCEEFF" w:val="clear"/>
            <w:vAlign w:val="center"/>
          </w:tcPr>
          <w:p>
            <w:pPr>
              <w:pStyle w:val="TableContents"/>
              <w:bidi w:val="0"/>
              <w:spacing w:before="0" w:after="283"/>
              <w:jc w:val="left"/>
              <w:rPr/>
            </w:pPr>
            <w:r>
              <w:rPr/>
              <w:t> </w:t>
            </w:r>
          </w:p>
        </w:tc>
        <w:tc>
          <w:tcPr>
            <w:tcW w:w="1173"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1" w:type="dxa"/>
            <w:tcBorders/>
            <w:shd w:fill="CCEEFF" w:val="clear"/>
            <w:vAlign w:val="center"/>
          </w:tcPr>
          <w:p>
            <w:pPr>
              <w:pStyle w:val="TableContents"/>
              <w:bidi w:val="0"/>
              <w:spacing w:before="0" w:after="283"/>
              <w:jc w:val="left"/>
              <w:rPr/>
            </w:pPr>
            <w:r>
              <w:rPr/>
              <w:t> </w:t>
            </w:r>
          </w:p>
        </w:tc>
        <w:tc>
          <w:tcPr>
            <w:tcW w:w="1173"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2900" w:type="dxa"/>
            <w:tcBorders/>
            <w:shd w:fill="FFFFFF" w:val="clear"/>
            <w:vAlign w:val="center"/>
          </w:tcPr>
          <w:p>
            <w:pPr>
              <w:pStyle w:val="TableContents"/>
              <w:bidi w:val="0"/>
              <w:spacing w:before="0" w:after="283"/>
              <w:jc w:val="left"/>
              <w:rPr/>
            </w:pPr>
            <w:r>
              <w:rPr/>
              <w:t>Contract liabilities, current</w:t>
            </w:r>
          </w:p>
        </w:tc>
        <w:tc>
          <w:tcPr>
            <w:tcW w:w="60" w:type="dxa"/>
            <w:tcBorders/>
            <w:shd w:fill="FFFFFF" w:val="clear"/>
            <w:vAlign w:val="center"/>
          </w:tcPr>
          <w:p>
            <w:pPr>
              <w:pStyle w:val="TableContents"/>
              <w:bidi w:val="0"/>
              <w:spacing w:before="0" w:after="283"/>
              <w:jc w:val="left"/>
              <w:rPr/>
            </w:pPr>
            <w:r>
              <w:rPr/>
              <w:t> </w:t>
            </w:r>
          </w:p>
        </w:tc>
        <w:tc>
          <w:tcPr>
            <w:tcW w:w="241" w:type="dxa"/>
            <w:tcBorders/>
            <w:shd w:fill="FFFFFF" w:val="clear"/>
            <w:vAlign w:val="center"/>
          </w:tcPr>
          <w:p>
            <w:pPr>
              <w:pStyle w:val="TableContents"/>
              <w:bidi w:val="0"/>
              <w:spacing w:before="0" w:after="283"/>
              <w:jc w:val="left"/>
              <w:rPr/>
            </w:pPr>
            <w:r>
              <w:rPr/>
              <w:t>$</w:t>
            </w:r>
          </w:p>
        </w:tc>
        <w:tc>
          <w:tcPr>
            <w:tcW w:w="1173" w:type="dxa"/>
            <w:tcBorders/>
            <w:shd w:fill="FFFFFF" w:val="clear"/>
            <w:vAlign w:val="center"/>
          </w:tcPr>
          <w:p>
            <w:pPr>
              <w:pStyle w:val="TableContents"/>
              <w:bidi w:val="0"/>
              <w:spacing w:before="0" w:after="283"/>
              <w:jc w:val="right"/>
              <w:rPr/>
            </w:pPr>
            <w:r>
              <w:rPr/>
              <w:t>20,336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41" w:type="dxa"/>
            <w:tcBorders/>
            <w:shd w:fill="FFFFFF" w:val="clear"/>
            <w:vAlign w:val="center"/>
          </w:tcPr>
          <w:p>
            <w:pPr>
              <w:pStyle w:val="TableContents"/>
              <w:bidi w:val="0"/>
              <w:spacing w:before="0" w:after="283"/>
              <w:jc w:val="left"/>
              <w:rPr/>
            </w:pPr>
            <w:r>
              <w:rPr/>
              <w:t>$</w:t>
            </w:r>
          </w:p>
        </w:tc>
        <w:tc>
          <w:tcPr>
            <w:tcW w:w="1173" w:type="dxa"/>
            <w:tcBorders/>
            <w:shd w:fill="FFFFFF" w:val="clear"/>
            <w:vAlign w:val="center"/>
          </w:tcPr>
          <w:p>
            <w:pPr>
              <w:pStyle w:val="TableContents"/>
              <w:bidi w:val="0"/>
              <w:spacing w:before="0" w:after="283"/>
              <w:jc w:val="right"/>
              <w:rPr/>
            </w:pPr>
            <w:r>
              <w:rPr/>
              <w:t>10,003</w:t>
            </w:r>
          </w:p>
        </w:tc>
        <w:tc>
          <w:tcPr>
            <w:tcW w:w="75" w:type="dxa"/>
            <w:tcBorders/>
            <w:shd w:fill="FFFFFF" w:val="clear"/>
            <w:vAlign w:val="center"/>
          </w:tcPr>
          <w:p>
            <w:pPr>
              <w:pStyle w:val="TableContents"/>
              <w:bidi w:val="0"/>
              <w:spacing w:before="0" w:after="283"/>
              <w:jc w:val="left"/>
              <w:rPr/>
            </w:pPr>
            <w:r>
              <w:rPr/>
              <w:t> </w:t>
            </w:r>
          </w:p>
        </w:tc>
      </w:tr>
      <w:tr>
        <w:trPr/>
        <w:tc>
          <w:tcPr>
            <w:tcW w:w="2900" w:type="dxa"/>
            <w:tcBorders/>
            <w:shd w:fill="CCEEFF" w:val="clear"/>
            <w:vAlign w:val="center"/>
          </w:tcPr>
          <w:p>
            <w:pPr>
              <w:pStyle w:val="TableContents"/>
              <w:bidi w:val="0"/>
              <w:spacing w:before="0" w:after="283"/>
              <w:jc w:val="left"/>
              <w:rPr/>
            </w:pPr>
            <w:r>
              <w:rPr/>
              <w:t>Contract liabilities, noncurrent</w:t>
            </w:r>
          </w:p>
        </w:tc>
        <w:tc>
          <w:tcPr>
            <w:tcW w:w="60" w:type="dxa"/>
            <w:tcBorders/>
            <w:shd w:fill="CCEEFF" w:val="clear"/>
            <w:vAlign w:val="center"/>
          </w:tcPr>
          <w:p>
            <w:pPr>
              <w:pStyle w:val="TableContents"/>
              <w:bidi w:val="0"/>
              <w:spacing w:before="0" w:after="283"/>
              <w:jc w:val="left"/>
              <w:rPr/>
            </w:pPr>
            <w:r>
              <w:rPr/>
              <w:t> </w:t>
            </w:r>
          </w:p>
        </w:tc>
        <w:tc>
          <w:tcPr>
            <w:tcW w:w="241"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73" w:type="dxa"/>
            <w:tcBorders>
              <w:bottom w:val="single" w:sz="12" w:space="0" w:color="000000"/>
            </w:tcBorders>
            <w:shd w:fill="CCEEFF" w:val="clear"/>
            <w:tcMar>
              <w:bottom w:w="28" w:type="dxa"/>
            </w:tcMar>
            <w:vAlign w:val="center"/>
          </w:tcPr>
          <w:p>
            <w:pPr>
              <w:pStyle w:val="TableContents"/>
              <w:bidi w:val="0"/>
              <w:spacing w:before="0" w:after="283"/>
              <w:jc w:val="right"/>
              <w:rPr/>
            </w:pPr>
            <w:r>
              <w:rPr/>
              <w:t>794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1"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73" w:type="dxa"/>
            <w:tcBorders>
              <w:bottom w:val="single" w:sz="12" w:space="0" w:color="000000"/>
            </w:tcBorders>
            <w:shd w:fill="CCEEFF" w:val="clear"/>
            <w:tcMar>
              <w:bottom w:w="28" w:type="dxa"/>
            </w:tcMar>
            <w:vAlign w:val="center"/>
          </w:tcPr>
          <w:p>
            <w:pPr>
              <w:pStyle w:val="TableContents"/>
              <w:bidi w:val="0"/>
              <w:spacing w:before="0" w:after="283"/>
              <w:jc w:val="right"/>
              <w:rPr/>
            </w:pPr>
            <w:r>
              <w:rPr/>
              <w:t>918</w:t>
            </w:r>
          </w:p>
        </w:tc>
        <w:tc>
          <w:tcPr>
            <w:tcW w:w="75" w:type="dxa"/>
            <w:tcBorders/>
            <w:shd w:fill="CCEEFF" w:val="clear"/>
            <w:vAlign w:val="center"/>
          </w:tcPr>
          <w:p>
            <w:pPr>
              <w:pStyle w:val="TableContents"/>
              <w:bidi w:val="0"/>
              <w:spacing w:before="0" w:after="283"/>
              <w:jc w:val="left"/>
              <w:rPr/>
            </w:pPr>
            <w:r>
              <w:rPr/>
              <w:t> </w:t>
            </w:r>
          </w:p>
        </w:tc>
      </w:tr>
      <w:tr>
        <w:trPr/>
        <w:tc>
          <w:tcPr>
            <w:tcW w:w="2900" w:type="dxa"/>
            <w:tcBorders/>
            <w:shd w:fill="FFFFFF" w:val="clear"/>
            <w:vAlign w:val="center"/>
          </w:tcPr>
          <w:p>
            <w:pPr>
              <w:pStyle w:val="TableContents"/>
              <w:bidi w:val="0"/>
              <w:spacing w:before="0" w:after="283"/>
              <w:jc w:val="left"/>
              <w:rPr/>
            </w:pPr>
            <w:r>
              <w:rPr/>
              <w:t>Total contract liabilities</w:t>
            </w:r>
          </w:p>
        </w:tc>
        <w:tc>
          <w:tcPr>
            <w:tcW w:w="60" w:type="dxa"/>
            <w:tcBorders/>
            <w:shd w:fill="FFFFFF" w:val="clear"/>
            <w:vAlign w:val="center"/>
          </w:tcPr>
          <w:p>
            <w:pPr>
              <w:pStyle w:val="TableContents"/>
              <w:bidi w:val="0"/>
              <w:spacing w:before="0" w:after="283"/>
              <w:jc w:val="left"/>
              <w:rPr/>
            </w:pPr>
            <w:r>
              <w:rPr/>
              <w:t> </w:t>
            </w:r>
          </w:p>
        </w:tc>
        <w:tc>
          <w:tcPr>
            <w:tcW w:w="241" w:type="dxa"/>
            <w:tcBorders>
              <w:bottom w:val="double" w:sz="10" w:space="0" w:color="000000"/>
            </w:tcBorders>
            <w:shd w:fill="FFFFFF" w:val="clear"/>
            <w:tcMar>
              <w:bottom w:w="28" w:type="dxa"/>
            </w:tcMar>
            <w:vAlign w:val="center"/>
          </w:tcPr>
          <w:p>
            <w:pPr>
              <w:pStyle w:val="TableContents"/>
              <w:bidi w:val="0"/>
              <w:spacing w:before="0" w:after="283"/>
              <w:jc w:val="left"/>
              <w:rPr/>
            </w:pPr>
            <w:r>
              <w:rPr/>
              <w:t>$</w:t>
            </w:r>
          </w:p>
        </w:tc>
        <w:tc>
          <w:tcPr>
            <w:tcW w:w="1173" w:type="dxa"/>
            <w:tcBorders>
              <w:bottom w:val="double" w:sz="10" w:space="0" w:color="000000"/>
            </w:tcBorders>
            <w:shd w:fill="FFFFFF" w:val="clear"/>
            <w:tcMar>
              <w:bottom w:w="28" w:type="dxa"/>
            </w:tcMar>
            <w:vAlign w:val="center"/>
          </w:tcPr>
          <w:p>
            <w:pPr>
              <w:pStyle w:val="TableContents"/>
              <w:bidi w:val="0"/>
              <w:spacing w:before="0" w:after="283"/>
              <w:jc w:val="right"/>
              <w:rPr/>
            </w:pPr>
            <w:r>
              <w:rPr/>
              <w:t>21,130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41" w:type="dxa"/>
            <w:tcBorders>
              <w:bottom w:val="double" w:sz="10" w:space="0" w:color="000000"/>
            </w:tcBorders>
            <w:shd w:fill="FFFFFF" w:val="clear"/>
            <w:tcMar>
              <w:bottom w:w="28" w:type="dxa"/>
            </w:tcMar>
            <w:vAlign w:val="center"/>
          </w:tcPr>
          <w:p>
            <w:pPr>
              <w:pStyle w:val="TableContents"/>
              <w:bidi w:val="0"/>
              <w:spacing w:before="0" w:after="283"/>
              <w:jc w:val="left"/>
              <w:rPr/>
            </w:pPr>
            <w:r>
              <w:rPr/>
              <w:t>$</w:t>
            </w:r>
          </w:p>
        </w:tc>
        <w:tc>
          <w:tcPr>
            <w:tcW w:w="1173" w:type="dxa"/>
            <w:tcBorders>
              <w:bottom w:val="double" w:sz="10" w:space="0" w:color="000000"/>
            </w:tcBorders>
            <w:shd w:fill="FFFFFF" w:val="clear"/>
            <w:tcMar>
              <w:bottom w:w="28" w:type="dxa"/>
            </w:tcMar>
            <w:vAlign w:val="center"/>
          </w:tcPr>
          <w:p>
            <w:pPr>
              <w:pStyle w:val="TableContents"/>
              <w:bidi w:val="0"/>
              <w:spacing w:before="0" w:after="283"/>
              <w:jc w:val="right"/>
              <w:rPr/>
            </w:pPr>
            <w:r>
              <w:rPr/>
              <w:t>10,921</w:t>
            </w:r>
          </w:p>
        </w:tc>
        <w:tc>
          <w:tcPr>
            <w:tcW w:w="75"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receives payments from customers based upon contractual payment terms. Accounts receivable are recorded in an amount that reflects the consideration that is expected to be received in exchange for those goods or services when the right to consideration becomes unconditional.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increase in contract liabilities is primarily attributed to the acquisition of Sunder in fiscal year 2025.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Changes in the balances of contract assets in the fiscal years ended December 28, 2025 and December 29, 2024 were as follows (</w:t>
      </w:r>
      <w:r>
        <w:rPr>
          <w:rFonts w:ascii="Times New Roman;Times;Serif" w:hAnsi="Times New Roman;Times;Serif"/>
          <w:b w:val="false"/>
          <w:i/>
          <w:caps w:val="false"/>
          <w:smallCaps w:val="false"/>
          <w:sz w:val="20"/>
        </w:rPr>
        <w:t>in thousands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tbl>
      <w:tblPr>
        <w:tblW w:w="9186" w:type="dxa"/>
        <w:jc w:val="left"/>
        <w:tblInd w:w="0" w:type="dxa"/>
        <w:tblLayout w:type="fixed"/>
        <w:tblCellMar>
          <w:top w:w="0" w:type="dxa"/>
          <w:left w:w="0" w:type="dxa"/>
          <w:bottom w:w="0" w:type="dxa"/>
          <w:right w:w="0" w:type="dxa"/>
        </w:tblCellMar>
      </w:tblPr>
      <w:tblGrid>
        <w:gridCol w:w="6065"/>
        <w:gridCol w:w="60"/>
        <w:gridCol w:w="220"/>
        <w:gridCol w:w="1194"/>
        <w:gridCol w:w="97"/>
        <w:gridCol w:w="61"/>
        <w:gridCol w:w="241"/>
        <w:gridCol w:w="1173"/>
        <w:gridCol w:w="75"/>
      </w:tblGrid>
      <w:tr>
        <w:trPr/>
        <w:tc>
          <w:tcPr>
            <w:tcW w:w="606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986"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Fiscal Year Ended</w:t>
            </w:r>
          </w:p>
        </w:tc>
        <w:tc>
          <w:tcPr>
            <w:tcW w:w="75" w:type="dxa"/>
            <w:tcBorders/>
            <w:vAlign w:val="center"/>
          </w:tcPr>
          <w:p>
            <w:pPr>
              <w:pStyle w:val="TableContents"/>
              <w:bidi w:val="0"/>
              <w:spacing w:before="0" w:after="283"/>
              <w:jc w:val="left"/>
              <w:rPr/>
            </w:pPr>
            <w:r>
              <w:rPr/>
              <w:t> </w:t>
            </w:r>
          </w:p>
        </w:tc>
      </w:tr>
      <w:tr>
        <w:trPr/>
        <w:tc>
          <w:tcPr>
            <w:tcW w:w="6065" w:type="dxa"/>
            <w:tcBorders/>
            <w:vAlign w:val="center"/>
          </w:tcPr>
          <w:p>
            <w:pPr>
              <w:pStyle w:val="TableContents"/>
              <w:bidi w:val="0"/>
              <w:spacing w:before="0" w:after="283"/>
              <w:jc w:val="left"/>
              <w:rPr>
                <w:b/>
              </w:rPr>
            </w:pPr>
            <w:r>
              <w:rPr>
                <w:b/>
              </w:rPr>
              <w:t>Contract assets</w:t>
            </w:r>
          </w:p>
        </w:tc>
        <w:tc>
          <w:tcPr>
            <w:tcW w:w="60" w:type="dxa"/>
            <w:tcBorders/>
            <w:vAlign w:val="center"/>
          </w:tcPr>
          <w:p>
            <w:pPr>
              <w:pStyle w:val="TableContents"/>
              <w:bidi w:val="0"/>
              <w:spacing w:before="0" w:after="283"/>
              <w:jc w:val="left"/>
              <w:rPr/>
            </w:pPr>
            <w:r>
              <w:rPr/>
              <w:t> </w:t>
            </w:r>
          </w:p>
        </w:tc>
        <w:tc>
          <w:tcPr>
            <w:tcW w:w="1414" w:type="dxa"/>
            <w:gridSpan w:val="2"/>
            <w:tcBorders/>
            <w:vAlign w:val="center"/>
          </w:tcPr>
          <w:p>
            <w:pPr>
              <w:pStyle w:val="TableContents"/>
              <w:bidi w:val="0"/>
              <w:spacing w:before="0" w:after="283"/>
              <w:jc w:val="center"/>
              <w:rPr>
                <w:b/>
              </w:rPr>
            </w:pPr>
            <w:r>
              <w:rPr>
                <w:b/>
              </w:rPr>
              <w:t>December 28,</w:t>
            </w:r>
          </w:p>
        </w:tc>
        <w:tc>
          <w:tcPr>
            <w:tcW w:w="97" w:type="dxa"/>
            <w:tcBorders/>
            <w:vAlign w:val="center"/>
          </w:tcPr>
          <w:p>
            <w:pPr>
              <w:pStyle w:val="TableContents"/>
              <w:bidi w:val="0"/>
              <w:spacing w:before="0" w:after="283"/>
              <w:jc w:val="left"/>
              <w:rPr/>
            </w:pPr>
            <w:r>
              <w:rPr/>
              <w:t> </w:t>
            </w:r>
          </w:p>
        </w:tc>
        <w:tc>
          <w:tcPr>
            <w:tcW w:w="61" w:type="dxa"/>
            <w:tcBorders/>
            <w:vAlign w:val="center"/>
          </w:tcPr>
          <w:p>
            <w:pPr>
              <w:pStyle w:val="TableContents"/>
              <w:bidi w:val="0"/>
              <w:spacing w:before="0" w:after="283"/>
              <w:jc w:val="left"/>
              <w:rPr/>
            </w:pPr>
            <w:r>
              <w:rPr/>
              <w:t> </w:t>
            </w:r>
          </w:p>
        </w:tc>
        <w:tc>
          <w:tcPr>
            <w:tcW w:w="1414" w:type="dxa"/>
            <w:gridSpan w:val="2"/>
            <w:tcBorders/>
            <w:vAlign w:val="center"/>
          </w:tcPr>
          <w:p>
            <w:pPr>
              <w:pStyle w:val="TableContents"/>
              <w:bidi w:val="0"/>
              <w:spacing w:before="0" w:after="283"/>
              <w:jc w:val="center"/>
              <w:rPr>
                <w:b/>
              </w:rPr>
            </w:pPr>
            <w:r>
              <w:rPr>
                <w:b/>
              </w:rPr>
              <w:t>December 29,</w:t>
            </w:r>
          </w:p>
        </w:tc>
        <w:tc>
          <w:tcPr>
            <w:tcW w:w="75" w:type="dxa"/>
            <w:tcBorders/>
            <w:vAlign w:val="center"/>
          </w:tcPr>
          <w:p>
            <w:pPr>
              <w:pStyle w:val="TableContents"/>
              <w:bidi w:val="0"/>
              <w:spacing w:before="0" w:after="283"/>
              <w:jc w:val="left"/>
              <w:rPr/>
            </w:pPr>
            <w:r>
              <w:rPr/>
              <w:t> </w:t>
            </w:r>
          </w:p>
        </w:tc>
      </w:tr>
      <w:tr>
        <w:trPr/>
        <w:tc>
          <w:tcPr>
            <w:tcW w:w="606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14"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2025</w:t>
            </w:r>
          </w:p>
        </w:tc>
        <w:tc>
          <w:tcPr>
            <w:tcW w:w="97" w:type="dxa"/>
            <w:tcBorders/>
            <w:vAlign w:val="center"/>
          </w:tcPr>
          <w:p>
            <w:pPr>
              <w:pStyle w:val="TableContents"/>
              <w:bidi w:val="0"/>
              <w:spacing w:before="0" w:after="283"/>
              <w:jc w:val="left"/>
              <w:rPr/>
            </w:pPr>
            <w:r>
              <w:rPr/>
              <w:t> </w:t>
            </w:r>
          </w:p>
        </w:tc>
        <w:tc>
          <w:tcPr>
            <w:tcW w:w="61" w:type="dxa"/>
            <w:tcBorders/>
            <w:vAlign w:val="center"/>
          </w:tcPr>
          <w:p>
            <w:pPr>
              <w:pStyle w:val="TableContents"/>
              <w:bidi w:val="0"/>
              <w:spacing w:before="0" w:after="283"/>
              <w:jc w:val="left"/>
              <w:rPr/>
            </w:pPr>
            <w:r>
              <w:rPr/>
              <w:t> </w:t>
            </w:r>
          </w:p>
        </w:tc>
        <w:tc>
          <w:tcPr>
            <w:tcW w:w="1414"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2024</w:t>
            </w:r>
          </w:p>
        </w:tc>
        <w:tc>
          <w:tcPr>
            <w:tcW w:w="75" w:type="dxa"/>
            <w:tcBorders/>
            <w:vAlign w:val="center"/>
          </w:tcPr>
          <w:p>
            <w:pPr>
              <w:pStyle w:val="TableContents"/>
              <w:bidi w:val="0"/>
              <w:spacing w:before="0" w:after="283"/>
              <w:jc w:val="left"/>
              <w:rPr/>
            </w:pPr>
            <w:r>
              <w:rPr/>
              <w:t> </w:t>
            </w:r>
          </w:p>
        </w:tc>
      </w:tr>
      <w:tr>
        <w:trPr/>
        <w:tc>
          <w:tcPr>
            <w:tcW w:w="6065" w:type="dxa"/>
            <w:tcBorders/>
            <w:shd w:fill="CCEEFF" w:val="clear"/>
            <w:vAlign w:val="center"/>
          </w:tcPr>
          <w:p>
            <w:pPr>
              <w:pStyle w:val="TableContents"/>
              <w:bidi w:val="0"/>
              <w:spacing w:before="0" w:after="283"/>
              <w:jc w:val="left"/>
              <w:rPr/>
            </w:pPr>
            <w:r>
              <w:rPr/>
              <w:t>Contract assets, beginning of period</w:t>
            </w:r>
          </w:p>
        </w:tc>
        <w:tc>
          <w:tcPr>
            <w:tcW w:w="60" w:type="dxa"/>
            <w:tcBorders/>
            <w:shd w:fill="CCEEFF" w:val="clear"/>
            <w:vAlign w:val="center"/>
          </w:tcPr>
          <w:p>
            <w:pPr>
              <w:pStyle w:val="TableContents"/>
              <w:bidi w:val="0"/>
              <w:spacing w:before="0" w:after="283"/>
              <w:jc w:val="left"/>
              <w:rPr/>
            </w:pPr>
            <w:r>
              <w:rPr/>
              <w:t> </w:t>
            </w:r>
          </w:p>
        </w:tc>
        <w:tc>
          <w:tcPr>
            <w:tcW w:w="220" w:type="dxa"/>
            <w:tcBorders/>
            <w:shd w:fill="CCEEFF" w:val="clear"/>
            <w:vAlign w:val="center"/>
          </w:tcPr>
          <w:p>
            <w:pPr>
              <w:pStyle w:val="TableContents"/>
              <w:bidi w:val="0"/>
              <w:spacing w:before="0" w:after="283"/>
              <w:jc w:val="left"/>
              <w:rPr/>
            </w:pPr>
            <w:r>
              <w:rPr/>
              <w:t>$</w:t>
            </w:r>
          </w:p>
        </w:tc>
        <w:tc>
          <w:tcPr>
            <w:tcW w:w="1194" w:type="dxa"/>
            <w:tcBorders/>
            <w:shd w:fill="CCEEFF" w:val="clear"/>
            <w:vAlign w:val="center"/>
          </w:tcPr>
          <w:p>
            <w:pPr>
              <w:pStyle w:val="TableContents"/>
              <w:bidi w:val="0"/>
              <w:spacing w:before="0" w:after="283"/>
              <w:jc w:val="right"/>
              <w:rPr/>
            </w:pPr>
            <w:r>
              <w:rPr/>
              <w:t>26,066</w:t>
            </w:r>
          </w:p>
        </w:tc>
        <w:tc>
          <w:tcPr>
            <w:tcW w:w="97"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241" w:type="dxa"/>
            <w:tcBorders/>
            <w:shd w:fill="CCEEFF" w:val="clear"/>
            <w:vAlign w:val="center"/>
          </w:tcPr>
          <w:p>
            <w:pPr>
              <w:pStyle w:val="TableContents"/>
              <w:bidi w:val="0"/>
              <w:spacing w:before="0" w:after="283"/>
              <w:jc w:val="left"/>
              <w:rPr/>
            </w:pPr>
            <w:r>
              <w:rPr/>
              <w:t>$</w:t>
            </w:r>
          </w:p>
        </w:tc>
        <w:tc>
          <w:tcPr>
            <w:tcW w:w="1173" w:type="dxa"/>
            <w:tcBorders/>
            <w:shd w:fill="CCEEFF" w:val="clear"/>
            <w:vAlign w:val="center"/>
          </w:tcPr>
          <w:p>
            <w:pPr>
              <w:pStyle w:val="TableContents"/>
              <w:bidi w:val="0"/>
              <w:spacing w:before="0" w:after="283"/>
              <w:jc w:val="right"/>
              <w:rPr/>
            </w:pPr>
            <w:r>
              <w:rPr/>
              <w:t>—</w:t>
            </w:r>
          </w:p>
        </w:tc>
        <w:tc>
          <w:tcPr>
            <w:tcW w:w="75" w:type="dxa"/>
            <w:tcBorders/>
            <w:shd w:fill="CCEEFF" w:val="clear"/>
            <w:vAlign w:val="center"/>
          </w:tcPr>
          <w:p>
            <w:pPr>
              <w:pStyle w:val="TableContents"/>
              <w:bidi w:val="0"/>
              <w:spacing w:before="0" w:after="283"/>
              <w:jc w:val="left"/>
              <w:rPr/>
            </w:pPr>
            <w:r>
              <w:rPr/>
              <w:t> </w:t>
            </w:r>
          </w:p>
        </w:tc>
      </w:tr>
      <w:tr>
        <w:trPr/>
        <w:tc>
          <w:tcPr>
            <w:tcW w:w="6065" w:type="dxa"/>
            <w:tcBorders/>
            <w:shd w:fill="FFFFFF" w:val="clear"/>
            <w:vAlign w:val="center"/>
          </w:tcPr>
          <w:p>
            <w:pPr>
              <w:pStyle w:val="TableContents"/>
              <w:bidi w:val="0"/>
              <w:spacing w:before="0" w:after="283"/>
              <w:jc w:val="left"/>
              <w:rPr/>
            </w:pPr>
            <w:r>
              <w:rPr/>
              <w:t>Contract assets recognized</w:t>
            </w:r>
          </w:p>
        </w:tc>
        <w:tc>
          <w:tcPr>
            <w:tcW w:w="60" w:type="dxa"/>
            <w:tcBorders/>
            <w:shd w:fill="FFFFFF" w:val="clear"/>
            <w:vAlign w:val="center"/>
          </w:tcPr>
          <w:p>
            <w:pPr>
              <w:pStyle w:val="TableContents"/>
              <w:bidi w:val="0"/>
              <w:spacing w:before="0" w:after="283"/>
              <w:jc w:val="left"/>
              <w:rPr/>
            </w:pPr>
            <w:r>
              <w:rPr/>
              <w:t> </w:t>
            </w:r>
          </w:p>
        </w:tc>
        <w:tc>
          <w:tcPr>
            <w:tcW w:w="220" w:type="dxa"/>
            <w:tcBorders/>
            <w:shd w:fill="FFFFFF" w:val="clear"/>
            <w:vAlign w:val="center"/>
          </w:tcPr>
          <w:p>
            <w:pPr>
              <w:pStyle w:val="TableContents"/>
              <w:bidi w:val="0"/>
              <w:spacing w:before="0" w:after="283"/>
              <w:jc w:val="left"/>
              <w:rPr/>
            </w:pPr>
            <w:r>
              <w:rPr/>
              <w:t> </w:t>
            </w:r>
          </w:p>
        </w:tc>
        <w:tc>
          <w:tcPr>
            <w:tcW w:w="1194" w:type="dxa"/>
            <w:tcBorders/>
            <w:shd w:fill="FFFFFF" w:val="clear"/>
            <w:vAlign w:val="center"/>
          </w:tcPr>
          <w:p>
            <w:pPr>
              <w:pStyle w:val="TableContents"/>
              <w:bidi w:val="0"/>
              <w:spacing w:before="0" w:after="283"/>
              <w:jc w:val="right"/>
              <w:rPr/>
            </w:pPr>
            <w:r>
              <w:rPr/>
              <w:t>12,979</w:t>
            </w:r>
          </w:p>
        </w:tc>
        <w:tc>
          <w:tcPr>
            <w:tcW w:w="97"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jc w:val="left"/>
              <w:rPr/>
            </w:pPr>
            <w:r>
              <w:rPr/>
              <w:t> </w:t>
            </w:r>
          </w:p>
        </w:tc>
        <w:tc>
          <w:tcPr>
            <w:tcW w:w="241" w:type="dxa"/>
            <w:tcBorders/>
            <w:shd w:fill="FFFFFF" w:val="clear"/>
            <w:vAlign w:val="center"/>
          </w:tcPr>
          <w:p>
            <w:pPr>
              <w:pStyle w:val="TableContents"/>
              <w:bidi w:val="0"/>
              <w:spacing w:before="0" w:after="283"/>
              <w:jc w:val="left"/>
              <w:rPr/>
            </w:pPr>
            <w:r>
              <w:rPr/>
              <w:t> </w:t>
            </w:r>
          </w:p>
        </w:tc>
        <w:tc>
          <w:tcPr>
            <w:tcW w:w="1173" w:type="dxa"/>
            <w:tcBorders/>
            <w:shd w:fill="FFFFFF" w:val="clear"/>
            <w:vAlign w:val="center"/>
          </w:tcPr>
          <w:p>
            <w:pPr>
              <w:pStyle w:val="TableContents"/>
              <w:bidi w:val="0"/>
              <w:spacing w:before="0" w:after="283"/>
              <w:jc w:val="right"/>
              <w:rPr/>
            </w:pPr>
            <w:r>
              <w:rPr/>
              <w:t>21,451</w:t>
            </w:r>
          </w:p>
        </w:tc>
        <w:tc>
          <w:tcPr>
            <w:tcW w:w="75" w:type="dxa"/>
            <w:tcBorders/>
            <w:shd w:fill="FFFFFF" w:val="clear"/>
            <w:vAlign w:val="center"/>
          </w:tcPr>
          <w:p>
            <w:pPr>
              <w:pStyle w:val="TableContents"/>
              <w:bidi w:val="0"/>
              <w:spacing w:before="0" w:after="283"/>
              <w:jc w:val="left"/>
              <w:rPr/>
            </w:pPr>
            <w:r>
              <w:rPr/>
              <w:t> </w:t>
            </w:r>
          </w:p>
        </w:tc>
      </w:tr>
      <w:tr>
        <w:trPr/>
        <w:tc>
          <w:tcPr>
            <w:tcW w:w="6065" w:type="dxa"/>
            <w:tcBorders/>
            <w:shd w:fill="CCEEFF" w:val="clear"/>
            <w:vAlign w:val="center"/>
          </w:tcPr>
          <w:p>
            <w:pPr>
              <w:pStyle w:val="TableContents"/>
              <w:bidi w:val="0"/>
              <w:spacing w:before="0" w:after="283"/>
              <w:jc w:val="left"/>
              <w:rPr/>
            </w:pPr>
            <w:r>
              <w:rPr/>
              <w:t>Reclassifications to accounts receivable</w:t>
            </w:r>
          </w:p>
        </w:tc>
        <w:tc>
          <w:tcPr>
            <w:tcW w:w="60" w:type="dxa"/>
            <w:tcBorders/>
            <w:shd w:fill="CCEEFF" w:val="clear"/>
            <w:vAlign w:val="center"/>
          </w:tcPr>
          <w:p>
            <w:pPr>
              <w:pStyle w:val="TableContents"/>
              <w:bidi w:val="0"/>
              <w:spacing w:before="0" w:after="283"/>
              <w:jc w:val="left"/>
              <w:rPr/>
            </w:pPr>
            <w:r>
              <w:rPr/>
              <w:t> </w:t>
            </w:r>
          </w:p>
        </w:tc>
        <w:tc>
          <w:tcPr>
            <w:tcW w:w="220" w:type="dxa"/>
            <w:tcBorders/>
            <w:shd w:fill="CCEEFF" w:val="clear"/>
            <w:vAlign w:val="center"/>
          </w:tcPr>
          <w:p>
            <w:pPr>
              <w:pStyle w:val="TableContents"/>
              <w:bidi w:val="0"/>
              <w:spacing w:before="0" w:after="283"/>
              <w:jc w:val="left"/>
              <w:rPr/>
            </w:pPr>
            <w:r>
              <w:rPr/>
              <w:t> </w:t>
            </w:r>
          </w:p>
        </w:tc>
        <w:tc>
          <w:tcPr>
            <w:tcW w:w="1194" w:type="dxa"/>
            <w:tcBorders/>
            <w:shd w:fill="CCEEFF" w:val="clear"/>
            <w:vAlign w:val="center"/>
          </w:tcPr>
          <w:p>
            <w:pPr>
              <w:pStyle w:val="TableContents"/>
              <w:bidi w:val="0"/>
              <w:spacing w:before="0" w:after="283"/>
              <w:jc w:val="right"/>
              <w:rPr/>
            </w:pPr>
            <w:r>
              <w:rPr/>
              <w:t>(26,066</w:t>
            </w:r>
          </w:p>
        </w:tc>
        <w:tc>
          <w:tcPr>
            <w:tcW w:w="97" w:type="dxa"/>
            <w:tcBorders/>
            <w:shd w:fill="CCEEFF" w:val="clear"/>
            <w:vAlign w:val="center"/>
          </w:tcPr>
          <w:p>
            <w:pPr>
              <w:pStyle w:val="TableContents"/>
              <w:bidi w:val="0"/>
              <w:spacing w:before="0" w:after="283"/>
              <w:jc w:val="left"/>
              <w:rPr/>
            </w:pPr>
            <w:r>
              <w:rPr/>
              <w:t>)</w:t>
            </w:r>
          </w:p>
        </w:tc>
        <w:tc>
          <w:tcPr>
            <w:tcW w:w="61" w:type="dxa"/>
            <w:tcBorders/>
            <w:shd w:fill="CCEEFF" w:val="clear"/>
            <w:vAlign w:val="center"/>
          </w:tcPr>
          <w:p>
            <w:pPr>
              <w:pStyle w:val="TableContents"/>
              <w:bidi w:val="0"/>
              <w:spacing w:before="0" w:after="283"/>
              <w:jc w:val="left"/>
              <w:rPr/>
            </w:pPr>
            <w:r>
              <w:rPr/>
              <w:t> </w:t>
            </w:r>
          </w:p>
        </w:tc>
        <w:tc>
          <w:tcPr>
            <w:tcW w:w="241" w:type="dxa"/>
            <w:tcBorders/>
            <w:shd w:fill="CCEEFF" w:val="clear"/>
            <w:vAlign w:val="center"/>
          </w:tcPr>
          <w:p>
            <w:pPr>
              <w:pStyle w:val="TableContents"/>
              <w:bidi w:val="0"/>
              <w:spacing w:before="0" w:after="283"/>
              <w:jc w:val="left"/>
              <w:rPr/>
            </w:pPr>
            <w:r>
              <w:rPr/>
              <w:t> </w:t>
            </w:r>
          </w:p>
        </w:tc>
        <w:tc>
          <w:tcPr>
            <w:tcW w:w="1173" w:type="dxa"/>
            <w:tcBorders/>
            <w:shd w:fill="CCEEFF" w:val="clear"/>
            <w:vAlign w:val="center"/>
          </w:tcPr>
          <w:p>
            <w:pPr>
              <w:pStyle w:val="TableContents"/>
              <w:bidi w:val="0"/>
              <w:spacing w:before="0" w:after="283"/>
              <w:jc w:val="right"/>
              <w:rPr/>
            </w:pPr>
            <w:r>
              <w:rPr/>
              <w:t>—</w:t>
            </w:r>
          </w:p>
        </w:tc>
        <w:tc>
          <w:tcPr>
            <w:tcW w:w="75" w:type="dxa"/>
            <w:tcBorders/>
            <w:shd w:fill="CCEEFF" w:val="clear"/>
            <w:vAlign w:val="center"/>
          </w:tcPr>
          <w:p>
            <w:pPr>
              <w:pStyle w:val="TableContents"/>
              <w:bidi w:val="0"/>
              <w:spacing w:before="0" w:after="283"/>
              <w:jc w:val="left"/>
              <w:rPr/>
            </w:pPr>
            <w:r>
              <w:rPr/>
              <w:t> </w:t>
            </w:r>
          </w:p>
        </w:tc>
      </w:tr>
      <w:tr>
        <w:trPr/>
        <w:tc>
          <w:tcPr>
            <w:tcW w:w="6065" w:type="dxa"/>
            <w:tcBorders/>
            <w:shd w:fill="FFFFFF" w:val="clear"/>
            <w:vAlign w:val="center"/>
          </w:tcPr>
          <w:p>
            <w:pPr>
              <w:pStyle w:val="TableContents"/>
              <w:bidi w:val="0"/>
              <w:spacing w:before="0" w:after="283"/>
              <w:jc w:val="left"/>
              <w:rPr/>
            </w:pPr>
            <w:r>
              <w:rPr/>
              <w:t>Increase due to contract assets acquired in business combination</w:t>
            </w:r>
          </w:p>
        </w:tc>
        <w:tc>
          <w:tcPr>
            <w:tcW w:w="60" w:type="dxa"/>
            <w:tcBorders/>
            <w:shd w:fill="FFFFFF" w:val="clear"/>
            <w:vAlign w:val="center"/>
          </w:tcPr>
          <w:p>
            <w:pPr>
              <w:pStyle w:val="TableContents"/>
              <w:bidi w:val="0"/>
              <w:spacing w:before="0" w:after="283"/>
              <w:jc w:val="left"/>
              <w:rPr/>
            </w:pPr>
            <w:r>
              <w:rPr/>
              <w:t> </w:t>
            </w:r>
          </w:p>
        </w:tc>
        <w:tc>
          <w:tcPr>
            <w:tcW w:w="22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94" w:type="dxa"/>
            <w:tcBorders>
              <w:bottom w:val="single" w:sz="12" w:space="0" w:color="000000"/>
            </w:tcBorders>
            <w:shd w:fill="FFFFFF" w:val="clear"/>
            <w:tcMar>
              <w:bottom w:w="28" w:type="dxa"/>
            </w:tcMar>
            <w:vAlign w:val="center"/>
          </w:tcPr>
          <w:p>
            <w:pPr>
              <w:pStyle w:val="TableContents"/>
              <w:bidi w:val="0"/>
              <w:spacing w:before="0" w:after="283"/>
              <w:jc w:val="right"/>
              <w:rPr/>
            </w:pPr>
            <w:r>
              <w:rPr/>
              <w:t>1,143</w:t>
            </w:r>
          </w:p>
        </w:tc>
        <w:tc>
          <w:tcPr>
            <w:tcW w:w="97"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jc w:val="left"/>
              <w:rPr/>
            </w:pPr>
            <w:r>
              <w:rPr/>
              <w:t> </w:t>
            </w:r>
          </w:p>
        </w:tc>
        <w:tc>
          <w:tcPr>
            <w:tcW w:w="241"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73" w:type="dxa"/>
            <w:tcBorders>
              <w:bottom w:val="single" w:sz="12" w:space="0" w:color="000000"/>
            </w:tcBorders>
            <w:shd w:fill="FFFFFF" w:val="clear"/>
            <w:tcMar>
              <w:bottom w:w="28" w:type="dxa"/>
            </w:tcMar>
            <w:vAlign w:val="center"/>
          </w:tcPr>
          <w:p>
            <w:pPr>
              <w:pStyle w:val="TableContents"/>
              <w:bidi w:val="0"/>
              <w:spacing w:before="0" w:after="283"/>
              <w:jc w:val="right"/>
              <w:rPr/>
            </w:pPr>
            <w:r>
              <w:rPr/>
              <w:t>4,615</w:t>
            </w:r>
          </w:p>
        </w:tc>
        <w:tc>
          <w:tcPr>
            <w:tcW w:w="75" w:type="dxa"/>
            <w:tcBorders/>
            <w:shd w:fill="FFFFFF" w:val="clear"/>
            <w:vAlign w:val="center"/>
          </w:tcPr>
          <w:p>
            <w:pPr>
              <w:pStyle w:val="TableContents"/>
              <w:bidi w:val="0"/>
              <w:spacing w:before="0" w:after="283"/>
              <w:jc w:val="left"/>
              <w:rPr/>
            </w:pPr>
            <w:r>
              <w:rPr/>
              <w:t> </w:t>
            </w:r>
          </w:p>
        </w:tc>
      </w:tr>
      <w:tr>
        <w:trPr/>
        <w:tc>
          <w:tcPr>
            <w:tcW w:w="6065" w:type="dxa"/>
            <w:tcBorders/>
            <w:shd w:fill="CCEEFF" w:val="clear"/>
            <w:vAlign w:val="center"/>
          </w:tcPr>
          <w:p>
            <w:pPr>
              <w:pStyle w:val="TableContents"/>
              <w:bidi w:val="0"/>
              <w:spacing w:before="0" w:after="283"/>
              <w:jc w:val="left"/>
              <w:rPr/>
            </w:pPr>
            <w:r>
              <w:rPr/>
              <w:t>Contract assets, end of period</w:t>
            </w:r>
          </w:p>
        </w:tc>
        <w:tc>
          <w:tcPr>
            <w:tcW w:w="60" w:type="dxa"/>
            <w:tcBorders/>
            <w:shd w:fill="CCEEFF" w:val="clear"/>
            <w:vAlign w:val="center"/>
          </w:tcPr>
          <w:p>
            <w:pPr>
              <w:pStyle w:val="TableContents"/>
              <w:bidi w:val="0"/>
              <w:spacing w:before="0" w:after="283"/>
              <w:jc w:val="left"/>
              <w:rPr/>
            </w:pPr>
            <w:r>
              <w:rPr/>
              <w:t> </w:t>
            </w:r>
          </w:p>
        </w:tc>
        <w:tc>
          <w:tcPr>
            <w:tcW w:w="220"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194" w:type="dxa"/>
            <w:tcBorders>
              <w:bottom w:val="double" w:sz="10" w:space="0" w:color="000000"/>
            </w:tcBorders>
            <w:shd w:fill="CCEEFF" w:val="clear"/>
            <w:tcMar>
              <w:bottom w:w="28" w:type="dxa"/>
            </w:tcMar>
            <w:vAlign w:val="center"/>
          </w:tcPr>
          <w:p>
            <w:pPr>
              <w:pStyle w:val="TableContents"/>
              <w:bidi w:val="0"/>
              <w:spacing w:before="0" w:after="283"/>
              <w:jc w:val="right"/>
              <w:rPr/>
            </w:pPr>
            <w:r>
              <w:rPr/>
              <w:t>14,122</w:t>
            </w:r>
          </w:p>
        </w:tc>
        <w:tc>
          <w:tcPr>
            <w:tcW w:w="97"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241"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173" w:type="dxa"/>
            <w:tcBorders>
              <w:bottom w:val="double" w:sz="10" w:space="0" w:color="000000"/>
            </w:tcBorders>
            <w:shd w:fill="CCEEFF" w:val="clear"/>
            <w:tcMar>
              <w:bottom w:w="28" w:type="dxa"/>
            </w:tcMar>
            <w:vAlign w:val="center"/>
          </w:tcPr>
          <w:p>
            <w:pPr>
              <w:pStyle w:val="TableContents"/>
              <w:bidi w:val="0"/>
              <w:spacing w:before="0" w:after="283"/>
              <w:jc w:val="right"/>
              <w:rPr/>
            </w:pPr>
            <w:r>
              <w:rPr/>
              <w:t>26,066</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Changes in the balances of contract liabilities in the fiscal years ended December 28, 2025 and December 29, 2024 were as follows </w:t>
      </w:r>
      <w:r>
        <w:rPr>
          <w:rFonts w:ascii="Times New Roman;Times;Serif" w:hAnsi="Times New Roman;Times;Serif"/>
          <w:b w:val="false"/>
          <w:i/>
          <w:caps w:val="false"/>
          <w:smallCaps w:val="false"/>
          <w:sz w:val="20"/>
        </w:rPr>
        <w:t>(in thousands):</w:t>
      </w:r>
    </w:p>
    <w:p>
      <w:pPr>
        <w:pStyle w:val="TextBody"/>
        <w:bidi w:val="0"/>
        <w:spacing w:before="0" w:after="0"/>
        <w:ind w:left="0" w:right="0" w:hanging="0"/>
        <w:jc w:val="both"/>
        <w:rPr>
          <w:caps w:val="false"/>
          <w:smallCaps w:val="false"/>
        </w:rPr>
      </w:pPr>
      <w:r>
        <w:rPr>
          <w:caps w:val="false"/>
          <w:smallCaps w:val="false"/>
        </w:rPr>
        <w:t> </w:t>
      </w:r>
    </w:p>
    <w:tbl>
      <w:tblPr>
        <w:tblW w:w="9692" w:type="dxa"/>
        <w:jc w:val="left"/>
        <w:tblInd w:w="0" w:type="dxa"/>
        <w:tblLayout w:type="fixed"/>
        <w:tblCellMar>
          <w:top w:w="0" w:type="dxa"/>
          <w:left w:w="0" w:type="dxa"/>
          <w:bottom w:w="0" w:type="dxa"/>
          <w:right w:w="0" w:type="dxa"/>
        </w:tblCellMar>
      </w:tblPr>
      <w:tblGrid>
        <w:gridCol w:w="6530"/>
        <w:gridCol w:w="60"/>
        <w:gridCol w:w="241"/>
        <w:gridCol w:w="1173"/>
        <w:gridCol w:w="101"/>
        <w:gridCol w:w="63"/>
        <w:gridCol w:w="241"/>
        <w:gridCol w:w="1173"/>
        <w:gridCol w:w="110"/>
      </w:tblGrid>
      <w:tr>
        <w:trPr/>
        <w:tc>
          <w:tcPr>
            <w:tcW w:w="653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992"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Fiscal Year Ended</w:t>
            </w:r>
          </w:p>
        </w:tc>
        <w:tc>
          <w:tcPr>
            <w:tcW w:w="110" w:type="dxa"/>
            <w:tcBorders/>
            <w:vAlign w:val="center"/>
          </w:tcPr>
          <w:p>
            <w:pPr>
              <w:pStyle w:val="TableContents"/>
              <w:bidi w:val="0"/>
              <w:spacing w:before="0" w:after="283"/>
              <w:jc w:val="left"/>
              <w:rPr/>
            </w:pPr>
            <w:r>
              <w:rPr/>
              <w:t> </w:t>
            </w:r>
          </w:p>
        </w:tc>
      </w:tr>
      <w:tr>
        <w:trPr/>
        <w:tc>
          <w:tcPr>
            <w:tcW w:w="6530" w:type="dxa"/>
            <w:tcBorders/>
            <w:vAlign w:val="center"/>
          </w:tcPr>
          <w:p>
            <w:pPr>
              <w:pStyle w:val="TableContents"/>
              <w:bidi w:val="0"/>
              <w:spacing w:before="0" w:after="283"/>
              <w:jc w:val="left"/>
              <w:rPr>
                <w:b/>
              </w:rPr>
            </w:pPr>
            <w:r>
              <w:rPr>
                <w:b/>
              </w:rPr>
              <w:t>Contract liabilities</w:t>
            </w:r>
          </w:p>
        </w:tc>
        <w:tc>
          <w:tcPr>
            <w:tcW w:w="60" w:type="dxa"/>
            <w:tcBorders/>
            <w:vAlign w:val="center"/>
          </w:tcPr>
          <w:p>
            <w:pPr>
              <w:pStyle w:val="TableContents"/>
              <w:bidi w:val="0"/>
              <w:spacing w:before="0" w:after="283"/>
              <w:jc w:val="left"/>
              <w:rPr/>
            </w:pPr>
            <w:r>
              <w:rPr/>
              <w:t> </w:t>
            </w:r>
          </w:p>
        </w:tc>
        <w:tc>
          <w:tcPr>
            <w:tcW w:w="1414" w:type="dxa"/>
            <w:gridSpan w:val="2"/>
            <w:tcBorders/>
            <w:vAlign w:val="center"/>
          </w:tcPr>
          <w:p>
            <w:pPr>
              <w:pStyle w:val="TableContents"/>
              <w:bidi w:val="0"/>
              <w:spacing w:before="0" w:after="283"/>
              <w:jc w:val="center"/>
              <w:rPr>
                <w:b/>
              </w:rPr>
            </w:pPr>
            <w:r>
              <w:rPr>
                <w:b/>
              </w:rPr>
              <w:t>December 28,</w:t>
            </w:r>
          </w:p>
        </w:tc>
        <w:tc>
          <w:tcPr>
            <w:tcW w:w="101" w:type="dxa"/>
            <w:tcBorders/>
            <w:vAlign w:val="center"/>
          </w:tcPr>
          <w:p>
            <w:pPr>
              <w:pStyle w:val="TableContents"/>
              <w:bidi w:val="0"/>
              <w:spacing w:before="0" w:after="283"/>
              <w:jc w:val="left"/>
              <w:rPr/>
            </w:pPr>
            <w:r>
              <w:rPr/>
              <w:t> </w:t>
            </w:r>
          </w:p>
        </w:tc>
        <w:tc>
          <w:tcPr>
            <w:tcW w:w="63" w:type="dxa"/>
            <w:tcBorders/>
            <w:vAlign w:val="center"/>
          </w:tcPr>
          <w:p>
            <w:pPr>
              <w:pStyle w:val="TableContents"/>
              <w:bidi w:val="0"/>
              <w:spacing w:before="0" w:after="283"/>
              <w:jc w:val="left"/>
              <w:rPr/>
            </w:pPr>
            <w:r>
              <w:rPr/>
              <w:t> </w:t>
            </w:r>
          </w:p>
        </w:tc>
        <w:tc>
          <w:tcPr>
            <w:tcW w:w="1414" w:type="dxa"/>
            <w:gridSpan w:val="2"/>
            <w:tcBorders/>
            <w:vAlign w:val="center"/>
          </w:tcPr>
          <w:p>
            <w:pPr>
              <w:pStyle w:val="TableContents"/>
              <w:bidi w:val="0"/>
              <w:spacing w:before="0" w:after="283"/>
              <w:jc w:val="center"/>
              <w:rPr>
                <w:b/>
              </w:rPr>
            </w:pPr>
            <w:r>
              <w:rPr>
                <w:b/>
              </w:rPr>
              <w:t>December 29,</w:t>
            </w:r>
          </w:p>
        </w:tc>
        <w:tc>
          <w:tcPr>
            <w:tcW w:w="110" w:type="dxa"/>
            <w:tcBorders/>
            <w:vAlign w:val="center"/>
          </w:tcPr>
          <w:p>
            <w:pPr>
              <w:pStyle w:val="TableContents"/>
              <w:bidi w:val="0"/>
              <w:spacing w:before="0" w:after="283"/>
              <w:jc w:val="left"/>
              <w:rPr/>
            </w:pPr>
            <w:r>
              <w:rPr/>
              <w:t> </w:t>
            </w:r>
          </w:p>
        </w:tc>
      </w:tr>
      <w:tr>
        <w:trPr/>
        <w:tc>
          <w:tcPr>
            <w:tcW w:w="653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14"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2025</w:t>
            </w:r>
          </w:p>
        </w:tc>
        <w:tc>
          <w:tcPr>
            <w:tcW w:w="101" w:type="dxa"/>
            <w:tcBorders/>
            <w:vAlign w:val="center"/>
          </w:tcPr>
          <w:p>
            <w:pPr>
              <w:pStyle w:val="TableContents"/>
              <w:bidi w:val="0"/>
              <w:spacing w:before="0" w:after="283"/>
              <w:jc w:val="left"/>
              <w:rPr/>
            </w:pPr>
            <w:r>
              <w:rPr/>
              <w:t> </w:t>
            </w:r>
          </w:p>
        </w:tc>
        <w:tc>
          <w:tcPr>
            <w:tcW w:w="63" w:type="dxa"/>
            <w:tcBorders/>
            <w:vAlign w:val="center"/>
          </w:tcPr>
          <w:p>
            <w:pPr>
              <w:pStyle w:val="TableContents"/>
              <w:bidi w:val="0"/>
              <w:spacing w:before="0" w:after="283"/>
              <w:jc w:val="left"/>
              <w:rPr/>
            </w:pPr>
            <w:r>
              <w:rPr/>
              <w:t> </w:t>
            </w:r>
          </w:p>
        </w:tc>
        <w:tc>
          <w:tcPr>
            <w:tcW w:w="1414"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2024</w:t>
            </w:r>
          </w:p>
        </w:tc>
        <w:tc>
          <w:tcPr>
            <w:tcW w:w="110" w:type="dxa"/>
            <w:tcBorders/>
            <w:vAlign w:val="center"/>
          </w:tcPr>
          <w:p>
            <w:pPr>
              <w:pStyle w:val="TableContents"/>
              <w:bidi w:val="0"/>
              <w:spacing w:before="0" w:after="283"/>
              <w:jc w:val="left"/>
              <w:rPr/>
            </w:pPr>
            <w:r>
              <w:rPr/>
              <w:t> </w:t>
            </w:r>
          </w:p>
        </w:tc>
      </w:tr>
      <w:tr>
        <w:trPr/>
        <w:tc>
          <w:tcPr>
            <w:tcW w:w="6530" w:type="dxa"/>
            <w:tcBorders/>
            <w:shd w:fill="CCEEFF" w:val="clear"/>
            <w:vAlign w:val="center"/>
          </w:tcPr>
          <w:p>
            <w:pPr>
              <w:pStyle w:val="TableContents"/>
              <w:bidi w:val="0"/>
              <w:spacing w:before="0" w:after="283"/>
              <w:jc w:val="left"/>
              <w:rPr/>
            </w:pPr>
            <w:r>
              <w:rPr/>
              <w:t>Contract liabilities, beginning of period</w:t>
            </w:r>
          </w:p>
        </w:tc>
        <w:tc>
          <w:tcPr>
            <w:tcW w:w="60" w:type="dxa"/>
            <w:tcBorders/>
            <w:shd w:fill="CCEEFF" w:val="clear"/>
            <w:vAlign w:val="center"/>
          </w:tcPr>
          <w:p>
            <w:pPr>
              <w:pStyle w:val="TableContents"/>
              <w:bidi w:val="0"/>
              <w:spacing w:before="0" w:after="283"/>
              <w:jc w:val="left"/>
              <w:rPr/>
            </w:pPr>
            <w:r>
              <w:rPr/>
              <w:t> </w:t>
            </w:r>
          </w:p>
        </w:tc>
        <w:tc>
          <w:tcPr>
            <w:tcW w:w="241" w:type="dxa"/>
            <w:tcBorders/>
            <w:shd w:fill="CCEEFF" w:val="clear"/>
            <w:vAlign w:val="center"/>
          </w:tcPr>
          <w:p>
            <w:pPr>
              <w:pStyle w:val="TableContents"/>
              <w:bidi w:val="0"/>
              <w:spacing w:before="0" w:after="283"/>
              <w:jc w:val="left"/>
              <w:rPr/>
            </w:pPr>
            <w:r>
              <w:rPr/>
              <w:t>$</w:t>
            </w:r>
          </w:p>
        </w:tc>
        <w:tc>
          <w:tcPr>
            <w:tcW w:w="1173" w:type="dxa"/>
            <w:tcBorders/>
            <w:shd w:fill="CCEEFF" w:val="clear"/>
            <w:vAlign w:val="center"/>
          </w:tcPr>
          <w:p>
            <w:pPr>
              <w:pStyle w:val="TableContents"/>
              <w:bidi w:val="0"/>
              <w:spacing w:before="0" w:after="283"/>
              <w:jc w:val="right"/>
              <w:rPr/>
            </w:pPr>
            <w:r>
              <w:rPr/>
              <w:t>10,921</w:t>
            </w:r>
          </w:p>
        </w:tc>
        <w:tc>
          <w:tcPr>
            <w:tcW w:w="101"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241" w:type="dxa"/>
            <w:tcBorders/>
            <w:shd w:fill="CCEEFF" w:val="clear"/>
            <w:vAlign w:val="center"/>
          </w:tcPr>
          <w:p>
            <w:pPr>
              <w:pStyle w:val="TableContents"/>
              <w:bidi w:val="0"/>
              <w:spacing w:before="0" w:after="283"/>
              <w:jc w:val="left"/>
              <w:rPr/>
            </w:pPr>
            <w:r>
              <w:rPr/>
              <w:t>$</w:t>
            </w:r>
          </w:p>
        </w:tc>
        <w:tc>
          <w:tcPr>
            <w:tcW w:w="1173" w:type="dxa"/>
            <w:tcBorders/>
            <w:shd w:fill="CCEEFF" w:val="clear"/>
            <w:vAlign w:val="center"/>
          </w:tcPr>
          <w:p>
            <w:pPr>
              <w:pStyle w:val="TableContents"/>
              <w:bidi w:val="0"/>
              <w:spacing w:before="0" w:after="283"/>
              <w:jc w:val="right"/>
              <w:rPr/>
            </w:pPr>
            <w:r>
              <w:rPr/>
              <w:t>3,478</w:t>
            </w:r>
          </w:p>
        </w:tc>
        <w:tc>
          <w:tcPr>
            <w:tcW w:w="110" w:type="dxa"/>
            <w:tcBorders/>
            <w:shd w:fill="CCEEFF" w:val="clear"/>
            <w:vAlign w:val="center"/>
          </w:tcPr>
          <w:p>
            <w:pPr>
              <w:pStyle w:val="TableContents"/>
              <w:bidi w:val="0"/>
              <w:spacing w:before="0" w:after="283"/>
              <w:jc w:val="left"/>
              <w:rPr/>
            </w:pPr>
            <w:r>
              <w:rPr/>
              <w:t> </w:t>
            </w:r>
          </w:p>
        </w:tc>
      </w:tr>
      <w:tr>
        <w:trPr/>
        <w:tc>
          <w:tcPr>
            <w:tcW w:w="6530" w:type="dxa"/>
            <w:tcBorders/>
            <w:shd w:fill="FFFFFF" w:val="clear"/>
            <w:vAlign w:val="center"/>
          </w:tcPr>
          <w:p>
            <w:pPr>
              <w:pStyle w:val="TableContents"/>
              <w:bidi w:val="0"/>
              <w:spacing w:before="0" w:after="283"/>
              <w:jc w:val="left"/>
              <w:rPr/>
            </w:pPr>
            <w:r>
              <w:rPr/>
              <w:t>Increases due to billings or cash received in advance</w:t>
            </w:r>
          </w:p>
        </w:tc>
        <w:tc>
          <w:tcPr>
            <w:tcW w:w="60" w:type="dxa"/>
            <w:tcBorders/>
            <w:shd w:fill="FFFFFF" w:val="clear"/>
            <w:vAlign w:val="center"/>
          </w:tcPr>
          <w:p>
            <w:pPr>
              <w:pStyle w:val="TableContents"/>
              <w:bidi w:val="0"/>
              <w:spacing w:before="0" w:after="283"/>
              <w:jc w:val="left"/>
              <w:rPr/>
            </w:pPr>
            <w:r>
              <w:rPr/>
              <w:t> </w:t>
            </w:r>
          </w:p>
        </w:tc>
        <w:tc>
          <w:tcPr>
            <w:tcW w:w="241" w:type="dxa"/>
            <w:tcBorders/>
            <w:shd w:fill="FFFFFF" w:val="clear"/>
            <w:vAlign w:val="center"/>
          </w:tcPr>
          <w:p>
            <w:pPr>
              <w:pStyle w:val="TableContents"/>
              <w:bidi w:val="0"/>
              <w:spacing w:before="0" w:after="283"/>
              <w:jc w:val="left"/>
              <w:rPr/>
            </w:pPr>
            <w:r>
              <w:rPr/>
              <w:t> </w:t>
            </w:r>
          </w:p>
        </w:tc>
        <w:tc>
          <w:tcPr>
            <w:tcW w:w="1173" w:type="dxa"/>
            <w:tcBorders/>
            <w:shd w:fill="FFFFFF" w:val="clear"/>
            <w:vAlign w:val="center"/>
          </w:tcPr>
          <w:p>
            <w:pPr>
              <w:pStyle w:val="TableContents"/>
              <w:bidi w:val="0"/>
              <w:spacing w:before="0" w:after="283"/>
              <w:jc w:val="right"/>
              <w:rPr/>
            </w:pPr>
            <w:r>
              <w:rPr/>
              <w:t>6,750</w:t>
            </w:r>
          </w:p>
        </w:tc>
        <w:tc>
          <w:tcPr>
            <w:tcW w:w="101"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jc w:val="left"/>
              <w:rPr/>
            </w:pPr>
            <w:r>
              <w:rPr/>
              <w:t> </w:t>
            </w:r>
          </w:p>
        </w:tc>
        <w:tc>
          <w:tcPr>
            <w:tcW w:w="241" w:type="dxa"/>
            <w:tcBorders/>
            <w:shd w:fill="FFFFFF" w:val="clear"/>
            <w:vAlign w:val="center"/>
          </w:tcPr>
          <w:p>
            <w:pPr>
              <w:pStyle w:val="TableContents"/>
              <w:bidi w:val="0"/>
              <w:spacing w:before="0" w:after="283"/>
              <w:jc w:val="left"/>
              <w:rPr/>
            </w:pPr>
            <w:r>
              <w:rPr/>
              <w:t> </w:t>
            </w:r>
          </w:p>
        </w:tc>
        <w:tc>
          <w:tcPr>
            <w:tcW w:w="1173" w:type="dxa"/>
            <w:tcBorders/>
            <w:shd w:fill="FFFFFF" w:val="clear"/>
            <w:vAlign w:val="center"/>
          </w:tcPr>
          <w:p>
            <w:pPr>
              <w:pStyle w:val="TableContents"/>
              <w:bidi w:val="0"/>
              <w:spacing w:before="0" w:after="283"/>
              <w:jc w:val="right"/>
              <w:rPr/>
            </w:pPr>
            <w:r>
              <w:rPr/>
              <w:t>2,642</w:t>
            </w:r>
          </w:p>
        </w:tc>
        <w:tc>
          <w:tcPr>
            <w:tcW w:w="110" w:type="dxa"/>
            <w:tcBorders/>
            <w:shd w:fill="FFFFFF" w:val="clear"/>
            <w:vAlign w:val="center"/>
          </w:tcPr>
          <w:p>
            <w:pPr>
              <w:pStyle w:val="TableContents"/>
              <w:bidi w:val="0"/>
              <w:spacing w:before="0" w:after="283"/>
              <w:jc w:val="left"/>
              <w:rPr/>
            </w:pPr>
            <w:r>
              <w:rPr/>
              <w:t> </w:t>
            </w:r>
          </w:p>
        </w:tc>
      </w:tr>
      <w:tr>
        <w:trPr/>
        <w:tc>
          <w:tcPr>
            <w:tcW w:w="6530" w:type="dxa"/>
            <w:tcBorders/>
            <w:shd w:fill="CCEEFF" w:val="clear"/>
            <w:vAlign w:val="center"/>
          </w:tcPr>
          <w:p>
            <w:pPr>
              <w:pStyle w:val="TableContents"/>
              <w:bidi w:val="0"/>
              <w:spacing w:before="0" w:after="283"/>
              <w:jc w:val="left"/>
              <w:rPr/>
            </w:pPr>
            <w:r>
              <w:rPr/>
              <w:t>Revenue recognized from beginning balance of contract liabilities</w:t>
            </w:r>
          </w:p>
        </w:tc>
        <w:tc>
          <w:tcPr>
            <w:tcW w:w="60" w:type="dxa"/>
            <w:tcBorders/>
            <w:shd w:fill="CCEEFF" w:val="clear"/>
            <w:vAlign w:val="center"/>
          </w:tcPr>
          <w:p>
            <w:pPr>
              <w:pStyle w:val="TableContents"/>
              <w:bidi w:val="0"/>
              <w:spacing w:before="0" w:after="283"/>
              <w:jc w:val="left"/>
              <w:rPr/>
            </w:pPr>
            <w:r>
              <w:rPr/>
              <w:t> </w:t>
            </w:r>
          </w:p>
        </w:tc>
        <w:tc>
          <w:tcPr>
            <w:tcW w:w="241" w:type="dxa"/>
            <w:tcBorders/>
            <w:shd w:fill="CCEEFF" w:val="clear"/>
            <w:vAlign w:val="center"/>
          </w:tcPr>
          <w:p>
            <w:pPr>
              <w:pStyle w:val="TableContents"/>
              <w:bidi w:val="0"/>
              <w:spacing w:before="0" w:after="283"/>
              <w:jc w:val="left"/>
              <w:rPr/>
            </w:pPr>
            <w:r>
              <w:rPr/>
              <w:t> </w:t>
            </w:r>
          </w:p>
        </w:tc>
        <w:tc>
          <w:tcPr>
            <w:tcW w:w="1173" w:type="dxa"/>
            <w:tcBorders/>
            <w:shd w:fill="CCEEFF" w:val="clear"/>
            <w:vAlign w:val="center"/>
          </w:tcPr>
          <w:p>
            <w:pPr>
              <w:pStyle w:val="TableContents"/>
              <w:bidi w:val="0"/>
              <w:spacing w:before="0" w:after="283"/>
              <w:jc w:val="right"/>
              <w:rPr/>
            </w:pPr>
            <w:r>
              <w:rPr/>
              <w:t>(9,889</w:t>
            </w:r>
          </w:p>
        </w:tc>
        <w:tc>
          <w:tcPr>
            <w:tcW w:w="101" w:type="dxa"/>
            <w:tcBorders/>
            <w:shd w:fill="CCEEFF" w:val="clear"/>
            <w:vAlign w:val="center"/>
          </w:tcPr>
          <w:p>
            <w:pPr>
              <w:pStyle w:val="TableContents"/>
              <w:bidi w:val="0"/>
              <w:spacing w:before="0" w:after="283"/>
              <w:jc w:val="left"/>
              <w:rPr/>
            </w:pPr>
            <w:r>
              <w:rPr/>
              <w:t>)</w:t>
            </w:r>
          </w:p>
        </w:tc>
        <w:tc>
          <w:tcPr>
            <w:tcW w:w="63" w:type="dxa"/>
            <w:tcBorders/>
            <w:shd w:fill="CCEEFF" w:val="clear"/>
            <w:vAlign w:val="center"/>
          </w:tcPr>
          <w:p>
            <w:pPr>
              <w:pStyle w:val="TableContents"/>
              <w:bidi w:val="0"/>
              <w:spacing w:before="0" w:after="283"/>
              <w:jc w:val="left"/>
              <w:rPr/>
            </w:pPr>
            <w:r>
              <w:rPr/>
              <w:t> </w:t>
            </w:r>
          </w:p>
        </w:tc>
        <w:tc>
          <w:tcPr>
            <w:tcW w:w="241" w:type="dxa"/>
            <w:tcBorders/>
            <w:shd w:fill="CCEEFF" w:val="clear"/>
            <w:vAlign w:val="center"/>
          </w:tcPr>
          <w:p>
            <w:pPr>
              <w:pStyle w:val="TableContents"/>
              <w:bidi w:val="0"/>
              <w:spacing w:before="0" w:after="283"/>
              <w:jc w:val="left"/>
              <w:rPr/>
            </w:pPr>
            <w:r>
              <w:rPr/>
              <w:t> </w:t>
            </w:r>
          </w:p>
        </w:tc>
        <w:tc>
          <w:tcPr>
            <w:tcW w:w="1173" w:type="dxa"/>
            <w:tcBorders/>
            <w:shd w:fill="CCEEFF" w:val="clear"/>
            <w:vAlign w:val="center"/>
          </w:tcPr>
          <w:p>
            <w:pPr>
              <w:pStyle w:val="TableContents"/>
              <w:bidi w:val="0"/>
              <w:spacing w:before="0" w:after="283"/>
              <w:jc w:val="right"/>
              <w:rPr/>
            </w:pPr>
            <w:r>
              <w:rPr/>
              <w:t>(2,560</w:t>
            </w:r>
          </w:p>
        </w:tc>
        <w:tc>
          <w:tcPr>
            <w:tcW w:w="110" w:type="dxa"/>
            <w:tcBorders/>
            <w:shd w:fill="CCEEFF" w:val="clear"/>
            <w:vAlign w:val="center"/>
          </w:tcPr>
          <w:p>
            <w:pPr>
              <w:pStyle w:val="TableContents"/>
              <w:bidi w:val="0"/>
              <w:spacing w:before="0" w:after="283"/>
              <w:jc w:val="left"/>
              <w:rPr/>
            </w:pPr>
            <w:r>
              <w:rPr/>
              <w:t>)</w:t>
            </w:r>
          </w:p>
        </w:tc>
      </w:tr>
      <w:tr>
        <w:trPr/>
        <w:tc>
          <w:tcPr>
            <w:tcW w:w="6530" w:type="dxa"/>
            <w:tcBorders/>
            <w:shd w:fill="FFFFFF" w:val="clear"/>
            <w:vAlign w:val="center"/>
          </w:tcPr>
          <w:p>
            <w:pPr>
              <w:pStyle w:val="TableContents"/>
              <w:bidi w:val="0"/>
              <w:spacing w:before="0" w:after="283"/>
              <w:jc w:val="left"/>
              <w:rPr/>
            </w:pPr>
            <w:r>
              <w:rPr/>
              <w:t>Increase due to contract liabilities assumed in a business combination</w:t>
            </w:r>
          </w:p>
        </w:tc>
        <w:tc>
          <w:tcPr>
            <w:tcW w:w="60" w:type="dxa"/>
            <w:tcBorders/>
            <w:shd w:fill="FFFFFF" w:val="clear"/>
            <w:vAlign w:val="center"/>
          </w:tcPr>
          <w:p>
            <w:pPr>
              <w:pStyle w:val="TableContents"/>
              <w:bidi w:val="0"/>
              <w:spacing w:before="0" w:after="283"/>
              <w:jc w:val="left"/>
              <w:rPr/>
            </w:pPr>
            <w:r>
              <w:rPr/>
              <w:t> </w:t>
            </w:r>
          </w:p>
        </w:tc>
        <w:tc>
          <w:tcPr>
            <w:tcW w:w="241"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73" w:type="dxa"/>
            <w:tcBorders>
              <w:bottom w:val="single" w:sz="12" w:space="0" w:color="000000"/>
            </w:tcBorders>
            <w:shd w:fill="FFFFFF" w:val="clear"/>
            <w:tcMar>
              <w:bottom w:w="28" w:type="dxa"/>
            </w:tcMar>
            <w:vAlign w:val="center"/>
          </w:tcPr>
          <w:p>
            <w:pPr>
              <w:pStyle w:val="TableContents"/>
              <w:bidi w:val="0"/>
              <w:spacing w:before="0" w:after="283"/>
              <w:jc w:val="right"/>
              <w:rPr/>
            </w:pPr>
            <w:r>
              <w:rPr/>
              <w:t>13,348</w:t>
            </w:r>
          </w:p>
        </w:tc>
        <w:tc>
          <w:tcPr>
            <w:tcW w:w="101"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jc w:val="left"/>
              <w:rPr/>
            </w:pPr>
            <w:r>
              <w:rPr/>
              <w:t> </w:t>
            </w:r>
          </w:p>
        </w:tc>
        <w:tc>
          <w:tcPr>
            <w:tcW w:w="241"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73" w:type="dxa"/>
            <w:tcBorders>
              <w:bottom w:val="single" w:sz="12" w:space="0" w:color="000000"/>
            </w:tcBorders>
            <w:shd w:fill="FFFFFF" w:val="clear"/>
            <w:tcMar>
              <w:bottom w:w="28" w:type="dxa"/>
            </w:tcMar>
            <w:vAlign w:val="center"/>
          </w:tcPr>
          <w:p>
            <w:pPr>
              <w:pStyle w:val="TableContents"/>
              <w:bidi w:val="0"/>
              <w:spacing w:before="0" w:after="283"/>
              <w:jc w:val="right"/>
              <w:rPr/>
            </w:pPr>
            <w:r>
              <w:rPr/>
              <w:t>7,361</w:t>
            </w:r>
          </w:p>
        </w:tc>
        <w:tc>
          <w:tcPr>
            <w:tcW w:w="110" w:type="dxa"/>
            <w:tcBorders/>
            <w:shd w:fill="FFFFFF" w:val="clear"/>
            <w:vAlign w:val="center"/>
          </w:tcPr>
          <w:p>
            <w:pPr>
              <w:pStyle w:val="TableContents"/>
              <w:bidi w:val="0"/>
              <w:spacing w:before="0" w:after="283"/>
              <w:jc w:val="left"/>
              <w:rPr/>
            </w:pPr>
            <w:r>
              <w:rPr/>
              <w:t> </w:t>
            </w:r>
          </w:p>
        </w:tc>
      </w:tr>
      <w:tr>
        <w:trPr/>
        <w:tc>
          <w:tcPr>
            <w:tcW w:w="6530" w:type="dxa"/>
            <w:tcBorders/>
            <w:shd w:fill="CCEEFF" w:val="clear"/>
            <w:vAlign w:val="center"/>
          </w:tcPr>
          <w:p>
            <w:pPr>
              <w:pStyle w:val="TableContents"/>
              <w:bidi w:val="0"/>
              <w:spacing w:before="0" w:after="283"/>
              <w:jc w:val="left"/>
              <w:rPr/>
            </w:pPr>
            <w:r>
              <w:rPr/>
              <w:t>Contract liabilities, end of period</w:t>
            </w:r>
          </w:p>
        </w:tc>
        <w:tc>
          <w:tcPr>
            <w:tcW w:w="60" w:type="dxa"/>
            <w:tcBorders/>
            <w:shd w:fill="CCEEFF" w:val="clear"/>
            <w:vAlign w:val="center"/>
          </w:tcPr>
          <w:p>
            <w:pPr>
              <w:pStyle w:val="TableContents"/>
              <w:bidi w:val="0"/>
              <w:spacing w:before="0" w:after="283"/>
              <w:jc w:val="left"/>
              <w:rPr/>
            </w:pPr>
            <w:r>
              <w:rPr/>
              <w:t> </w:t>
            </w:r>
          </w:p>
        </w:tc>
        <w:tc>
          <w:tcPr>
            <w:tcW w:w="241"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173" w:type="dxa"/>
            <w:tcBorders>
              <w:bottom w:val="double" w:sz="10" w:space="0" w:color="000000"/>
            </w:tcBorders>
            <w:shd w:fill="CCEEFF" w:val="clear"/>
            <w:tcMar>
              <w:bottom w:w="28" w:type="dxa"/>
            </w:tcMar>
            <w:vAlign w:val="center"/>
          </w:tcPr>
          <w:p>
            <w:pPr>
              <w:pStyle w:val="TableContents"/>
              <w:bidi w:val="0"/>
              <w:spacing w:before="0" w:after="283"/>
              <w:jc w:val="right"/>
              <w:rPr/>
            </w:pPr>
            <w:r>
              <w:rPr/>
              <w:t>21,130</w:t>
            </w:r>
          </w:p>
        </w:tc>
        <w:tc>
          <w:tcPr>
            <w:tcW w:w="101"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241"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173" w:type="dxa"/>
            <w:tcBorders>
              <w:bottom w:val="double" w:sz="10" w:space="0" w:color="000000"/>
            </w:tcBorders>
            <w:shd w:fill="CCEEFF" w:val="clear"/>
            <w:tcMar>
              <w:bottom w:w="28" w:type="dxa"/>
            </w:tcMar>
            <w:vAlign w:val="center"/>
          </w:tcPr>
          <w:p>
            <w:pPr>
              <w:pStyle w:val="TableContents"/>
              <w:bidi w:val="0"/>
              <w:spacing w:before="0" w:after="283"/>
              <w:jc w:val="right"/>
              <w:rPr/>
            </w:pPr>
            <w:r>
              <w:rPr/>
              <w:t>10,921</w:t>
            </w:r>
          </w:p>
        </w:tc>
        <w:tc>
          <w:tcPr>
            <w:tcW w:w="11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Substantially all of the revenue recognized from the beginning balance of contract liabilities was recognized in the current year.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sz w:val="20"/>
          <w:bdr w:val="single" w:sz="12" w:space="1" w:color="000000"/>
        </w:rPr>
      </w:pPr>
      <w:r>
        <w:rPr>
          <w:sz w:val="20"/>
          <w:bdr w:val="single" w:sz="12" w:space="1" w:color="000000"/>
        </w:rPr>
        <w:t>F-76</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(5) Fair Value Measurements</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following tables set forth the Company’s financial assets and liabilities that are measured at fair value, on a recurring basis </w:t>
      </w:r>
      <w:r>
        <w:rPr>
          <w:rFonts w:ascii="Times New Roman;Times;Serif" w:hAnsi="Times New Roman;Times;Serif"/>
          <w:b w:val="false"/>
          <w:i/>
          <w:caps w:val="false"/>
          <w:smallCaps w:val="false"/>
          <w:sz w:val="20"/>
        </w:rPr>
        <w:t>(in thousands)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tbl>
      <w:tblPr>
        <w:tblW w:w="8979" w:type="dxa"/>
        <w:jc w:val="left"/>
        <w:tblInd w:w="0" w:type="dxa"/>
        <w:tblLayout w:type="fixed"/>
        <w:tblCellMar>
          <w:top w:w="0" w:type="dxa"/>
          <w:left w:w="0" w:type="dxa"/>
          <w:bottom w:w="0" w:type="dxa"/>
          <w:right w:w="0" w:type="dxa"/>
        </w:tblCellMar>
      </w:tblPr>
      <w:tblGrid>
        <w:gridCol w:w="5030"/>
        <w:gridCol w:w="60"/>
        <w:gridCol w:w="140"/>
        <w:gridCol w:w="680"/>
        <w:gridCol w:w="60"/>
        <w:gridCol w:w="60"/>
        <w:gridCol w:w="263"/>
        <w:gridCol w:w="491"/>
        <w:gridCol w:w="60"/>
        <w:gridCol w:w="60"/>
        <w:gridCol w:w="140"/>
        <w:gridCol w:w="800"/>
        <w:gridCol w:w="60"/>
        <w:gridCol w:w="60"/>
        <w:gridCol w:w="140"/>
        <w:gridCol w:w="800"/>
        <w:gridCol w:w="75"/>
      </w:tblGrid>
      <w:tr>
        <w:trPr/>
        <w:tc>
          <w:tcPr>
            <w:tcW w:w="5030"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p>
        </w:tc>
        <w:tc>
          <w:tcPr>
            <w:tcW w:w="3814" w:type="dxa"/>
            <w:gridSpan w:val="14"/>
            <w:tcBorders>
              <w:bottom w:val="single" w:sz="12" w:space="0" w:color="000000"/>
            </w:tcBorders>
            <w:tcMar>
              <w:bottom w:w="28" w:type="dxa"/>
            </w:tcMar>
            <w:vAlign w:val="center"/>
          </w:tcPr>
          <w:p>
            <w:pPr>
              <w:pStyle w:val="TableContents"/>
              <w:bidi w:val="0"/>
              <w:spacing w:before="0" w:after="283"/>
              <w:jc w:val="center"/>
              <w:rPr>
                <w:b/>
              </w:rPr>
            </w:pPr>
            <w:r>
              <w:rPr>
                <w:b/>
              </w:rPr>
              <w:t>As of December 28, 2025</w:t>
            </w:r>
          </w:p>
        </w:tc>
        <w:tc>
          <w:tcPr>
            <w:tcW w:w="75" w:type="dxa"/>
            <w:tcBorders/>
            <w:vAlign w:val="center"/>
          </w:tcPr>
          <w:p>
            <w:pPr>
              <w:pStyle w:val="TableContents"/>
              <w:bidi w:val="0"/>
              <w:spacing w:before="0" w:after="283"/>
              <w:jc w:val="left"/>
              <w:rPr/>
            </w:pPr>
            <w:r>
              <w:rPr/>
              <w:t> </w:t>
            </w:r>
          </w:p>
        </w:tc>
      </w:tr>
      <w:tr>
        <w:trPr/>
        <w:tc>
          <w:tcPr>
            <w:tcW w:w="5030"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p>
        </w:tc>
        <w:tc>
          <w:tcPr>
            <w:tcW w:w="82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Level 1</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54"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Level 2</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4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Level 3</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4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Total</w:t>
            </w:r>
          </w:p>
        </w:tc>
        <w:tc>
          <w:tcPr>
            <w:tcW w:w="75" w:type="dxa"/>
            <w:tcBorders/>
            <w:vAlign w:val="center"/>
          </w:tcPr>
          <w:p>
            <w:pPr>
              <w:pStyle w:val="TableContents"/>
              <w:bidi w:val="0"/>
              <w:spacing w:before="0" w:after="283"/>
              <w:jc w:val="left"/>
              <w:rPr/>
            </w:pPr>
            <w:r>
              <w:rPr/>
              <w:t> </w:t>
            </w:r>
          </w:p>
        </w:tc>
      </w:tr>
      <w:tr>
        <w:trPr/>
        <w:tc>
          <w:tcPr>
            <w:tcW w:w="5030" w:type="dxa"/>
            <w:tcBorders/>
            <w:vAlign w:val="center"/>
          </w:tcPr>
          <w:p>
            <w:pPr>
              <w:pStyle w:val="TableContents"/>
              <w:bidi w:val="0"/>
              <w:spacing w:before="0" w:after="283"/>
              <w:jc w:val="both"/>
              <w:rPr>
                <w:b/>
              </w:rPr>
            </w:pPr>
            <w:r>
              <w:rPr>
                <w:b/>
              </w:rPr>
              <w:t>Financial Assets</w:t>
            </w:r>
          </w:p>
        </w:tc>
        <w:tc>
          <w:tcPr>
            <w:tcW w:w="60" w:type="dxa"/>
            <w:tcBorders/>
            <w:vAlign w:val="center"/>
          </w:tcPr>
          <w:p>
            <w:pPr>
              <w:pStyle w:val="TableContents"/>
              <w:bidi w:val="0"/>
              <w:spacing w:before="0" w:after="283"/>
              <w:jc w:val="left"/>
              <w:rPr/>
            </w:pPr>
            <w:r>
              <w:rPr/>
              <w:t> </w:t>
            </w:r>
          </w:p>
        </w:tc>
        <w:tc>
          <w:tcPr>
            <w:tcW w:w="820" w:type="dxa"/>
            <w:gridSpan w:val="2"/>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54" w:type="dxa"/>
            <w:gridSpan w:val="2"/>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40" w:type="dxa"/>
            <w:gridSpan w:val="2"/>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40" w:type="dxa"/>
            <w:gridSpan w:val="2"/>
            <w:tcBorders/>
            <w:vAlign w:val="center"/>
          </w:tcPr>
          <w:p>
            <w:pPr>
              <w:pStyle w:val="TableContents"/>
              <w:bidi w:val="0"/>
              <w:spacing w:before="0" w:after="283"/>
              <w:jc w:val="right"/>
              <w:rPr/>
            </w:pPr>
            <w:r>
              <w:rPr/>
              <w:t> </w:t>
            </w:r>
          </w:p>
        </w:tc>
        <w:tc>
          <w:tcPr>
            <w:tcW w:w="75" w:type="dxa"/>
            <w:tcBorders/>
            <w:vAlign w:val="center"/>
          </w:tcPr>
          <w:p>
            <w:pPr>
              <w:pStyle w:val="TableContents"/>
              <w:bidi w:val="0"/>
              <w:spacing w:before="0" w:after="283"/>
              <w:jc w:val="left"/>
              <w:rPr/>
            </w:pPr>
            <w:r>
              <w:rPr/>
              <w:t> </w:t>
            </w:r>
          </w:p>
        </w:tc>
      </w:tr>
      <w:tr>
        <w:trPr/>
        <w:tc>
          <w:tcPr>
            <w:tcW w:w="5030" w:type="dxa"/>
            <w:tcBorders/>
            <w:shd w:fill="CCEEFF" w:val="clear"/>
            <w:vAlign w:val="center"/>
          </w:tcPr>
          <w:p>
            <w:pPr>
              <w:pStyle w:val="TableContents"/>
              <w:bidi w:val="0"/>
              <w:spacing w:before="0" w:after="283"/>
              <w:jc w:val="both"/>
              <w:rPr/>
            </w:pPr>
            <w:r>
              <w:rPr/>
              <w:t>Restricted cash</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w:t>
            </w:r>
          </w:p>
        </w:tc>
        <w:tc>
          <w:tcPr>
            <w:tcW w:w="680" w:type="dxa"/>
            <w:tcBorders>
              <w:bottom w:val="single" w:sz="12" w:space="0" w:color="000000"/>
            </w:tcBorders>
            <w:shd w:fill="CCEEFF" w:val="clear"/>
            <w:tcMar>
              <w:bottom w:w="28" w:type="dxa"/>
            </w:tcMar>
            <w:vAlign w:val="center"/>
          </w:tcPr>
          <w:p>
            <w:pPr>
              <w:pStyle w:val="TableContents"/>
              <w:bidi w:val="0"/>
              <w:spacing w:before="0" w:after="283"/>
              <w:jc w:val="right"/>
              <w:rPr/>
            </w:pPr>
            <w:r>
              <w:rPr/>
              <w:t>3,841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63" w:type="dxa"/>
            <w:tcBorders>
              <w:bottom w:val="single" w:sz="12" w:space="0" w:color="000000"/>
            </w:tcBorders>
            <w:shd w:fill="CCEEFF" w:val="clear"/>
            <w:tcMar>
              <w:bottom w:w="28" w:type="dxa"/>
            </w:tcMar>
            <w:vAlign w:val="center"/>
          </w:tcPr>
          <w:p>
            <w:pPr>
              <w:pStyle w:val="TableContents"/>
              <w:bidi w:val="0"/>
              <w:spacing w:before="0" w:after="283"/>
              <w:jc w:val="left"/>
              <w:rPr/>
            </w:pPr>
            <w:r>
              <w:rPr/>
              <w:t>$</w:t>
            </w:r>
          </w:p>
        </w:tc>
        <w:tc>
          <w:tcPr>
            <w:tcW w:w="491"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w:t>
            </w:r>
          </w:p>
        </w:tc>
        <w:tc>
          <w:tcPr>
            <w:tcW w:w="800"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w:t>
            </w:r>
          </w:p>
        </w:tc>
        <w:tc>
          <w:tcPr>
            <w:tcW w:w="800" w:type="dxa"/>
            <w:tcBorders>
              <w:bottom w:val="single" w:sz="12" w:space="0" w:color="000000"/>
            </w:tcBorders>
            <w:shd w:fill="CCEEFF" w:val="clear"/>
            <w:tcMar>
              <w:bottom w:w="28" w:type="dxa"/>
            </w:tcMar>
            <w:vAlign w:val="center"/>
          </w:tcPr>
          <w:p>
            <w:pPr>
              <w:pStyle w:val="TableContents"/>
              <w:bidi w:val="0"/>
              <w:spacing w:before="0" w:after="283"/>
              <w:jc w:val="right"/>
              <w:rPr/>
            </w:pPr>
            <w:r>
              <w:rPr/>
              <w:t>3,841</w:t>
            </w:r>
          </w:p>
        </w:tc>
        <w:tc>
          <w:tcPr>
            <w:tcW w:w="75" w:type="dxa"/>
            <w:tcBorders/>
            <w:shd w:fill="CCEEFF" w:val="clear"/>
            <w:vAlign w:val="center"/>
          </w:tcPr>
          <w:p>
            <w:pPr>
              <w:pStyle w:val="TableContents"/>
              <w:bidi w:val="0"/>
              <w:spacing w:before="0" w:after="283"/>
              <w:jc w:val="left"/>
              <w:rPr/>
            </w:pPr>
            <w:r>
              <w:rPr/>
              <w:t> </w:t>
            </w:r>
          </w:p>
        </w:tc>
      </w:tr>
      <w:tr>
        <w:trPr/>
        <w:tc>
          <w:tcPr>
            <w:tcW w:w="5030" w:type="dxa"/>
            <w:tcBorders/>
            <w:shd w:fill="FFFFFF" w:val="clear"/>
            <w:vAlign w:val="center"/>
          </w:tcPr>
          <w:p>
            <w:pPr>
              <w:pStyle w:val="TableContents"/>
              <w:bidi w:val="0"/>
              <w:spacing w:before="0" w:after="283"/>
              <w:jc w:val="left"/>
              <w:rPr/>
            </w:pPr>
            <w:r>
              <w:rPr/>
              <w:t>Total</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10" w:space="0" w:color="000000"/>
            </w:tcBorders>
            <w:shd w:fill="FFFFFF" w:val="clear"/>
            <w:tcMar>
              <w:bottom w:w="28" w:type="dxa"/>
            </w:tcMar>
            <w:vAlign w:val="center"/>
          </w:tcPr>
          <w:p>
            <w:pPr>
              <w:pStyle w:val="TableContents"/>
              <w:bidi w:val="0"/>
              <w:spacing w:before="0" w:after="283"/>
              <w:jc w:val="left"/>
              <w:rPr/>
            </w:pPr>
            <w:r>
              <w:rPr/>
              <w:t>$</w:t>
            </w:r>
          </w:p>
        </w:tc>
        <w:tc>
          <w:tcPr>
            <w:tcW w:w="680" w:type="dxa"/>
            <w:tcBorders>
              <w:bottom w:val="double" w:sz="10" w:space="0" w:color="000000"/>
            </w:tcBorders>
            <w:shd w:fill="FFFFFF" w:val="clear"/>
            <w:tcMar>
              <w:bottom w:w="28" w:type="dxa"/>
            </w:tcMar>
            <w:vAlign w:val="center"/>
          </w:tcPr>
          <w:p>
            <w:pPr>
              <w:pStyle w:val="TableContents"/>
              <w:bidi w:val="0"/>
              <w:spacing w:before="0" w:after="283"/>
              <w:jc w:val="right"/>
              <w:rPr/>
            </w:pPr>
            <w:r>
              <w:rPr/>
              <w:t>3,841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63" w:type="dxa"/>
            <w:tcBorders>
              <w:bottom w:val="double" w:sz="10" w:space="0" w:color="000000"/>
            </w:tcBorders>
            <w:shd w:fill="FFFFFF" w:val="clear"/>
            <w:tcMar>
              <w:bottom w:w="28" w:type="dxa"/>
            </w:tcMar>
            <w:vAlign w:val="center"/>
          </w:tcPr>
          <w:p>
            <w:pPr>
              <w:pStyle w:val="TableContents"/>
              <w:bidi w:val="0"/>
              <w:spacing w:before="0" w:after="283"/>
              <w:jc w:val="left"/>
              <w:rPr/>
            </w:pPr>
            <w:r>
              <w:rPr/>
              <w:t>$</w:t>
            </w:r>
          </w:p>
        </w:tc>
        <w:tc>
          <w:tcPr>
            <w:tcW w:w="491" w:type="dxa"/>
            <w:tcBorders>
              <w:bottom w:val="double" w:sz="10" w:space="0" w:color="000000"/>
            </w:tcBorders>
            <w:shd w:fill="FFFFFF" w:val="clear"/>
            <w:tcMar>
              <w:bottom w:w="28" w:type="dxa"/>
            </w:tcM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10" w:space="0" w:color="000000"/>
            </w:tcBorders>
            <w:shd w:fill="FFFFFF" w:val="clear"/>
            <w:tcMar>
              <w:bottom w:w="28" w:type="dxa"/>
            </w:tcMar>
            <w:vAlign w:val="center"/>
          </w:tcPr>
          <w:p>
            <w:pPr>
              <w:pStyle w:val="TableContents"/>
              <w:bidi w:val="0"/>
              <w:spacing w:before="0" w:after="283"/>
              <w:jc w:val="left"/>
              <w:rPr/>
            </w:pPr>
            <w:r>
              <w:rPr/>
              <w:t>$</w:t>
            </w:r>
          </w:p>
        </w:tc>
        <w:tc>
          <w:tcPr>
            <w:tcW w:w="800" w:type="dxa"/>
            <w:tcBorders>
              <w:bottom w:val="double" w:sz="10" w:space="0" w:color="000000"/>
            </w:tcBorders>
            <w:shd w:fill="FFFFFF" w:val="clear"/>
            <w:tcMar>
              <w:bottom w:w="28" w:type="dxa"/>
            </w:tcM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10" w:space="0" w:color="000000"/>
            </w:tcBorders>
            <w:shd w:fill="FFFFFF" w:val="clear"/>
            <w:tcMar>
              <w:bottom w:w="28" w:type="dxa"/>
            </w:tcMar>
            <w:vAlign w:val="center"/>
          </w:tcPr>
          <w:p>
            <w:pPr>
              <w:pStyle w:val="TableContents"/>
              <w:bidi w:val="0"/>
              <w:spacing w:before="0" w:after="283"/>
              <w:jc w:val="left"/>
              <w:rPr/>
            </w:pPr>
            <w:r>
              <w:rPr/>
              <w:t>$</w:t>
            </w:r>
          </w:p>
        </w:tc>
        <w:tc>
          <w:tcPr>
            <w:tcW w:w="800" w:type="dxa"/>
            <w:tcBorders>
              <w:bottom w:val="double" w:sz="10" w:space="0" w:color="000000"/>
            </w:tcBorders>
            <w:shd w:fill="FFFFFF" w:val="clear"/>
            <w:tcMar>
              <w:bottom w:w="28" w:type="dxa"/>
            </w:tcMar>
            <w:vAlign w:val="center"/>
          </w:tcPr>
          <w:p>
            <w:pPr>
              <w:pStyle w:val="TableContents"/>
              <w:bidi w:val="0"/>
              <w:spacing w:before="0" w:after="283"/>
              <w:jc w:val="right"/>
              <w:rPr/>
            </w:pPr>
            <w:r>
              <w:rPr/>
              <w:t>3,841</w:t>
            </w:r>
          </w:p>
        </w:tc>
        <w:tc>
          <w:tcPr>
            <w:tcW w:w="75" w:type="dxa"/>
            <w:tcBorders/>
            <w:shd w:fill="FFFFFF" w:val="clear"/>
            <w:vAlign w:val="center"/>
          </w:tcPr>
          <w:p>
            <w:pPr>
              <w:pStyle w:val="TableContents"/>
              <w:bidi w:val="0"/>
              <w:spacing w:before="0" w:after="283"/>
              <w:jc w:val="left"/>
              <w:rPr/>
            </w:pPr>
            <w:r>
              <w:rPr/>
              <w:t> </w:t>
            </w:r>
          </w:p>
        </w:tc>
      </w:tr>
      <w:tr>
        <w:trPr/>
        <w:tc>
          <w:tcPr>
            <w:tcW w:w="5030" w:type="dxa"/>
            <w:tcBorders/>
            <w:shd w:fill="CCEEFF" w:val="clear"/>
            <w:vAlign w:val="center"/>
          </w:tcPr>
          <w:p>
            <w:pPr>
              <w:pStyle w:val="TableContents"/>
              <w:bidi w:val="0"/>
              <w:spacing w:before="0" w:after="283"/>
              <w:jc w:val="both"/>
              <w:rPr>
                <w:b/>
              </w:rPr>
            </w:pPr>
            <w:r>
              <w:rPr>
                <w:b/>
              </w:rPr>
              <w:t>Financial Liabilities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63" w:type="dxa"/>
            <w:tcBorders/>
            <w:shd w:fill="CCEEFF" w:val="clear"/>
            <w:vAlign w:val="center"/>
          </w:tcPr>
          <w:p>
            <w:pPr>
              <w:pStyle w:val="TableContents"/>
              <w:bidi w:val="0"/>
              <w:spacing w:before="0" w:after="283"/>
              <w:jc w:val="left"/>
              <w:rPr/>
            </w:pPr>
            <w:r>
              <w:rPr/>
              <w:t> </w:t>
            </w:r>
          </w:p>
        </w:tc>
        <w:tc>
          <w:tcPr>
            <w:tcW w:w="491"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5030" w:type="dxa"/>
            <w:tcBorders/>
            <w:shd w:fill="FFFFFF" w:val="cle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 xml:space="preserve">July 2024 Notes derivative liability </w:t>
            </w:r>
            <w:r>
              <w:rPr>
                <w:rFonts w:ascii="Times New Roman;Times;Serif" w:hAnsi="Times New Roman;Times;Serif"/>
                <w:position w:val="7"/>
                <w:sz w:val="16"/>
                <w:sz w:val="20"/>
              </w:rPr>
              <w:t>(1)</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p>
        </w:tc>
        <w:tc>
          <w:tcPr>
            <w:tcW w:w="68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63" w:type="dxa"/>
            <w:tcBorders/>
            <w:shd w:fill="FFFFFF" w:val="clear"/>
            <w:vAlign w:val="center"/>
          </w:tcPr>
          <w:p>
            <w:pPr>
              <w:pStyle w:val="TableContents"/>
              <w:bidi w:val="0"/>
              <w:spacing w:before="0" w:after="283"/>
              <w:jc w:val="left"/>
              <w:rPr/>
            </w:pPr>
            <w:r>
              <w:rPr/>
              <w:t>$</w:t>
            </w:r>
          </w:p>
        </w:tc>
        <w:tc>
          <w:tcPr>
            <w:tcW w:w="491"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p>
        </w:tc>
        <w:tc>
          <w:tcPr>
            <w:tcW w:w="800" w:type="dxa"/>
            <w:tcBorders/>
            <w:shd w:fill="FFFFFF" w:val="clear"/>
            <w:vAlign w:val="center"/>
          </w:tcPr>
          <w:p>
            <w:pPr>
              <w:pStyle w:val="TableContents"/>
              <w:bidi w:val="0"/>
              <w:spacing w:before="0" w:after="283"/>
              <w:jc w:val="right"/>
              <w:rPr/>
            </w:pPr>
            <w:r>
              <w:rPr/>
              <w:t>19,604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p>
        </w:tc>
        <w:tc>
          <w:tcPr>
            <w:tcW w:w="800" w:type="dxa"/>
            <w:tcBorders/>
            <w:shd w:fill="FFFFFF" w:val="clear"/>
            <w:vAlign w:val="center"/>
          </w:tcPr>
          <w:p>
            <w:pPr>
              <w:pStyle w:val="TableContents"/>
              <w:bidi w:val="0"/>
              <w:spacing w:before="0" w:after="283"/>
              <w:jc w:val="right"/>
              <w:rPr/>
            </w:pPr>
            <w:r>
              <w:rPr/>
              <w:t>19,604</w:t>
            </w:r>
          </w:p>
        </w:tc>
        <w:tc>
          <w:tcPr>
            <w:tcW w:w="75" w:type="dxa"/>
            <w:tcBorders/>
            <w:shd w:fill="FFFFFF" w:val="clear"/>
            <w:vAlign w:val="center"/>
          </w:tcPr>
          <w:p>
            <w:pPr>
              <w:pStyle w:val="TableContents"/>
              <w:bidi w:val="0"/>
              <w:spacing w:before="0" w:after="283"/>
              <w:jc w:val="left"/>
              <w:rPr/>
            </w:pPr>
            <w:r>
              <w:rPr/>
              <w:t> </w:t>
            </w:r>
          </w:p>
        </w:tc>
      </w:tr>
      <w:tr>
        <w:trPr/>
        <w:tc>
          <w:tcPr>
            <w:tcW w:w="5030" w:type="dxa"/>
            <w:tcBorders/>
            <w:shd w:fill="CCEEFF" w:val="cle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 xml:space="preserve">July 2024 Notes derivative liability – related parties </w:t>
            </w:r>
            <w:r>
              <w:rPr>
                <w:rFonts w:ascii="Times New Roman;Times;Serif" w:hAnsi="Times New Roman;Times;Serif"/>
                <w:position w:val="7"/>
                <w:sz w:val="16"/>
                <w:sz w:val="20"/>
              </w:rPr>
              <w:t>(1)</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63" w:type="dxa"/>
            <w:tcBorders/>
            <w:shd w:fill="CCEEFF" w:val="clear"/>
            <w:vAlign w:val="center"/>
          </w:tcPr>
          <w:p>
            <w:pPr>
              <w:pStyle w:val="TableContents"/>
              <w:bidi w:val="0"/>
              <w:spacing w:before="0" w:after="283"/>
              <w:jc w:val="left"/>
              <w:rPr/>
            </w:pPr>
            <w:r>
              <w:rPr/>
              <w:t> </w:t>
            </w:r>
          </w:p>
        </w:tc>
        <w:tc>
          <w:tcPr>
            <w:tcW w:w="491"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12,615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12,615</w:t>
            </w:r>
          </w:p>
        </w:tc>
        <w:tc>
          <w:tcPr>
            <w:tcW w:w="75" w:type="dxa"/>
            <w:tcBorders/>
            <w:shd w:fill="CCEEFF" w:val="clear"/>
            <w:vAlign w:val="center"/>
          </w:tcPr>
          <w:p>
            <w:pPr>
              <w:pStyle w:val="TableContents"/>
              <w:bidi w:val="0"/>
              <w:spacing w:before="0" w:after="283"/>
              <w:jc w:val="left"/>
              <w:rPr/>
            </w:pPr>
            <w:r>
              <w:rPr/>
              <w:t> </w:t>
            </w:r>
          </w:p>
        </w:tc>
      </w:tr>
      <w:tr>
        <w:trPr/>
        <w:tc>
          <w:tcPr>
            <w:tcW w:w="5030" w:type="dxa"/>
            <w:tcBorders/>
            <w:shd w:fill="FFFFFF" w:val="cle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 xml:space="preserve">September 2024 Notes derivative liability </w:t>
            </w:r>
            <w:r>
              <w:rPr>
                <w:rFonts w:ascii="Times New Roman;Times;Serif" w:hAnsi="Times New Roman;Times;Serif"/>
                <w:position w:val="7"/>
                <w:sz w:val="16"/>
                <w:sz w:val="20"/>
              </w:rPr>
              <w:t>(1)</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63" w:type="dxa"/>
            <w:tcBorders/>
            <w:shd w:fill="FFFFFF" w:val="clear"/>
            <w:vAlign w:val="center"/>
          </w:tcPr>
          <w:p>
            <w:pPr>
              <w:pStyle w:val="TableContents"/>
              <w:bidi w:val="0"/>
              <w:spacing w:before="0" w:after="283"/>
              <w:jc w:val="left"/>
              <w:rPr/>
            </w:pPr>
            <w:r>
              <w:rPr/>
              <w:t> </w:t>
            </w:r>
          </w:p>
        </w:tc>
        <w:tc>
          <w:tcPr>
            <w:tcW w:w="491"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37,930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37,930</w:t>
            </w:r>
          </w:p>
        </w:tc>
        <w:tc>
          <w:tcPr>
            <w:tcW w:w="75" w:type="dxa"/>
            <w:tcBorders/>
            <w:shd w:fill="FFFFFF" w:val="clear"/>
            <w:vAlign w:val="center"/>
          </w:tcPr>
          <w:p>
            <w:pPr>
              <w:pStyle w:val="TableContents"/>
              <w:bidi w:val="0"/>
              <w:spacing w:before="0" w:after="283"/>
              <w:jc w:val="left"/>
              <w:rPr/>
            </w:pPr>
            <w:r>
              <w:rPr/>
              <w:t> </w:t>
            </w:r>
          </w:p>
        </w:tc>
      </w:tr>
      <w:tr>
        <w:trPr/>
        <w:tc>
          <w:tcPr>
            <w:tcW w:w="5030" w:type="dxa"/>
            <w:tcBorders/>
            <w:shd w:fill="CCEEFF" w:val="cle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 xml:space="preserve">September 2024 Notes derivative liability – related parties </w:t>
            </w:r>
            <w:r>
              <w:rPr>
                <w:rFonts w:ascii="Times New Roman;Times;Serif" w:hAnsi="Times New Roman;Times;Serif"/>
                <w:position w:val="7"/>
                <w:sz w:val="16"/>
                <w:sz w:val="20"/>
              </w:rPr>
              <w:t>(1)</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63" w:type="dxa"/>
            <w:tcBorders/>
            <w:shd w:fill="CCEEFF" w:val="clear"/>
            <w:vAlign w:val="center"/>
          </w:tcPr>
          <w:p>
            <w:pPr>
              <w:pStyle w:val="TableContents"/>
              <w:bidi w:val="0"/>
              <w:spacing w:before="0" w:after="283"/>
              <w:jc w:val="left"/>
              <w:rPr/>
            </w:pPr>
            <w:r>
              <w:rPr/>
              <w:t> </w:t>
            </w:r>
          </w:p>
        </w:tc>
        <w:tc>
          <w:tcPr>
            <w:tcW w:w="491"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5,870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5,870</w:t>
            </w:r>
          </w:p>
        </w:tc>
        <w:tc>
          <w:tcPr>
            <w:tcW w:w="75" w:type="dxa"/>
            <w:tcBorders/>
            <w:shd w:fill="CCEEFF" w:val="clear"/>
            <w:vAlign w:val="center"/>
          </w:tcPr>
          <w:p>
            <w:pPr>
              <w:pStyle w:val="TableContents"/>
              <w:bidi w:val="0"/>
              <w:spacing w:before="0" w:after="283"/>
              <w:jc w:val="left"/>
              <w:rPr/>
            </w:pPr>
            <w:r>
              <w:rPr/>
              <w:t> </w:t>
            </w:r>
          </w:p>
        </w:tc>
      </w:tr>
      <w:tr>
        <w:trPr/>
        <w:tc>
          <w:tcPr>
            <w:tcW w:w="5030" w:type="dxa"/>
            <w:tcBorders/>
            <w:shd w:fill="FFFFFF" w:val="cle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 xml:space="preserve">July 2025 Note derivative liability– related party </w:t>
            </w:r>
            <w:r>
              <w:rPr>
                <w:rFonts w:ascii="Times New Roman;Times;Serif" w:hAnsi="Times New Roman;Times;Serif"/>
                <w:position w:val="7"/>
                <w:sz w:val="16"/>
                <w:sz w:val="20"/>
              </w:rPr>
              <w:t>(1)</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63" w:type="dxa"/>
            <w:tcBorders/>
            <w:shd w:fill="FFFFFF" w:val="clear"/>
            <w:vAlign w:val="center"/>
          </w:tcPr>
          <w:p>
            <w:pPr>
              <w:pStyle w:val="TableContents"/>
              <w:bidi w:val="0"/>
              <w:spacing w:before="0" w:after="283"/>
              <w:jc w:val="left"/>
              <w:rPr/>
            </w:pPr>
            <w:r>
              <w:rPr/>
              <w:t> </w:t>
            </w:r>
          </w:p>
        </w:tc>
        <w:tc>
          <w:tcPr>
            <w:tcW w:w="491"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3,246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3,246</w:t>
            </w:r>
          </w:p>
        </w:tc>
        <w:tc>
          <w:tcPr>
            <w:tcW w:w="75" w:type="dxa"/>
            <w:tcBorders/>
            <w:shd w:fill="FFFFFF" w:val="clear"/>
            <w:vAlign w:val="center"/>
          </w:tcPr>
          <w:p>
            <w:pPr>
              <w:pStyle w:val="TableContents"/>
              <w:bidi w:val="0"/>
              <w:spacing w:before="0" w:after="283"/>
              <w:jc w:val="left"/>
              <w:rPr/>
            </w:pPr>
            <w:r>
              <w:rPr/>
              <w:t> </w:t>
            </w:r>
          </w:p>
        </w:tc>
      </w:tr>
      <w:tr>
        <w:trPr/>
        <w:tc>
          <w:tcPr>
            <w:tcW w:w="5030" w:type="dxa"/>
            <w:tcBorders/>
            <w:shd w:fill="CCEEFF" w:val="cle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 xml:space="preserve">September 2025 Notes derivative liability </w:t>
            </w:r>
            <w:r>
              <w:rPr>
                <w:rFonts w:ascii="Times New Roman;Times;Serif" w:hAnsi="Times New Roman;Times;Serif"/>
                <w:position w:val="7"/>
                <w:sz w:val="16"/>
                <w:sz w:val="20"/>
              </w:rPr>
              <w:t>(1)</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63" w:type="dxa"/>
            <w:tcBorders/>
            <w:shd w:fill="CCEEFF" w:val="clear"/>
            <w:vAlign w:val="center"/>
          </w:tcPr>
          <w:p>
            <w:pPr>
              <w:pStyle w:val="TableContents"/>
              <w:bidi w:val="0"/>
              <w:spacing w:before="0" w:after="283"/>
              <w:jc w:val="left"/>
              <w:rPr/>
            </w:pPr>
            <w:r>
              <w:rPr/>
              <w:t> </w:t>
            </w:r>
          </w:p>
        </w:tc>
        <w:tc>
          <w:tcPr>
            <w:tcW w:w="491"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14,756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14,756</w:t>
            </w:r>
          </w:p>
        </w:tc>
        <w:tc>
          <w:tcPr>
            <w:tcW w:w="75" w:type="dxa"/>
            <w:tcBorders/>
            <w:shd w:fill="CCEEFF" w:val="clear"/>
            <w:vAlign w:val="center"/>
          </w:tcPr>
          <w:p>
            <w:pPr>
              <w:pStyle w:val="TableContents"/>
              <w:bidi w:val="0"/>
              <w:spacing w:before="0" w:after="283"/>
              <w:jc w:val="left"/>
              <w:rPr/>
            </w:pPr>
            <w:r>
              <w:rPr/>
              <w:t> </w:t>
            </w:r>
          </w:p>
        </w:tc>
      </w:tr>
      <w:tr>
        <w:trPr/>
        <w:tc>
          <w:tcPr>
            <w:tcW w:w="5030" w:type="dxa"/>
            <w:tcBorders/>
            <w:shd w:fill="FFFFFF" w:val="cle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 xml:space="preserve">November 2025 Note derivative liability – related party </w:t>
            </w:r>
            <w:r>
              <w:rPr>
                <w:rFonts w:ascii="Times New Roman;Times;Serif" w:hAnsi="Times New Roman;Times;Serif"/>
                <w:position w:val="7"/>
                <w:sz w:val="16"/>
                <w:sz w:val="20"/>
              </w:rPr>
              <w:t>(1)</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63" w:type="dxa"/>
            <w:tcBorders/>
            <w:shd w:fill="FFFFFF" w:val="clear"/>
            <w:vAlign w:val="center"/>
          </w:tcPr>
          <w:p>
            <w:pPr>
              <w:pStyle w:val="TableContents"/>
              <w:bidi w:val="0"/>
              <w:spacing w:before="0" w:after="283"/>
              <w:jc w:val="left"/>
              <w:rPr/>
            </w:pPr>
            <w:r>
              <w:rPr/>
              <w:t> </w:t>
            </w:r>
          </w:p>
        </w:tc>
        <w:tc>
          <w:tcPr>
            <w:tcW w:w="491"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1,488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1,488</w:t>
            </w:r>
          </w:p>
        </w:tc>
        <w:tc>
          <w:tcPr>
            <w:tcW w:w="75" w:type="dxa"/>
            <w:tcBorders/>
            <w:shd w:fill="FFFFFF" w:val="clear"/>
            <w:vAlign w:val="center"/>
          </w:tcPr>
          <w:p>
            <w:pPr>
              <w:pStyle w:val="TableContents"/>
              <w:bidi w:val="0"/>
              <w:spacing w:before="0" w:after="283"/>
              <w:jc w:val="left"/>
              <w:rPr/>
            </w:pPr>
            <w:r>
              <w:rPr/>
              <w:t> </w:t>
            </w:r>
          </w:p>
        </w:tc>
      </w:tr>
      <w:tr>
        <w:trPr/>
        <w:tc>
          <w:tcPr>
            <w:tcW w:w="5030" w:type="dxa"/>
            <w:tcBorders/>
            <w:shd w:fill="CCEEFF" w:val="clear"/>
            <w:vAlign w:val="center"/>
          </w:tcPr>
          <w:p>
            <w:pPr>
              <w:pStyle w:val="TableContents"/>
              <w:bidi w:val="0"/>
              <w:spacing w:before="0" w:after="283"/>
              <w:jc w:val="both"/>
              <w:rPr/>
            </w:pPr>
            <w:r>
              <w:rPr/>
              <w:t>Forward purchase agreement liabilities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63" w:type="dxa"/>
            <w:tcBorders/>
            <w:shd w:fill="CCEEFF" w:val="clear"/>
            <w:vAlign w:val="center"/>
          </w:tcPr>
          <w:p>
            <w:pPr>
              <w:pStyle w:val="TableContents"/>
              <w:bidi w:val="0"/>
              <w:spacing w:before="0" w:after="283"/>
              <w:jc w:val="left"/>
              <w:rPr/>
            </w:pPr>
            <w:r>
              <w:rPr/>
              <w:t> </w:t>
            </w:r>
          </w:p>
        </w:tc>
        <w:tc>
          <w:tcPr>
            <w:tcW w:w="491"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3,965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3,965</w:t>
            </w:r>
          </w:p>
        </w:tc>
        <w:tc>
          <w:tcPr>
            <w:tcW w:w="75" w:type="dxa"/>
            <w:tcBorders/>
            <w:shd w:fill="CCEEFF" w:val="clear"/>
            <w:vAlign w:val="center"/>
          </w:tcPr>
          <w:p>
            <w:pPr>
              <w:pStyle w:val="TableContents"/>
              <w:bidi w:val="0"/>
              <w:spacing w:before="0" w:after="283"/>
              <w:jc w:val="left"/>
              <w:rPr/>
            </w:pPr>
            <w:r>
              <w:rPr/>
              <w:t> </w:t>
            </w:r>
          </w:p>
        </w:tc>
      </w:tr>
      <w:tr>
        <w:trPr/>
        <w:tc>
          <w:tcPr>
            <w:tcW w:w="5030" w:type="dxa"/>
            <w:tcBorders/>
            <w:shd w:fill="FFFFFF" w:val="clear"/>
            <w:vAlign w:val="center"/>
          </w:tcPr>
          <w:p>
            <w:pPr>
              <w:pStyle w:val="TableContents"/>
              <w:bidi w:val="0"/>
              <w:spacing w:before="0" w:after="283"/>
              <w:jc w:val="both"/>
              <w:rPr/>
            </w:pPr>
            <w:r>
              <w:rPr/>
              <w:t>SAFE Agreement with related party</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63" w:type="dxa"/>
            <w:tcBorders/>
            <w:shd w:fill="FFFFFF" w:val="clear"/>
            <w:vAlign w:val="center"/>
          </w:tcPr>
          <w:p>
            <w:pPr>
              <w:pStyle w:val="TableContents"/>
              <w:bidi w:val="0"/>
              <w:spacing w:before="0" w:after="283"/>
              <w:jc w:val="left"/>
              <w:rPr/>
            </w:pPr>
            <w:r>
              <w:rPr/>
              <w:t> </w:t>
            </w:r>
          </w:p>
        </w:tc>
        <w:tc>
          <w:tcPr>
            <w:tcW w:w="491"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535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535</w:t>
            </w:r>
          </w:p>
        </w:tc>
        <w:tc>
          <w:tcPr>
            <w:tcW w:w="75" w:type="dxa"/>
            <w:tcBorders/>
            <w:shd w:fill="FFFFFF" w:val="clear"/>
            <w:vAlign w:val="center"/>
          </w:tcPr>
          <w:p>
            <w:pPr>
              <w:pStyle w:val="TableContents"/>
              <w:bidi w:val="0"/>
              <w:spacing w:before="0" w:after="283"/>
              <w:jc w:val="left"/>
              <w:rPr/>
            </w:pPr>
            <w:r>
              <w:rPr/>
              <w:t> </w:t>
            </w:r>
          </w:p>
        </w:tc>
      </w:tr>
      <w:tr>
        <w:trPr/>
        <w:tc>
          <w:tcPr>
            <w:tcW w:w="5030" w:type="dxa"/>
            <w:tcBorders/>
            <w:shd w:fill="CCEEFF" w:val="clear"/>
            <w:vAlign w:val="center"/>
          </w:tcPr>
          <w:p>
            <w:pPr>
              <w:pStyle w:val="TableContents"/>
              <w:bidi w:val="0"/>
              <w:spacing w:before="0" w:after="283"/>
              <w:jc w:val="both"/>
              <w:rPr/>
            </w:pPr>
            <w:r>
              <w:rPr/>
              <w:t>Private placement warrants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63" w:type="dxa"/>
            <w:tcBorders/>
            <w:shd w:fill="CCEEFF" w:val="clear"/>
            <w:vAlign w:val="center"/>
          </w:tcPr>
          <w:p>
            <w:pPr>
              <w:pStyle w:val="TableContents"/>
              <w:bidi w:val="0"/>
              <w:spacing w:before="0" w:after="283"/>
              <w:jc w:val="left"/>
              <w:rPr/>
            </w:pPr>
            <w:r>
              <w:rPr/>
              <w:t> </w:t>
            </w:r>
          </w:p>
        </w:tc>
        <w:tc>
          <w:tcPr>
            <w:tcW w:w="491"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1,692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1,692</w:t>
            </w:r>
          </w:p>
        </w:tc>
        <w:tc>
          <w:tcPr>
            <w:tcW w:w="75" w:type="dxa"/>
            <w:tcBorders/>
            <w:shd w:fill="CCEEFF" w:val="clear"/>
            <w:vAlign w:val="center"/>
          </w:tcPr>
          <w:p>
            <w:pPr>
              <w:pStyle w:val="TableContents"/>
              <w:bidi w:val="0"/>
              <w:spacing w:before="0" w:after="283"/>
              <w:jc w:val="left"/>
              <w:rPr/>
            </w:pPr>
            <w:r>
              <w:rPr/>
              <w:t> </w:t>
            </w:r>
          </w:p>
        </w:tc>
      </w:tr>
      <w:tr>
        <w:trPr/>
        <w:tc>
          <w:tcPr>
            <w:tcW w:w="5030" w:type="dxa"/>
            <w:tcBorders/>
            <w:shd w:fill="FFFFFF" w:val="clear"/>
            <w:vAlign w:val="center"/>
          </w:tcPr>
          <w:p>
            <w:pPr>
              <w:pStyle w:val="TableContents"/>
              <w:bidi w:val="0"/>
              <w:spacing w:before="0" w:after="283"/>
              <w:jc w:val="both"/>
              <w:rPr/>
            </w:pPr>
            <w:r>
              <w:rPr/>
              <w:t>Working capital warrants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63" w:type="dxa"/>
            <w:tcBorders/>
            <w:shd w:fill="FFFFFF" w:val="clear"/>
            <w:vAlign w:val="center"/>
          </w:tcPr>
          <w:p>
            <w:pPr>
              <w:pStyle w:val="TableContents"/>
              <w:bidi w:val="0"/>
              <w:spacing w:before="0" w:after="283"/>
              <w:jc w:val="left"/>
              <w:rPr/>
            </w:pPr>
            <w:r>
              <w:rPr/>
              <w:t> </w:t>
            </w:r>
          </w:p>
        </w:tc>
        <w:tc>
          <w:tcPr>
            <w:tcW w:w="491"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194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194</w:t>
            </w:r>
          </w:p>
        </w:tc>
        <w:tc>
          <w:tcPr>
            <w:tcW w:w="75" w:type="dxa"/>
            <w:tcBorders/>
            <w:shd w:fill="FFFFFF" w:val="clear"/>
            <w:vAlign w:val="center"/>
          </w:tcPr>
          <w:p>
            <w:pPr>
              <w:pStyle w:val="TableContents"/>
              <w:bidi w:val="0"/>
              <w:spacing w:before="0" w:after="283"/>
              <w:jc w:val="left"/>
              <w:rPr/>
            </w:pPr>
            <w:r>
              <w:rPr/>
              <w:t> </w:t>
            </w:r>
          </w:p>
        </w:tc>
      </w:tr>
      <w:tr>
        <w:trPr/>
        <w:tc>
          <w:tcPr>
            <w:tcW w:w="5030" w:type="dxa"/>
            <w:tcBorders/>
            <w:shd w:fill="CCEEFF" w:val="clear"/>
            <w:vAlign w:val="center"/>
          </w:tcPr>
          <w:p>
            <w:pPr>
              <w:pStyle w:val="TableContents"/>
              <w:bidi w:val="0"/>
              <w:spacing w:before="0" w:after="283"/>
              <w:jc w:val="both"/>
              <w:rPr/>
            </w:pPr>
            <w:r>
              <w:rPr/>
              <w:t>Public warrants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2,475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63" w:type="dxa"/>
            <w:tcBorders/>
            <w:shd w:fill="CCEEFF" w:val="clear"/>
            <w:vAlign w:val="center"/>
          </w:tcPr>
          <w:p>
            <w:pPr>
              <w:pStyle w:val="TableContents"/>
              <w:bidi w:val="0"/>
              <w:spacing w:before="0" w:after="283"/>
              <w:jc w:val="left"/>
              <w:rPr/>
            </w:pPr>
            <w:r>
              <w:rPr/>
              <w:t> </w:t>
            </w:r>
          </w:p>
        </w:tc>
        <w:tc>
          <w:tcPr>
            <w:tcW w:w="491"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2,475</w:t>
            </w:r>
          </w:p>
        </w:tc>
        <w:tc>
          <w:tcPr>
            <w:tcW w:w="75" w:type="dxa"/>
            <w:tcBorders/>
            <w:shd w:fill="CCEEFF" w:val="clear"/>
            <w:vAlign w:val="center"/>
          </w:tcPr>
          <w:p>
            <w:pPr>
              <w:pStyle w:val="TableContents"/>
              <w:bidi w:val="0"/>
              <w:spacing w:before="0" w:after="283"/>
              <w:jc w:val="left"/>
              <w:rPr/>
            </w:pPr>
            <w:r>
              <w:rPr/>
              <w:t> </w:t>
            </w:r>
          </w:p>
        </w:tc>
      </w:tr>
      <w:tr>
        <w:trPr/>
        <w:tc>
          <w:tcPr>
            <w:tcW w:w="5030" w:type="dxa"/>
            <w:tcBorders/>
            <w:shd w:fill="FFFFFF" w:val="clear"/>
            <w:vAlign w:val="center"/>
          </w:tcPr>
          <w:p>
            <w:pPr>
              <w:pStyle w:val="TableContents"/>
              <w:bidi w:val="0"/>
              <w:spacing w:before="0" w:after="283"/>
              <w:jc w:val="both"/>
              <w:rPr/>
            </w:pPr>
            <w:r>
              <w:rPr/>
              <w:t>Deferred Sunder Consideration Shares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pPr>
            <w:r>
              <w:rPr/>
              <w:t>10,840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63" w:type="dxa"/>
            <w:tcBorders/>
            <w:shd w:fill="FFFFFF" w:val="clear"/>
            <w:vAlign w:val="center"/>
          </w:tcPr>
          <w:p>
            <w:pPr>
              <w:pStyle w:val="TableContents"/>
              <w:bidi w:val="0"/>
              <w:spacing w:before="0" w:after="283"/>
              <w:jc w:val="left"/>
              <w:rPr/>
            </w:pPr>
            <w:r>
              <w:rPr/>
              <w:t> </w:t>
            </w:r>
          </w:p>
        </w:tc>
        <w:tc>
          <w:tcPr>
            <w:tcW w:w="491"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10,840</w:t>
            </w:r>
          </w:p>
        </w:tc>
        <w:tc>
          <w:tcPr>
            <w:tcW w:w="75" w:type="dxa"/>
            <w:tcBorders/>
            <w:shd w:fill="FFFFFF" w:val="clear"/>
            <w:vAlign w:val="center"/>
          </w:tcPr>
          <w:p>
            <w:pPr>
              <w:pStyle w:val="TableContents"/>
              <w:bidi w:val="0"/>
              <w:spacing w:before="0" w:after="283"/>
              <w:jc w:val="left"/>
              <w:rPr/>
            </w:pPr>
            <w:r>
              <w:rPr/>
              <w:t> </w:t>
            </w:r>
          </w:p>
        </w:tc>
      </w:tr>
      <w:tr>
        <w:trPr/>
        <w:tc>
          <w:tcPr>
            <w:tcW w:w="5030" w:type="dxa"/>
            <w:tcBorders/>
            <w:shd w:fill="CCEEFF" w:val="clear"/>
            <w:vAlign w:val="center"/>
          </w:tcPr>
          <w:p>
            <w:pPr>
              <w:pStyle w:val="TableContents"/>
              <w:bidi w:val="0"/>
              <w:spacing w:before="0" w:after="283"/>
              <w:jc w:val="both"/>
              <w:rPr/>
            </w:pPr>
            <w:r>
              <w:rPr/>
              <w:t>Deferred Ambia Consideration Shares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680"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63"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491"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00" w:type="dxa"/>
            <w:tcBorders>
              <w:bottom w:val="single" w:sz="12" w:space="0" w:color="000000"/>
            </w:tcBorders>
            <w:shd w:fill="CCEEFF" w:val="clear"/>
            <w:tcMar>
              <w:bottom w:w="28" w:type="dxa"/>
            </w:tcMar>
            <w:vAlign w:val="center"/>
          </w:tcPr>
          <w:p>
            <w:pPr>
              <w:pStyle w:val="TableContents"/>
              <w:bidi w:val="0"/>
              <w:spacing w:before="0" w:after="283"/>
              <w:jc w:val="right"/>
              <w:rPr/>
            </w:pPr>
            <w:r>
              <w:rPr/>
              <w:t>16,879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00" w:type="dxa"/>
            <w:tcBorders>
              <w:bottom w:val="single" w:sz="12" w:space="0" w:color="000000"/>
            </w:tcBorders>
            <w:shd w:fill="CCEEFF" w:val="clear"/>
            <w:tcMar>
              <w:bottom w:w="28" w:type="dxa"/>
            </w:tcMar>
            <w:vAlign w:val="center"/>
          </w:tcPr>
          <w:p>
            <w:pPr>
              <w:pStyle w:val="TableContents"/>
              <w:bidi w:val="0"/>
              <w:spacing w:before="0" w:after="283"/>
              <w:jc w:val="right"/>
              <w:rPr/>
            </w:pPr>
            <w:r>
              <w:rPr/>
              <w:t>16,879</w:t>
            </w:r>
          </w:p>
        </w:tc>
        <w:tc>
          <w:tcPr>
            <w:tcW w:w="75" w:type="dxa"/>
            <w:tcBorders/>
            <w:shd w:fill="CCEEFF" w:val="clear"/>
            <w:vAlign w:val="center"/>
          </w:tcPr>
          <w:p>
            <w:pPr>
              <w:pStyle w:val="TableContents"/>
              <w:bidi w:val="0"/>
              <w:spacing w:before="0" w:after="283"/>
              <w:jc w:val="left"/>
              <w:rPr/>
            </w:pPr>
            <w:r>
              <w:rPr/>
              <w:t> </w:t>
            </w:r>
          </w:p>
        </w:tc>
      </w:tr>
      <w:tr>
        <w:trPr/>
        <w:tc>
          <w:tcPr>
            <w:tcW w:w="5030" w:type="dxa"/>
            <w:tcBorders/>
            <w:shd w:fill="FFFFFF" w:val="clear"/>
            <w:vAlign w:val="center"/>
          </w:tcPr>
          <w:p>
            <w:pPr>
              <w:pStyle w:val="TableContents"/>
              <w:bidi w:val="0"/>
              <w:spacing w:before="0" w:after="283"/>
              <w:jc w:val="both"/>
              <w:rPr/>
            </w:pPr>
            <w:r>
              <w:rPr/>
              <w:t>Total</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10" w:space="0" w:color="000000"/>
            </w:tcBorders>
            <w:shd w:fill="FFFFFF" w:val="clear"/>
            <w:tcMar>
              <w:bottom w:w="28" w:type="dxa"/>
            </w:tcMar>
            <w:vAlign w:val="center"/>
          </w:tcPr>
          <w:p>
            <w:pPr>
              <w:pStyle w:val="TableContents"/>
              <w:bidi w:val="0"/>
              <w:spacing w:before="0" w:after="283"/>
              <w:jc w:val="left"/>
              <w:rPr/>
            </w:pPr>
            <w:r>
              <w:rPr/>
              <w:t>$</w:t>
            </w:r>
          </w:p>
        </w:tc>
        <w:tc>
          <w:tcPr>
            <w:tcW w:w="680" w:type="dxa"/>
            <w:tcBorders>
              <w:bottom w:val="double" w:sz="10" w:space="0" w:color="000000"/>
            </w:tcBorders>
            <w:shd w:fill="FFFFFF" w:val="clear"/>
            <w:tcMar>
              <w:bottom w:w="28" w:type="dxa"/>
            </w:tcMar>
            <w:vAlign w:val="center"/>
          </w:tcPr>
          <w:p>
            <w:pPr>
              <w:pStyle w:val="TableContents"/>
              <w:bidi w:val="0"/>
              <w:spacing w:before="0" w:after="283"/>
              <w:jc w:val="right"/>
              <w:rPr/>
            </w:pPr>
            <w:r>
              <w:rPr/>
              <w:t>13,315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63" w:type="dxa"/>
            <w:tcBorders>
              <w:bottom w:val="double" w:sz="10" w:space="0" w:color="000000"/>
            </w:tcBorders>
            <w:shd w:fill="FFFFFF" w:val="clear"/>
            <w:tcMar>
              <w:bottom w:w="28" w:type="dxa"/>
            </w:tcMar>
            <w:vAlign w:val="center"/>
          </w:tcPr>
          <w:p>
            <w:pPr>
              <w:pStyle w:val="TableContents"/>
              <w:bidi w:val="0"/>
              <w:spacing w:before="0" w:after="283"/>
              <w:jc w:val="left"/>
              <w:rPr/>
            </w:pPr>
            <w:r>
              <w:rPr/>
              <w:t>$</w:t>
            </w:r>
          </w:p>
        </w:tc>
        <w:tc>
          <w:tcPr>
            <w:tcW w:w="491" w:type="dxa"/>
            <w:tcBorders>
              <w:bottom w:val="double" w:sz="10" w:space="0" w:color="000000"/>
            </w:tcBorders>
            <w:shd w:fill="FFFFFF" w:val="clear"/>
            <w:tcMar>
              <w:bottom w:w="28" w:type="dxa"/>
            </w:tcM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10" w:space="0" w:color="000000"/>
            </w:tcBorders>
            <w:shd w:fill="FFFFFF" w:val="clear"/>
            <w:tcMar>
              <w:bottom w:w="28" w:type="dxa"/>
            </w:tcMar>
            <w:vAlign w:val="center"/>
          </w:tcPr>
          <w:p>
            <w:pPr>
              <w:pStyle w:val="TableContents"/>
              <w:bidi w:val="0"/>
              <w:spacing w:before="0" w:after="283"/>
              <w:jc w:val="left"/>
              <w:rPr/>
            </w:pPr>
            <w:r>
              <w:rPr/>
              <w:t>$</w:t>
            </w:r>
          </w:p>
        </w:tc>
        <w:tc>
          <w:tcPr>
            <w:tcW w:w="800" w:type="dxa"/>
            <w:tcBorders>
              <w:bottom w:val="double" w:sz="10" w:space="0" w:color="000000"/>
            </w:tcBorders>
            <w:shd w:fill="FFFFFF" w:val="clear"/>
            <w:tcMar>
              <w:bottom w:w="28" w:type="dxa"/>
            </w:tcMar>
            <w:vAlign w:val="center"/>
          </w:tcPr>
          <w:p>
            <w:pPr>
              <w:pStyle w:val="TableContents"/>
              <w:bidi w:val="0"/>
              <w:spacing w:before="0" w:after="283"/>
              <w:jc w:val="right"/>
              <w:rPr/>
            </w:pPr>
            <w:r>
              <w:rPr/>
              <w:t>118,774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10" w:space="0" w:color="000000"/>
            </w:tcBorders>
            <w:shd w:fill="FFFFFF" w:val="clear"/>
            <w:tcMar>
              <w:bottom w:w="28" w:type="dxa"/>
            </w:tcMar>
            <w:vAlign w:val="center"/>
          </w:tcPr>
          <w:p>
            <w:pPr>
              <w:pStyle w:val="TableContents"/>
              <w:bidi w:val="0"/>
              <w:spacing w:before="0" w:after="283"/>
              <w:jc w:val="left"/>
              <w:rPr/>
            </w:pPr>
            <w:r>
              <w:rPr/>
              <w:t>$</w:t>
            </w:r>
          </w:p>
        </w:tc>
        <w:tc>
          <w:tcPr>
            <w:tcW w:w="800" w:type="dxa"/>
            <w:tcBorders>
              <w:bottom w:val="double" w:sz="10" w:space="0" w:color="000000"/>
            </w:tcBorders>
            <w:shd w:fill="FFFFFF" w:val="clear"/>
            <w:tcMar>
              <w:bottom w:w="28" w:type="dxa"/>
            </w:tcMar>
            <w:vAlign w:val="center"/>
          </w:tcPr>
          <w:p>
            <w:pPr>
              <w:pStyle w:val="TableContents"/>
              <w:bidi w:val="0"/>
              <w:spacing w:before="0" w:after="283"/>
              <w:jc w:val="right"/>
              <w:rPr/>
            </w:pPr>
            <w:r>
              <w:rPr/>
              <w:t>132,089</w:t>
            </w:r>
          </w:p>
        </w:tc>
        <w:tc>
          <w:tcPr>
            <w:tcW w:w="75"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tbl>
      <w:tblPr>
        <w:tblW w:w="8463" w:type="dxa"/>
        <w:jc w:val="left"/>
        <w:tblInd w:w="0" w:type="dxa"/>
        <w:tblLayout w:type="fixed"/>
        <w:tblCellMar>
          <w:top w:w="0" w:type="dxa"/>
          <w:left w:w="0" w:type="dxa"/>
          <w:bottom w:w="0" w:type="dxa"/>
          <w:right w:w="0" w:type="dxa"/>
        </w:tblCellMar>
      </w:tblPr>
      <w:tblGrid>
        <w:gridCol w:w="5030"/>
        <w:gridCol w:w="60"/>
        <w:gridCol w:w="133"/>
        <w:gridCol w:w="516"/>
        <w:gridCol w:w="60"/>
        <w:gridCol w:w="60"/>
        <w:gridCol w:w="210"/>
        <w:gridCol w:w="439"/>
        <w:gridCol w:w="60"/>
        <w:gridCol w:w="60"/>
        <w:gridCol w:w="125"/>
        <w:gridCol w:w="695"/>
        <w:gridCol w:w="60"/>
        <w:gridCol w:w="60"/>
        <w:gridCol w:w="125"/>
        <w:gridCol w:w="695"/>
        <w:gridCol w:w="75"/>
      </w:tblGrid>
      <w:tr>
        <w:trPr/>
        <w:tc>
          <w:tcPr>
            <w:tcW w:w="503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298" w:type="dxa"/>
            <w:gridSpan w:val="14"/>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As of December 29, 2024</w:t>
            </w:r>
          </w:p>
        </w:tc>
        <w:tc>
          <w:tcPr>
            <w:tcW w:w="75" w:type="dxa"/>
            <w:tcBorders/>
            <w:vAlign w:val="center"/>
          </w:tcPr>
          <w:p>
            <w:pPr>
              <w:pStyle w:val="TableContents"/>
              <w:bidi w:val="0"/>
              <w:spacing w:before="0" w:after="283"/>
              <w:jc w:val="left"/>
              <w:rPr/>
            </w:pPr>
            <w:r>
              <w:rPr/>
              <w:t> </w:t>
            </w:r>
          </w:p>
        </w:tc>
      </w:tr>
      <w:tr>
        <w:trPr/>
        <w:tc>
          <w:tcPr>
            <w:tcW w:w="5030"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p>
        </w:tc>
        <w:tc>
          <w:tcPr>
            <w:tcW w:w="649"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Level 1</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49"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Level 2</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20"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Level 3</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20"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Total</w:t>
            </w:r>
          </w:p>
        </w:tc>
        <w:tc>
          <w:tcPr>
            <w:tcW w:w="75" w:type="dxa"/>
            <w:tcBorders/>
            <w:vAlign w:val="center"/>
          </w:tcPr>
          <w:p>
            <w:pPr>
              <w:pStyle w:val="TableContents"/>
              <w:bidi w:val="0"/>
              <w:spacing w:before="0" w:after="283"/>
              <w:jc w:val="left"/>
              <w:rPr/>
            </w:pPr>
            <w:r>
              <w:rPr/>
              <w:t> </w:t>
            </w:r>
          </w:p>
        </w:tc>
      </w:tr>
      <w:tr>
        <w:trPr/>
        <w:tc>
          <w:tcPr>
            <w:tcW w:w="5030" w:type="dxa"/>
            <w:tcBorders/>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Financial Assets</w:t>
            </w:r>
          </w:p>
        </w:tc>
        <w:tc>
          <w:tcPr>
            <w:tcW w:w="60" w:type="dxa"/>
            <w:tcBorders/>
            <w:vAlign w:val="center"/>
          </w:tcPr>
          <w:p>
            <w:pPr>
              <w:pStyle w:val="TableContents"/>
              <w:bidi w:val="0"/>
              <w:spacing w:before="0" w:after="283"/>
              <w:jc w:val="left"/>
              <w:rPr/>
            </w:pPr>
            <w:r>
              <w:rPr/>
              <w:t> </w:t>
            </w:r>
          </w:p>
        </w:tc>
        <w:tc>
          <w:tcPr>
            <w:tcW w:w="649" w:type="dxa"/>
            <w:gridSpan w:val="2"/>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49" w:type="dxa"/>
            <w:gridSpan w:val="2"/>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20" w:type="dxa"/>
            <w:gridSpan w:val="2"/>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20" w:type="dxa"/>
            <w:gridSpan w:val="2"/>
            <w:tcBorders/>
            <w:vAlign w:val="center"/>
          </w:tcPr>
          <w:p>
            <w:pPr>
              <w:pStyle w:val="TableContents"/>
              <w:bidi w:val="0"/>
              <w:spacing w:before="0" w:after="283"/>
              <w:jc w:val="right"/>
              <w:rPr/>
            </w:pPr>
            <w:r>
              <w:rPr/>
              <w:t> </w:t>
            </w:r>
          </w:p>
        </w:tc>
        <w:tc>
          <w:tcPr>
            <w:tcW w:w="75" w:type="dxa"/>
            <w:tcBorders/>
            <w:vAlign w:val="center"/>
          </w:tcPr>
          <w:p>
            <w:pPr>
              <w:pStyle w:val="TableContents"/>
              <w:bidi w:val="0"/>
              <w:spacing w:before="0" w:after="283"/>
              <w:jc w:val="left"/>
              <w:rPr/>
            </w:pPr>
            <w:r>
              <w:rPr/>
              <w:t> </w:t>
            </w:r>
          </w:p>
        </w:tc>
      </w:tr>
      <w:tr>
        <w:trPr/>
        <w:tc>
          <w:tcPr>
            <w:tcW w:w="5030" w:type="dxa"/>
            <w:tcBorders/>
            <w:shd w:fill="CCEEFF" w:val="cle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Restricted cash</w:t>
            </w:r>
          </w:p>
        </w:tc>
        <w:tc>
          <w:tcPr>
            <w:tcW w:w="60" w:type="dxa"/>
            <w:tcBorders/>
            <w:shd w:fill="CCEEFF" w:val="clear"/>
            <w:vAlign w:val="center"/>
          </w:tcPr>
          <w:p>
            <w:pPr>
              <w:pStyle w:val="TableContents"/>
              <w:bidi w:val="0"/>
              <w:spacing w:before="0" w:after="283"/>
              <w:jc w:val="left"/>
              <w:rPr/>
            </w:pPr>
            <w:r>
              <w:rPr/>
              <w:t> </w:t>
            </w:r>
          </w:p>
        </w:tc>
        <w:tc>
          <w:tcPr>
            <w:tcW w:w="133" w:type="dxa"/>
            <w:tcBorders>
              <w:bottom w:val="single" w:sz="12"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516"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3,841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0" w:type="dxa"/>
            <w:tcBorders>
              <w:bottom w:val="single" w:sz="12"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439"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12"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95"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12"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95"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3,841</w:t>
            </w:r>
          </w:p>
        </w:tc>
        <w:tc>
          <w:tcPr>
            <w:tcW w:w="75" w:type="dxa"/>
            <w:tcBorders/>
            <w:shd w:fill="CCEEFF" w:val="clear"/>
            <w:vAlign w:val="center"/>
          </w:tcPr>
          <w:p>
            <w:pPr>
              <w:pStyle w:val="TableContents"/>
              <w:bidi w:val="0"/>
              <w:spacing w:before="0" w:after="283"/>
              <w:jc w:val="left"/>
              <w:rPr/>
            </w:pPr>
            <w:r>
              <w:rPr/>
              <w:t> </w:t>
            </w:r>
          </w:p>
        </w:tc>
      </w:tr>
      <w:tr>
        <w:trPr/>
        <w:tc>
          <w:tcPr>
            <w:tcW w:w="5030" w:type="dxa"/>
            <w:tcBorders/>
            <w:shd w:fill="FFFFFF" w:val="cle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Total</w:t>
            </w:r>
          </w:p>
        </w:tc>
        <w:tc>
          <w:tcPr>
            <w:tcW w:w="60" w:type="dxa"/>
            <w:tcBorders/>
            <w:shd w:fill="FFFFFF" w:val="clear"/>
            <w:vAlign w:val="center"/>
          </w:tcPr>
          <w:p>
            <w:pPr>
              <w:pStyle w:val="TableContents"/>
              <w:bidi w:val="0"/>
              <w:spacing w:before="0" w:after="283"/>
              <w:jc w:val="left"/>
              <w:rPr/>
            </w:pPr>
            <w:r>
              <w:rPr/>
              <w:t> </w:t>
            </w:r>
          </w:p>
        </w:tc>
        <w:tc>
          <w:tcPr>
            <w:tcW w:w="133" w:type="dxa"/>
            <w:tcBorders>
              <w:bottom w:val="double" w:sz="10"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516" w:type="dxa"/>
            <w:tcBorders>
              <w:bottom w:val="double" w:sz="10"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3,841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0" w:type="dxa"/>
            <w:tcBorders>
              <w:bottom w:val="double" w:sz="10"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439" w:type="dxa"/>
            <w:tcBorders>
              <w:bottom w:val="double" w:sz="10" w:space="0" w:color="000000"/>
            </w:tcBorders>
            <w:shd w:fill="FFFFFF" w:val="clear"/>
            <w:tcMar>
              <w:bottom w:w="28" w:type="dxa"/>
            </w:tcM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double" w:sz="10"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95" w:type="dxa"/>
            <w:tcBorders>
              <w:bottom w:val="double" w:sz="10" w:space="0" w:color="000000"/>
            </w:tcBorders>
            <w:shd w:fill="FFFFFF" w:val="clear"/>
            <w:tcMar>
              <w:bottom w:w="28" w:type="dxa"/>
            </w:tcM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double" w:sz="10"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95" w:type="dxa"/>
            <w:tcBorders>
              <w:bottom w:val="double" w:sz="10"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3,841</w:t>
            </w:r>
          </w:p>
        </w:tc>
        <w:tc>
          <w:tcPr>
            <w:tcW w:w="75" w:type="dxa"/>
            <w:tcBorders/>
            <w:shd w:fill="FFFFFF" w:val="clear"/>
            <w:vAlign w:val="center"/>
          </w:tcPr>
          <w:p>
            <w:pPr>
              <w:pStyle w:val="TableContents"/>
              <w:bidi w:val="0"/>
              <w:spacing w:before="0" w:after="283"/>
              <w:jc w:val="left"/>
              <w:rPr/>
            </w:pPr>
            <w:r>
              <w:rPr/>
              <w:t> </w:t>
            </w:r>
          </w:p>
        </w:tc>
      </w:tr>
      <w:tr>
        <w:trPr/>
        <w:tc>
          <w:tcPr>
            <w:tcW w:w="5030" w:type="dxa"/>
            <w:tcBorders/>
            <w:shd w:fill="CCEEFF" w:val="clear"/>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Financial Liabilities</w:t>
            </w:r>
          </w:p>
        </w:tc>
        <w:tc>
          <w:tcPr>
            <w:tcW w:w="60" w:type="dxa"/>
            <w:tcBorders/>
            <w:shd w:fill="CCEEFF" w:val="clear"/>
            <w:vAlign w:val="center"/>
          </w:tcPr>
          <w:p>
            <w:pPr>
              <w:pStyle w:val="TableContents"/>
              <w:bidi w:val="0"/>
              <w:spacing w:before="0" w:after="283"/>
              <w:jc w:val="left"/>
              <w:rPr/>
            </w:pPr>
            <w:r>
              <w:rPr/>
              <w:t> </w:t>
            </w:r>
          </w:p>
        </w:tc>
        <w:tc>
          <w:tcPr>
            <w:tcW w:w="133" w:type="dxa"/>
            <w:tcBorders/>
            <w:shd w:fill="CCEEFF" w:val="clear"/>
            <w:vAlign w:val="center"/>
          </w:tcPr>
          <w:p>
            <w:pPr>
              <w:pStyle w:val="TableContents"/>
              <w:bidi w:val="0"/>
              <w:spacing w:before="0" w:after="283"/>
              <w:jc w:val="left"/>
              <w:rPr/>
            </w:pPr>
            <w:r>
              <w:rPr/>
              <w:t> </w:t>
            </w:r>
          </w:p>
        </w:tc>
        <w:tc>
          <w:tcPr>
            <w:tcW w:w="516"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0" w:type="dxa"/>
            <w:tcBorders/>
            <w:shd w:fill="CCEEFF" w:val="clear"/>
            <w:vAlign w:val="center"/>
          </w:tcPr>
          <w:p>
            <w:pPr>
              <w:pStyle w:val="TableContents"/>
              <w:bidi w:val="0"/>
              <w:spacing w:before="0" w:after="283"/>
              <w:jc w:val="left"/>
              <w:rPr/>
            </w:pPr>
            <w:r>
              <w:rPr/>
              <w:t> </w:t>
            </w:r>
          </w:p>
        </w:tc>
        <w:tc>
          <w:tcPr>
            <w:tcW w:w="439"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5030" w:type="dxa"/>
            <w:tcBorders/>
            <w:shd w:fill="FFFFFF" w:val="cle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 xml:space="preserve">July 2024 Notes derivative liability </w:t>
            </w:r>
            <w:r>
              <w:rPr>
                <w:rFonts w:ascii="Times New Roman;Times;Serif" w:hAnsi="Times New Roman;Times;Serif"/>
                <w:position w:val="7"/>
                <w:sz w:val="16"/>
                <w:sz w:val="20"/>
              </w:rPr>
              <w:t>(1)</w:t>
            </w:r>
          </w:p>
        </w:tc>
        <w:tc>
          <w:tcPr>
            <w:tcW w:w="60" w:type="dxa"/>
            <w:tcBorders/>
            <w:shd w:fill="FFFFFF" w:val="clear"/>
            <w:vAlign w:val="center"/>
          </w:tcPr>
          <w:p>
            <w:pPr>
              <w:pStyle w:val="TableContents"/>
              <w:bidi w:val="0"/>
              <w:spacing w:before="0" w:after="283"/>
              <w:jc w:val="left"/>
              <w:rPr/>
            </w:pPr>
            <w:r>
              <w:rPr/>
              <w:t> </w:t>
            </w:r>
          </w:p>
        </w:tc>
        <w:tc>
          <w:tcPr>
            <w:tcW w:w="133"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516"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439"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9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13,563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9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13,563</w:t>
            </w:r>
          </w:p>
        </w:tc>
        <w:tc>
          <w:tcPr>
            <w:tcW w:w="75" w:type="dxa"/>
            <w:tcBorders/>
            <w:shd w:fill="FFFFFF" w:val="clear"/>
            <w:vAlign w:val="center"/>
          </w:tcPr>
          <w:p>
            <w:pPr>
              <w:pStyle w:val="TableContents"/>
              <w:bidi w:val="0"/>
              <w:spacing w:before="0" w:after="283"/>
              <w:jc w:val="left"/>
              <w:rPr/>
            </w:pPr>
            <w:r>
              <w:rPr/>
              <w:t> </w:t>
            </w:r>
          </w:p>
        </w:tc>
      </w:tr>
      <w:tr>
        <w:trPr/>
        <w:tc>
          <w:tcPr>
            <w:tcW w:w="5030" w:type="dxa"/>
            <w:tcBorders/>
            <w:shd w:fill="CCEEFF" w:val="cle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 xml:space="preserve">July 2024 Notes derivative liability – related parties </w:t>
            </w:r>
            <w:r>
              <w:rPr>
                <w:rFonts w:ascii="Times New Roman;Times;Serif" w:hAnsi="Times New Roman;Times;Serif"/>
                <w:position w:val="7"/>
                <w:sz w:val="16"/>
                <w:sz w:val="20"/>
              </w:rPr>
              <w:t>(1)</w:t>
            </w:r>
          </w:p>
        </w:tc>
        <w:tc>
          <w:tcPr>
            <w:tcW w:w="60" w:type="dxa"/>
            <w:tcBorders/>
            <w:shd w:fill="CCEEFF" w:val="clear"/>
            <w:vAlign w:val="center"/>
          </w:tcPr>
          <w:p>
            <w:pPr>
              <w:pStyle w:val="TableContents"/>
              <w:bidi w:val="0"/>
              <w:spacing w:before="0" w:after="283"/>
              <w:jc w:val="left"/>
              <w:rPr/>
            </w:pPr>
            <w:r>
              <w:rPr/>
              <w:t> </w:t>
            </w:r>
          </w:p>
        </w:tc>
        <w:tc>
          <w:tcPr>
            <w:tcW w:w="133" w:type="dxa"/>
            <w:tcBorders/>
            <w:shd w:fill="CCEEFF" w:val="clear"/>
            <w:vAlign w:val="center"/>
          </w:tcPr>
          <w:p>
            <w:pPr>
              <w:pStyle w:val="TableContents"/>
              <w:bidi w:val="0"/>
              <w:spacing w:before="0" w:after="283"/>
              <w:jc w:val="left"/>
              <w:rPr/>
            </w:pPr>
            <w:r>
              <w:rPr/>
              <w:t> </w:t>
            </w:r>
          </w:p>
        </w:tc>
        <w:tc>
          <w:tcPr>
            <w:tcW w:w="516"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0" w:type="dxa"/>
            <w:tcBorders/>
            <w:shd w:fill="CCEEFF" w:val="clear"/>
            <w:vAlign w:val="center"/>
          </w:tcPr>
          <w:p>
            <w:pPr>
              <w:pStyle w:val="TableContents"/>
              <w:bidi w:val="0"/>
              <w:spacing w:before="0" w:after="283"/>
              <w:jc w:val="left"/>
              <w:rPr/>
            </w:pPr>
            <w:r>
              <w:rPr/>
              <w:t> </w:t>
            </w:r>
          </w:p>
        </w:tc>
        <w:tc>
          <w:tcPr>
            <w:tcW w:w="439"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21,127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21,127</w:t>
            </w:r>
          </w:p>
        </w:tc>
        <w:tc>
          <w:tcPr>
            <w:tcW w:w="75" w:type="dxa"/>
            <w:tcBorders/>
            <w:shd w:fill="CCEEFF" w:val="clear"/>
            <w:vAlign w:val="center"/>
          </w:tcPr>
          <w:p>
            <w:pPr>
              <w:pStyle w:val="TableContents"/>
              <w:bidi w:val="0"/>
              <w:spacing w:before="0" w:after="283"/>
              <w:jc w:val="left"/>
              <w:rPr/>
            </w:pPr>
            <w:r>
              <w:rPr/>
              <w:t> </w:t>
            </w:r>
          </w:p>
        </w:tc>
      </w:tr>
      <w:tr>
        <w:trPr/>
        <w:tc>
          <w:tcPr>
            <w:tcW w:w="5030" w:type="dxa"/>
            <w:tcBorders/>
            <w:shd w:fill="FFFFFF" w:val="cle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 xml:space="preserve">September 2024 Notes derivative liability </w:t>
            </w:r>
            <w:r>
              <w:rPr>
                <w:rFonts w:ascii="Times New Roman;Times;Serif" w:hAnsi="Times New Roman;Times;Serif"/>
                <w:position w:val="7"/>
                <w:sz w:val="16"/>
                <w:sz w:val="20"/>
              </w:rPr>
              <w:t>(1)</w:t>
            </w:r>
          </w:p>
        </w:tc>
        <w:tc>
          <w:tcPr>
            <w:tcW w:w="60" w:type="dxa"/>
            <w:tcBorders/>
            <w:shd w:fill="FFFFFF" w:val="clear"/>
            <w:vAlign w:val="center"/>
          </w:tcPr>
          <w:p>
            <w:pPr>
              <w:pStyle w:val="TableContents"/>
              <w:bidi w:val="0"/>
              <w:spacing w:before="0" w:after="283"/>
              <w:jc w:val="left"/>
              <w:rPr/>
            </w:pPr>
            <w:r>
              <w:rPr/>
              <w:t> </w:t>
            </w:r>
          </w:p>
        </w:tc>
        <w:tc>
          <w:tcPr>
            <w:tcW w:w="133" w:type="dxa"/>
            <w:tcBorders/>
            <w:shd w:fill="FFFFFF" w:val="clear"/>
            <w:vAlign w:val="center"/>
          </w:tcPr>
          <w:p>
            <w:pPr>
              <w:pStyle w:val="TableContents"/>
              <w:bidi w:val="0"/>
              <w:spacing w:before="0" w:after="283"/>
              <w:jc w:val="left"/>
              <w:rPr/>
            </w:pPr>
            <w:r>
              <w:rPr/>
              <w:t> </w:t>
            </w:r>
          </w:p>
        </w:tc>
        <w:tc>
          <w:tcPr>
            <w:tcW w:w="516"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0" w:type="dxa"/>
            <w:tcBorders/>
            <w:shd w:fill="FFFFFF" w:val="clear"/>
            <w:vAlign w:val="center"/>
          </w:tcPr>
          <w:p>
            <w:pPr>
              <w:pStyle w:val="TableContents"/>
              <w:bidi w:val="0"/>
              <w:spacing w:before="0" w:after="283"/>
              <w:jc w:val="left"/>
              <w:rPr/>
            </w:pPr>
            <w:r>
              <w:rPr/>
              <w:t> </w:t>
            </w:r>
          </w:p>
        </w:tc>
        <w:tc>
          <w:tcPr>
            <w:tcW w:w="439"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55,474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55,474</w:t>
            </w:r>
          </w:p>
        </w:tc>
        <w:tc>
          <w:tcPr>
            <w:tcW w:w="75" w:type="dxa"/>
            <w:tcBorders/>
            <w:shd w:fill="FFFFFF" w:val="clear"/>
            <w:vAlign w:val="center"/>
          </w:tcPr>
          <w:p>
            <w:pPr>
              <w:pStyle w:val="TableContents"/>
              <w:bidi w:val="0"/>
              <w:spacing w:before="0" w:after="283"/>
              <w:jc w:val="left"/>
              <w:rPr/>
            </w:pPr>
            <w:r>
              <w:rPr/>
              <w:t> </w:t>
            </w:r>
          </w:p>
        </w:tc>
      </w:tr>
      <w:tr>
        <w:trPr/>
        <w:tc>
          <w:tcPr>
            <w:tcW w:w="5030" w:type="dxa"/>
            <w:tcBorders/>
            <w:shd w:fill="CCEEFF" w:val="cle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 xml:space="preserve">September 2024 Notes derivative liability – related parties </w:t>
            </w:r>
            <w:r>
              <w:rPr>
                <w:rFonts w:ascii="Times New Roman;Times;Serif" w:hAnsi="Times New Roman;Times;Serif"/>
                <w:position w:val="7"/>
                <w:sz w:val="16"/>
                <w:sz w:val="20"/>
              </w:rPr>
              <w:t>(1)</w:t>
            </w:r>
          </w:p>
        </w:tc>
        <w:tc>
          <w:tcPr>
            <w:tcW w:w="60" w:type="dxa"/>
            <w:tcBorders/>
            <w:shd w:fill="CCEEFF" w:val="clear"/>
            <w:vAlign w:val="center"/>
          </w:tcPr>
          <w:p>
            <w:pPr>
              <w:pStyle w:val="TableContents"/>
              <w:bidi w:val="0"/>
              <w:spacing w:before="0" w:after="283"/>
              <w:jc w:val="left"/>
              <w:rPr/>
            </w:pPr>
            <w:r>
              <w:rPr/>
              <w:t> </w:t>
            </w:r>
          </w:p>
        </w:tc>
        <w:tc>
          <w:tcPr>
            <w:tcW w:w="133" w:type="dxa"/>
            <w:tcBorders/>
            <w:shd w:fill="CCEEFF" w:val="clear"/>
            <w:vAlign w:val="center"/>
          </w:tcPr>
          <w:p>
            <w:pPr>
              <w:pStyle w:val="TableContents"/>
              <w:bidi w:val="0"/>
              <w:spacing w:before="0" w:after="283"/>
              <w:jc w:val="left"/>
              <w:rPr/>
            </w:pPr>
            <w:r>
              <w:rPr/>
              <w:t> </w:t>
            </w:r>
          </w:p>
        </w:tc>
        <w:tc>
          <w:tcPr>
            <w:tcW w:w="516"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0" w:type="dxa"/>
            <w:tcBorders/>
            <w:shd w:fill="CCEEFF" w:val="clear"/>
            <w:vAlign w:val="center"/>
          </w:tcPr>
          <w:p>
            <w:pPr>
              <w:pStyle w:val="TableContents"/>
              <w:bidi w:val="0"/>
              <w:spacing w:before="0" w:after="283"/>
              <w:jc w:val="left"/>
              <w:rPr/>
            </w:pPr>
            <w:r>
              <w:rPr/>
              <w:t> </w:t>
            </w:r>
          </w:p>
        </w:tc>
        <w:tc>
          <w:tcPr>
            <w:tcW w:w="439"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6,958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6,958</w:t>
            </w:r>
          </w:p>
        </w:tc>
        <w:tc>
          <w:tcPr>
            <w:tcW w:w="75" w:type="dxa"/>
            <w:tcBorders/>
            <w:shd w:fill="CCEEFF" w:val="clear"/>
            <w:vAlign w:val="center"/>
          </w:tcPr>
          <w:p>
            <w:pPr>
              <w:pStyle w:val="TableContents"/>
              <w:bidi w:val="0"/>
              <w:spacing w:before="0" w:after="283"/>
              <w:jc w:val="left"/>
              <w:rPr/>
            </w:pPr>
            <w:r>
              <w:rPr/>
              <w:t> </w:t>
            </w:r>
          </w:p>
        </w:tc>
      </w:tr>
      <w:tr>
        <w:trPr/>
        <w:tc>
          <w:tcPr>
            <w:tcW w:w="5030" w:type="dxa"/>
            <w:tcBorders/>
            <w:shd w:fill="FFFFFF" w:val="cle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 xml:space="preserve">Forward purchase agreement liabilities </w:t>
            </w:r>
            <w:r>
              <w:rPr>
                <w:rFonts w:ascii="Times New Roman;Times;Serif" w:hAnsi="Times New Roman;Times;Serif"/>
                <w:position w:val="7"/>
                <w:sz w:val="16"/>
                <w:sz w:val="20"/>
              </w:rPr>
              <w:t>(2)</w:t>
            </w:r>
          </w:p>
        </w:tc>
        <w:tc>
          <w:tcPr>
            <w:tcW w:w="60" w:type="dxa"/>
            <w:tcBorders/>
            <w:shd w:fill="FFFFFF" w:val="clear"/>
            <w:vAlign w:val="center"/>
          </w:tcPr>
          <w:p>
            <w:pPr>
              <w:pStyle w:val="TableContents"/>
              <w:bidi w:val="0"/>
              <w:spacing w:before="0" w:after="283"/>
              <w:jc w:val="left"/>
              <w:rPr/>
            </w:pPr>
            <w:r>
              <w:rPr/>
              <w:t> </w:t>
            </w:r>
          </w:p>
        </w:tc>
        <w:tc>
          <w:tcPr>
            <w:tcW w:w="133" w:type="dxa"/>
            <w:tcBorders/>
            <w:shd w:fill="FFFFFF" w:val="clear"/>
            <w:vAlign w:val="center"/>
          </w:tcPr>
          <w:p>
            <w:pPr>
              <w:pStyle w:val="TableContents"/>
              <w:bidi w:val="0"/>
              <w:spacing w:before="0" w:after="283"/>
              <w:jc w:val="left"/>
              <w:rPr/>
            </w:pPr>
            <w:r>
              <w:rPr/>
              <w:t> </w:t>
            </w:r>
          </w:p>
        </w:tc>
        <w:tc>
          <w:tcPr>
            <w:tcW w:w="516"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0" w:type="dxa"/>
            <w:tcBorders/>
            <w:shd w:fill="FFFFFF" w:val="clear"/>
            <w:vAlign w:val="center"/>
          </w:tcPr>
          <w:p>
            <w:pPr>
              <w:pStyle w:val="TableContents"/>
              <w:bidi w:val="0"/>
              <w:spacing w:before="0" w:after="283"/>
              <w:jc w:val="left"/>
              <w:rPr/>
            </w:pPr>
            <w:r>
              <w:rPr/>
              <w:t> </w:t>
            </w:r>
          </w:p>
        </w:tc>
        <w:tc>
          <w:tcPr>
            <w:tcW w:w="439"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3,494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3,494</w:t>
            </w:r>
          </w:p>
        </w:tc>
        <w:tc>
          <w:tcPr>
            <w:tcW w:w="75" w:type="dxa"/>
            <w:tcBorders/>
            <w:shd w:fill="FFFFFF" w:val="clear"/>
            <w:vAlign w:val="center"/>
          </w:tcPr>
          <w:p>
            <w:pPr>
              <w:pStyle w:val="TableContents"/>
              <w:bidi w:val="0"/>
              <w:spacing w:before="0" w:after="283"/>
              <w:jc w:val="left"/>
              <w:rPr/>
            </w:pPr>
            <w:r>
              <w:rPr/>
              <w:t> </w:t>
            </w:r>
          </w:p>
        </w:tc>
      </w:tr>
      <w:tr>
        <w:trPr/>
        <w:tc>
          <w:tcPr>
            <w:tcW w:w="5030" w:type="dxa"/>
            <w:tcBorders/>
            <w:shd w:fill="CCEEFF" w:val="cle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SAFE Agreement with related party</w:t>
            </w:r>
          </w:p>
        </w:tc>
        <w:tc>
          <w:tcPr>
            <w:tcW w:w="60" w:type="dxa"/>
            <w:tcBorders/>
            <w:shd w:fill="CCEEFF" w:val="clear"/>
            <w:vAlign w:val="center"/>
          </w:tcPr>
          <w:p>
            <w:pPr>
              <w:pStyle w:val="TableContents"/>
              <w:bidi w:val="0"/>
              <w:spacing w:before="0" w:after="283"/>
              <w:jc w:val="left"/>
              <w:rPr/>
            </w:pPr>
            <w:r>
              <w:rPr/>
              <w:t> </w:t>
            </w:r>
          </w:p>
        </w:tc>
        <w:tc>
          <w:tcPr>
            <w:tcW w:w="133" w:type="dxa"/>
            <w:tcBorders/>
            <w:shd w:fill="CCEEFF" w:val="clear"/>
            <w:vAlign w:val="center"/>
          </w:tcPr>
          <w:p>
            <w:pPr>
              <w:pStyle w:val="TableContents"/>
              <w:bidi w:val="0"/>
              <w:spacing w:before="0" w:after="283"/>
              <w:jc w:val="left"/>
              <w:rPr/>
            </w:pPr>
            <w:r>
              <w:rPr/>
              <w:t> </w:t>
            </w:r>
          </w:p>
        </w:tc>
        <w:tc>
          <w:tcPr>
            <w:tcW w:w="516"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0" w:type="dxa"/>
            <w:tcBorders/>
            <w:shd w:fill="CCEEFF" w:val="clear"/>
            <w:vAlign w:val="center"/>
          </w:tcPr>
          <w:p>
            <w:pPr>
              <w:pStyle w:val="TableContents"/>
              <w:bidi w:val="0"/>
              <w:spacing w:before="0" w:after="283"/>
              <w:jc w:val="left"/>
              <w:rPr/>
            </w:pPr>
            <w:r>
              <w:rPr/>
              <w:t> </w:t>
            </w:r>
          </w:p>
        </w:tc>
        <w:tc>
          <w:tcPr>
            <w:tcW w:w="439"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384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384</w:t>
            </w:r>
          </w:p>
        </w:tc>
        <w:tc>
          <w:tcPr>
            <w:tcW w:w="75" w:type="dxa"/>
            <w:tcBorders/>
            <w:shd w:fill="CCEEFF" w:val="clear"/>
            <w:vAlign w:val="center"/>
          </w:tcPr>
          <w:p>
            <w:pPr>
              <w:pStyle w:val="TableContents"/>
              <w:bidi w:val="0"/>
              <w:spacing w:before="0" w:after="283"/>
              <w:jc w:val="left"/>
              <w:rPr/>
            </w:pPr>
            <w:r>
              <w:rPr/>
              <w:t> </w:t>
            </w:r>
          </w:p>
        </w:tc>
      </w:tr>
      <w:tr>
        <w:trPr/>
        <w:tc>
          <w:tcPr>
            <w:tcW w:w="5030" w:type="dxa"/>
            <w:tcBorders/>
            <w:shd w:fill="FFFFFF" w:val="cle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Private placement warrants</w:t>
            </w:r>
          </w:p>
        </w:tc>
        <w:tc>
          <w:tcPr>
            <w:tcW w:w="60" w:type="dxa"/>
            <w:tcBorders/>
            <w:shd w:fill="FFFFFF" w:val="clear"/>
            <w:vAlign w:val="center"/>
          </w:tcPr>
          <w:p>
            <w:pPr>
              <w:pStyle w:val="TableContents"/>
              <w:bidi w:val="0"/>
              <w:spacing w:before="0" w:after="283"/>
              <w:jc w:val="left"/>
              <w:rPr/>
            </w:pPr>
            <w:r>
              <w:rPr/>
              <w:t> </w:t>
            </w:r>
          </w:p>
        </w:tc>
        <w:tc>
          <w:tcPr>
            <w:tcW w:w="133" w:type="dxa"/>
            <w:tcBorders/>
            <w:shd w:fill="FFFFFF" w:val="clear"/>
            <w:vAlign w:val="center"/>
          </w:tcPr>
          <w:p>
            <w:pPr>
              <w:pStyle w:val="TableContents"/>
              <w:bidi w:val="0"/>
              <w:spacing w:before="0" w:after="283"/>
              <w:jc w:val="left"/>
              <w:rPr/>
            </w:pPr>
            <w:r>
              <w:rPr/>
              <w:t> </w:t>
            </w:r>
          </w:p>
        </w:tc>
        <w:tc>
          <w:tcPr>
            <w:tcW w:w="516"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0" w:type="dxa"/>
            <w:tcBorders/>
            <w:shd w:fill="FFFFFF" w:val="clear"/>
            <w:vAlign w:val="center"/>
          </w:tcPr>
          <w:p>
            <w:pPr>
              <w:pStyle w:val="TableContents"/>
              <w:bidi w:val="0"/>
              <w:spacing w:before="0" w:after="283"/>
              <w:jc w:val="left"/>
              <w:rPr/>
            </w:pPr>
            <w:r>
              <w:rPr/>
              <w:t> </w:t>
            </w:r>
          </w:p>
        </w:tc>
        <w:tc>
          <w:tcPr>
            <w:tcW w:w="439"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627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627</w:t>
            </w:r>
          </w:p>
        </w:tc>
        <w:tc>
          <w:tcPr>
            <w:tcW w:w="75" w:type="dxa"/>
            <w:tcBorders/>
            <w:shd w:fill="FFFFFF" w:val="clear"/>
            <w:vAlign w:val="center"/>
          </w:tcPr>
          <w:p>
            <w:pPr>
              <w:pStyle w:val="TableContents"/>
              <w:bidi w:val="0"/>
              <w:spacing w:before="0" w:after="283"/>
              <w:jc w:val="left"/>
              <w:rPr/>
            </w:pPr>
            <w:r>
              <w:rPr/>
              <w:t> </w:t>
            </w:r>
          </w:p>
        </w:tc>
      </w:tr>
      <w:tr>
        <w:trPr/>
        <w:tc>
          <w:tcPr>
            <w:tcW w:w="5030" w:type="dxa"/>
            <w:tcBorders/>
            <w:shd w:fill="CCEEFF" w:val="cle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Working capital warrants</w:t>
            </w:r>
          </w:p>
        </w:tc>
        <w:tc>
          <w:tcPr>
            <w:tcW w:w="60" w:type="dxa"/>
            <w:tcBorders/>
            <w:shd w:fill="CCEEFF" w:val="clear"/>
            <w:vAlign w:val="center"/>
          </w:tcPr>
          <w:p>
            <w:pPr>
              <w:pStyle w:val="TableContents"/>
              <w:bidi w:val="0"/>
              <w:spacing w:before="0" w:after="283"/>
              <w:jc w:val="left"/>
              <w:rPr/>
            </w:pPr>
            <w:r>
              <w:rPr/>
              <w:t> </w:t>
            </w:r>
          </w:p>
        </w:tc>
        <w:tc>
          <w:tcPr>
            <w:tcW w:w="133" w:type="dxa"/>
            <w:tcBorders/>
            <w:shd w:fill="CCEEFF" w:val="clear"/>
            <w:vAlign w:val="center"/>
          </w:tcPr>
          <w:p>
            <w:pPr>
              <w:pStyle w:val="TableContents"/>
              <w:bidi w:val="0"/>
              <w:spacing w:before="0" w:after="283"/>
              <w:jc w:val="left"/>
              <w:rPr/>
            </w:pPr>
            <w:r>
              <w:rPr/>
              <w:t> </w:t>
            </w:r>
          </w:p>
        </w:tc>
        <w:tc>
          <w:tcPr>
            <w:tcW w:w="516"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0" w:type="dxa"/>
            <w:tcBorders/>
            <w:shd w:fill="CCEEFF" w:val="clear"/>
            <w:vAlign w:val="center"/>
          </w:tcPr>
          <w:p>
            <w:pPr>
              <w:pStyle w:val="TableContents"/>
              <w:bidi w:val="0"/>
              <w:spacing w:before="0" w:after="283"/>
              <w:jc w:val="left"/>
              <w:rPr/>
            </w:pPr>
            <w:r>
              <w:rPr/>
              <w:t> </w:t>
            </w:r>
          </w:p>
        </w:tc>
        <w:tc>
          <w:tcPr>
            <w:tcW w:w="439"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72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72</w:t>
            </w:r>
          </w:p>
        </w:tc>
        <w:tc>
          <w:tcPr>
            <w:tcW w:w="75" w:type="dxa"/>
            <w:tcBorders/>
            <w:shd w:fill="CCEEFF" w:val="clear"/>
            <w:vAlign w:val="center"/>
          </w:tcPr>
          <w:p>
            <w:pPr>
              <w:pStyle w:val="TableContents"/>
              <w:bidi w:val="0"/>
              <w:spacing w:before="0" w:after="283"/>
              <w:jc w:val="left"/>
              <w:rPr/>
            </w:pPr>
            <w:r>
              <w:rPr/>
              <w:t> </w:t>
            </w:r>
          </w:p>
        </w:tc>
      </w:tr>
      <w:tr>
        <w:trPr/>
        <w:tc>
          <w:tcPr>
            <w:tcW w:w="5030" w:type="dxa"/>
            <w:tcBorders/>
            <w:shd w:fill="FFFFFF" w:val="cle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Public warrants</w:t>
            </w:r>
          </w:p>
        </w:tc>
        <w:tc>
          <w:tcPr>
            <w:tcW w:w="60" w:type="dxa"/>
            <w:tcBorders/>
            <w:shd w:fill="FFFFFF" w:val="clear"/>
            <w:vAlign w:val="center"/>
          </w:tcPr>
          <w:p>
            <w:pPr>
              <w:pStyle w:val="TableContents"/>
              <w:bidi w:val="0"/>
              <w:spacing w:before="0" w:after="283"/>
              <w:jc w:val="left"/>
              <w:rPr/>
            </w:pPr>
            <w:r>
              <w:rPr/>
              <w:t> </w:t>
            </w:r>
          </w:p>
        </w:tc>
        <w:tc>
          <w:tcPr>
            <w:tcW w:w="133"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516"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862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439"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695"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695"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862</w:t>
            </w:r>
          </w:p>
        </w:tc>
        <w:tc>
          <w:tcPr>
            <w:tcW w:w="75" w:type="dxa"/>
            <w:tcBorders/>
            <w:shd w:fill="FFFFFF" w:val="clear"/>
            <w:vAlign w:val="center"/>
          </w:tcPr>
          <w:p>
            <w:pPr>
              <w:pStyle w:val="TableContents"/>
              <w:bidi w:val="0"/>
              <w:spacing w:before="0" w:after="283"/>
              <w:jc w:val="left"/>
              <w:rPr/>
            </w:pPr>
            <w:r>
              <w:rPr/>
              <w:t> </w:t>
            </w:r>
          </w:p>
        </w:tc>
      </w:tr>
      <w:tr>
        <w:trPr/>
        <w:tc>
          <w:tcPr>
            <w:tcW w:w="5030" w:type="dxa"/>
            <w:tcBorders/>
            <w:shd w:fill="CCEEFF" w:val="cle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Total</w:t>
            </w:r>
          </w:p>
        </w:tc>
        <w:tc>
          <w:tcPr>
            <w:tcW w:w="60" w:type="dxa"/>
            <w:tcBorders/>
            <w:shd w:fill="CCEEFF" w:val="clear"/>
            <w:vAlign w:val="center"/>
          </w:tcPr>
          <w:p>
            <w:pPr>
              <w:pStyle w:val="TableContents"/>
              <w:bidi w:val="0"/>
              <w:spacing w:before="0" w:after="283"/>
              <w:jc w:val="left"/>
              <w:rPr/>
            </w:pPr>
            <w:r>
              <w:rPr/>
              <w:t> </w:t>
            </w:r>
          </w:p>
        </w:tc>
        <w:tc>
          <w:tcPr>
            <w:tcW w:w="133" w:type="dxa"/>
            <w:tcBorders>
              <w:bottom w:val="double" w:sz="10"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516" w:type="dxa"/>
            <w:tcBorders>
              <w:bottom w:val="double" w:sz="10"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862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0" w:type="dxa"/>
            <w:tcBorders>
              <w:bottom w:val="double" w:sz="10"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439" w:type="dxa"/>
            <w:tcBorders>
              <w:bottom w:val="double" w:sz="10" w:space="0" w:color="000000"/>
            </w:tcBorders>
            <w:shd w:fill="CCEEFF" w:val="clear"/>
            <w:tcMar>
              <w:bottom w:w="28" w:type="dxa"/>
            </w:tcM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double" w:sz="10"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95" w:type="dxa"/>
            <w:tcBorders>
              <w:bottom w:val="double" w:sz="10"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101,699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double" w:sz="10"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95" w:type="dxa"/>
            <w:tcBorders>
              <w:bottom w:val="double" w:sz="10"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102,561</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03"/>
        <w:gridCol w:w="10002"/>
      </w:tblGrid>
      <w:tr>
        <w:trPr/>
        <w:tc>
          <w:tcPr>
            <w:tcW w:w="203" w:type="dxa"/>
            <w:tcBorders/>
            <w:vAlign w:val="center"/>
          </w:tcPr>
          <w:p>
            <w:pPr>
              <w:pStyle w:val="TableContents"/>
              <w:bidi w:val="0"/>
              <w:spacing w:before="0" w:after="283"/>
              <w:jc w:val="both"/>
              <w:rPr>
                <w:rFonts w:ascii="Times New Roman;Times;Serif" w:hAnsi="Times New Roman;Times;Serif"/>
                <w:position w:val="7"/>
                <w:sz w:val="16"/>
                <w:sz w:val="20"/>
              </w:rPr>
            </w:pPr>
            <w:r>
              <w:rPr>
                <w:rFonts w:ascii="Times New Roman;Times;Serif" w:hAnsi="Times New Roman;Times;Serif"/>
                <w:position w:val="7"/>
                <w:sz w:val="16"/>
                <w:sz w:val="20"/>
              </w:rPr>
              <w:t>(1)</w:t>
            </w:r>
          </w:p>
        </w:tc>
        <w:tc>
          <w:tcPr>
            <w:tcW w:w="10002"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 xml:space="preserve">The derivative liabilities are associated with the Company’s outstanding senior unsecured convertible notes with stated interest rates of 7.0% (the “September 2024 Notes” and “September 2025 Notes”) and 12.0% (the “July 2024 Notes”, “July 2025 Note”, and “November 2025 Note”) all of which are defined in </w:t>
            </w:r>
            <w:r>
              <w:rPr>
                <w:rFonts w:ascii="Times New Roman;Times;Serif" w:hAnsi="Times New Roman;Times;Serif"/>
                <w:b/>
                <w:sz w:val="20"/>
              </w:rPr>
              <w:t>Note 10 – Borrowings and Derivative Liabilities</w:t>
            </w:r>
            <w:r>
              <w:rPr>
                <w:rFonts w:ascii="Times New Roman;Times;Serif" w:hAnsi="Times New Roman;Times;Serif"/>
                <w:sz w:val="20"/>
              </w:rPr>
              <w:t>.</w:t>
            </w:r>
          </w:p>
        </w:tc>
      </w:tr>
      <w:tr>
        <w:trPr/>
        <w:tc>
          <w:tcPr>
            <w:tcW w:w="203" w:type="dxa"/>
            <w:tcBorders/>
            <w:vAlign w:val="center"/>
          </w:tcPr>
          <w:p>
            <w:pPr>
              <w:pStyle w:val="TableContents"/>
              <w:bidi w:val="0"/>
              <w:spacing w:before="0" w:after="283"/>
              <w:jc w:val="both"/>
              <w:rPr/>
            </w:pPr>
            <w:r>
              <w:rPr/>
              <w:t> </w:t>
            </w:r>
          </w:p>
        </w:tc>
        <w:tc>
          <w:tcPr>
            <w:tcW w:w="10002" w:type="dxa"/>
            <w:tcBorders/>
            <w:vAlign w:val="center"/>
          </w:tcPr>
          <w:p>
            <w:pPr>
              <w:pStyle w:val="TableContents"/>
              <w:bidi w:val="0"/>
              <w:spacing w:before="0" w:after="283"/>
              <w:jc w:val="both"/>
              <w:rPr/>
            </w:pPr>
            <w:r>
              <w:rPr/>
              <w:t> </w:t>
            </w:r>
          </w:p>
        </w:tc>
      </w:tr>
      <w:tr>
        <w:trPr/>
        <w:tc>
          <w:tcPr>
            <w:tcW w:w="203" w:type="dxa"/>
            <w:tcBorders/>
            <w:vAlign w:val="center"/>
          </w:tcPr>
          <w:p>
            <w:pPr>
              <w:pStyle w:val="TableContents"/>
              <w:bidi w:val="0"/>
              <w:spacing w:before="0" w:after="283"/>
              <w:jc w:val="both"/>
              <w:rPr>
                <w:rFonts w:ascii="Times New Roman;Times;Serif" w:hAnsi="Times New Roman;Times;Serif"/>
                <w:position w:val="7"/>
                <w:sz w:val="16"/>
                <w:sz w:val="20"/>
              </w:rPr>
            </w:pPr>
            <w:r>
              <w:rPr>
                <w:rFonts w:ascii="Times New Roman;Times;Serif" w:hAnsi="Times New Roman;Times;Serif"/>
                <w:position w:val="7"/>
                <w:sz w:val="16"/>
                <w:sz w:val="20"/>
              </w:rPr>
              <w:t>(2)</w:t>
            </w:r>
          </w:p>
        </w:tc>
        <w:tc>
          <w:tcPr>
            <w:tcW w:w="10002"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Includes $1.3 million due to related parties as of and December 29, 2024.</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sz w:val="20"/>
          <w:bdr w:val="single" w:sz="12" w:space="1" w:color="000000"/>
        </w:rPr>
      </w:pPr>
      <w:r>
        <w:rPr>
          <w:sz w:val="20"/>
          <w:bdr w:val="single" w:sz="12" w:space="1" w:color="000000"/>
        </w:rPr>
        <w:t>F-77</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reconciliation of liabilities by class and categorized within Level 3 under the fair value hierarchy is as follows for the fiscal years ended December 28, 2025 and December 29, 2024 </w:t>
      </w:r>
      <w:r>
        <w:rPr>
          <w:rFonts w:ascii="Times New Roman;Times;Serif" w:hAnsi="Times New Roman;Times;Serif"/>
          <w:b w:val="false"/>
          <w:i/>
          <w:caps w:val="false"/>
          <w:smallCaps w:val="false"/>
          <w:sz w:val="20"/>
        </w:rPr>
        <w:t>(in thousands)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038"/>
        <w:gridCol w:w="60"/>
        <w:gridCol w:w="178"/>
        <w:gridCol w:w="963"/>
        <w:gridCol w:w="95"/>
        <w:gridCol w:w="60"/>
        <w:gridCol w:w="277"/>
        <w:gridCol w:w="1108"/>
        <w:gridCol w:w="60"/>
        <w:gridCol w:w="60"/>
        <w:gridCol w:w="346"/>
        <w:gridCol w:w="941"/>
        <w:gridCol w:w="60"/>
        <w:gridCol w:w="60"/>
        <w:gridCol w:w="198"/>
        <w:gridCol w:w="793"/>
        <w:gridCol w:w="60"/>
        <w:gridCol w:w="60"/>
        <w:gridCol w:w="281"/>
        <w:gridCol w:w="1366"/>
        <w:gridCol w:w="60"/>
        <w:gridCol w:w="60"/>
        <w:gridCol w:w="140"/>
        <w:gridCol w:w="800"/>
        <w:gridCol w:w="81"/>
      </w:tblGrid>
      <w:tr>
        <w:trPr/>
        <w:tc>
          <w:tcPr>
            <w:tcW w:w="2038"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26" w:type="dxa"/>
            <w:gridSpan w:val="22"/>
            <w:tcBorders>
              <w:bottom w:val="single" w:sz="12" w:space="0" w:color="000000"/>
            </w:tcBorders>
            <w:tcMar>
              <w:bottom w:w="28" w:type="dxa"/>
            </w:tcMar>
            <w:vAlign w:val="center"/>
          </w:tcPr>
          <w:p>
            <w:pPr>
              <w:pStyle w:val="TableContents"/>
              <w:bidi w:val="0"/>
              <w:spacing w:before="0" w:after="283"/>
              <w:jc w:val="center"/>
              <w:rPr>
                <w:b/>
              </w:rPr>
            </w:pPr>
            <w:r>
              <w:rPr>
                <w:b/>
              </w:rPr>
              <w:t>Fiscal Year Ended December 28, 2025</w:t>
            </w:r>
          </w:p>
        </w:tc>
        <w:tc>
          <w:tcPr>
            <w:tcW w:w="81" w:type="dxa"/>
            <w:tcBorders/>
            <w:vAlign w:val="center"/>
          </w:tcPr>
          <w:p>
            <w:pPr>
              <w:pStyle w:val="TableContents"/>
              <w:bidi w:val="0"/>
              <w:spacing w:before="0" w:after="283"/>
              <w:jc w:val="left"/>
              <w:rPr/>
            </w:pPr>
            <w:r>
              <w:rPr/>
              <w:t> </w:t>
            </w:r>
          </w:p>
        </w:tc>
      </w:tr>
      <w:tr>
        <w:trPr/>
        <w:tc>
          <w:tcPr>
            <w:tcW w:w="2038"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141"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Derivative liabilities</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8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Forward Purchase Agreements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87"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SAFE Agreements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91"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Warrant liabilities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47"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Deferred Ambia Consideration Shares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4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Total</w:t>
            </w:r>
          </w:p>
        </w:tc>
        <w:tc>
          <w:tcPr>
            <w:tcW w:w="81" w:type="dxa"/>
            <w:tcBorders/>
            <w:vAlign w:val="center"/>
          </w:tcPr>
          <w:p>
            <w:pPr>
              <w:pStyle w:val="TableContents"/>
              <w:bidi w:val="0"/>
              <w:spacing w:before="0" w:after="283"/>
              <w:ind w:left="0" w:right="0" w:hanging="180"/>
              <w:jc w:val="left"/>
              <w:rPr/>
            </w:pPr>
            <w:r>
              <w:rPr/>
              <w:t> </w:t>
            </w:r>
          </w:p>
        </w:tc>
      </w:tr>
      <w:tr>
        <w:trPr/>
        <w:tc>
          <w:tcPr>
            <w:tcW w:w="2038" w:type="dxa"/>
            <w:tcBorders/>
            <w:shd w:fill="CCEEFF" w:val="clear"/>
            <w:vAlign w:val="center"/>
          </w:tcPr>
          <w:p>
            <w:pPr>
              <w:pStyle w:val="TableContents"/>
              <w:bidi w:val="0"/>
              <w:spacing w:before="0" w:after="283"/>
              <w:jc w:val="left"/>
              <w:rPr/>
            </w:pPr>
            <w:r>
              <w:rPr/>
              <w:t>Balance as of December 29, 2024</w:t>
            </w:r>
          </w:p>
        </w:tc>
        <w:tc>
          <w:tcPr>
            <w:tcW w:w="60" w:type="dxa"/>
            <w:tcBorders/>
            <w:shd w:fill="CCEEFF" w:val="clear"/>
            <w:vAlign w:val="center"/>
          </w:tcPr>
          <w:p>
            <w:pPr>
              <w:pStyle w:val="TableContents"/>
              <w:bidi w:val="0"/>
              <w:spacing w:before="0" w:after="283"/>
              <w:jc w:val="left"/>
              <w:rPr/>
            </w:pPr>
            <w:r>
              <w:rPr/>
              <w:t> </w:t>
            </w:r>
          </w:p>
        </w:tc>
        <w:tc>
          <w:tcPr>
            <w:tcW w:w="178" w:type="dxa"/>
            <w:tcBorders/>
            <w:shd w:fill="CCEEFF" w:val="clear"/>
            <w:vAlign w:val="center"/>
          </w:tcPr>
          <w:p>
            <w:pPr>
              <w:pStyle w:val="TableContents"/>
              <w:bidi w:val="0"/>
              <w:spacing w:before="0" w:after="283"/>
              <w:jc w:val="left"/>
              <w:rPr/>
            </w:pPr>
            <w:r>
              <w:rPr/>
              <w:t>$</w:t>
            </w:r>
          </w:p>
        </w:tc>
        <w:tc>
          <w:tcPr>
            <w:tcW w:w="963" w:type="dxa"/>
            <w:tcBorders/>
            <w:shd w:fill="CCEEFF" w:val="clear"/>
            <w:vAlign w:val="center"/>
          </w:tcPr>
          <w:p>
            <w:pPr>
              <w:pStyle w:val="TableContents"/>
              <w:bidi w:val="0"/>
              <w:spacing w:before="0" w:after="283"/>
              <w:jc w:val="right"/>
              <w:rPr/>
            </w:pPr>
            <w:r>
              <w:rPr/>
              <w:t>97,122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77" w:type="dxa"/>
            <w:tcBorders/>
            <w:shd w:fill="CCEEFF" w:val="clear"/>
            <w:vAlign w:val="center"/>
          </w:tcPr>
          <w:p>
            <w:pPr>
              <w:pStyle w:val="TableContents"/>
              <w:bidi w:val="0"/>
              <w:spacing w:before="0" w:after="283"/>
              <w:jc w:val="left"/>
              <w:rPr/>
            </w:pPr>
            <w:r>
              <w:rPr/>
              <w:t>$</w:t>
            </w:r>
          </w:p>
        </w:tc>
        <w:tc>
          <w:tcPr>
            <w:tcW w:w="1108" w:type="dxa"/>
            <w:tcBorders/>
            <w:shd w:fill="CCEEFF" w:val="clear"/>
            <w:vAlign w:val="center"/>
          </w:tcPr>
          <w:p>
            <w:pPr>
              <w:pStyle w:val="TableContents"/>
              <w:bidi w:val="0"/>
              <w:spacing w:before="0" w:after="283"/>
              <w:jc w:val="right"/>
              <w:rPr/>
            </w:pPr>
            <w:r>
              <w:rPr/>
              <w:t>3,494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46" w:type="dxa"/>
            <w:tcBorders/>
            <w:shd w:fill="CCEEFF" w:val="clear"/>
            <w:vAlign w:val="center"/>
          </w:tcPr>
          <w:p>
            <w:pPr>
              <w:pStyle w:val="TableContents"/>
              <w:bidi w:val="0"/>
              <w:spacing w:before="0" w:after="283"/>
              <w:jc w:val="left"/>
              <w:rPr/>
            </w:pPr>
            <w:r>
              <w:rPr/>
              <w:t>$</w:t>
            </w:r>
          </w:p>
        </w:tc>
        <w:tc>
          <w:tcPr>
            <w:tcW w:w="941" w:type="dxa"/>
            <w:tcBorders/>
            <w:shd w:fill="CCEEFF" w:val="clear"/>
            <w:vAlign w:val="center"/>
          </w:tcPr>
          <w:p>
            <w:pPr>
              <w:pStyle w:val="TableContents"/>
              <w:bidi w:val="0"/>
              <w:spacing w:before="0" w:after="283"/>
              <w:jc w:val="right"/>
              <w:rPr/>
            </w:pPr>
            <w:r>
              <w:rPr/>
              <w:t>384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8" w:type="dxa"/>
            <w:tcBorders/>
            <w:shd w:fill="CCEEFF" w:val="clear"/>
            <w:vAlign w:val="center"/>
          </w:tcPr>
          <w:p>
            <w:pPr>
              <w:pStyle w:val="TableContents"/>
              <w:bidi w:val="0"/>
              <w:spacing w:before="0" w:after="283"/>
              <w:jc w:val="left"/>
              <w:rPr/>
            </w:pPr>
            <w:r>
              <w:rPr/>
              <w:t>$</w:t>
            </w:r>
          </w:p>
        </w:tc>
        <w:tc>
          <w:tcPr>
            <w:tcW w:w="793" w:type="dxa"/>
            <w:tcBorders/>
            <w:shd w:fill="CCEEFF" w:val="clear"/>
            <w:vAlign w:val="center"/>
          </w:tcPr>
          <w:p>
            <w:pPr>
              <w:pStyle w:val="TableContents"/>
              <w:bidi w:val="0"/>
              <w:spacing w:before="0" w:after="283"/>
              <w:jc w:val="right"/>
              <w:rPr/>
            </w:pPr>
            <w:r>
              <w:rPr/>
              <w:t>699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81" w:type="dxa"/>
            <w:tcBorders/>
            <w:shd w:fill="CCEEFF" w:val="clear"/>
            <w:vAlign w:val="center"/>
          </w:tcPr>
          <w:p>
            <w:pPr>
              <w:pStyle w:val="TableContents"/>
              <w:bidi w:val="0"/>
              <w:spacing w:before="0" w:after="283"/>
              <w:jc w:val="left"/>
              <w:rPr/>
            </w:pPr>
            <w:r>
              <w:rPr/>
              <w:t>$</w:t>
            </w:r>
          </w:p>
        </w:tc>
        <w:tc>
          <w:tcPr>
            <w:tcW w:w="1366"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800" w:type="dxa"/>
            <w:tcBorders/>
            <w:shd w:fill="CCEEFF" w:val="clear"/>
            <w:vAlign w:val="center"/>
          </w:tcPr>
          <w:p>
            <w:pPr>
              <w:pStyle w:val="TableContents"/>
              <w:bidi w:val="0"/>
              <w:spacing w:before="0" w:after="283"/>
              <w:jc w:val="right"/>
              <w:rPr/>
            </w:pPr>
            <w:r>
              <w:rPr/>
              <w:t>101,699</w:t>
            </w:r>
          </w:p>
        </w:tc>
        <w:tc>
          <w:tcPr>
            <w:tcW w:w="81" w:type="dxa"/>
            <w:tcBorders/>
            <w:shd w:fill="CCEEFF" w:val="clear"/>
            <w:vAlign w:val="center"/>
          </w:tcPr>
          <w:p>
            <w:pPr>
              <w:pStyle w:val="TableContents"/>
              <w:bidi w:val="0"/>
              <w:spacing w:before="0" w:after="283"/>
              <w:ind w:left="0" w:right="0" w:hanging="180"/>
              <w:jc w:val="left"/>
              <w:rPr/>
            </w:pPr>
            <w:r>
              <w:rPr/>
              <w:t> </w:t>
            </w:r>
          </w:p>
        </w:tc>
      </w:tr>
      <w:tr>
        <w:trPr/>
        <w:tc>
          <w:tcPr>
            <w:tcW w:w="2038" w:type="dxa"/>
            <w:tcBorders/>
            <w:shd w:fill="FFFFFF" w:val="clear"/>
            <w:vAlign w:val="center"/>
          </w:tcPr>
          <w:p>
            <w:pPr>
              <w:pStyle w:val="TableContents"/>
              <w:bidi w:val="0"/>
              <w:spacing w:before="0" w:after="283"/>
              <w:jc w:val="left"/>
              <w:rPr/>
            </w:pPr>
            <w:r>
              <w:rPr/>
              <w:t>Additions</w:t>
            </w:r>
          </w:p>
        </w:tc>
        <w:tc>
          <w:tcPr>
            <w:tcW w:w="60" w:type="dxa"/>
            <w:tcBorders/>
            <w:shd w:fill="FFFFFF" w:val="clear"/>
            <w:vAlign w:val="center"/>
          </w:tcPr>
          <w:p>
            <w:pPr>
              <w:pStyle w:val="TableContents"/>
              <w:bidi w:val="0"/>
              <w:spacing w:before="0" w:after="283"/>
              <w:jc w:val="left"/>
              <w:rPr/>
            </w:pPr>
            <w:r>
              <w:rPr/>
              <w:t> </w:t>
            </w:r>
          </w:p>
        </w:tc>
        <w:tc>
          <w:tcPr>
            <w:tcW w:w="178" w:type="dxa"/>
            <w:tcBorders/>
            <w:shd w:fill="FFFFFF" w:val="clear"/>
            <w:vAlign w:val="center"/>
          </w:tcPr>
          <w:p>
            <w:pPr>
              <w:pStyle w:val="TableContents"/>
              <w:bidi w:val="0"/>
              <w:spacing w:before="0" w:after="283"/>
              <w:jc w:val="left"/>
              <w:rPr/>
            </w:pPr>
            <w:r>
              <w:rPr/>
              <w:t> </w:t>
            </w:r>
          </w:p>
        </w:tc>
        <w:tc>
          <w:tcPr>
            <w:tcW w:w="963" w:type="dxa"/>
            <w:tcBorders/>
            <w:shd w:fill="FFFFFF" w:val="clear"/>
            <w:vAlign w:val="center"/>
          </w:tcPr>
          <w:p>
            <w:pPr>
              <w:pStyle w:val="TableContents"/>
              <w:bidi w:val="0"/>
              <w:spacing w:before="0" w:after="283"/>
              <w:jc w:val="right"/>
              <w:rPr/>
            </w:pPr>
            <w:r>
              <w:rPr/>
              <w:t>20,808</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77" w:type="dxa"/>
            <w:tcBorders/>
            <w:shd w:fill="FFFFFF" w:val="clear"/>
            <w:vAlign w:val="center"/>
          </w:tcPr>
          <w:p>
            <w:pPr>
              <w:pStyle w:val="TableContents"/>
              <w:bidi w:val="0"/>
              <w:spacing w:before="0" w:after="283"/>
              <w:jc w:val="left"/>
              <w:rPr/>
            </w:pPr>
            <w:r>
              <w:rPr/>
              <w:t> </w:t>
            </w:r>
          </w:p>
        </w:tc>
        <w:tc>
          <w:tcPr>
            <w:tcW w:w="1108"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46" w:type="dxa"/>
            <w:tcBorders/>
            <w:shd w:fill="FFFFFF" w:val="clear"/>
            <w:vAlign w:val="center"/>
          </w:tcPr>
          <w:p>
            <w:pPr>
              <w:pStyle w:val="TableContents"/>
              <w:bidi w:val="0"/>
              <w:spacing w:before="0" w:after="283"/>
              <w:jc w:val="left"/>
              <w:rPr/>
            </w:pPr>
            <w:r>
              <w:rPr/>
              <w:t> </w:t>
            </w:r>
          </w:p>
        </w:tc>
        <w:tc>
          <w:tcPr>
            <w:tcW w:w="941"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8" w:type="dxa"/>
            <w:tcBorders/>
            <w:shd w:fill="FFFFFF" w:val="clear"/>
            <w:vAlign w:val="center"/>
          </w:tcPr>
          <w:p>
            <w:pPr>
              <w:pStyle w:val="TableContents"/>
              <w:bidi w:val="0"/>
              <w:spacing w:before="0" w:after="283"/>
              <w:jc w:val="left"/>
              <w:rPr/>
            </w:pPr>
            <w:r>
              <w:rPr/>
              <w:t> </w:t>
            </w:r>
          </w:p>
        </w:tc>
        <w:tc>
          <w:tcPr>
            <w:tcW w:w="793"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81" w:type="dxa"/>
            <w:tcBorders/>
            <w:shd w:fill="FFFFFF" w:val="clear"/>
            <w:vAlign w:val="center"/>
          </w:tcPr>
          <w:p>
            <w:pPr>
              <w:pStyle w:val="TableContents"/>
              <w:bidi w:val="0"/>
              <w:spacing w:before="0" w:after="283"/>
              <w:jc w:val="left"/>
              <w:rPr/>
            </w:pPr>
            <w:r>
              <w:rPr/>
              <w:t> </w:t>
            </w:r>
          </w:p>
        </w:tc>
        <w:tc>
          <w:tcPr>
            <w:tcW w:w="1366" w:type="dxa"/>
            <w:tcBorders/>
            <w:shd w:fill="FFFFFF" w:val="clear"/>
            <w:vAlign w:val="center"/>
          </w:tcPr>
          <w:p>
            <w:pPr>
              <w:pStyle w:val="TableContents"/>
              <w:bidi w:val="0"/>
              <w:spacing w:before="0" w:after="283"/>
              <w:jc w:val="right"/>
              <w:rPr/>
            </w:pPr>
            <w:r>
              <w:rPr/>
              <w:t>16,879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37,687</w:t>
            </w:r>
          </w:p>
        </w:tc>
        <w:tc>
          <w:tcPr>
            <w:tcW w:w="81" w:type="dxa"/>
            <w:tcBorders/>
            <w:shd w:fill="FFFFFF" w:val="clear"/>
            <w:vAlign w:val="center"/>
          </w:tcPr>
          <w:p>
            <w:pPr>
              <w:pStyle w:val="TableContents"/>
              <w:bidi w:val="0"/>
              <w:spacing w:before="0" w:after="283"/>
              <w:ind w:left="0" w:right="0" w:hanging="180"/>
              <w:jc w:val="left"/>
              <w:rPr/>
            </w:pPr>
            <w:r>
              <w:rPr/>
              <w:t> </w:t>
            </w:r>
          </w:p>
        </w:tc>
      </w:tr>
      <w:tr>
        <w:trPr/>
        <w:tc>
          <w:tcPr>
            <w:tcW w:w="2038" w:type="dxa"/>
            <w:tcBorders/>
            <w:shd w:fill="CCEEFF" w:val="clear"/>
            <w:vAlign w:val="center"/>
          </w:tcPr>
          <w:p>
            <w:pPr>
              <w:pStyle w:val="TableContents"/>
              <w:bidi w:val="0"/>
              <w:spacing w:before="0" w:after="283"/>
              <w:jc w:val="left"/>
              <w:rPr/>
            </w:pPr>
            <w:r>
              <w:rPr/>
              <w:t>Conversions</w:t>
            </w:r>
          </w:p>
        </w:tc>
        <w:tc>
          <w:tcPr>
            <w:tcW w:w="60" w:type="dxa"/>
            <w:tcBorders/>
            <w:shd w:fill="CCEEFF" w:val="clear"/>
            <w:vAlign w:val="center"/>
          </w:tcPr>
          <w:p>
            <w:pPr>
              <w:pStyle w:val="TableContents"/>
              <w:bidi w:val="0"/>
              <w:spacing w:before="0" w:after="283"/>
              <w:jc w:val="left"/>
              <w:rPr/>
            </w:pPr>
            <w:r>
              <w:rPr/>
              <w:t> </w:t>
            </w:r>
          </w:p>
        </w:tc>
        <w:tc>
          <w:tcPr>
            <w:tcW w:w="178" w:type="dxa"/>
            <w:tcBorders/>
            <w:shd w:fill="CCEEFF" w:val="clear"/>
            <w:vAlign w:val="center"/>
          </w:tcPr>
          <w:p>
            <w:pPr>
              <w:pStyle w:val="TableContents"/>
              <w:bidi w:val="0"/>
              <w:spacing w:before="0" w:after="283"/>
              <w:jc w:val="left"/>
              <w:rPr/>
            </w:pPr>
            <w:r>
              <w:rPr/>
              <w:t> </w:t>
            </w:r>
          </w:p>
        </w:tc>
        <w:tc>
          <w:tcPr>
            <w:tcW w:w="963" w:type="dxa"/>
            <w:tcBorders/>
            <w:shd w:fill="CCEEFF" w:val="clear"/>
            <w:vAlign w:val="center"/>
          </w:tcPr>
          <w:p>
            <w:pPr>
              <w:pStyle w:val="TableContents"/>
              <w:bidi w:val="0"/>
              <w:spacing w:before="0" w:after="283"/>
              <w:jc w:val="right"/>
              <w:rPr/>
            </w:pPr>
            <w:r>
              <w:rPr/>
              <w:t>(10,931</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277" w:type="dxa"/>
            <w:tcBorders/>
            <w:shd w:fill="CCEEFF" w:val="clear"/>
            <w:vAlign w:val="center"/>
          </w:tcPr>
          <w:p>
            <w:pPr>
              <w:pStyle w:val="TableContents"/>
              <w:bidi w:val="0"/>
              <w:spacing w:before="0" w:after="283"/>
              <w:jc w:val="left"/>
              <w:rPr/>
            </w:pPr>
            <w:r>
              <w:rPr/>
              <w:t> </w:t>
            </w:r>
          </w:p>
        </w:tc>
        <w:tc>
          <w:tcPr>
            <w:tcW w:w="1108"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46" w:type="dxa"/>
            <w:tcBorders/>
            <w:shd w:fill="CCEEFF" w:val="clear"/>
            <w:vAlign w:val="center"/>
          </w:tcPr>
          <w:p>
            <w:pPr>
              <w:pStyle w:val="TableContents"/>
              <w:bidi w:val="0"/>
              <w:spacing w:before="0" w:after="283"/>
              <w:jc w:val="left"/>
              <w:rPr/>
            </w:pPr>
            <w:r>
              <w:rPr/>
              <w:t> </w:t>
            </w:r>
          </w:p>
        </w:tc>
        <w:tc>
          <w:tcPr>
            <w:tcW w:w="941"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8" w:type="dxa"/>
            <w:tcBorders/>
            <w:shd w:fill="CCEEFF" w:val="clear"/>
            <w:vAlign w:val="center"/>
          </w:tcPr>
          <w:p>
            <w:pPr>
              <w:pStyle w:val="TableContents"/>
              <w:bidi w:val="0"/>
              <w:spacing w:before="0" w:after="283"/>
              <w:jc w:val="left"/>
              <w:rPr/>
            </w:pPr>
            <w:r>
              <w:rPr/>
              <w:t> </w:t>
            </w:r>
          </w:p>
        </w:tc>
        <w:tc>
          <w:tcPr>
            <w:tcW w:w="793"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81" w:type="dxa"/>
            <w:tcBorders/>
            <w:shd w:fill="CCEEFF" w:val="clear"/>
            <w:vAlign w:val="center"/>
          </w:tcPr>
          <w:p>
            <w:pPr>
              <w:pStyle w:val="TableContents"/>
              <w:bidi w:val="0"/>
              <w:spacing w:before="0" w:after="283"/>
              <w:jc w:val="left"/>
              <w:rPr/>
            </w:pPr>
            <w:r>
              <w:rPr/>
              <w:t> </w:t>
            </w:r>
          </w:p>
        </w:tc>
        <w:tc>
          <w:tcPr>
            <w:tcW w:w="1366"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(10,931</w:t>
            </w:r>
          </w:p>
        </w:tc>
        <w:tc>
          <w:tcPr>
            <w:tcW w:w="81" w:type="dxa"/>
            <w:tcBorders/>
            <w:shd w:fill="CCEEFF" w:val="clear"/>
            <w:vAlign w:val="center"/>
          </w:tcPr>
          <w:p>
            <w:pPr>
              <w:pStyle w:val="TableContents"/>
              <w:bidi w:val="0"/>
              <w:spacing w:before="0" w:after="283"/>
              <w:ind w:left="0" w:right="0" w:hanging="180"/>
              <w:jc w:val="left"/>
              <w:rPr/>
            </w:pPr>
            <w:r>
              <w:rPr/>
              <w:t>)</w:t>
            </w:r>
          </w:p>
        </w:tc>
      </w:tr>
      <w:tr>
        <w:trPr/>
        <w:tc>
          <w:tcPr>
            <w:tcW w:w="2038" w:type="dxa"/>
            <w:tcBorders/>
            <w:shd w:fill="FFFFFF" w:val="clear"/>
            <w:vAlign w:val="center"/>
          </w:tcPr>
          <w:p>
            <w:pPr>
              <w:pStyle w:val="TableContents"/>
              <w:bidi w:val="0"/>
              <w:spacing w:before="0" w:after="283"/>
              <w:jc w:val="left"/>
              <w:rPr/>
            </w:pPr>
            <w:r>
              <w:rPr/>
              <w:t>Net (gain)/loss recognized within Other non-operating income, net in the consolidated statement of operations</w:t>
            </w:r>
          </w:p>
        </w:tc>
        <w:tc>
          <w:tcPr>
            <w:tcW w:w="60" w:type="dxa"/>
            <w:tcBorders/>
            <w:shd w:fill="FFFFFF" w:val="clear"/>
            <w:vAlign w:val="center"/>
          </w:tcPr>
          <w:p>
            <w:pPr>
              <w:pStyle w:val="TableContents"/>
              <w:bidi w:val="0"/>
              <w:spacing w:before="0" w:after="283"/>
              <w:jc w:val="left"/>
              <w:rPr/>
            </w:pPr>
            <w:r>
              <w:rPr/>
              <w:t> </w:t>
            </w:r>
          </w:p>
        </w:tc>
        <w:tc>
          <w:tcPr>
            <w:tcW w:w="178"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963" w:type="dxa"/>
            <w:tcBorders>
              <w:bottom w:val="single" w:sz="12" w:space="0" w:color="000000"/>
            </w:tcBorders>
            <w:shd w:fill="FFFFFF" w:val="clear"/>
            <w:tcMar>
              <w:bottom w:w="28" w:type="dxa"/>
            </w:tcMar>
            <w:vAlign w:val="center"/>
          </w:tcPr>
          <w:p>
            <w:pPr>
              <w:pStyle w:val="TableContents"/>
              <w:bidi w:val="0"/>
              <w:spacing w:before="0" w:after="283"/>
              <w:jc w:val="right"/>
              <w:rPr/>
            </w:pPr>
            <w:r>
              <w:rPr/>
              <w:t>(11,490</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277"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08" w:type="dxa"/>
            <w:tcBorders>
              <w:bottom w:val="single" w:sz="12" w:space="0" w:color="000000"/>
            </w:tcBorders>
            <w:shd w:fill="FFFFFF" w:val="clear"/>
            <w:tcMar>
              <w:bottom w:w="28" w:type="dxa"/>
            </w:tcMar>
            <w:vAlign w:val="center"/>
          </w:tcPr>
          <w:p>
            <w:pPr>
              <w:pStyle w:val="TableContents"/>
              <w:bidi w:val="0"/>
              <w:spacing w:before="0" w:after="283"/>
              <w:jc w:val="right"/>
              <w:rPr/>
            </w:pPr>
            <w:r>
              <w:rPr/>
              <w:t>471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46"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941" w:type="dxa"/>
            <w:tcBorders>
              <w:bottom w:val="single" w:sz="12" w:space="0" w:color="000000"/>
            </w:tcBorders>
            <w:shd w:fill="FFFFFF" w:val="clear"/>
            <w:tcMar>
              <w:bottom w:w="28" w:type="dxa"/>
            </w:tcMar>
            <w:vAlign w:val="center"/>
          </w:tcPr>
          <w:p>
            <w:pPr>
              <w:pStyle w:val="TableContents"/>
              <w:bidi w:val="0"/>
              <w:spacing w:before="0" w:after="283"/>
              <w:jc w:val="right"/>
              <w:rPr/>
            </w:pPr>
            <w:r>
              <w:rPr/>
              <w:t>151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8"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793" w:type="dxa"/>
            <w:tcBorders>
              <w:bottom w:val="single" w:sz="12" w:space="0" w:color="000000"/>
            </w:tcBorders>
            <w:shd w:fill="FFFFFF" w:val="clear"/>
            <w:tcMar>
              <w:bottom w:w="28" w:type="dxa"/>
            </w:tcMar>
            <w:vAlign w:val="center"/>
          </w:tcPr>
          <w:p>
            <w:pPr>
              <w:pStyle w:val="TableContents"/>
              <w:bidi w:val="0"/>
              <w:spacing w:before="0" w:after="283"/>
              <w:jc w:val="right"/>
              <w:rPr/>
            </w:pPr>
            <w:r>
              <w:rPr/>
              <w:t>1,187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81"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366"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800" w:type="dxa"/>
            <w:tcBorders>
              <w:bottom w:val="single" w:sz="12" w:space="0" w:color="000000"/>
            </w:tcBorders>
            <w:shd w:fill="FFFFFF" w:val="clear"/>
            <w:tcMar>
              <w:bottom w:w="28" w:type="dxa"/>
            </w:tcMar>
            <w:vAlign w:val="center"/>
          </w:tcPr>
          <w:p>
            <w:pPr>
              <w:pStyle w:val="TableContents"/>
              <w:bidi w:val="0"/>
              <w:spacing w:before="0" w:after="283"/>
              <w:jc w:val="right"/>
              <w:rPr/>
            </w:pPr>
            <w:r>
              <w:rPr/>
              <w:t>(9,681</w:t>
            </w:r>
          </w:p>
        </w:tc>
        <w:tc>
          <w:tcPr>
            <w:tcW w:w="81" w:type="dxa"/>
            <w:tcBorders/>
            <w:shd w:fill="FFFFFF" w:val="clear"/>
            <w:vAlign w:val="center"/>
          </w:tcPr>
          <w:p>
            <w:pPr>
              <w:pStyle w:val="TableContents"/>
              <w:bidi w:val="0"/>
              <w:spacing w:before="0" w:after="283"/>
              <w:ind w:left="0" w:right="0" w:hanging="180"/>
              <w:jc w:val="left"/>
              <w:rPr/>
            </w:pPr>
            <w:r>
              <w:rPr/>
              <w:t>)</w:t>
            </w:r>
          </w:p>
        </w:tc>
      </w:tr>
      <w:tr>
        <w:trPr/>
        <w:tc>
          <w:tcPr>
            <w:tcW w:w="2038" w:type="dxa"/>
            <w:tcBorders/>
            <w:shd w:fill="CCEEFF" w:val="clear"/>
            <w:vAlign w:val="center"/>
          </w:tcPr>
          <w:p>
            <w:pPr>
              <w:pStyle w:val="TableContents"/>
              <w:bidi w:val="0"/>
              <w:spacing w:before="0" w:after="283"/>
              <w:jc w:val="left"/>
              <w:rPr/>
            </w:pPr>
            <w:r>
              <w:rPr/>
              <w:t>Balance as of December 28, 2025</w:t>
            </w:r>
          </w:p>
        </w:tc>
        <w:tc>
          <w:tcPr>
            <w:tcW w:w="60" w:type="dxa"/>
            <w:tcBorders/>
            <w:shd w:fill="CCEEFF" w:val="clear"/>
            <w:vAlign w:val="center"/>
          </w:tcPr>
          <w:p>
            <w:pPr>
              <w:pStyle w:val="TableContents"/>
              <w:bidi w:val="0"/>
              <w:spacing w:before="0" w:after="283"/>
              <w:jc w:val="left"/>
              <w:rPr/>
            </w:pPr>
            <w:r>
              <w:rPr/>
              <w:t> </w:t>
            </w:r>
          </w:p>
        </w:tc>
        <w:tc>
          <w:tcPr>
            <w:tcW w:w="178"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963" w:type="dxa"/>
            <w:tcBorders>
              <w:bottom w:val="double" w:sz="10" w:space="0" w:color="000000"/>
            </w:tcBorders>
            <w:shd w:fill="CCEEFF" w:val="clear"/>
            <w:tcMar>
              <w:bottom w:w="28" w:type="dxa"/>
            </w:tcMar>
            <w:vAlign w:val="center"/>
          </w:tcPr>
          <w:p>
            <w:pPr>
              <w:pStyle w:val="TableContents"/>
              <w:bidi w:val="0"/>
              <w:spacing w:before="0" w:after="283"/>
              <w:jc w:val="right"/>
              <w:rPr/>
            </w:pPr>
            <w:r>
              <w:rPr/>
              <w:t>95,509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77"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108" w:type="dxa"/>
            <w:tcBorders>
              <w:bottom w:val="double" w:sz="10" w:space="0" w:color="000000"/>
            </w:tcBorders>
            <w:shd w:fill="CCEEFF" w:val="clear"/>
            <w:tcMar>
              <w:bottom w:w="28" w:type="dxa"/>
            </w:tcMar>
            <w:vAlign w:val="center"/>
          </w:tcPr>
          <w:p>
            <w:pPr>
              <w:pStyle w:val="TableContents"/>
              <w:bidi w:val="0"/>
              <w:spacing w:before="0" w:after="283"/>
              <w:jc w:val="right"/>
              <w:rPr/>
            </w:pPr>
            <w:r>
              <w:rPr/>
              <w:t>3,965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46"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941" w:type="dxa"/>
            <w:tcBorders>
              <w:bottom w:val="double" w:sz="10" w:space="0" w:color="000000"/>
            </w:tcBorders>
            <w:shd w:fill="CCEEFF" w:val="clear"/>
            <w:tcMar>
              <w:bottom w:w="28" w:type="dxa"/>
            </w:tcMar>
            <w:vAlign w:val="center"/>
          </w:tcPr>
          <w:p>
            <w:pPr>
              <w:pStyle w:val="TableContents"/>
              <w:bidi w:val="0"/>
              <w:spacing w:before="0" w:after="283"/>
              <w:jc w:val="right"/>
              <w:rPr/>
            </w:pPr>
            <w:r>
              <w:rPr/>
              <w:t>535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8"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793" w:type="dxa"/>
            <w:tcBorders>
              <w:bottom w:val="double" w:sz="10" w:space="0" w:color="000000"/>
            </w:tcBorders>
            <w:shd w:fill="CCEEFF" w:val="clear"/>
            <w:tcMar>
              <w:bottom w:w="28" w:type="dxa"/>
            </w:tcMar>
            <w:vAlign w:val="center"/>
          </w:tcPr>
          <w:p>
            <w:pPr>
              <w:pStyle w:val="TableContents"/>
              <w:bidi w:val="0"/>
              <w:spacing w:before="0" w:after="283"/>
              <w:jc w:val="right"/>
              <w:rPr/>
            </w:pPr>
            <w:r>
              <w:rPr/>
              <w:t>1,886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81"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366" w:type="dxa"/>
            <w:tcBorders>
              <w:bottom w:val="double" w:sz="10" w:space="0" w:color="000000"/>
            </w:tcBorders>
            <w:shd w:fill="CCEEFF" w:val="clear"/>
            <w:tcMar>
              <w:bottom w:w="28" w:type="dxa"/>
            </w:tcMar>
            <w:vAlign w:val="center"/>
          </w:tcPr>
          <w:p>
            <w:pPr>
              <w:pStyle w:val="TableContents"/>
              <w:bidi w:val="0"/>
              <w:spacing w:before="0" w:after="283"/>
              <w:jc w:val="right"/>
              <w:rPr/>
            </w:pPr>
            <w:r>
              <w:rPr/>
              <w:t>16,879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800" w:type="dxa"/>
            <w:tcBorders>
              <w:bottom w:val="double" w:sz="10" w:space="0" w:color="000000"/>
            </w:tcBorders>
            <w:shd w:fill="CCEEFF" w:val="clear"/>
            <w:tcMar>
              <w:bottom w:w="28" w:type="dxa"/>
            </w:tcMar>
            <w:vAlign w:val="center"/>
          </w:tcPr>
          <w:p>
            <w:pPr>
              <w:pStyle w:val="TableContents"/>
              <w:bidi w:val="0"/>
              <w:spacing w:before="0" w:after="283"/>
              <w:jc w:val="right"/>
              <w:rPr/>
            </w:pPr>
            <w:r>
              <w:rPr/>
              <w:t>118,774</w:t>
            </w:r>
          </w:p>
        </w:tc>
        <w:tc>
          <w:tcPr>
            <w:tcW w:w="81"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682"/>
        <w:gridCol w:w="60"/>
        <w:gridCol w:w="180"/>
        <w:gridCol w:w="1008"/>
        <w:gridCol w:w="80"/>
        <w:gridCol w:w="60"/>
        <w:gridCol w:w="316"/>
        <w:gridCol w:w="1228"/>
        <w:gridCol w:w="80"/>
        <w:gridCol w:w="60"/>
        <w:gridCol w:w="223"/>
        <w:gridCol w:w="974"/>
        <w:gridCol w:w="80"/>
        <w:gridCol w:w="60"/>
        <w:gridCol w:w="186"/>
        <w:gridCol w:w="883"/>
        <w:gridCol w:w="80"/>
        <w:gridCol w:w="60"/>
        <w:gridCol w:w="125"/>
        <w:gridCol w:w="695"/>
        <w:gridCol w:w="85"/>
      </w:tblGrid>
      <w:tr>
        <w:trPr/>
        <w:tc>
          <w:tcPr>
            <w:tcW w:w="3682" w:type="dxa"/>
            <w:tcBorders/>
            <w:vAlign w:val="center"/>
          </w:tcPr>
          <w:p>
            <w:pPr>
              <w:pStyle w:val="TableContents"/>
              <w:bidi w:val="0"/>
              <w:spacing w:before="0" w:after="283"/>
              <w:ind w:left="0" w:right="0" w:hanging="180"/>
              <w:jc w:val="left"/>
              <w:rPr/>
            </w:pPr>
            <w:r>
              <w:rPr/>
              <w:t> </w:t>
            </w:r>
          </w:p>
        </w:tc>
        <w:tc>
          <w:tcPr>
            <w:tcW w:w="60" w:type="dxa"/>
            <w:tcBorders/>
            <w:vAlign w:val="center"/>
          </w:tcPr>
          <w:p>
            <w:pPr>
              <w:pStyle w:val="TableContents"/>
              <w:bidi w:val="0"/>
              <w:spacing w:before="0" w:after="283"/>
              <w:jc w:val="left"/>
              <w:rPr/>
            </w:pPr>
            <w:r>
              <w:rPr/>
              <w:t> </w:t>
            </w:r>
          </w:p>
        </w:tc>
        <w:tc>
          <w:tcPr>
            <w:tcW w:w="6378" w:type="dxa"/>
            <w:gridSpan w:val="18"/>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Fiscal Year Ended December 29, 2024</w:t>
            </w:r>
          </w:p>
        </w:tc>
        <w:tc>
          <w:tcPr>
            <w:tcW w:w="85" w:type="dxa"/>
            <w:tcBorders/>
            <w:vAlign w:val="center"/>
          </w:tcPr>
          <w:p>
            <w:pPr>
              <w:pStyle w:val="TableContents"/>
              <w:bidi w:val="0"/>
              <w:spacing w:before="0" w:after="283"/>
              <w:ind w:left="0" w:right="0" w:hanging="180"/>
              <w:jc w:val="left"/>
              <w:rPr/>
            </w:pPr>
            <w:r>
              <w:rPr/>
              <w:t> </w:t>
            </w:r>
          </w:p>
        </w:tc>
      </w:tr>
      <w:tr>
        <w:trPr/>
        <w:tc>
          <w:tcPr>
            <w:tcW w:w="3682"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188"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Derivative liabilities</w:t>
            </w:r>
          </w:p>
        </w:tc>
        <w:tc>
          <w:tcPr>
            <w:tcW w:w="8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544"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Forward Purchase Agreements</w:t>
            </w:r>
          </w:p>
        </w:tc>
        <w:tc>
          <w:tcPr>
            <w:tcW w:w="8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197"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SAFE Agreements</w:t>
            </w:r>
          </w:p>
        </w:tc>
        <w:tc>
          <w:tcPr>
            <w:tcW w:w="8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069"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Warrant liabilities</w:t>
            </w:r>
          </w:p>
        </w:tc>
        <w:tc>
          <w:tcPr>
            <w:tcW w:w="8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820"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Total</w:t>
            </w:r>
          </w:p>
        </w:tc>
        <w:tc>
          <w:tcPr>
            <w:tcW w:w="85" w:type="dxa"/>
            <w:tcBorders/>
            <w:vAlign w:val="center"/>
          </w:tcPr>
          <w:p>
            <w:pPr>
              <w:pStyle w:val="TableContents"/>
              <w:bidi w:val="0"/>
              <w:spacing w:before="0" w:after="283"/>
              <w:ind w:left="0" w:right="0" w:hanging="180"/>
              <w:jc w:val="center"/>
              <w:rPr/>
            </w:pPr>
            <w:r>
              <w:rPr/>
              <w:t> </w:t>
            </w:r>
          </w:p>
        </w:tc>
      </w:tr>
      <w:tr>
        <w:trPr/>
        <w:tc>
          <w:tcPr>
            <w:tcW w:w="3682"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Balance as of December 31, 2023</w:t>
            </w:r>
          </w:p>
        </w:tc>
        <w:tc>
          <w:tcPr>
            <w:tcW w:w="60" w:type="dxa"/>
            <w:tcBorders/>
            <w:shd w:fill="CCEEFF" w:val="clear"/>
            <w:vAlign w:val="center"/>
          </w:tcPr>
          <w:p>
            <w:pPr>
              <w:pStyle w:val="TableContents"/>
              <w:bidi w:val="0"/>
              <w:spacing w:before="0" w:after="283"/>
              <w:jc w:val="left"/>
              <w:rPr/>
            </w:pPr>
            <w:r>
              <w:rPr/>
              <w:t> </w:t>
            </w:r>
          </w:p>
        </w:tc>
        <w:tc>
          <w:tcPr>
            <w:tcW w:w="1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008" w:type="dxa"/>
            <w:tcBorders/>
            <w:shd w:fill="CCEEFF" w:val="clear"/>
            <w:vAlign w:val="center"/>
          </w:tcPr>
          <w:p>
            <w:pPr>
              <w:pStyle w:val="TableContents"/>
              <w:bidi w:val="0"/>
              <w:spacing w:before="0" w:after="283"/>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16"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228"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3,831</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3"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974" w:type="dxa"/>
            <w:tcBorders/>
            <w:shd w:fill="CCEEFF" w:val="clear"/>
            <w:vAlign w:val="center"/>
          </w:tcPr>
          <w:p>
            <w:pPr>
              <w:pStyle w:val="TableContents"/>
              <w:bidi w:val="0"/>
              <w:spacing w:before="0" w:after="283"/>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6"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883"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10,960</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9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14,791</w:t>
            </w:r>
          </w:p>
        </w:tc>
        <w:tc>
          <w:tcPr>
            <w:tcW w:w="85" w:type="dxa"/>
            <w:tcBorders/>
            <w:shd w:fill="CCEEFF" w:val="clear"/>
            <w:vAlign w:val="center"/>
          </w:tcPr>
          <w:p>
            <w:pPr>
              <w:pStyle w:val="TableContents"/>
              <w:bidi w:val="0"/>
              <w:spacing w:before="0" w:after="283"/>
              <w:ind w:left="0" w:right="0" w:hanging="180"/>
              <w:jc w:val="left"/>
              <w:rPr/>
            </w:pPr>
            <w:r>
              <w:rPr/>
              <w:t> </w:t>
            </w:r>
          </w:p>
        </w:tc>
      </w:tr>
      <w:tr>
        <w:trPr/>
        <w:tc>
          <w:tcPr>
            <w:tcW w:w="3682"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Additions</w:t>
            </w:r>
          </w:p>
        </w:tc>
        <w:tc>
          <w:tcPr>
            <w:tcW w:w="60" w:type="dxa"/>
            <w:tcBorders/>
            <w:vAlign w:val="center"/>
          </w:tcPr>
          <w:p>
            <w:pPr>
              <w:pStyle w:val="TableContents"/>
              <w:bidi w:val="0"/>
              <w:spacing w:before="0" w:after="283"/>
              <w:jc w:val="left"/>
              <w:rPr/>
            </w:pPr>
            <w:r>
              <w:rPr/>
              <w:t> </w:t>
            </w:r>
          </w:p>
        </w:tc>
        <w:tc>
          <w:tcPr>
            <w:tcW w:w="180" w:type="dxa"/>
            <w:tcBorders/>
            <w:vAlign w:val="center"/>
          </w:tcPr>
          <w:p>
            <w:pPr>
              <w:pStyle w:val="TableContents"/>
              <w:bidi w:val="0"/>
              <w:spacing w:before="0" w:after="283"/>
              <w:jc w:val="left"/>
              <w:rPr/>
            </w:pPr>
            <w:r>
              <w:rPr/>
              <w:t> </w:t>
            </w:r>
          </w:p>
        </w:tc>
        <w:tc>
          <w:tcPr>
            <w:tcW w:w="1008"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131,108</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16" w:type="dxa"/>
            <w:tcBorders/>
            <w:vAlign w:val="center"/>
          </w:tcPr>
          <w:p>
            <w:pPr>
              <w:pStyle w:val="TableContents"/>
              <w:bidi w:val="0"/>
              <w:spacing w:before="0" w:after="283"/>
              <w:jc w:val="left"/>
              <w:rPr/>
            </w:pPr>
            <w:r>
              <w:rPr/>
              <w:t> </w:t>
            </w:r>
          </w:p>
        </w:tc>
        <w:tc>
          <w:tcPr>
            <w:tcW w:w="1228" w:type="dxa"/>
            <w:tcBorders/>
            <w:vAlign w:val="center"/>
          </w:tcPr>
          <w:p>
            <w:pPr>
              <w:pStyle w:val="TableContents"/>
              <w:bidi w:val="0"/>
              <w:spacing w:before="0" w:after="283"/>
              <w:jc w:val="right"/>
              <w:rPr/>
            </w:pPr>
            <w:r>
              <w:rPr/>
              <w:t>—</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23" w:type="dxa"/>
            <w:tcBorders/>
            <w:vAlign w:val="center"/>
          </w:tcPr>
          <w:p>
            <w:pPr>
              <w:pStyle w:val="TableContents"/>
              <w:bidi w:val="0"/>
              <w:spacing w:before="0" w:after="283"/>
              <w:jc w:val="left"/>
              <w:rPr/>
            </w:pPr>
            <w:r>
              <w:rPr/>
              <w:t> </w:t>
            </w:r>
          </w:p>
        </w:tc>
        <w:tc>
          <w:tcPr>
            <w:tcW w:w="974"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6,000</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6" w:type="dxa"/>
            <w:tcBorders/>
            <w:vAlign w:val="center"/>
          </w:tcPr>
          <w:p>
            <w:pPr>
              <w:pStyle w:val="TableContents"/>
              <w:bidi w:val="0"/>
              <w:spacing w:before="0" w:after="283"/>
              <w:jc w:val="left"/>
              <w:rPr/>
            </w:pPr>
            <w:r>
              <w:rPr/>
              <w:t> </w:t>
            </w:r>
          </w:p>
        </w:tc>
        <w:tc>
          <w:tcPr>
            <w:tcW w:w="883" w:type="dxa"/>
            <w:tcBorders/>
            <w:vAlign w:val="center"/>
          </w:tcPr>
          <w:p>
            <w:pPr>
              <w:pStyle w:val="TableContents"/>
              <w:bidi w:val="0"/>
              <w:spacing w:before="0" w:after="283"/>
              <w:jc w:val="right"/>
              <w:rPr/>
            </w:pPr>
            <w:r>
              <w:rPr/>
              <w:t>—</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69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137,108</w:t>
            </w:r>
          </w:p>
        </w:tc>
        <w:tc>
          <w:tcPr>
            <w:tcW w:w="85" w:type="dxa"/>
            <w:tcBorders/>
            <w:vAlign w:val="center"/>
          </w:tcPr>
          <w:p>
            <w:pPr>
              <w:pStyle w:val="TableContents"/>
              <w:bidi w:val="0"/>
              <w:spacing w:before="0" w:after="283"/>
              <w:ind w:left="0" w:right="0" w:hanging="180"/>
              <w:jc w:val="left"/>
              <w:rPr/>
            </w:pPr>
            <w:r>
              <w:rPr/>
              <w:t> </w:t>
            </w:r>
          </w:p>
        </w:tc>
      </w:tr>
      <w:tr>
        <w:trPr/>
        <w:tc>
          <w:tcPr>
            <w:tcW w:w="3682"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Conversions</w:t>
            </w:r>
          </w:p>
        </w:tc>
        <w:tc>
          <w:tcPr>
            <w:tcW w:w="60" w:type="dxa"/>
            <w:tcBorders/>
            <w:shd w:fill="CCEEFF" w:val="clear"/>
            <w:vAlign w:val="center"/>
          </w:tcPr>
          <w:p>
            <w:pPr>
              <w:pStyle w:val="TableContents"/>
              <w:bidi w:val="0"/>
              <w:spacing w:before="0" w:after="283"/>
              <w:jc w:val="left"/>
              <w:rPr/>
            </w:pPr>
            <w:r>
              <w:rPr/>
              <w:t> </w:t>
            </w:r>
          </w:p>
        </w:tc>
        <w:tc>
          <w:tcPr>
            <w:tcW w:w="180" w:type="dxa"/>
            <w:tcBorders/>
            <w:shd w:fill="CCEEFF" w:val="clear"/>
            <w:vAlign w:val="center"/>
          </w:tcPr>
          <w:p>
            <w:pPr>
              <w:pStyle w:val="TableContents"/>
              <w:bidi w:val="0"/>
              <w:spacing w:before="0" w:after="283"/>
              <w:jc w:val="left"/>
              <w:rPr/>
            </w:pPr>
            <w:r>
              <w:rPr/>
              <w:t> </w:t>
            </w:r>
          </w:p>
        </w:tc>
        <w:tc>
          <w:tcPr>
            <w:tcW w:w="1008" w:type="dxa"/>
            <w:tcBorders/>
            <w:shd w:fill="CCEEFF" w:val="clear"/>
            <w:vAlign w:val="center"/>
          </w:tcPr>
          <w:p>
            <w:pPr>
              <w:pStyle w:val="TableContents"/>
              <w:bidi w:val="0"/>
              <w:spacing w:before="0" w:after="283"/>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16" w:type="dxa"/>
            <w:tcBorders/>
            <w:shd w:fill="CCEEFF" w:val="clear"/>
            <w:vAlign w:val="center"/>
          </w:tcPr>
          <w:p>
            <w:pPr>
              <w:pStyle w:val="TableContents"/>
              <w:bidi w:val="0"/>
              <w:spacing w:before="0" w:after="283"/>
              <w:jc w:val="left"/>
              <w:rPr/>
            </w:pPr>
            <w:r>
              <w:rPr/>
              <w:t> </w:t>
            </w:r>
          </w:p>
        </w:tc>
        <w:tc>
          <w:tcPr>
            <w:tcW w:w="1228" w:type="dxa"/>
            <w:tcBorders/>
            <w:shd w:fill="CCEEFF" w:val="clear"/>
            <w:vAlign w:val="center"/>
          </w:tcPr>
          <w:p>
            <w:pPr>
              <w:pStyle w:val="TableContents"/>
              <w:bidi w:val="0"/>
              <w:spacing w:before="0" w:after="283"/>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3" w:type="dxa"/>
            <w:tcBorders/>
            <w:shd w:fill="CCEEFF" w:val="clear"/>
            <w:vAlign w:val="center"/>
          </w:tcPr>
          <w:p>
            <w:pPr>
              <w:pStyle w:val="TableContents"/>
              <w:bidi w:val="0"/>
              <w:spacing w:before="0" w:after="283"/>
              <w:jc w:val="left"/>
              <w:rPr/>
            </w:pPr>
            <w:r>
              <w:rPr/>
              <w:t> </w:t>
            </w:r>
          </w:p>
        </w:tc>
        <w:tc>
          <w:tcPr>
            <w:tcW w:w="974"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(6,250</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86" w:type="dxa"/>
            <w:tcBorders/>
            <w:shd w:fill="CCEEFF" w:val="clear"/>
            <w:vAlign w:val="center"/>
          </w:tcPr>
          <w:p>
            <w:pPr>
              <w:pStyle w:val="TableContents"/>
              <w:bidi w:val="0"/>
              <w:spacing w:before="0" w:after="283"/>
              <w:jc w:val="left"/>
              <w:rPr/>
            </w:pPr>
            <w:r>
              <w:rPr/>
              <w:t> </w:t>
            </w:r>
          </w:p>
        </w:tc>
        <w:tc>
          <w:tcPr>
            <w:tcW w:w="883"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(7,306</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(13,556</w:t>
            </w:r>
          </w:p>
        </w:tc>
        <w:tc>
          <w:tcPr>
            <w:tcW w:w="85" w:type="dxa"/>
            <w:tcBorders/>
            <w:shd w:fill="CCEEFF" w:val="clear"/>
            <w:vAlign w:val="center"/>
          </w:tcPr>
          <w:p>
            <w:pPr>
              <w:pStyle w:val="TableContents"/>
              <w:bidi w:val="0"/>
              <w:spacing w:before="0" w:after="283"/>
              <w:ind w:left="0" w:right="0" w:hanging="180"/>
              <w:jc w:val="left"/>
              <w:rPr>
                <w:rFonts w:ascii="Times New Roman;Times;Serif" w:hAnsi="Times New Roman;Times;Serif"/>
                <w:sz w:val="20"/>
              </w:rPr>
            </w:pPr>
            <w:r>
              <w:rPr>
                <w:rFonts w:ascii="Times New Roman;Times;Serif" w:hAnsi="Times New Roman;Times;Serif"/>
                <w:sz w:val="20"/>
              </w:rPr>
              <w:t>)</w:t>
            </w:r>
          </w:p>
        </w:tc>
      </w:tr>
      <w:tr>
        <w:trPr/>
        <w:tc>
          <w:tcPr>
            <w:tcW w:w="3682"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Net (gain)/loss recognized within Other non-operating income, net in the consolidated statement of operations</w:t>
            </w:r>
          </w:p>
        </w:tc>
        <w:tc>
          <w:tcPr>
            <w:tcW w:w="60" w:type="dxa"/>
            <w:tcBorders/>
            <w:vAlign w:val="center"/>
          </w:tcPr>
          <w:p>
            <w:pPr>
              <w:pStyle w:val="TableContents"/>
              <w:bidi w:val="0"/>
              <w:spacing w:before="0" w:after="283"/>
              <w:jc w:val="left"/>
              <w:rPr/>
            </w:pPr>
            <w:r>
              <w:rPr/>
              <w:t> </w:t>
            </w:r>
          </w:p>
        </w:tc>
        <w:tc>
          <w:tcPr>
            <w:tcW w:w="180" w:type="dxa"/>
            <w:tcBorders>
              <w:bottom w:val="single" w:sz="12" w:space="0" w:color="000000"/>
            </w:tcBorders>
            <w:tcMar>
              <w:bottom w:w="28" w:type="dxa"/>
            </w:tcMar>
            <w:vAlign w:val="center"/>
          </w:tcPr>
          <w:p>
            <w:pPr>
              <w:pStyle w:val="TableContents"/>
              <w:bidi w:val="0"/>
              <w:spacing w:before="0" w:after="283"/>
              <w:jc w:val="left"/>
              <w:rPr/>
            </w:pPr>
            <w:r>
              <w:rPr/>
              <w:t> </w:t>
            </w:r>
          </w:p>
        </w:tc>
        <w:tc>
          <w:tcPr>
            <w:tcW w:w="1008" w:type="dxa"/>
            <w:tcBorders>
              <w:bottom w:val="single" w:sz="12" w:space="0" w:color="000000"/>
            </w:tcBorders>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(33,986</w:t>
            </w:r>
          </w:p>
        </w:tc>
        <w:tc>
          <w:tcPr>
            <w:tcW w:w="8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vAlign w:val="center"/>
          </w:tcPr>
          <w:p>
            <w:pPr>
              <w:pStyle w:val="TableContents"/>
              <w:bidi w:val="0"/>
              <w:spacing w:before="0" w:after="283"/>
              <w:jc w:val="left"/>
              <w:rPr/>
            </w:pPr>
            <w:r>
              <w:rPr/>
              <w:t> </w:t>
            </w:r>
          </w:p>
        </w:tc>
        <w:tc>
          <w:tcPr>
            <w:tcW w:w="316" w:type="dxa"/>
            <w:tcBorders>
              <w:bottom w:val="single" w:sz="12" w:space="0" w:color="000000"/>
            </w:tcBorders>
            <w:tcMar>
              <w:bottom w:w="28" w:type="dxa"/>
            </w:tcMar>
            <w:vAlign w:val="center"/>
          </w:tcPr>
          <w:p>
            <w:pPr>
              <w:pStyle w:val="TableContents"/>
              <w:bidi w:val="0"/>
              <w:spacing w:before="0" w:after="283"/>
              <w:jc w:val="left"/>
              <w:rPr/>
            </w:pPr>
            <w:r>
              <w:rPr/>
              <w:t> </w:t>
            </w:r>
          </w:p>
        </w:tc>
        <w:tc>
          <w:tcPr>
            <w:tcW w:w="1228" w:type="dxa"/>
            <w:tcBorders>
              <w:bottom w:val="single" w:sz="12" w:space="0" w:color="000000"/>
            </w:tcBorders>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(337</w:t>
            </w:r>
          </w:p>
        </w:tc>
        <w:tc>
          <w:tcPr>
            <w:tcW w:w="8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vAlign w:val="center"/>
          </w:tcPr>
          <w:p>
            <w:pPr>
              <w:pStyle w:val="TableContents"/>
              <w:bidi w:val="0"/>
              <w:spacing w:before="0" w:after="283"/>
              <w:jc w:val="left"/>
              <w:rPr/>
            </w:pPr>
            <w:r>
              <w:rPr/>
              <w:t> </w:t>
            </w:r>
          </w:p>
        </w:tc>
        <w:tc>
          <w:tcPr>
            <w:tcW w:w="223" w:type="dxa"/>
            <w:tcBorders>
              <w:bottom w:val="single" w:sz="12" w:space="0" w:color="000000"/>
            </w:tcBorders>
            <w:tcMar>
              <w:bottom w:w="28" w:type="dxa"/>
            </w:tcMar>
            <w:vAlign w:val="center"/>
          </w:tcPr>
          <w:p>
            <w:pPr>
              <w:pStyle w:val="TableContents"/>
              <w:bidi w:val="0"/>
              <w:spacing w:before="0" w:after="283"/>
              <w:jc w:val="left"/>
              <w:rPr/>
            </w:pPr>
            <w:r>
              <w:rPr/>
              <w:t> </w:t>
            </w:r>
          </w:p>
        </w:tc>
        <w:tc>
          <w:tcPr>
            <w:tcW w:w="974" w:type="dxa"/>
            <w:tcBorders>
              <w:bottom w:val="single" w:sz="12" w:space="0" w:color="000000"/>
            </w:tcBorders>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634</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6" w:type="dxa"/>
            <w:tcBorders>
              <w:bottom w:val="single" w:sz="12" w:space="0" w:color="000000"/>
            </w:tcBorders>
            <w:tcMar>
              <w:bottom w:w="28" w:type="dxa"/>
            </w:tcMar>
            <w:vAlign w:val="center"/>
          </w:tcPr>
          <w:p>
            <w:pPr>
              <w:pStyle w:val="TableContents"/>
              <w:bidi w:val="0"/>
              <w:spacing w:before="0" w:after="283"/>
              <w:jc w:val="left"/>
              <w:rPr/>
            </w:pPr>
            <w:r>
              <w:rPr/>
              <w:t> </w:t>
            </w:r>
          </w:p>
        </w:tc>
        <w:tc>
          <w:tcPr>
            <w:tcW w:w="883" w:type="dxa"/>
            <w:tcBorders>
              <w:bottom w:val="single" w:sz="12" w:space="0" w:color="000000"/>
            </w:tcBorders>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(2,955</w:t>
            </w:r>
          </w:p>
        </w:tc>
        <w:tc>
          <w:tcPr>
            <w:tcW w:w="8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vAlign w:val="center"/>
          </w:tcPr>
          <w:p>
            <w:pPr>
              <w:pStyle w:val="TableContents"/>
              <w:bidi w:val="0"/>
              <w:spacing w:before="0" w:after="283"/>
              <w:jc w:val="left"/>
              <w:rPr/>
            </w:pPr>
            <w:r>
              <w:rPr/>
              <w:t> </w:t>
            </w:r>
          </w:p>
        </w:tc>
        <w:tc>
          <w:tcPr>
            <w:tcW w:w="125" w:type="dxa"/>
            <w:tcBorders>
              <w:bottom w:val="single" w:sz="12" w:space="0" w:color="000000"/>
            </w:tcBorders>
            <w:tcMar>
              <w:bottom w:w="28" w:type="dxa"/>
            </w:tcMar>
            <w:vAlign w:val="center"/>
          </w:tcPr>
          <w:p>
            <w:pPr>
              <w:pStyle w:val="TableContents"/>
              <w:bidi w:val="0"/>
              <w:spacing w:before="0" w:after="283"/>
              <w:jc w:val="left"/>
              <w:rPr/>
            </w:pPr>
            <w:r>
              <w:rPr/>
              <w:t> </w:t>
            </w:r>
          </w:p>
        </w:tc>
        <w:tc>
          <w:tcPr>
            <w:tcW w:w="695" w:type="dxa"/>
            <w:tcBorders>
              <w:bottom w:val="single" w:sz="12" w:space="0" w:color="000000"/>
            </w:tcBorders>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(36,644</w:t>
            </w:r>
          </w:p>
        </w:tc>
        <w:tc>
          <w:tcPr>
            <w:tcW w:w="85" w:type="dxa"/>
            <w:tcBorders/>
            <w:vAlign w:val="center"/>
          </w:tcPr>
          <w:p>
            <w:pPr>
              <w:pStyle w:val="TableContents"/>
              <w:bidi w:val="0"/>
              <w:spacing w:before="0" w:after="283"/>
              <w:ind w:left="0" w:right="0" w:hanging="180"/>
              <w:jc w:val="left"/>
              <w:rPr>
                <w:rFonts w:ascii="Times New Roman;Times;Serif" w:hAnsi="Times New Roman;Times;Serif"/>
                <w:sz w:val="20"/>
              </w:rPr>
            </w:pPr>
            <w:r>
              <w:rPr>
                <w:rFonts w:ascii="Times New Roman;Times;Serif" w:hAnsi="Times New Roman;Times;Serif"/>
                <w:sz w:val="20"/>
              </w:rPr>
              <w:t>)</w:t>
            </w:r>
          </w:p>
        </w:tc>
      </w:tr>
      <w:tr>
        <w:trPr/>
        <w:tc>
          <w:tcPr>
            <w:tcW w:w="3682"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Balance as of December 29, 2024</w:t>
            </w:r>
          </w:p>
        </w:tc>
        <w:tc>
          <w:tcPr>
            <w:tcW w:w="60" w:type="dxa"/>
            <w:tcBorders/>
            <w:shd w:fill="CCEEFF" w:val="clear"/>
            <w:vAlign w:val="center"/>
          </w:tcPr>
          <w:p>
            <w:pPr>
              <w:pStyle w:val="TableContents"/>
              <w:bidi w:val="0"/>
              <w:spacing w:before="0" w:after="283"/>
              <w:jc w:val="left"/>
              <w:rPr/>
            </w:pPr>
            <w:r>
              <w:rPr/>
              <w:t> </w:t>
            </w:r>
          </w:p>
        </w:tc>
        <w:tc>
          <w:tcPr>
            <w:tcW w:w="180" w:type="dxa"/>
            <w:tcBorders>
              <w:bottom w:val="double" w:sz="12"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008" w:type="dxa"/>
            <w:tcBorders>
              <w:bottom w:val="doub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97,122</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16" w:type="dxa"/>
            <w:tcBorders>
              <w:bottom w:val="double" w:sz="12"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228" w:type="dxa"/>
            <w:tcBorders>
              <w:bottom w:val="doub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3,494</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3" w:type="dxa"/>
            <w:tcBorders>
              <w:bottom w:val="double" w:sz="12"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974" w:type="dxa"/>
            <w:tcBorders>
              <w:bottom w:val="doub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384</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6" w:type="dxa"/>
            <w:tcBorders>
              <w:bottom w:val="double" w:sz="12"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883" w:type="dxa"/>
            <w:tcBorders>
              <w:bottom w:val="doub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699</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double" w:sz="12"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95" w:type="dxa"/>
            <w:tcBorders>
              <w:bottom w:val="doub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101,699</w:t>
            </w:r>
          </w:p>
        </w:tc>
        <w:tc>
          <w:tcPr>
            <w:tcW w:w="8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Subsequent to issuance, changes in the fair value of derivative liabilities, FPAs, SAFEs and liability classified warrants, are recorded within Other non-operating income, net on the Company’s consolidated statements of operations and comprehensive loss. Refer to </w:t>
      </w:r>
      <w:r>
        <w:rPr>
          <w:rFonts w:ascii="Times New Roman;Times;Serif" w:hAnsi="Times New Roman;Times;Serif"/>
          <w:b/>
          <w:i w:val="false"/>
          <w:caps w:val="false"/>
          <w:smallCaps w:val="false"/>
          <w:sz w:val="20"/>
        </w:rPr>
        <w:t>Note 11 – Other Non-Operating Income, Net</w:t>
      </w:r>
      <w:r>
        <w:rPr>
          <w:rFonts w:ascii="Times New Roman;Times;Serif" w:hAnsi="Times New Roman;Times;Serif"/>
          <w:b w:val="false"/>
          <w:i w:val="false"/>
          <w:caps w:val="false"/>
          <w:smallCaps w:val="false"/>
          <w:sz w:val="20"/>
        </w:rPr>
        <w:t xml:space="preserve"> for details.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 xml:space="preserve">Derivative liabilities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Company recognized derivative liabilities arising from the conversion features of its senior unsecured convertible notes issued in the years ended December 28, 2025 and December 29, 2024 (refer to </w:t>
      </w:r>
      <w:r>
        <w:rPr>
          <w:rFonts w:ascii="Times New Roman;Times;Serif" w:hAnsi="Times New Roman;Times;Serif"/>
          <w:b/>
          <w:i w:val="false"/>
          <w:caps w:val="false"/>
          <w:smallCaps w:val="false"/>
          <w:sz w:val="20"/>
        </w:rPr>
        <w:t>Note 10 – Borrowings and Derivative Liabilities</w:t>
      </w:r>
      <w:r>
        <w:rPr>
          <w:rFonts w:ascii="Times New Roman;Times;Serif" w:hAnsi="Times New Roman;Times;Serif"/>
          <w:b w:val="false"/>
          <w:i w:val="false"/>
          <w:caps w:val="false"/>
          <w:smallCaps w:val="false"/>
          <w:sz w:val="20"/>
        </w:rPr>
        <w:t xml:space="preserve">). Derivative liabilities are measured at fair value in accordance with ASC 820, </w:t>
      </w:r>
      <w:r>
        <w:rPr>
          <w:rFonts w:ascii="Times New Roman;Times;Serif" w:hAnsi="Times New Roman;Times;Serif"/>
          <w:b w:val="false"/>
          <w:i/>
          <w:caps w:val="false"/>
          <w:smallCaps w:val="false"/>
          <w:sz w:val="20"/>
        </w:rPr>
        <w:t>Fair Value Measurement</w:t>
      </w:r>
      <w:r>
        <w:rPr>
          <w:rFonts w:ascii="Times New Roman;Times;Serif" w:hAnsi="Times New Roman;Times;Serif"/>
          <w:b w:val="false"/>
          <w:i w:val="false"/>
          <w:caps w:val="false"/>
          <w:smallCaps w:val="false"/>
          <w:sz w:val="20"/>
        </w:rPr>
        <w:t>. The fair value of each respective derivative liability is measured using a Monte Carlo simulation that incorporates a binomial lattice model. Significant inputs to the binomial lattice model include the terms of the senior unsecured convertible notes (including the interest rate, conversion rate and conversion price), the underlying price of the Company’s common stock, risk-free rate and volatility. Certain of these inputs are unobservable. Thus, these derivative liabilities are classified within Level 3 of the fair value hierarchy. The binomial lattice model produces an estimated fair value based on changes in the price of the underlying shares of the Company’s common stock over successive periods of time. As a result of these interrelationships and inherent unobservable assumptions, the fair value of a derivative liability is subject to significant measurement uncertainty, and alternative reasonable assumptions could have produced materially different results as of December 28, 2025 and December 29, 2024.</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sz w:val="20"/>
          <w:bdr w:val="single" w:sz="12" w:space="1" w:color="000000"/>
        </w:rPr>
      </w:pPr>
      <w:r>
        <w:rPr>
          <w:sz w:val="20"/>
          <w:bdr w:val="single" w:sz="12" w:space="1" w:color="000000"/>
        </w:rPr>
        <w:t>F-78</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assumptions used to value the derivative liabilities as of December 28, 2025 were as follows:</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538"/>
        <w:gridCol w:w="60"/>
        <w:gridCol w:w="205"/>
        <w:gridCol w:w="977"/>
        <w:gridCol w:w="236"/>
        <w:gridCol w:w="76"/>
        <w:gridCol w:w="196"/>
        <w:gridCol w:w="932"/>
        <w:gridCol w:w="236"/>
        <w:gridCol w:w="76"/>
        <w:gridCol w:w="273"/>
        <w:gridCol w:w="1274"/>
        <w:gridCol w:w="185"/>
        <w:gridCol w:w="60"/>
        <w:gridCol w:w="311"/>
        <w:gridCol w:w="1305"/>
        <w:gridCol w:w="333"/>
        <w:gridCol w:w="107"/>
        <w:gridCol w:w="311"/>
        <w:gridCol w:w="1305"/>
        <w:gridCol w:w="209"/>
      </w:tblGrid>
      <w:tr>
        <w:trPr/>
        <w:tc>
          <w:tcPr>
            <w:tcW w:w="1538"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481" w:type="dxa"/>
            <w:gridSpan w:val="10"/>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12.0% Senior Unsecured Convertible Notes</w:t>
            </w:r>
          </w:p>
        </w:tc>
        <w:tc>
          <w:tcPr>
            <w:tcW w:w="1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672" w:type="dxa"/>
            <w:gridSpan w:val="6"/>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7.0% Senior Unsecured Convertible Notes</w:t>
            </w:r>
          </w:p>
        </w:tc>
        <w:tc>
          <w:tcPr>
            <w:tcW w:w="209" w:type="dxa"/>
            <w:tcBorders/>
            <w:vAlign w:val="center"/>
          </w:tcPr>
          <w:p>
            <w:pPr>
              <w:pStyle w:val="TableContents"/>
              <w:bidi w:val="0"/>
              <w:spacing w:before="0" w:after="283"/>
              <w:jc w:val="left"/>
              <w:rPr/>
            </w:pPr>
            <w:r>
              <w:rPr/>
              <w:t> </w:t>
            </w:r>
          </w:p>
        </w:tc>
      </w:tr>
      <w:tr>
        <w:trPr/>
        <w:tc>
          <w:tcPr>
            <w:tcW w:w="1538"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82"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July 2024 Notes</w:t>
            </w:r>
          </w:p>
        </w:tc>
        <w:tc>
          <w:tcPr>
            <w:tcW w:w="236" w:type="dxa"/>
            <w:tcBorders/>
            <w:vAlign w:val="center"/>
          </w:tcPr>
          <w:p>
            <w:pPr>
              <w:pStyle w:val="TableContents"/>
              <w:bidi w:val="0"/>
              <w:spacing w:before="0" w:after="283"/>
              <w:jc w:val="left"/>
              <w:rPr/>
            </w:pPr>
            <w:r>
              <w:rPr/>
              <w:t> </w:t>
            </w:r>
          </w:p>
        </w:tc>
        <w:tc>
          <w:tcPr>
            <w:tcW w:w="76" w:type="dxa"/>
            <w:tcBorders/>
            <w:vAlign w:val="center"/>
          </w:tcPr>
          <w:p>
            <w:pPr>
              <w:pStyle w:val="TableContents"/>
              <w:bidi w:val="0"/>
              <w:spacing w:before="0" w:after="283"/>
              <w:jc w:val="left"/>
              <w:rPr/>
            </w:pPr>
            <w:r>
              <w:rPr/>
              <w:t> </w:t>
            </w:r>
          </w:p>
        </w:tc>
        <w:tc>
          <w:tcPr>
            <w:tcW w:w="1128"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July 2025 Note</w:t>
            </w:r>
          </w:p>
        </w:tc>
        <w:tc>
          <w:tcPr>
            <w:tcW w:w="236" w:type="dxa"/>
            <w:tcBorders/>
            <w:vAlign w:val="center"/>
          </w:tcPr>
          <w:p>
            <w:pPr>
              <w:pStyle w:val="TableContents"/>
              <w:bidi w:val="0"/>
              <w:spacing w:before="0" w:after="283"/>
              <w:jc w:val="left"/>
              <w:rPr/>
            </w:pPr>
            <w:r>
              <w:rPr/>
              <w:t> </w:t>
            </w:r>
          </w:p>
        </w:tc>
        <w:tc>
          <w:tcPr>
            <w:tcW w:w="76" w:type="dxa"/>
            <w:tcBorders/>
            <w:vAlign w:val="center"/>
          </w:tcPr>
          <w:p>
            <w:pPr>
              <w:pStyle w:val="TableContents"/>
              <w:bidi w:val="0"/>
              <w:spacing w:before="0" w:after="283"/>
              <w:jc w:val="left"/>
              <w:rPr/>
            </w:pPr>
            <w:r>
              <w:rPr/>
              <w:t> </w:t>
            </w:r>
          </w:p>
        </w:tc>
        <w:tc>
          <w:tcPr>
            <w:tcW w:w="1547"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November 2025 Note</w:t>
            </w:r>
          </w:p>
        </w:tc>
        <w:tc>
          <w:tcPr>
            <w:tcW w:w="1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16"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September 2024 Notes</w:t>
            </w:r>
          </w:p>
        </w:tc>
        <w:tc>
          <w:tcPr>
            <w:tcW w:w="333" w:type="dxa"/>
            <w:tcBorders/>
            <w:vAlign w:val="center"/>
          </w:tcPr>
          <w:p>
            <w:pPr>
              <w:pStyle w:val="TableContents"/>
              <w:bidi w:val="0"/>
              <w:spacing w:before="0" w:after="283"/>
              <w:jc w:val="left"/>
              <w:rPr/>
            </w:pPr>
            <w:r>
              <w:rPr/>
              <w:t> </w:t>
            </w:r>
          </w:p>
        </w:tc>
        <w:tc>
          <w:tcPr>
            <w:tcW w:w="107" w:type="dxa"/>
            <w:tcBorders/>
            <w:vAlign w:val="center"/>
          </w:tcPr>
          <w:p>
            <w:pPr>
              <w:pStyle w:val="TableContents"/>
              <w:bidi w:val="0"/>
              <w:spacing w:before="0" w:after="283"/>
              <w:jc w:val="left"/>
              <w:rPr/>
            </w:pPr>
            <w:r>
              <w:rPr/>
              <w:t> </w:t>
            </w:r>
          </w:p>
        </w:tc>
        <w:tc>
          <w:tcPr>
            <w:tcW w:w="1616"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September 2025 Notes</w:t>
            </w:r>
          </w:p>
        </w:tc>
        <w:tc>
          <w:tcPr>
            <w:tcW w:w="209" w:type="dxa"/>
            <w:tcBorders/>
            <w:vAlign w:val="center"/>
          </w:tcPr>
          <w:p>
            <w:pPr>
              <w:pStyle w:val="TableContents"/>
              <w:bidi w:val="0"/>
              <w:spacing w:before="0" w:after="283"/>
              <w:jc w:val="left"/>
              <w:rPr/>
            </w:pPr>
            <w:r>
              <w:rPr/>
              <w:t> </w:t>
            </w:r>
          </w:p>
        </w:tc>
      </w:tr>
      <w:tr>
        <w:trPr/>
        <w:tc>
          <w:tcPr>
            <w:tcW w:w="1538"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Coupon rate</w:t>
            </w:r>
          </w:p>
        </w:tc>
        <w:tc>
          <w:tcPr>
            <w:tcW w:w="60" w:type="dxa"/>
            <w:tcBorders/>
            <w:shd w:fill="CCEEFF" w:val="clear"/>
            <w:vAlign w:val="center"/>
          </w:tcPr>
          <w:p>
            <w:pPr>
              <w:pStyle w:val="TableContents"/>
              <w:bidi w:val="0"/>
              <w:spacing w:before="0" w:after="283"/>
              <w:jc w:val="left"/>
              <w:rPr/>
            </w:pPr>
            <w:r>
              <w:rPr/>
              <w:t> </w:t>
            </w:r>
          </w:p>
        </w:tc>
        <w:tc>
          <w:tcPr>
            <w:tcW w:w="205" w:type="dxa"/>
            <w:tcBorders/>
            <w:shd w:fill="CCEEFF" w:val="clear"/>
            <w:vAlign w:val="center"/>
          </w:tcPr>
          <w:p>
            <w:pPr>
              <w:pStyle w:val="TableContents"/>
              <w:bidi w:val="0"/>
              <w:spacing w:before="0" w:after="283"/>
              <w:jc w:val="left"/>
              <w:rPr/>
            </w:pPr>
            <w:r>
              <w:rPr/>
              <w:t> </w:t>
            </w:r>
          </w:p>
        </w:tc>
        <w:tc>
          <w:tcPr>
            <w:tcW w:w="977"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12.0</w:t>
            </w:r>
          </w:p>
        </w:tc>
        <w:tc>
          <w:tcPr>
            <w:tcW w:w="236"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76" w:type="dxa"/>
            <w:tcBorders/>
            <w:shd w:fill="CCEEFF" w:val="clear"/>
            <w:vAlign w:val="center"/>
          </w:tcPr>
          <w:p>
            <w:pPr>
              <w:pStyle w:val="TableContents"/>
              <w:bidi w:val="0"/>
              <w:spacing w:before="0" w:after="283"/>
              <w:jc w:val="left"/>
              <w:rPr/>
            </w:pPr>
            <w:r>
              <w:rPr/>
              <w:t> </w:t>
            </w:r>
          </w:p>
        </w:tc>
        <w:tc>
          <w:tcPr>
            <w:tcW w:w="196" w:type="dxa"/>
            <w:tcBorders/>
            <w:shd w:fill="CCEEFF" w:val="clear"/>
            <w:vAlign w:val="center"/>
          </w:tcPr>
          <w:p>
            <w:pPr>
              <w:pStyle w:val="TableContents"/>
              <w:bidi w:val="0"/>
              <w:spacing w:before="0" w:after="283"/>
              <w:jc w:val="left"/>
              <w:rPr/>
            </w:pPr>
            <w:r>
              <w:rPr/>
              <w:t> </w:t>
            </w:r>
          </w:p>
        </w:tc>
        <w:tc>
          <w:tcPr>
            <w:tcW w:w="932"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12.0</w:t>
            </w:r>
          </w:p>
        </w:tc>
        <w:tc>
          <w:tcPr>
            <w:tcW w:w="236"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76" w:type="dxa"/>
            <w:tcBorders/>
            <w:shd w:fill="CCEEFF" w:val="clear"/>
            <w:vAlign w:val="center"/>
          </w:tcPr>
          <w:p>
            <w:pPr>
              <w:pStyle w:val="TableContents"/>
              <w:bidi w:val="0"/>
              <w:spacing w:before="0" w:after="283"/>
              <w:jc w:val="left"/>
              <w:rPr/>
            </w:pPr>
            <w:r>
              <w:rPr/>
              <w:t> </w:t>
            </w:r>
          </w:p>
        </w:tc>
        <w:tc>
          <w:tcPr>
            <w:tcW w:w="273" w:type="dxa"/>
            <w:tcBorders/>
            <w:shd w:fill="CCEEFF" w:val="clear"/>
            <w:vAlign w:val="center"/>
          </w:tcPr>
          <w:p>
            <w:pPr>
              <w:pStyle w:val="TableContents"/>
              <w:bidi w:val="0"/>
              <w:spacing w:before="0" w:after="283"/>
              <w:jc w:val="left"/>
              <w:rPr/>
            </w:pPr>
            <w:r>
              <w:rPr/>
              <w:t> </w:t>
            </w:r>
          </w:p>
        </w:tc>
        <w:tc>
          <w:tcPr>
            <w:tcW w:w="1274"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12.0</w:t>
            </w:r>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311" w:type="dxa"/>
            <w:tcBorders/>
            <w:shd w:fill="CCEEFF" w:val="clear"/>
            <w:vAlign w:val="center"/>
          </w:tcPr>
          <w:p>
            <w:pPr>
              <w:pStyle w:val="TableContents"/>
              <w:bidi w:val="0"/>
              <w:spacing w:before="0" w:after="283"/>
              <w:jc w:val="left"/>
              <w:rPr/>
            </w:pPr>
            <w:r>
              <w:rPr/>
              <w:t> </w:t>
            </w:r>
          </w:p>
        </w:tc>
        <w:tc>
          <w:tcPr>
            <w:tcW w:w="130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7.0</w:t>
            </w:r>
          </w:p>
        </w:tc>
        <w:tc>
          <w:tcPr>
            <w:tcW w:w="333"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07" w:type="dxa"/>
            <w:tcBorders/>
            <w:shd w:fill="CCEEFF" w:val="clear"/>
            <w:vAlign w:val="center"/>
          </w:tcPr>
          <w:p>
            <w:pPr>
              <w:pStyle w:val="TableContents"/>
              <w:bidi w:val="0"/>
              <w:spacing w:before="0" w:after="283"/>
              <w:jc w:val="left"/>
              <w:rPr/>
            </w:pPr>
            <w:r>
              <w:rPr/>
              <w:t> </w:t>
            </w:r>
          </w:p>
        </w:tc>
        <w:tc>
          <w:tcPr>
            <w:tcW w:w="311" w:type="dxa"/>
            <w:tcBorders/>
            <w:shd w:fill="CCEEFF" w:val="clear"/>
            <w:vAlign w:val="center"/>
          </w:tcPr>
          <w:p>
            <w:pPr>
              <w:pStyle w:val="TableContents"/>
              <w:bidi w:val="0"/>
              <w:spacing w:before="0" w:after="283"/>
              <w:jc w:val="left"/>
              <w:rPr/>
            </w:pPr>
            <w:r>
              <w:rPr/>
              <w:t> </w:t>
            </w:r>
          </w:p>
        </w:tc>
        <w:tc>
          <w:tcPr>
            <w:tcW w:w="130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7.0</w:t>
            </w:r>
          </w:p>
        </w:tc>
        <w:tc>
          <w:tcPr>
            <w:tcW w:w="209"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1538"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Conversion rate</w:t>
            </w:r>
          </w:p>
        </w:tc>
        <w:tc>
          <w:tcPr>
            <w:tcW w:w="60" w:type="dxa"/>
            <w:tcBorders/>
            <w:shd w:fill="FFFFFF" w:val="clear"/>
            <w:vAlign w:val="center"/>
          </w:tcPr>
          <w:p>
            <w:pPr>
              <w:pStyle w:val="TableContents"/>
              <w:bidi w:val="0"/>
              <w:spacing w:before="0" w:after="283"/>
              <w:jc w:val="left"/>
              <w:rPr/>
            </w:pPr>
            <w:r>
              <w:rPr/>
              <w:t> </w:t>
            </w:r>
          </w:p>
        </w:tc>
        <w:tc>
          <w:tcPr>
            <w:tcW w:w="205" w:type="dxa"/>
            <w:tcBorders/>
            <w:shd w:fill="FFFFFF" w:val="clear"/>
            <w:vAlign w:val="center"/>
          </w:tcPr>
          <w:p>
            <w:pPr>
              <w:pStyle w:val="TableContents"/>
              <w:bidi w:val="0"/>
              <w:spacing w:before="0" w:after="283"/>
              <w:jc w:val="left"/>
              <w:rPr/>
            </w:pPr>
            <w:r>
              <w:rPr/>
              <w:t> </w:t>
            </w:r>
          </w:p>
        </w:tc>
        <w:tc>
          <w:tcPr>
            <w:tcW w:w="977"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595.24</w:t>
            </w:r>
          </w:p>
        </w:tc>
        <w:tc>
          <w:tcPr>
            <w:tcW w:w="236" w:type="dxa"/>
            <w:tcBorders/>
            <w:shd w:fill="FFFFFF" w:val="clear"/>
            <w:vAlign w:val="center"/>
          </w:tcPr>
          <w:p>
            <w:pPr>
              <w:pStyle w:val="TableContents"/>
              <w:bidi w:val="0"/>
              <w:spacing w:before="0" w:after="283"/>
              <w:jc w:val="left"/>
              <w:rPr/>
            </w:pPr>
            <w:r>
              <w:rPr/>
              <w:t> </w:t>
            </w:r>
          </w:p>
        </w:tc>
        <w:tc>
          <w:tcPr>
            <w:tcW w:w="7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932"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558.66</w:t>
            </w:r>
          </w:p>
        </w:tc>
        <w:tc>
          <w:tcPr>
            <w:tcW w:w="236" w:type="dxa"/>
            <w:tcBorders/>
            <w:shd w:fill="FFFFFF" w:val="clear"/>
            <w:vAlign w:val="center"/>
          </w:tcPr>
          <w:p>
            <w:pPr>
              <w:pStyle w:val="TableContents"/>
              <w:bidi w:val="0"/>
              <w:spacing w:before="0" w:after="283"/>
              <w:jc w:val="left"/>
              <w:rPr/>
            </w:pPr>
            <w:r>
              <w:rPr/>
              <w:t> </w:t>
            </w:r>
          </w:p>
        </w:tc>
        <w:tc>
          <w:tcPr>
            <w:tcW w:w="76" w:type="dxa"/>
            <w:tcBorders/>
            <w:shd w:fill="FFFFFF" w:val="clear"/>
            <w:vAlign w:val="center"/>
          </w:tcPr>
          <w:p>
            <w:pPr>
              <w:pStyle w:val="TableContents"/>
              <w:bidi w:val="0"/>
              <w:spacing w:before="0" w:after="283"/>
              <w:jc w:val="left"/>
              <w:rPr/>
            </w:pPr>
            <w:r>
              <w:rPr/>
              <w:t> </w:t>
            </w:r>
          </w:p>
        </w:tc>
        <w:tc>
          <w:tcPr>
            <w:tcW w:w="273" w:type="dxa"/>
            <w:tcBorders/>
            <w:shd w:fill="FFFFFF" w:val="clear"/>
            <w:vAlign w:val="center"/>
          </w:tcPr>
          <w:p>
            <w:pPr>
              <w:pStyle w:val="TableContents"/>
              <w:bidi w:val="0"/>
              <w:spacing w:before="0" w:after="283"/>
              <w:jc w:val="left"/>
              <w:rPr/>
            </w:pPr>
            <w:r>
              <w:rPr/>
              <w:t> </w:t>
            </w:r>
          </w:p>
        </w:tc>
        <w:tc>
          <w:tcPr>
            <w:tcW w:w="1274"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626.96</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11" w:type="dxa"/>
            <w:tcBorders/>
            <w:shd w:fill="FFFFFF" w:val="clear"/>
            <w:vAlign w:val="center"/>
          </w:tcPr>
          <w:p>
            <w:pPr>
              <w:pStyle w:val="TableContents"/>
              <w:bidi w:val="0"/>
              <w:spacing w:before="0" w:after="283"/>
              <w:jc w:val="left"/>
              <w:rPr/>
            </w:pPr>
            <w:r>
              <w:rPr/>
              <w:t> </w:t>
            </w:r>
          </w:p>
        </w:tc>
        <w:tc>
          <w:tcPr>
            <w:tcW w:w="130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467.84</w:t>
            </w:r>
          </w:p>
        </w:tc>
        <w:tc>
          <w:tcPr>
            <w:tcW w:w="333" w:type="dxa"/>
            <w:tcBorders/>
            <w:shd w:fill="FFFFFF" w:val="clear"/>
            <w:vAlign w:val="center"/>
          </w:tcPr>
          <w:p>
            <w:pPr>
              <w:pStyle w:val="TableContents"/>
              <w:bidi w:val="0"/>
              <w:spacing w:before="0" w:after="283"/>
              <w:jc w:val="left"/>
              <w:rPr/>
            </w:pPr>
            <w:r>
              <w:rPr/>
              <w:t> </w:t>
            </w:r>
          </w:p>
        </w:tc>
        <w:tc>
          <w:tcPr>
            <w:tcW w:w="107" w:type="dxa"/>
            <w:tcBorders/>
            <w:shd w:fill="FFFFFF" w:val="clear"/>
            <w:vAlign w:val="center"/>
          </w:tcPr>
          <w:p>
            <w:pPr>
              <w:pStyle w:val="TableContents"/>
              <w:bidi w:val="0"/>
              <w:spacing w:before="0" w:after="283"/>
              <w:jc w:val="left"/>
              <w:rPr/>
            </w:pPr>
            <w:r>
              <w:rPr/>
              <w:t> </w:t>
            </w:r>
          </w:p>
        </w:tc>
        <w:tc>
          <w:tcPr>
            <w:tcW w:w="311" w:type="dxa"/>
            <w:tcBorders/>
            <w:shd w:fill="FFFFFF" w:val="clear"/>
            <w:vAlign w:val="center"/>
          </w:tcPr>
          <w:p>
            <w:pPr>
              <w:pStyle w:val="TableContents"/>
              <w:bidi w:val="0"/>
              <w:spacing w:before="0" w:after="283"/>
              <w:jc w:val="left"/>
              <w:rPr/>
            </w:pPr>
            <w:r>
              <w:rPr/>
              <w:t> </w:t>
            </w:r>
          </w:p>
        </w:tc>
        <w:tc>
          <w:tcPr>
            <w:tcW w:w="130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467.84</w:t>
            </w:r>
          </w:p>
        </w:tc>
        <w:tc>
          <w:tcPr>
            <w:tcW w:w="209" w:type="dxa"/>
            <w:tcBorders/>
            <w:shd w:fill="FFFFFF" w:val="clear"/>
            <w:vAlign w:val="center"/>
          </w:tcPr>
          <w:p>
            <w:pPr>
              <w:pStyle w:val="TableContents"/>
              <w:bidi w:val="0"/>
              <w:spacing w:before="0" w:after="283"/>
              <w:jc w:val="left"/>
              <w:rPr/>
            </w:pPr>
            <w:r>
              <w:rPr/>
              <w:t> </w:t>
            </w:r>
          </w:p>
        </w:tc>
      </w:tr>
      <w:tr>
        <w:trPr/>
        <w:tc>
          <w:tcPr>
            <w:tcW w:w="1538"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Conversion price</w:t>
            </w:r>
          </w:p>
        </w:tc>
        <w:tc>
          <w:tcPr>
            <w:tcW w:w="60" w:type="dxa"/>
            <w:tcBorders/>
            <w:shd w:fill="CCEEFF" w:val="clear"/>
            <w:vAlign w:val="center"/>
          </w:tcPr>
          <w:p>
            <w:pPr>
              <w:pStyle w:val="TableContents"/>
              <w:bidi w:val="0"/>
              <w:spacing w:before="0" w:after="283"/>
              <w:jc w:val="left"/>
              <w:rPr/>
            </w:pPr>
            <w:r>
              <w:rPr/>
              <w:t> </w:t>
            </w:r>
          </w:p>
        </w:tc>
        <w:tc>
          <w:tcPr>
            <w:tcW w:w="20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977"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1.68</w:t>
            </w:r>
          </w:p>
        </w:tc>
        <w:tc>
          <w:tcPr>
            <w:tcW w:w="236" w:type="dxa"/>
            <w:tcBorders/>
            <w:shd w:fill="CCEEFF" w:val="clear"/>
            <w:vAlign w:val="center"/>
          </w:tcPr>
          <w:p>
            <w:pPr>
              <w:pStyle w:val="TableContents"/>
              <w:bidi w:val="0"/>
              <w:spacing w:before="0" w:after="283"/>
              <w:jc w:val="left"/>
              <w:rPr/>
            </w:pPr>
            <w:r>
              <w:rPr/>
              <w:t> </w:t>
            </w:r>
          </w:p>
        </w:tc>
        <w:tc>
          <w:tcPr>
            <w:tcW w:w="76" w:type="dxa"/>
            <w:tcBorders/>
            <w:shd w:fill="CCEEFF" w:val="clear"/>
            <w:vAlign w:val="center"/>
          </w:tcPr>
          <w:p>
            <w:pPr>
              <w:pStyle w:val="TableContents"/>
              <w:bidi w:val="0"/>
              <w:spacing w:before="0" w:after="283"/>
              <w:jc w:val="left"/>
              <w:rPr/>
            </w:pPr>
            <w:r>
              <w:rPr/>
              <w:t> </w:t>
            </w:r>
          </w:p>
        </w:tc>
        <w:tc>
          <w:tcPr>
            <w:tcW w:w="196"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932"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1.79</w:t>
            </w:r>
          </w:p>
        </w:tc>
        <w:tc>
          <w:tcPr>
            <w:tcW w:w="236" w:type="dxa"/>
            <w:tcBorders/>
            <w:shd w:fill="CCEEFF" w:val="clear"/>
            <w:vAlign w:val="center"/>
          </w:tcPr>
          <w:p>
            <w:pPr>
              <w:pStyle w:val="TableContents"/>
              <w:bidi w:val="0"/>
              <w:spacing w:before="0" w:after="283"/>
              <w:jc w:val="left"/>
              <w:rPr/>
            </w:pPr>
            <w:r>
              <w:rPr/>
              <w:t> </w:t>
            </w:r>
          </w:p>
        </w:tc>
        <w:tc>
          <w:tcPr>
            <w:tcW w:w="76" w:type="dxa"/>
            <w:tcBorders/>
            <w:shd w:fill="CCEEFF" w:val="clear"/>
            <w:vAlign w:val="center"/>
          </w:tcPr>
          <w:p>
            <w:pPr>
              <w:pStyle w:val="TableContents"/>
              <w:bidi w:val="0"/>
              <w:spacing w:before="0" w:after="283"/>
              <w:jc w:val="left"/>
              <w:rPr/>
            </w:pPr>
            <w:r>
              <w:rPr/>
              <w:t> </w:t>
            </w:r>
          </w:p>
        </w:tc>
        <w:tc>
          <w:tcPr>
            <w:tcW w:w="273"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274"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1.60</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11"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30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2.14</w:t>
            </w:r>
          </w:p>
        </w:tc>
        <w:tc>
          <w:tcPr>
            <w:tcW w:w="333" w:type="dxa"/>
            <w:tcBorders/>
            <w:shd w:fill="CCEEFF" w:val="clear"/>
            <w:vAlign w:val="center"/>
          </w:tcPr>
          <w:p>
            <w:pPr>
              <w:pStyle w:val="TableContents"/>
              <w:bidi w:val="0"/>
              <w:spacing w:before="0" w:after="283"/>
              <w:jc w:val="left"/>
              <w:rPr/>
            </w:pPr>
            <w:r>
              <w:rPr/>
              <w:t> </w:t>
            </w:r>
          </w:p>
        </w:tc>
        <w:tc>
          <w:tcPr>
            <w:tcW w:w="107" w:type="dxa"/>
            <w:tcBorders/>
            <w:shd w:fill="CCEEFF" w:val="clear"/>
            <w:vAlign w:val="center"/>
          </w:tcPr>
          <w:p>
            <w:pPr>
              <w:pStyle w:val="TableContents"/>
              <w:bidi w:val="0"/>
              <w:spacing w:before="0" w:after="283"/>
              <w:jc w:val="left"/>
              <w:rPr/>
            </w:pPr>
            <w:r>
              <w:rPr/>
              <w:t> </w:t>
            </w:r>
          </w:p>
        </w:tc>
        <w:tc>
          <w:tcPr>
            <w:tcW w:w="311"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30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2.14</w:t>
            </w:r>
          </w:p>
        </w:tc>
        <w:tc>
          <w:tcPr>
            <w:tcW w:w="209" w:type="dxa"/>
            <w:tcBorders/>
            <w:shd w:fill="CCEEFF" w:val="clear"/>
            <w:vAlign w:val="center"/>
          </w:tcPr>
          <w:p>
            <w:pPr>
              <w:pStyle w:val="TableContents"/>
              <w:bidi w:val="0"/>
              <w:spacing w:before="0" w:after="283"/>
              <w:jc w:val="left"/>
              <w:rPr/>
            </w:pPr>
            <w:r>
              <w:rPr/>
              <w:t> </w:t>
            </w:r>
          </w:p>
        </w:tc>
      </w:tr>
      <w:tr>
        <w:trPr/>
        <w:tc>
          <w:tcPr>
            <w:tcW w:w="1538"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Common stock price</w:t>
            </w:r>
          </w:p>
        </w:tc>
        <w:tc>
          <w:tcPr>
            <w:tcW w:w="60" w:type="dxa"/>
            <w:tcBorders/>
            <w:shd w:fill="FFFFFF" w:val="clear"/>
            <w:vAlign w:val="center"/>
          </w:tcPr>
          <w:p>
            <w:pPr>
              <w:pStyle w:val="TableContents"/>
              <w:bidi w:val="0"/>
              <w:spacing w:before="0" w:after="283"/>
              <w:jc w:val="left"/>
              <w:rPr/>
            </w:pPr>
            <w:r>
              <w:rPr/>
              <w:t> </w:t>
            </w:r>
          </w:p>
        </w:tc>
        <w:tc>
          <w:tcPr>
            <w:tcW w:w="20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977"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1.62</w:t>
            </w:r>
          </w:p>
        </w:tc>
        <w:tc>
          <w:tcPr>
            <w:tcW w:w="236" w:type="dxa"/>
            <w:tcBorders/>
            <w:shd w:fill="FFFFFF" w:val="clear"/>
            <w:vAlign w:val="center"/>
          </w:tcPr>
          <w:p>
            <w:pPr>
              <w:pStyle w:val="TableContents"/>
              <w:bidi w:val="0"/>
              <w:spacing w:before="0" w:after="283"/>
              <w:jc w:val="left"/>
              <w:rPr/>
            </w:pPr>
            <w:r>
              <w:rPr/>
              <w:t> </w:t>
            </w:r>
          </w:p>
        </w:tc>
        <w:tc>
          <w:tcPr>
            <w:tcW w:w="7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932"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1.62</w:t>
            </w:r>
          </w:p>
        </w:tc>
        <w:tc>
          <w:tcPr>
            <w:tcW w:w="236" w:type="dxa"/>
            <w:tcBorders/>
            <w:shd w:fill="FFFFFF" w:val="clear"/>
            <w:vAlign w:val="center"/>
          </w:tcPr>
          <w:p>
            <w:pPr>
              <w:pStyle w:val="TableContents"/>
              <w:bidi w:val="0"/>
              <w:spacing w:before="0" w:after="283"/>
              <w:jc w:val="left"/>
              <w:rPr/>
            </w:pPr>
            <w:r>
              <w:rPr/>
              <w:t> </w:t>
            </w:r>
          </w:p>
        </w:tc>
        <w:tc>
          <w:tcPr>
            <w:tcW w:w="76" w:type="dxa"/>
            <w:tcBorders/>
            <w:shd w:fill="FFFFFF" w:val="clear"/>
            <w:vAlign w:val="center"/>
          </w:tcPr>
          <w:p>
            <w:pPr>
              <w:pStyle w:val="TableContents"/>
              <w:bidi w:val="0"/>
              <w:spacing w:before="0" w:after="283"/>
              <w:jc w:val="left"/>
              <w:rPr/>
            </w:pPr>
            <w:r>
              <w:rPr/>
              <w:t> </w:t>
            </w:r>
          </w:p>
        </w:tc>
        <w:tc>
          <w:tcPr>
            <w:tcW w:w="273"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274"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1.62</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11"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30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1.62</w:t>
            </w:r>
          </w:p>
        </w:tc>
        <w:tc>
          <w:tcPr>
            <w:tcW w:w="333" w:type="dxa"/>
            <w:tcBorders/>
            <w:shd w:fill="FFFFFF" w:val="clear"/>
            <w:vAlign w:val="center"/>
          </w:tcPr>
          <w:p>
            <w:pPr>
              <w:pStyle w:val="TableContents"/>
              <w:bidi w:val="0"/>
              <w:spacing w:before="0" w:after="283"/>
              <w:jc w:val="left"/>
              <w:rPr/>
            </w:pPr>
            <w:r>
              <w:rPr/>
              <w:t> </w:t>
            </w:r>
          </w:p>
        </w:tc>
        <w:tc>
          <w:tcPr>
            <w:tcW w:w="107" w:type="dxa"/>
            <w:tcBorders/>
            <w:shd w:fill="FFFFFF" w:val="clear"/>
            <w:vAlign w:val="center"/>
          </w:tcPr>
          <w:p>
            <w:pPr>
              <w:pStyle w:val="TableContents"/>
              <w:bidi w:val="0"/>
              <w:spacing w:before="0" w:after="283"/>
              <w:jc w:val="left"/>
              <w:rPr/>
            </w:pPr>
            <w:r>
              <w:rPr/>
              <w:t> </w:t>
            </w:r>
          </w:p>
        </w:tc>
        <w:tc>
          <w:tcPr>
            <w:tcW w:w="311"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30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1.62</w:t>
            </w:r>
          </w:p>
        </w:tc>
        <w:tc>
          <w:tcPr>
            <w:tcW w:w="209" w:type="dxa"/>
            <w:tcBorders/>
            <w:shd w:fill="FFFFFF" w:val="clear"/>
            <w:vAlign w:val="center"/>
          </w:tcPr>
          <w:p>
            <w:pPr>
              <w:pStyle w:val="TableContents"/>
              <w:bidi w:val="0"/>
              <w:spacing w:before="0" w:after="283"/>
              <w:jc w:val="left"/>
              <w:rPr/>
            </w:pPr>
            <w:r>
              <w:rPr/>
              <w:t> </w:t>
            </w:r>
          </w:p>
        </w:tc>
      </w:tr>
      <w:tr>
        <w:trPr/>
        <w:tc>
          <w:tcPr>
            <w:tcW w:w="1538"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Risk-free interest rate</w:t>
            </w:r>
          </w:p>
        </w:tc>
        <w:tc>
          <w:tcPr>
            <w:tcW w:w="60" w:type="dxa"/>
            <w:tcBorders/>
            <w:shd w:fill="CCEEFF" w:val="clear"/>
            <w:vAlign w:val="center"/>
          </w:tcPr>
          <w:p>
            <w:pPr>
              <w:pStyle w:val="TableContents"/>
              <w:bidi w:val="0"/>
              <w:spacing w:before="0" w:after="283"/>
              <w:jc w:val="left"/>
              <w:rPr/>
            </w:pPr>
            <w:r>
              <w:rPr/>
              <w:t> </w:t>
            </w:r>
          </w:p>
        </w:tc>
        <w:tc>
          <w:tcPr>
            <w:tcW w:w="205" w:type="dxa"/>
            <w:tcBorders/>
            <w:shd w:fill="CCEEFF" w:val="clear"/>
            <w:vAlign w:val="center"/>
          </w:tcPr>
          <w:p>
            <w:pPr>
              <w:pStyle w:val="TableContents"/>
              <w:bidi w:val="0"/>
              <w:spacing w:before="0" w:after="283"/>
              <w:jc w:val="left"/>
              <w:rPr/>
            </w:pPr>
            <w:r>
              <w:rPr/>
              <w:t> </w:t>
            </w:r>
          </w:p>
        </w:tc>
        <w:tc>
          <w:tcPr>
            <w:tcW w:w="977"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3.6</w:t>
            </w:r>
          </w:p>
        </w:tc>
        <w:tc>
          <w:tcPr>
            <w:tcW w:w="236"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76" w:type="dxa"/>
            <w:tcBorders/>
            <w:shd w:fill="CCEEFF" w:val="clear"/>
            <w:vAlign w:val="center"/>
          </w:tcPr>
          <w:p>
            <w:pPr>
              <w:pStyle w:val="TableContents"/>
              <w:bidi w:val="0"/>
              <w:spacing w:before="0" w:after="283"/>
              <w:jc w:val="left"/>
              <w:rPr/>
            </w:pPr>
            <w:r>
              <w:rPr/>
              <w:t> </w:t>
            </w:r>
          </w:p>
        </w:tc>
        <w:tc>
          <w:tcPr>
            <w:tcW w:w="196" w:type="dxa"/>
            <w:tcBorders/>
            <w:shd w:fill="CCEEFF" w:val="clear"/>
            <w:vAlign w:val="center"/>
          </w:tcPr>
          <w:p>
            <w:pPr>
              <w:pStyle w:val="TableContents"/>
              <w:bidi w:val="0"/>
              <w:spacing w:before="0" w:after="283"/>
              <w:jc w:val="left"/>
              <w:rPr/>
            </w:pPr>
            <w:r>
              <w:rPr/>
              <w:t> </w:t>
            </w:r>
          </w:p>
        </w:tc>
        <w:tc>
          <w:tcPr>
            <w:tcW w:w="932"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3.6</w:t>
            </w:r>
          </w:p>
        </w:tc>
        <w:tc>
          <w:tcPr>
            <w:tcW w:w="236"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76" w:type="dxa"/>
            <w:tcBorders/>
            <w:shd w:fill="CCEEFF" w:val="clear"/>
            <w:vAlign w:val="center"/>
          </w:tcPr>
          <w:p>
            <w:pPr>
              <w:pStyle w:val="TableContents"/>
              <w:bidi w:val="0"/>
              <w:spacing w:before="0" w:after="283"/>
              <w:jc w:val="left"/>
              <w:rPr/>
            </w:pPr>
            <w:r>
              <w:rPr/>
              <w:t> </w:t>
            </w:r>
          </w:p>
        </w:tc>
        <w:tc>
          <w:tcPr>
            <w:tcW w:w="273" w:type="dxa"/>
            <w:tcBorders/>
            <w:shd w:fill="CCEEFF" w:val="clear"/>
            <w:vAlign w:val="center"/>
          </w:tcPr>
          <w:p>
            <w:pPr>
              <w:pStyle w:val="TableContents"/>
              <w:bidi w:val="0"/>
              <w:spacing w:before="0" w:after="283"/>
              <w:jc w:val="left"/>
              <w:rPr/>
            </w:pPr>
            <w:r>
              <w:rPr/>
              <w:t> </w:t>
            </w:r>
          </w:p>
        </w:tc>
        <w:tc>
          <w:tcPr>
            <w:tcW w:w="1274"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3.6</w:t>
            </w:r>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311" w:type="dxa"/>
            <w:tcBorders/>
            <w:shd w:fill="CCEEFF" w:val="clear"/>
            <w:vAlign w:val="center"/>
          </w:tcPr>
          <w:p>
            <w:pPr>
              <w:pStyle w:val="TableContents"/>
              <w:bidi w:val="0"/>
              <w:spacing w:before="0" w:after="283"/>
              <w:jc w:val="left"/>
              <w:rPr/>
            </w:pPr>
            <w:r>
              <w:rPr/>
              <w:t> </w:t>
            </w:r>
          </w:p>
        </w:tc>
        <w:tc>
          <w:tcPr>
            <w:tcW w:w="130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3.58</w:t>
            </w:r>
          </w:p>
        </w:tc>
        <w:tc>
          <w:tcPr>
            <w:tcW w:w="333"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07" w:type="dxa"/>
            <w:tcBorders/>
            <w:shd w:fill="CCEEFF" w:val="clear"/>
            <w:vAlign w:val="center"/>
          </w:tcPr>
          <w:p>
            <w:pPr>
              <w:pStyle w:val="TableContents"/>
              <w:bidi w:val="0"/>
              <w:spacing w:before="0" w:after="283"/>
              <w:jc w:val="left"/>
              <w:rPr/>
            </w:pPr>
            <w:r>
              <w:rPr/>
              <w:t> </w:t>
            </w:r>
          </w:p>
        </w:tc>
        <w:tc>
          <w:tcPr>
            <w:tcW w:w="311" w:type="dxa"/>
            <w:tcBorders/>
            <w:shd w:fill="CCEEFF" w:val="clear"/>
            <w:vAlign w:val="center"/>
          </w:tcPr>
          <w:p>
            <w:pPr>
              <w:pStyle w:val="TableContents"/>
              <w:bidi w:val="0"/>
              <w:spacing w:before="0" w:after="283"/>
              <w:jc w:val="left"/>
              <w:rPr/>
            </w:pPr>
            <w:r>
              <w:rPr/>
              <w:t> </w:t>
            </w:r>
          </w:p>
        </w:tc>
        <w:tc>
          <w:tcPr>
            <w:tcW w:w="130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3.58</w:t>
            </w:r>
          </w:p>
        </w:tc>
        <w:tc>
          <w:tcPr>
            <w:tcW w:w="209"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1538"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Volatility</w:t>
            </w:r>
          </w:p>
        </w:tc>
        <w:tc>
          <w:tcPr>
            <w:tcW w:w="60" w:type="dxa"/>
            <w:tcBorders/>
            <w:shd w:fill="FFFFFF" w:val="clear"/>
            <w:vAlign w:val="center"/>
          </w:tcPr>
          <w:p>
            <w:pPr>
              <w:pStyle w:val="TableContents"/>
              <w:bidi w:val="0"/>
              <w:spacing w:before="0" w:after="283"/>
              <w:jc w:val="left"/>
              <w:rPr/>
            </w:pPr>
            <w:r>
              <w:rPr/>
              <w:t> </w:t>
            </w:r>
          </w:p>
        </w:tc>
        <w:tc>
          <w:tcPr>
            <w:tcW w:w="205" w:type="dxa"/>
            <w:tcBorders/>
            <w:shd w:fill="FFFFFF" w:val="clear"/>
            <w:vAlign w:val="center"/>
          </w:tcPr>
          <w:p>
            <w:pPr>
              <w:pStyle w:val="TableContents"/>
              <w:bidi w:val="0"/>
              <w:spacing w:before="0" w:after="283"/>
              <w:jc w:val="left"/>
              <w:rPr/>
            </w:pPr>
            <w:r>
              <w:rPr/>
              <w:t> </w:t>
            </w:r>
          </w:p>
        </w:tc>
        <w:tc>
          <w:tcPr>
            <w:tcW w:w="977"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82.2</w:t>
            </w:r>
          </w:p>
        </w:tc>
        <w:tc>
          <w:tcPr>
            <w:tcW w:w="236"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7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932"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83.2</w:t>
            </w:r>
          </w:p>
        </w:tc>
        <w:tc>
          <w:tcPr>
            <w:tcW w:w="236"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76" w:type="dxa"/>
            <w:tcBorders/>
            <w:shd w:fill="FFFFFF" w:val="clear"/>
            <w:vAlign w:val="center"/>
          </w:tcPr>
          <w:p>
            <w:pPr>
              <w:pStyle w:val="TableContents"/>
              <w:bidi w:val="0"/>
              <w:spacing w:before="0" w:after="283"/>
              <w:jc w:val="left"/>
              <w:rPr/>
            </w:pPr>
            <w:r>
              <w:rPr/>
              <w:t> </w:t>
            </w:r>
          </w:p>
        </w:tc>
        <w:tc>
          <w:tcPr>
            <w:tcW w:w="273" w:type="dxa"/>
            <w:tcBorders/>
            <w:shd w:fill="FFFFFF" w:val="clear"/>
            <w:vAlign w:val="center"/>
          </w:tcPr>
          <w:p>
            <w:pPr>
              <w:pStyle w:val="TableContents"/>
              <w:bidi w:val="0"/>
              <w:spacing w:before="0" w:after="283"/>
              <w:jc w:val="left"/>
              <w:rPr/>
            </w:pPr>
            <w:r>
              <w:rPr/>
              <w:t> </w:t>
            </w:r>
          </w:p>
        </w:tc>
        <w:tc>
          <w:tcPr>
            <w:tcW w:w="1274"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81.3</w:t>
            </w:r>
          </w:p>
        </w:tc>
        <w:tc>
          <w:tcPr>
            <w:tcW w:w="1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311" w:type="dxa"/>
            <w:tcBorders/>
            <w:shd w:fill="FFFFFF" w:val="clear"/>
            <w:vAlign w:val="center"/>
          </w:tcPr>
          <w:p>
            <w:pPr>
              <w:pStyle w:val="TableContents"/>
              <w:bidi w:val="0"/>
              <w:spacing w:before="0" w:after="283"/>
              <w:jc w:val="left"/>
              <w:rPr/>
            </w:pPr>
            <w:r>
              <w:rPr/>
              <w:t> </w:t>
            </w:r>
          </w:p>
        </w:tc>
        <w:tc>
          <w:tcPr>
            <w:tcW w:w="130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85.6</w:t>
            </w:r>
          </w:p>
        </w:tc>
        <w:tc>
          <w:tcPr>
            <w:tcW w:w="333"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07" w:type="dxa"/>
            <w:tcBorders/>
            <w:shd w:fill="FFFFFF" w:val="clear"/>
            <w:vAlign w:val="center"/>
          </w:tcPr>
          <w:p>
            <w:pPr>
              <w:pStyle w:val="TableContents"/>
              <w:bidi w:val="0"/>
              <w:spacing w:before="0" w:after="283"/>
              <w:jc w:val="left"/>
              <w:rPr/>
            </w:pPr>
            <w:r>
              <w:rPr/>
              <w:t> </w:t>
            </w:r>
          </w:p>
        </w:tc>
        <w:tc>
          <w:tcPr>
            <w:tcW w:w="311" w:type="dxa"/>
            <w:tcBorders/>
            <w:shd w:fill="FFFFFF" w:val="clear"/>
            <w:vAlign w:val="center"/>
          </w:tcPr>
          <w:p>
            <w:pPr>
              <w:pStyle w:val="TableContents"/>
              <w:bidi w:val="0"/>
              <w:spacing w:before="0" w:after="283"/>
              <w:jc w:val="left"/>
              <w:rPr/>
            </w:pPr>
            <w:r>
              <w:rPr/>
              <w:t> </w:t>
            </w:r>
          </w:p>
        </w:tc>
        <w:tc>
          <w:tcPr>
            <w:tcW w:w="130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85.6</w:t>
            </w:r>
          </w:p>
        </w:tc>
        <w:tc>
          <w:tcPr>
            <w:tcW w:w="209"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1538"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Dividend yield</w:t>
            </w:r>
          </w:p>
        </w:tc>
        <w:tc>
          <w:tcPr>
            <w:tcW w:w="60" w:type="dxa"/>
            <w:tcBorders/>
            <w:shd w:fill="CCEEFF" w:val="clear"/>
            <w:vAlign w:val="center"/>
          </w:tcPr>
          <w:p>
            <w:pPr>
              <w:pStyle w:val="TableContents"/>
              <w:bidi w:val="0"/>
              <w:spacing w:before="0" w:after="283"/>
              <w:jc w:val="left"/>
              <w:rPr/>
            </w:pPr>
            <w:r>
              <w:rPr/>
              <w:t> </w:t>
            </w:r>
          </w:p>
        </w:tc>
        <w:tc>
          <w:tcPr>
            <w:tcW w:w="205" w:type="dxa"/>
            <w:tcBorders/>
            <w:shd w:fill="CCEEFF" w:val="clear"/>
            <w:vAlign w:val="center"/>
          </w:tcPr>
          <w:p>
            <w:pPr>
              <w:pStyle w:val="TableContents"/>
              <w:bidi w:val="0"/>
              <w:spacing w:before="0" w:after="283"/>
              <w:jc w:val="left"/>
              <w:rPr/>
            </w:pPr>
            <w:r>
              <w:rPr/>
              <w:t> </w:t>
            </w:r>
          </w:p>
        </w:tc>
        <w:tc>
          <w:tcPr>
            <w:tcW w:w="977"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0.00</w:t>
            </w:r>
          </w:p>
        </w:tc>
        <w:tc>
          <w:tcPr>
            <w:tcW w:w="236"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76" w:type="dxa"/>
            <w:tcBorders/>
            <w:shd w:fill="CCEEFF" w:val="clear"/>
            <w:vAlign w:val="center"/>
          </w:tcPr>
          <w:p>
            <w:pPr>
              <w:pStyle w:val="TableContents"/>
              <w:bidi w:val="0"/>
              <w:spacing w:before="0" w:after="283"/>
              <w:jc w:val="left"/>
              <w:rPr/>
            </w:pPr>
            <w:r>
              <w:rPr/>
              <w:t> </w:t>
            </w:r>
          </w:p>
        </w:tc>
        <w:tc>
          <w:tcPr>
            <w:tcW w:w="196" w:type="dxa"/>
            <w:tcBorders/>
            <w:shd w:fill="CCEEFF" w:val="clear"/>
            <w:vAlign w:val="center"/>
          </w:tcPr>
          <w:p>
            <w:pPr>
              <w:pStyle w:val="TableContents"/>
              <w:bidi w:val="0"/>
              <w:spacing w:before="0" w:after="283"/>
              <w:jc w:val="left"/>
              <w:rPr/>
            </w:pPr>
            <w:r>
              <w:rPr/>
              <w:t> </w:t>
            </w:r>
          </w:p>
        </w:tc>
        <w:tc>
          <w:tcPr>
            <w:tcW w:w="932"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0.00</w:t>
            </w:r>
          </w:p>
        </w:tc>
        <w:tc>
          <w:tcPr>
            <w:tcW w:w="236"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76" w:type="dxa"/>
            <w:tcBorders/>
            <w:shd w:fill="CCEEFF" w:val="clear"/>
            <w:vAlign w:val="center"/>
          </w:tcPr>
          <w:p>
            <w:pPr>
              <w:pStyle w:val="TableContents"/>
              <w:bidi w:val="0"/>
              <w:spacing w:before="0" w:after="283"/>
              <w:jc w:val="left"/>
              <w:rPr/>
            </w:pPr>
            <w:r>
              <w:rPr/>
              <w:t> </w:t>
            </w:r>
          </w:p>
        </w:tc>
        <w:tc>
          <w:tcPr>
            <w:tcW w:w="273" w:type="dxa"/>
            <w:tcBorders/>
            <w:shd w:fill="CCEEFF" w:val="clear"/>
            <w:vAlign w:val="center"/>
          </w:tcPr>
          <w:p>
            <w:pPr>
              <w:pStyle w:val="TableContents"/>
              <w:bidi w:val="0"/>
              <w:spacing w:before="0" w:after="283"/>
              <w:jc w:val="left"/>
              <w:rPr/>
            </w:pPr>
            <w:r>
              <w:rPr/>
              <w:t> </w:t>
            </w:r>
          </w:p>
        </w:tc>
        <w:tc>
          <w:tcPr>
            <w:tcW w:w="1274"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0.00</w:t>
            </w:r>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311" w:type="dxa"/>
            <w:tcBorders/>
            <w:shd w:fill="CCEEFF" w:val="clear"/>
            <w:vAlign w:val="center"/>
          </w:tcPr>
          <w:p>
            <w:pPr>
              <w:pStyle w:val="TableContents"/>
              <w:bidi w:val="0"/>
              <w:spacing w:before="0" w:after="283"/>
              <w:jc w:val="left"/>
              <w:rPr/>
            </w:pPr>
            <w:r>
              <w:rPr/>
              <w:t> </w:t>
            </w:r>
          </w:p>
        </w:tc>
        <w:tc>
          <w:tcPr>
            <w:tcW w:w="130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0.00</w:t>
            </w:r>
          </w:p>
        </w:tc>
        <w:tc>
          <w:tcPr>
            <w:tcW w:w="333"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07" w:type="dxa"/>
            <w:tcBorders/>
            <w:shd w:fill="CCEEFF" w:val="clear"/>
            <w:vAlign w:val="center"/>
          </w:tcPr>
          <w:p>
            <w:pPr>
              <w:pStyle w:val="TableContents"/>
              <w:bidi w:val="0"/>
              <w:spacing w:before="0" w:after="283"/>
              <w:jc w:val="left"/>
              <w:rPr/>
            </w:pPr>
            <w:r>
              <w:rPr/>
              <w:t> </w:t>
            </w:r>
          </w:p>
        </w:tc>
        <w:tc>
          <w:tcPr>
            <w:tcW w:w="311" w:type="dxa"/>
            <w:tcBorders/>
            <w:shd w:fill="CCEEFF" w:val="clear"/>
            <w:vAlign w:val="center"/>
          </w:tcPr>
          <w:p>
            <w:pPr>
              <w:pStyle w:val="TableContents"/>
              <w:bidi w:val="0"/>
              <w:spacing w:before="0" w:after="283"/>
              <w:jc w:val="left"/>
              <w:rPr/>
            </w:pPr>
            <w:r>
              <w:rPr/>
              <w:t> </w:t>
            </w:r>
          </w:p>
        </w:tc>
        <w:tc>
          <w:tcPr>
            <w:tcW w:w="130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0.00</w:t>
            </w:r>
          </w:p>
        </w:tc>
        <w:tc>
          <w:tcPr>
            <w:tcW w:w="209"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assumptions used to value the derivative liabilities as of December 29, 2024 were as follows:</w:t>
      </w:r>
    </w:p>
    <w:p>
      <w:pPr>
        <w:pStyle w:val="TextBody"/>
        <w:bidi w:val="0"/>
        <w:spacing w:before="0" w:after="0"/>
        <w:ind w:left="0" w:right="0" w:hanging="0"/>
        <w:jc w:val="both"/>
        <w:rPr>
          <w:caps w:val="false"/>
          <w:smallCaps w:val="false"/>
        </w:rPr>
      </w:pPr>
      <w:r>
        <w:rPr>
          <w:caps w:val="false"/>
          <w:smallCaps w:val="false"/>
        </w:rPr>
        <w:t> </w:t>
      </w:r>
    </w:p>
    <w:tbl>
      <w:tblPr>
        <w:tblW w:w="5730" w:type="dxa"/>
        <w:jc w:val="left"/>
        <w:tblInd w:w="0" w:type="dxa"/>
        <w:tblLayout w:type="fixed"/>
        <w:tblCellMar>
          <w:top w:w="0" w:type="dxa"/>
          <w:left w:w="0" w:type="dxa"/>
          <w:bottom w:w="0" w:type="dxa"/>
          <w:right w:w="0" w:type="dxa"/>
        </w:tblCellMar>
      </w:tblPr>
      <w:tblGrid>
        <w:gridCol w:w="1760"/>
        <w:gridCol w:w="60"/>
        <w:gridCol w:w="238"/>
        <w:gridCol w:w="1131"/>
        <w:gridCol w:w="338"/>
        <w:gridCol w:w="109"/>
        <w:gridCol w:w="330"/>
        <w:gridCol w:w="1564"/>
        <w:gridCol w:w="200"/>
      </w:tblGrid>
      <w:tr>
        <w:trPr/>
        <w:tc>
          <w:tcPr>
            <w:tcW w:w="17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710" w:type="dxa"/>
            <w:gridSpan w:val="6"/>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Senior Unsecured Convertible Notes</w:t>
            </w:r>
          </w:p>
        </w:tc>
        <w:tc>
          <w:tcPr>
            <w:tcW w:w="200" w:type="dxa"/>
            <w:tcBorders/>
            <w:vAlign w:val="center"/>
          </w:tcPr>
          <w:p>
            <w:pPr>
              <w:pStyle w:val="TableContents"/>
              <w:bidi w:val="0"/>
              <w:spacing w:before="0" w:after="283"/>
              <w:jc w:val="left"/>
              <w:rPr/>
            </w:pPr>
            <w:r>
              <w:rPr/>
              <w:t> </w:t>
            </w:r>
          </w:p>
        </w:tc>
      </w:tr>
      <w:tr>
        <w:trPr/>
        <w:tc>
          <w:tcPr>
            <w:tcW w:w="17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69"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12.0% Notes</w:t>
            </w:r>
          </w:p>
        </w:tc>
        <w:tc>
          <w:tcPr>
            <w:tcW w:w="338" w:type="dxa"/>
            <w:tcBorders/>
            <w:vAlign w:val="center"/>
          </w:tcPr>
          <w:p>
            <w:pPr>
              <w:pStyle w:val="TableContents"/>
              <w:bidi w:val="0"/>
              <w:spacing w:before="0" w:after="283"/>
              <w:jc w:val="left"/>
              <w:rPr/>
            </w:pPr>
            <w:r>
              <w:rPr/>
              <w:t> </w:t>
            </w:r>
          </w:p>
        </w:tc>
        <w:tc>
          <w:tcPr>
            <w:tcW w:w="109" w:type="dxa"/>
            <w:tcBorders/>
            <w:vAlign w:val="center"/>
          </w:tcPr>
          <w:p>
            <w:pPr>
              <w:pStyle w:val="TableContents"/>
              <w:bidi w:val="0"/>
              <w:spacing w:before="0" w:after="283"/>
              <w:jc w:val="left"/>
              <w:rPr/>
            </w:pPr>
            <w:r>
              <w:rPr/>
              <w:t> </w:t>
            </w:r>
          </w:p>
        </w:tc>
        <w:tc>
          <w:tcPr>
            <w:tcW w:w="1894"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7.0% Notes</w:t>
            </w:r>
          </w:p>
        </w:tc>
        <w:tc>
          <w:tcPr>
            <w:tcW w:w="200" w:type="dxa"/>
            <w:tcBorders/>
            <w:vAlign w:val="center"/>
          </w:tcPr>
          <w:p>
            <w:pPr>
              <w:pStyle w:val="TableContents"/>
              <w:bidi w:val="0"/>
              <w:spacing w:before="0" w:after="283"/>
              <w:jc w:val="left"/>
              <w:rPr/>
            </w:pPr>
            <w:r>
              <w:rPr/>
              <w:t> </w:t>
            </w:r>
          </w:p>
        </w:tc>
      </w:tr>
      <w:tr>
        <w:trPr/>
        <w:tc>
          <w:tcPr>
            <w:tcW w:w="17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69"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July 2024 Notes</w:t>
            </w:r>
          </w:p>
        </w:tc>
        <w:tc>
          <w:tcPr>
            <w:tcW w:w="338" w:type="dxa"/>
            <w:tcBorders/>
            <w:vAlign w:val="center"/>
          </w:tcPr>
          <w:p>
            <w:pPr>
              <w:pStyle w:val="TableContents"/>
              <w:bidi w:val="0"/>
              <w:spacing w:before="0" w:after="283"/>
              <w:jc w:val="left"/>
              <w:rPr/>
            </w:pPr>
            <w:r>
              <w:rPr/>
              <w:t> </w:t>
            </w:r>
          </w:p>
        </w:tc>
        <w:tc>
          <w:tcPr>
            <w:tcW w:w="109" w:type="dxa"/>
            <w:tcBorders/>
            <w:vAlign w:val="center"/>
          </w:tcPr>
          <w:p>
            <w:pPr>
              <w:pStyle w:val="TableContents"/>
              <w:bidi w:val="0"/>
              <w:spacing w:before="0" w:after="283"/>
              <w:jc w:val="left"/>
              <w:rPr/>
            </w:pPr>
            <w:r>
              <w:rPr/>
              <w:t> </w:t>
            </w:r>
          </w:p>
        </w:tc>
        <w:tc>
          <w:tcPr>
            <w:tcW w:w="1894"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September 2024 Notes</w:t>
            </w:r>
          </w:p>
        </w:tc>
        <w:tc>
          <w:tcPr>
            <w:tcW w:w="200" w:type="dxa"/>
            <w:tcBorders/>
            <w:vAlign w:val="center"/>
          </w:tcPr>
          <w:p>
            <w:pPr>
              <w:pStyle w:val="TableContents"/>
              <w:bidi w:val="0"/>
              <w:spacing w:before="0" w:after="283"/>
              <w:jc w:val="left"/>
              <w:rPr/>
            </w:pPr>
            <w:r>
              <w:rPr/>
              <w:t> </w:t>
            </w:r>
          </w:p>
        </w:tc>
      </w:tr>
      <w:tr>
        <w:trPr/>
        <w:tc>
          <w:tcPr>
            <w:tcW w:w="176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Coupon rate</w:t>
            </w:r>
          </w:p>
        </w:tc>
        <w:tc>
          <w:tcPr>
            <w:tcW w:w="60" w:type="dxa"/>
            <w:tcBorders/>
            <w:shd w:fill="CCEEFF" w:val="clear"/>
            <w:vAlign w:val="center"/>
          </w:tcPr>
          <w:p>
            <w:pPr>
              <w:pStyle w:val="TableContents"/>
              <w:bidi w:val="0"/>
              <w:spacing w:before="0" w:after="283"/>
              <w:jc w:val="left"/>
              <w:rPr/>
            </w:pPr>
            <w:r>
              <w:rPr/>
              <w:t> </w:t>
            </w:r>
          </w:p>
        </w:tc>
        <w:tc>
          <w:tcPr>
            <w:tcW w:w="238" w:type="dxa"/>
            <w:tcBorders/>
            <w:shd w:fill="CCEEFF" w:val="clear"/>
            <w:vAlign w:val="center"/>
          </w:tcPr>
          <w:p>
            <w:pPr>
              <w:pStyle w:val="TableContents"/>
              <w:bidi w:val="0"/>
              <w:spacing w:before="0" w:after="283"/>
              <w:jc w:val="left"/>
              <w:rPr/>
            </w:pPr>
            <w:r>
              <w:rPr/>
              <w:t> </w:t>
            </w:r>
          </w:p>
        </w:tc>
        <w:tc>
          <w:tcPr>
            <w:tcW w:w="1131"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12.0</w:t>
            </w:r>
          </w:p>
        </w:tc>
        <w:tc>
          <w:tcPr>
            <w:tcW w:w="338"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09" w:type="dxa"/>
            <w:tcBorders/>
            <w:shd w:fill="CCEEFF" w:val="clear"/>
            <w:vAlign w:val="center"/>
          </w:tcPr>
          <w:p>
            <w:pPr>
              <w:pStyle w:val="TableContents"/>
              <w:bidi w:val="0"/>
              <w:spacing w:before="0" w:after="283"/>
              <w:jc w:val="left"/>
              <w:rPr/>
            </w:pPr>
            <w:r>
              <w:rPr/>
              <w:t> </w:t>
            </w:r>
          </w:p>
        </w:tc>
        <w:tc>
          <w:tcPr>
            <w:tcW w:w="330" w:type="dxa"/>
            <w:tcBorders/>
            <w:shd w:fill="CCEEFF" w:val="clear"/>
            <w:vAlign w:val="center"/>
          </w:tcPr>
          <w:p>
            <w:pPr>
              <w:pStyle w:val="TableContents"/>
              <w:bidi w:val="0"/>
              <w:spacing w:before="0" w:after="283"/>
              <w:jc w:val="left"/>
              <w:rPr/>
            </w:pPr>
            <w:r>
              <w:rPr/>
              <w:t> </w:t>
            </w:r>
          </w:p>
        </w:tc>
        <w:tc>
          <w:tcPr>
            <w:tcW w:w="1564"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7.0</w:t>
            </w:r>
          </w:p>
        </w:tc>
        <w:tc>
          <w:tcPr>
            <w:tcW w:w="20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176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Conversion rate</w:t>
            </w:r>
          </w:p>
        </w:tc>
        <w:tc>
          <w:tcPr>
            <w:tcW w:w="60" w:type="dxa"/>
            <w:tcBorders/>
            <w:shd w:fill="FFFFFF" w:val="clear"/>
            <w:vAlign w:val="center"/>
          </w:tcPr>
          <w:p>
            <w:pPr>
              <w:pStyle w:val="TableContents"/>
              <w:bidi w:val="0"/>
              <w:spacing w:before="0" w:after="283"/>
              <w:jc w:val="left"/>
              <w:rPr/>
            </w:pPr>
            <w:r>
              <w:rPr/>
              <w:t> </w:t>
            </w:r>
          </w:p>
        </w:tc>
        <w:tc>
          <w:tcPr>
            <w:tcW w:w="238" w:type="dxa"/>
            <w:tcBorders/>
            <w:shd w:fill="FFFFFF" w:val="clear"/>
            <w:vAlign w:val="center"/>
          </w:tcPr>
          <w:p>
            <w:pPr>
              <w:pStyle w:val="TableContents"/>
              <w:bidi w:val="0"/>
              <w:spacing w:before="0" w:after="283"/>
              <w:jc w:val="left"/>
              <w:rPr/>
            </w:pPr>
            <w:r>
              <w:rPr/>
              <w:t> </w:t>
            </w:r>
          </w:p>
        </w:tc>
        <w:tc>
          <w:tcPr>
            <w:tcW w:w="1131"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595.24</w:t>
            </w:r>
          </w:p>
        </w:tc>
        <w:tc>
          <w:tcPr>
            <w:tcW w:w="338" w:type="dxa"/>
            <w:tcBorders/>
            <w:shd w:fill="FFFFFF" w:val="clear"/>
            <w:vAlign w:val="center"/>
          </w:tcPr>
          <w:p>
            <w:pPr>
              <w:pStyle w:val="TableContents"/>
              <w:bidi w:val="0"/>
              <w:spacing w:before="0" w:after="283"/>
              <w:jc w:val="left"/>
              <w:rPr/>
            </w:pPr>
            <w:r>
              <w:rPr/>
              <w:t> </w:t>
            </w:r>
          </w:p>
        </w:tc>
        <w:tc>
          <w:tcPr>
            <w:tcW w:w="109" w:type="dxa"/>
            <w:tcBorders/>
            <w:shd w:fill="FFFFFF" w:val="clear"/>
            <w:vAlign w:val="center"/>
          </w:tcPr>
          <w:p>
            <w:pPr>
              <w:pStyle w:val="TableContents"/>
              <w:bidi w:val="0"/>
              <w:spacing w:before="0" w:after="283"/>
              <w:jc w:val="left"/>
              <w:rPr/>
            </w:pPr>
            <w:r>
              <w:rPr/>
              <w:t> </w:t>
            </w:r>
          </w:p>
        </w:tc>
        <w:tc>
          <w:tcPr>
            <w:tcW w:w="330" w:type="dxa"/>
            <w:tcBorders/>
            <w:shd w:fill="FFFFFF" w:val="clear"/>
            <w:vAlign w:val="center"/>
          </w:tcPr>
          <w:p>
            <w:pPr>
              <w:pStyle w:val="TableContents"/>
              <w:bidi w:val="0"/>
              <w:spacing w:before="0" w:after="283"/>
              <w:jc w:val="left"/>
              <w:rPr/>
            </w:pPr>
            <w:r>
              <w:rPr/>
              <w:t> </w:t>
            </w:r>
          </w:p>
        </w:tc>
        <w:tc>
          <w:tcPr>
            <w:tcW w:w="1564"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467.84</w:t>
            </w:r>
          </w:p>
        </w:tc>
        <w:tc>
          <w:tcPr>
            <w:tcW w:w="200" w:type="dxa"/>
            <w:tcBorders/>
            <w:shd w:fill="FFFFFF" w:val="clear"/>
            <w:vAlign w:val="center"/>
          </w:tcPr>
          <w:p>
            <w:pPr>
              <w:pStyle w:val="TableContents"/>
              <w:bidi w:val="0"/>
              <w:spacing w:before="0" w:after="283"/>
              <w:jc w:val="left"/>
              <w:rPr/>
            </w:pPr>
            <w:r>
              <w:rPr/>
              <w:t> </w:t>
            </w:r>
          </w:p>
        </w:tc>
      </w:tr>
      <w:tr>
        <w:trPr/>
        <w:tc>
          <w:tcPr>
            <w:tcW w:w="176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Conversion price</w:t>
            </w:r>
          </w:p>
        </w:tc>
        <w:tc>
          <w:tcPr>
            <w:tcW w:w="60" w:type="dxa"/>
            <w:tcBorders/>
            <w:shd w:fill="CCEEFF" w:val="clear"/>
            <w:vAlign w:val="center"/>
          </w:tcPr>
          <w:p>
            <w:pPr>
              <w:pStyle w:val="TableContents"/>
              <w:bidi w:val="0"/>
              <w:spacing w:before="0" w:after="283"/>
              <w:jc w:val="left"/>
              <w:rPr/>
            </w:pPr>
            <w:r>
              <w:rPr/>
              <w:t> </w:t>
            </w:r>
          </w:p>
        </w:tc>
        <w:tc>
          <w:tcPr>
            <w:tcW w:w="238"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131"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1.68</w:t>
            </w:r>
          </w:p>
        </w:tc>
        <w:tc>
          <w:tcPr>
            <w:tcW w:w="338" w:type="dxa"/>
            <w:tcBorders/>
            <w:shd w:fill="CCEEFF" w:val="clear"/>
            <w:vAlign w:val="center"/>
          </w:tcPr>
          <w:p>
            <w:pPr>
              <w:pStyle w:val="TableContents"/>
              <w:bidi w:val="0"/>
              <w:spacing w:before="0" w:after="283"/>
              <w:jc w:val="left"/>
              <w:rPr/>
            </w:pPr>
            <w:r>
              <w:rPr/>
              <w:t> </w:t>
            </w:r>
          </w:p>
        </w:tc>
        <w:tc>
          <w:tcPr>
            <w:tcW w:w="109" w:type="dxa"/>
            <w:tcBorders/>
            <w:shd w:fill="CCEEFF" w:val="clear"/>
            <w:vAlign w:val="center"/>
          </w:tcPr>
          <w:p>
            <w:pPr>
              <w:pStyle w:val="TableContents"/>
              <w:bidi w:val="0"/>
              <w:spacing w:before="0" w:after="283"/>
              <w:jc w:val="left"/>
              <w:rPr/>
            </w:pPr>
            <w:r>
              <w:rPr/>
              <w:t> </w:t>
            </w:r>
          </w:p>
        </w:tc>
        <w:tc>
          <w:tcPr>
            <w:tcW w:w="33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564"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2.14</w:t>
            </w:r>
          </w:p>
        </w:tc>
        <w:tc>
          <w:tcPr>
            <w:tcW w:w="200" w:type="dxa"/>
            <w:tcBorders/>
            <w:shd w:fill="CCEEFF" w:val="clear"/>
            <w:vAlign w:val="center"/>
          </w:tcPr>
          <w:p>
            <w:pPr>
              <w:pStyle w:val="TableContents"/>
              <w:bidi w:val="0"/>
              <w:spacing w:before="0" w:after="283"/>
              <w:jc w:val="left"/>
              <w:rPr/>
            </w:pPr>
            <w:r>
              <w:rPr/>
              <w:t> </w:t>
            </w:r>
          </w:p>
        </w:tc>
      </w:tr>
      <w:tr>
        <w:trPr/>
        <w:tc>
          <w:tcPr>
            <w:tcW w:w="176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Common stock price</w:t>
            </w:r>
          </w:p>
        </w:tc>
        <w:tc>
          <w:tcPr>
            <w:tcW w:w="60" w:type="dxa"/>
            <w:tcBorders/>
            <w:shd w:fill="FFFFFF" w:val="clear"/>
            <w:vAlign w:val="center"/>
          </w:tcPr>
          <w:p>
            <w:pPr>
              <w:pStyle w:val="TableContents"/>
              <w:bidi w:val="0"/>
              <w:spacing w:before="0" w:after="283"/>
              <w:jc w:val="left"/>
              <w:rPr/>
            </w:pPr>
            <w:r>
              <w:rPr/>
              <w:t> </w:t>
            </w:r>
          </w:p>
        </w:tc>
        <w:tc>
          <w:tcPr>
            <w:tcW w:w="238"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131"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1.81</w:t>
            </w:r>
          </w:p>
        </w:tc>
        <w:tc>
          <w:tcPr>
            <w:tcW w:w="338" w:type="dxa"/>
            <w:tcBorders/>
            <w:shd w:fill="FFFFFF" w:val="clear"/>
            <w:vAlign w:val="center"/>
          </w:tcPr>
          <w:p>
            <w:pPr>
              <w:pStyle w:val="TableContents"/>
              <w:bidi w:val="0"/>
              <w:spacing w:before="0" w:after="283"/>
              <w:jc w:val="left"/>
              <w:rPr/>
            </w:pPr>
            <w:r>
              <w:rPr/>
              <w:t> </w:t>
            </w:r>
          </w:p>
        </w:tc>
        <w:tc>
          <w:tcPr>
            <w:tcW w:w="109" w:type="dxa"/>
            <w:tcBorders/>
            <w:shd w:fill="FFFFFF" w:val="clear"/>
            <w:vAlign w:val="center"/>
          </w:tcPr>
          <w:p>
            <w:pPr>
              <w:pStyle w:val="TableContents"/>
              <w:bidi w:val="0"/>
              <w:spacing w:before="0" w:after="283"/>
              <w:jc w:val="left"/>
              <w:rPr/>
            </w:pPr>
            <w:r>
              <w:rPr/>
              <w:t> </w:t>
            </w:r>
          </w:p>
        </w:tc>
        <w:tc>
          <w:tcPr>
            <w:tcW w:w="33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564"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1.81</w:t>
            </w:r>
          </w:p>
        </w:tc>
        <w:tc>
          <w:tcPr>
            <w:tcW w:w="200" w:type="dxa"/>
            <w:tcBorders/>
            <w:shd w:fill="FFFFFF" w:val="clear"/>
            <w:vAlign w:val="center"/>
          </w:tcPr>
          <w:p>
            <w:pPr>
              <w:pStyle w:val="TableContents"/>
              <w:bidi w:val="0"/>
              <w:spacing w:before="0" w:after="283"/>
              <w:jc w:val="left"/>
              <w:rPr/>
            </w:pPr>
            <w:r>
              <w:rPr/>
              <w:t> </w:t>
            </w:r>
          </w:p>
        </w:tc>
      </w:tr>
      <w:tr>
        <w:trPr/>
        <w:tc>
          <w:tcPr>
            <w:tcW w:w="176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Risk-free interest rate</w:t>
            </w:r>
          </w:p>
        </w:tc>
        <w:tc>
          <w:tcPr>
            <w:tcW w:w="60" w:type="dxa"/>
            <w:tcBorders/>
            <w:shd w:fill="CCEEFF" w:val="clear"/>
            <w:vAlign w:val="center"/>
          </w:tcPr>
          <w:p>
            <w:pPr>
              <w:pStyle w:val="TableContents"/>
              <w:bidi w:val="0"/>
              <w:spacing w:before="0" w:after="283"/>
              <w:jc w:val="left"/>
              <w:rPr/>
            </w:pPr>
            <w:r>
              <w:rPr/>
              <w:t> </w:t>
            </w:r>
          </w:p>
        </w:tc>
        <w:tc>
          <w:tcPr>
            <w:tcW w:w="238" w:type="dxa"/>
            <w:tcBorders/>
            <w:shd w:fill="CCEEFF" w:val="clear"/>
            <w:vAlign w:val="center"/>
          </w:tcPr>
          <w:p>
            <w:pPr>
              <w:pStyle w:val="TableContents"/>
              <w:bidi w:val="0"/>
              <w:spacing w:before="0" w:after="283"/>
              <w:jc w:val="left"/>
              <w:rPr/>
            </w:pPr>
            <w:r>
              <w:rPr/>
              <w:t> </w:t>
            </w:r>
          </w:p>
        </w:tc>
        <w:tc>
          <w:tcPr>
            <w:tcW w:w="1131"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4.43</w:t>
            </w:r>
          </w:p>
        </w:tc>
        <w:tc>
          <w:tcPr>
            <w:tcW w:w="338"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09" w:type="dxa"/>
            <w:tcBorders/>
            <w:shd w:fill="CCEEFF" w:val="clear"/>
            <w:vAlign w:val="center"/>
          </w:tcPr>
          <w:p>
            <w:pPr>
              <w:pStyle w:val="TableContents"/>
              <w:bidi w:val="0"/>
              <w:spacing w:before="0" w:after="283"/>
              <w:jc w:val="left"/>
              <w:rPr/>
            </w:pPr>
            <w:r>
              <w:rPr/>
              <w:t> </w:t>
            </w:r>
          </w:p>
        </w:tc>
        <w:tc>
          <w:tcPr>
            <w:tcW w:w="330" w:type="dxa"/>
            <w:tcBorders/>
            <w:shd w:fill="CCEEFF" w:val="clear"/>
            <w:vAlign w:val="center"/>
          </w:tcPr>
          <w:p>
            <w:pPr>
              <w:pStyle w:val="TableContents"/>
              <w:bidi w:val="0"/>
              <w:spacing w:before="0" w:after="283"/>
              <w:jc w:val="left"/>
              <w:rPr/>
            </w:pPr>
            <w:r>
              <w:rPr/>
              <w:t> </w:t>
            </w:r>
          </w:p>
        </w:tc>
        <w:tc>
          <w:tcPr>
            <w:tcW w:w="1564"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4.43</w:t>
            </w:r>
          </w:p>
        </w:tc>
        <w:tc>
          <w:tcPr>
            <w:tcW w:w="20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176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Volatility</w:t>
            </w:r>
          </w:p>
        </w:tc>
        <w:tc>
          <w:tcPr>
            <w:tcW w:w="60" w:type="dxa"/>
            <w:tcBorders/>
            <w:shd w:fill="FFFFFF" w:val="clear"/>
            <w:vAlign w:val="center"/>
          </w:tcPr>
          <w:p>
            <w:pPr>
              <w:pStyle w:val="TableContents"/>
              <w:bidi w:val="0"/>
              <w:spacing w:before="0" w:after="283"/>
              <w:jc w:val="left"/>
              <w:rPr/>
            </w:pPr>
            <w:r>
              <w:rPr/>
              <w:t> </w:t>
            </w:r>
          </w:p>
        </w:tc>
        <w:tc>
          <w:tcPr>
            <w:tcW w:w="238" w:type="dxa"/>
            <w:tcBorders/>
            <w:shd w:fill="FFFFFF" w:val="clear"/>
            <w:vAlign w:val="center"/>
          </w:tcPr>
          <w:p>
            <w:pPr>
              <w:pStyle w:val="TableContents"/>
              <w:bidi w:val="0"/>
              <w:spacing w:before="0" w:after="283"/>
              <w:jc w:val="left"/>
              <w:rPr/>
            </w:pPr>
            <w:r>
              <w:rPr/>
              <w:t> </w:t>
            </w:r>
          </w:p>
        </w:tc>
        <w:tc>
          <w:tcPr>
            <w:tcW w:w="1131"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62.0</w:t>
            </w:r>
          </w:p>
        </w:tc>
        <w:tc>
          <w:tcPr>
            <w:tcW w:w="338"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09" w:type="dxa"/>
            <w:tcBorders/>
            <w:shd w:fill="FFFFFF" w:val="clear"/>
            <w:vAlign w:val="center"/>
          </w:tcPr>
          <w:p>
            <w:pPr>
              <w:pStyle w:val="TableContents"/>
              <w:bidi w:val="0"/>
              <w:spacing w:before="0" w:after="283"/>
              <w:jc w:val="left"/>
              <w:rPr/>
            </w:pPr>
            <w:r>
              <w:rPr/>
              <w:t> </w:t>
            </w:r>
          </w:p>
        </w:tc>
        <w:tc>
          <w:tcPr>
            <w:tcW w:w="330" w:type="dxa"/>
            <w:tcBorders/>
            <w:shd w:fill="FFFFFF" w:val="clear"/>
            <w:vAlign w:val="center"/>
          </w:tcPr>
          <w:p>
            <w:pPr>
              <w:pStyle w:val="TableContents"/>
              <w:bidi w:val="0"/>
              <w:spacing w:before="0" w:after="283"/>
              <w:jc w:val="left"/>
              <w:rPr/>
            </w:pPr>
            <w:r>
              <w:rPr/>
              <w:t> </w:t>
            </w:r>
          </w:p>
        </w:tc>
        <w:tc>
          <w:tcPr>
            <w:tcW w:w="1564"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66.6</w:t>
            </w:r>
          </w:p>
        </w:tc>
        <w:tc>
          <w:tcPr>
            <w:tcW w:w="20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176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Dividend yield</w:t>
            </w:r>
          </w:p>
        </w:tc>
        <w:tc>
          <w:tcPr>
            <w:tcW w:w="60" w:type="dxa"/>
            <w:tcBorders/>
            <w:shd w:fill="CCEEFF" w:val="clear"/>
            <w:vAlign w:val="center"/>
          </w:tcPr>
          <w:p>
            <w:pPr>
              <w:pStyle w:val="TableContents"/>
              <w:bidi w:val="0"/>
              <w:spacing w:before="0" w:after="283"/>
              <w:jc w:val="left"/>
              <w:rPr/>
            </w:pPr>
            <w:r>
              <w:rPr/>
              <w:t> </w:t>
            </w:r>
          </w:p>
        </w:tc>
        <w:tc>
          <w:tcPr>
            <w:tcW w:w="238" w:type="dxa"/>
            <w:tcBorders/>
            <w:shd w:fill="CCEEFF" w:val="clear"/>
            <w:vAlign w:val="center"/>
          </w:tcPr>
          <w:p>
            <w:pPr>
              <w:pStyle w:val="TableContents"/>
              <w:bidi w:val="0"/>
              <w:spacing w:before="0" w:after="283"/>
              <w:jc w:val="left"/>
              <w:rPr/>
            </w:pPr>
            <w:r>
              <w:rPr/>
              <w:t> </w:t>
            </w:r>
          </w:p>
        </w:tc>
        <w:tc>
          <w:tcPr>
            <w:tcW w:w="1131"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0.00</w:t>
            </w:r>
          </w:p>
        </w:tc>
        <w:tc>
          <w:tcPr>
            <w:tcW w:w="338"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09" w:type="dxa"/>
            <w:tcBorders/>
            <w:shd w:fill="CCEEFF" w:val="clear"/>
            <w:vAlign w:val="center"/>
          </w:tcPr>
          <w:p>
            <w:pPr>
              <w:pStyle w:val="TableContents"/>
              <w:bidi w:val="0"/>
              <w:spacing w:before="0" w:after="283"/>
              <w:jc w:val="left"/>
              <w:rPr/>
            </w:pPr>
            <w:r>
              <w:rPr/>
              <w:t> </w:t>
            </w:r>
          </w:p>
        </w:tc>
        <w:tc>
          <w:tcPr>
            <w:tcW w:w="330" w:type="dxa"/>
            <w:tcBorders/>
            <w:shd w:fill="CCEEFF" w:val="clear"/>
            <w:vAlign w:val="center"/>
          </w:tcPr>
          <w:p>
            <w:pPr>
              <w:pStyle w:val="TableContents"/>
              <w:bidi w:val="0"/>
              <w:spacing w:before="0" w:after="283"/>
              <w:jc w:val="left"/>
              <w:rPr/>
            </w:pPr>
            <w:r>
              <w:rPr/>
              <w:t> </w:t>
            </w:r>
          </w:p>
        </w:tc>
        <w:tc>
          <w:tcPr>
            <w:tcW w:w="1564"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0.00</w:t>
            </w:r>
          </w:p>
        </w:tc>
        <w:tc>
          <w:tcPr>
            <w:tcW w:w="20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Forward purchase agreement liabilities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FPAs are measured at fair value on a recurring basis using a Monte Carlo simulation analysis based upon the following inputs:</w:t>
      </w:r>
    </w:p>
    <w:p>
      <w:pPr>
        <w:pStyle w:val="TextBody"/>
        <w:bidi w:val="0"/>
        <w:spacing w:before="0" w:after="0"/>
        <w:ind w:left="0" w:right="0" w:hanging="0"/>
        <w:jc w:val="both"/>
        <w:rPr>
          <w:caps w:val="false"/>
          <w:smallCaps w:val="false"/>
        </w:rPr>
      </w:pPr>
      <w:r>
        <w:rPr>
          <w:caps w:val="false"/>
          <w:smallCaps w:val="false"/>
        </w:rPr>
        <w:t> </w:t>
      </w:r>
    </w:p>
    <w:tbl>
      <w:tblPr>
        <w:tblW w:w="4373" w:type="dxa"/>
        <w:jc w:val="left"/>
        <w:tblInd w:w="0" w:type="dxa"/>
        <w:tblLayout w:type="fixed"/>
        <w:tblCellMar>
          <w:top w:w="0" w:type="dxa"/>
          <w:left w:w="0" w:type="dxa"/>
          <w:bottom w:w="0" w:type="dxa"/>
          <w:right w:w="0" w:type="dxa"/>
        </w:tblCellMar>
      </w:tblPr>
      <w:tblGrid>
        <w:gridCol w:w="1520"/>
        <w:gridCol w:w="60"/>
        <w:gridCol w:w="259"/>
        <w:gridCol w:w="915"/>
        <w:gridCol w:w="185"/>
        <w:gridCol w:w="60"/>
        <w:gridCol w:w="240"/>
        <w:gridCol w:w="934"/>
        <w:gridCol w:w="200"/>
      </w:tblGrid>
      <w:tr>
        <w:trPr/>
        <w:tc>
          <w:tcPr>
            <w:tcW w:w="152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2593" w:type="dxa"/>
            <w:gridSpan w:val="6"/>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As of</w:t>
            </w:r>
          </w:p>
        </w:tc>
        <w:tc>
          <w:tcPr>
            <w:tcW w:w="200" w:type="dxa"/>
            <w:tcBorders/>
            <w:vAlign w:val="center"/>
          </w:tcPr>
          <w:p>
            <w:pPr>
              <w:pStyle w:val="TableContents"/>
              <w:bidi w:val="0"/>
              <w:spacing w:before="0" w:after="283"/>
              <w:jc w:val="left"/>
              <w:rPr/>
            </w:pPr>
            <w:r>
              <w:rPr/>
              <w:t> </w:t>
            </w:r>
          </w:p>
        </w:tc>
      </w:tr>
      <w:tr>
        <w:trPr/>
        <w:tc>
          <w:tcPr>
            <w:tcW w:w="152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174" w:type="dxa"/>
            <w:gridSpan w:val="2"/>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December 28,</w:t>
            </w:r>
          </w:p>
        </w:tc>
        <w:tc>
          <w:tcPr>
            <w:tcW w:w="1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74" w:type="dxa"/>
            <w:gridSpan w:val="2"/>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December 29,</w:t>
            </w:r>
          </w:p>
        </w:tc>
        <w:tc>
          <w:tcPr>
            <w:tcW w:w="200" w:type="dxa"/>
            <w:tcBorders/>
            <w:vAlign w:val="center"/>
          </w:tcPr>
          <w:p>
            <w:pPr>
              <w:pStyle w:val="TableContents"/>
              <w:bidi w:val="0"/>
              <w:spacing w:before="0" w:after="283"/>
              <w:jc w:val="left"/>
              <w:rPr/>
            </w:pPr>
            <w:r>
              <w:rPr/>
              <w:t> </w:t>
            </w:r>
          </w:p>
        </w:tc>
      </w:tr>
      <w:tr>
        <w:trPr/>
        <w:tc>
          <w:tcPr>
            <w:tcW w:w="152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174"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2025</w:t>
            </w:r>
          </w:p>
        </w:tc>
        <w:tc>
          <w:tcPr>
            <w:tcW w:w="1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74"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2024</w:t>
            </w:r>
          </w:p>
        </w:tc>
        <w:tc>
          <w:tcPr>
            <w:tcW w:w="200" w:type="dxa"/>
            <w:tcBorders/>
            <w:vAlign w:val="center"/>
          </w:tcPr>
          <w:p>
            <w:pPr>
              <w:pStyle w:val="TableContents"/>
              <w:bidi w:val="0"/>
              <w:spacing w:before="0" w:after="283"/>
              <w:jc w:val="left"/>
              <w:rPr/>
            </w:pPr>
            <w:r>
              <w:rPr/>
              <w:t> </w:t>
            </w:r>
          </w:p>
        </w:tc>
      </w:tr>
      <w:tr>
        <w:trPr/>
        <w:tc>
          <w:tcPr>
            <w:tcW w:w="152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VWAP stock price</w:t>
            </w:r>
          </w:p>
        </w:tc>
        <w:tc>
          <w:tcPr>
            <w:tcW w:w="60" w:type="dxa"/>
            <w:tcBorders/>
            <w:shd w:fill="CCEEFF" w:val="clear"/>
            <w:vAlign w:val="center"/>
          </w:tcPr>
          <w:p>
            <w:pPr>
              <w:pStyle w:val="TableContents"/>
              <w:bidi w:val="0"/>
              <w:spacing w:before="0" w:after="283"/>
              <w:jc w:val="left"/>
              <w:rPr/>
            </w:pPr>
            <w:r>
              <w:rPr/>
              <w:t> </w:t>
            </w:r>
          </w:p>
        </w:tc>
        <w:tc>
          <w:tcPr>
            <w:tcW w:w="259"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91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1.66</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934"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1.78</w:t>
            </w:r>
          </w:p>
        </w:tc>
        <w:tc>
          <w:tcPr>
            <w:tcW w:w="200" w:type="dxa"/>
            <w:tcBorders/>
            <w:shd w:fill="CCEEFF" w:val="clear"/>
            <w:vAlign w:val="center"/>
          </w:tcPr>
          <w:p>
            <w:pPr>
              <w:pStyle w:val="TableContents"/>
              <w:bidi w:val="0"/>
              <w:spacing w:before="0" w:after="283"/>
              <w:jc w:val="left"/>
              <w:rPr/>
            </w:pPr>
            <w:r>
              <w:rPr/>
              <w:t> </w:t>
            </w:r>
          </w:p>
        </w:tc>
      </w:tr>
      <w:tr>
        <w:trPr/>
        <w:tc>
          <w:tcPr>
            <w:tcW w:w="152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Simulation period</w:t>
            </w:r>
          </w:p>
        </w:tc>
        <w:tc>
          <w:tcPr>
            <w:tcW w:w="60" w:type="dxa"/>
            <w:tcBorders/>
            <w:shd w:fill="FFFFFF" w:val="clear"/>
            <w:vAlign w:val="center"/>
          </w:tcPr>
          <w:p>
            <w:pPr>
              <w:pStyle w:val="TableContents"/>
              <w:bidi w:val="0"/>
              <w:spacing w:before="0" w:after="283"/>
              <w:jc w:val="left"/>
              <w:rPr/>
            </w:pPr>
            <w:r>
              <w:rPr/>
              <w:t> </w:t>
            </w:r>
          </w:p>
        </w:tc>
        <w:tc>
          <w:tcPr>
            <w:tcW w:w="259" w:type="dxa"/>
            <w:tcBorders/>
            <w:shd w:fill="FFFFFF" w:val="clear"/>
            <w:vAlign w:val="center"/>
          </w:tcPr>
          <w:p>
            <w:pPr>
              <w:pStyle w:val="TableContents"/>
              <w:bidi w:val="0"/>
              <w:spacing w:before="0" w:after="283"/>
              <w:jc w:val="left"/>
              <w:rPr/>
            </w:pPr>
            <w:r>
              <w:rPr/>
              <w:t> </w:t>
            </w:r>
          </w:p>
        </w:tc>
        <w:tc>
          <w:tcPr>
            <w:tcW w:w="91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0.55 years</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40" w:type="dxa"/>
            <w:tcBorders/>
            <w:shd w:fill="FFFFFF" w:val="clear"/>
            <w:vAlign w:val="center"/>
          </w:tcPr>
          <w:p>
            <w:pPr>
              <w:pStyle w:val="TableContents"/>
              <w:bidi w:val="0"/>
              <w:spacing w:before="0" w:after="283"/>
              <w:jc w:val="left"/>
              <w:rPr/>
            </w:pPr>
            <w:r>
              <w:rPr/>
              <w:t> </w:t>
            </w:r>
          </w:p>
        </w:tc>
        <w:tc>
          <w:tcPr>
            <w:tcW w:w="934"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0.55 years</w:t>
            </w:r>
          </w:p>
        </w:tc>
        <w:tc>
          <w:tcPr>
            <w:tcW w:w="200" w:type="dxa"/>
            <w:tcBorders/>
            <w:shd w:fill="FFFFFF" w:val="clear"/>
            <w:vAlign w:val="center"/>
          </w:tcPr>
          <w:p>
            <w:pPr>
              <w:pStyle w:val="TableContents"/>
              <w:bidi w:val="0"/>
              <w:spacing w:before="0" w:after="283"/>
              <w:jc w:val="left"/>
              <w:rPr/>
            </w:pPr>
            <w:r>
              <w:rPr/>
              <w:t> </w:t>
            </w:r>
          </w:p>
        </w:tc>
      </w:tr>
      <w:tr>
        <w:trPr/>
        <w:tc>
          <w:tcPr>
            <w:tcW w:w="152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Risk-free rate</w:t>
            </w:r>
          </w:p>
        </w:tc>
        <w:tc>
          <w:tcPr>
            <w:tcW w:w="60" w:type="dxa"/>
            <w:tcBorders/>
            <w:shd w:fill="CCEEFF" w:val="clear"/>
            <w:vAlign w:val="center"/>
          </w:tcPr>
          <w:p>
            <w:pPr>
              <w:pStyle w:val="TableContents"/>
              <w:bidi w:val="0"/>
              <w:spacing w:before="0" w:after="283"/>
              <w:jc w:val="left"/>
              <w:rPr/>
            </w:pPr>
            <w:r>
              <w:rPr/>
              <w:t> </w:t>
            </w:r>
          </w:p>
        </w:tc>
        <w:tc>
          <w:tcPr>
            <w:tcW w:w="259" w:type="dxa"/>
            <w:tcBorders/>
            <w:shd w:fill="CCEEFF" w:val="clear"/>
            <w:vAlign w:val="center"/>
          </w:tcPr>
          <w:p>
            <w:pPr>
              <w:pStyle w:val="TableContents"/>
              <w:bidi w:val="0"/>
              <w:spacing w:before="0" w:after="283"/>
              <w:jc w:val="left"/>
              <w:rPr/>
            </w:pPr>
            <w:r>
              <w:rPr/>
              <w:t> </w:t>
            </w:r>
          </w:p>
        </w:tc>
        <w:tc>
          <w:tcPr>
            <w:tcW w:w="91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3.57</w:t>
            </w:r>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240" w:type="dxa"/>
            <w:tcBorders/>
            <w:shd w:fill="CCEEFF" w:val="clear"/>
            <w:vAlign w:val="center"/>
          </w:tcPr>
          <w:p>
            <w:pPr>
              <w:pStyle w:val="TableContents"/>
              <w:bidi w:val="0"/>
              <w:spacing w:before="0" w:after="283"/>
              <w:jc w:val="left"/>
              <w:rPr/>
            </w:pPr>
            <w:r>
              <w:rPr/>
              <w:t> </w:t>
            </w:r>
          </w:p>
        </w:tc>
        <w:tc>
          <w:tcPr>
            <w:tcW w:w="934"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4.28</w:t>
            </w:r>
          </w:p>
        </w:tc>
        <w:tc>
          <w:tcPr>
            <w:tcW w:w="20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152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Volatility</w:t>
            </w:r>
          </w:p>
        </w:tc>
        <w:tc>
          <w:tcPr>
            <w:tcW w:w="60" w:type="dxa"/>
            <w:tcBorders/>
            <w:shd w:fill="FFFFFF" w:val="clear"/>
            <w:vAlign w:val="center"/>
          </w:tcPr>
          <w:p>
            <w:pPr>
              <w:pStyle w:val="TableContents"/>
              <w:bidi w:val="0"/>
              <w:spacing w:before="0" w:after="283"/>
              <w:jc w:val="left"/>
              <w:rPr/>
            </w:pPr>
            <w:r>
              <w:rPr/>
              <w:t> </w:t>
            </w:r>
          </w:p>
        </w:tc>
        <w:tc>
          <w:tcPr>
            <w:tcW w:w="259" w:type="dxa"/>
            <w:tcBorders/>
            <w:shd w:fill="FFFFFF" w:val="clear"/>
            <w:vAlign w:val="center"/>
          </w:tcPr>
          <w:p>
            <w:pPr>
              <w:pStyle w:val="TableContents"/>
              <w:bidi w:val="0"/>
              <w:spacing w:before="0" w:after="283"/>
              <w:jc w:val="left"/>
              <w:rPr/>
            </w:pPr>
            <w:r>
              <w:rPr/>
              <w:t> </w:t>
            </w:r>
          </w:p>
        </w:tc>
        <w:tc>
          <w:tcPr>
            <w:tcW w:w="91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77.3</w:t>
            </w:r>
          </w:p>
        </w:tc>
        <w:tc>
          <w:tcPr>
            <w:tcW w:w="1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240" w:type="dxa"/>
            <w:tcBorders/>
            <w:shd w:fill="FFFFFF" w:val="clear"/>
            <w:vAlign w:val="center"/>
          </w:tcPr>
          <w:p>
            <w:pPr>
              <w:pStyle w:val="TableContents"/>
              <w:bidi w:val="0"/>
              <w:spacing w:before="0" w:after="283"/>
              <w:jc w:val="left"/>
              <w:rPr/>
            </w:pPr>
            <w:r>
              <w:rPr/>
              <w:t> </w:t>
            </w:r>
          </w:p>
        </w:tc>
        <w:tc>
          <w:tcPr>
            <w:tcW w:w="934"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117.0</w:t>
            </w:r>
          </w:p>
        </w:tc>
        <w:tc>
          <w:tcPr>
            <w:tcW w:w="20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sz w:val="20"/>
          <w:bdr w:val="single" w:sz="12" w:space="1" w:color="000000"/>
        </w:rPr>
      </w:pPr>
      <w:r>
        <w:rPr>
          <w:sz w:val="20"/>
          <w:bdr w:val="single" w:sz="12" w:space="1" w:color="000000"/>
        </w:rPr>
        <w:t>F-79</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volume-weighted average price (“VWAP”) reflects management’s judgment regarding expected future trading activity and price behavior as an active forward market does not exist for the Company’s common stock. Reasonably possible alternative VWAP outcomes at the reporting date could have resulted in a materially different fair value. The risk-free rate is derived from the applicable tenor of the U.S. Treasury yield curve. Changes in the risk-free rate would alter the present value of the simulated settlement amounts and could significantly impact the fair value estimate. The expected volatility is determined based on the historical equity volatility of comparable companies over a period that matches the simulation period. Because expected volatility drives the dispersion of simulated price paths, reasonably higher or lower volatility assumptions could materially increase or decrease the estimated fair value. These inputs are interrelated, and changes in one may affect the others. As a result of these interrelationships and inherent unobservable assumptions, the fair value of FPAs is subject to significant measurement uncertainty, and alternative reasonable assumptions could have produced materially different results as of December 28, 2025 and December 29, 2024. Thus, FPAs are classified within Level 3 of the fair value hierarchy.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Private placement and working capital warrants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valued the private placement and working capital warrants, based on a binomial lattice model, which included the following inputs:</w:t>
      </w:r>
    </w:p>
    <w:p>
      <w:pPr>
        <w:pStyle w:val="TextBody"/>
        <w:bidi w:val="0"/>
        <w:spacing w:before="0" w:after="0"/>
        <w:ind w:left="0" w:right="0" w:hanging="0"/>
        <w:jc w:val="both"/>
        <w:rPr>
          <w:caps w:val="false"/>
          <w:smallCaps w:val="false"/>
        </w:rPr>
      </w:pPr>
      <w:r>
        <w:rPr>
          <w:caps w:val="false"/>
          <w:smallCaps w:val="false"/>
        </w:rPr>
        <w:t> </w:t>
      </w:r>
    </w:p>
    <w:tbl>
      <w:tblPr>
        <w:tblW w:w="4898" w:type="dxa"/>
        <w:jc w:val="left"/>
        <w:tblInd w:w="0" w:type="dxa"/>
        <w:tblLayout w:type="fixed"/>
        <w:tblCellMar>
          <w:top w:w="0" w:type="dxa"/>
          <w:left w:w="0" w:type="dxa"/>
          <w:bottom w:w="0" w:type="dxa"/>
          <w:right w:w="0" w:type="dxa"/>
        </w:tblCellMar>
      </w:tblPr>
      <w:tblGrid>
        <w:gridCol w:w="2045"/>
        <w:gridCol w:w="60"/>
        <w:gridCol w:w="240"/>
        <w:gridCol w:w="934"/>
        <w:gridCol w:w="185"/>
        <w:gridCol w:w="60"/>
        <w:gridCol w:w="240"/>
        <w:gridCol w:w="934"/>
        <w:gridCol w:w="200"/>
      </w:tblGrid>
      <w:tr>
        <w:trPr/>
        <w:tc>
          <w:tcPr>
            <w:tcW w:w="2045"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p>
        </w:tc>
        <w:tc>
          <w:tcPr>
            <w:tcW w:w="2593" w:type="dxa"/>
            <w:gridSpan w:val="6"/>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As of</w:t>
            </w:r>
          </w:p>
        </w:tc>
        <w:tc>
          <w:tcPr>
            <w:tcW w:w="200" w:type="dxa"/>
            <w:tcBorders/>
            <w:vAlign w:val="center"/>
          </w:tcPr>
          <w:p>
            <w:pPr>
              <w:pStyle w:val="TableContents"/>
              <w:bidi w:val="0"/>
              <w:spacing w:before="0" w:after="283"/>
              <w:jc w:val="left"/>
              <w:rPr/>
            </w:pPr>
            <w:r>
              <w:rPr/>
              <w:t> </w:t>
            </w:r>
          </w:p>
        </w:tc>
      </w:tr>
      <w:tr>
        <w:trPr/>
        <w:tc>
          <w:tcPr>
            <w:tcW w:w="2045"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p>
        </w:tc>
        <w:tc>
          <w:tcPr>
            <w:tcW w:w="1174" w:type="dxa"/>
            <w:gridSpan w:val="2"/>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December 28,</w:t>
            </w:r>
          </w:p>
        </w:tc>
        <w:tc>
          <w:tcPr>
            <w:tcW w:w="1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74" w:type="dxa"/>
            <w:gridSpan w:val="2"/>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December 29,</w:t>
            </w:r>
          </w:p>
        </w:tc>
        <w:tc>
          <w:tcPr>
            <w:tcW w:w="200" w:type="dxa"/>
            <w:tcBorders/>
            <w:vAlign w:val="center"/>
          </w:tcPr>
          <w:p>
            <w:pPr>
              <w:pStyle w:val="TableContents"/>
              <w:bidi w:val="0"/>
              <w:spacing w:before="0" w:after="283"/>
              <w:jc w:val="left"/>
              <w:rPr/>
            </w:pPr>
            <w:r>
              <w:rPr/>
              <w:t> </w:t>
            </w:r>
          </w:p>
        </w:tc>
      </w:tr>
      <w:tr>
        <w:trPr/>
        <w:tc>
          <w:tcPr>
            <w:tcW w:w="2045"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p>
        </w:tc>
        <w:tc>
          <w:tcPr>
            <w:tcW w:w="1174"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2025</w:t>
            </w:r>
          </w:p>
        </w:tc>
        <w:tc>
          <w:tcPr>
            <w:tcW w:w="1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74"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2024</w:t>
            </w:r>
          </w:p>
        </w:tc>
        <w:tc>
          <w:tcPr>
            <w:tcW w:w="200" w:type="dxa"/>
            <w:tcBorders/>
            <w:vAlign w:val="center"/>
          </w:tcPr>
          <w:p>
            <w:pPr>
              <w:pStyle w:val="TableContents"/>
              <w:bidi w:val="0"/>
              <w:spacing w:before="0" w:after="283"/>
              <w:jc w:val="left"/>
              <w:rPr/>
            </w:pPr>
            <w:r>
              <w:rPr/>
              <w:t> </w:t>
            </w:r>
          </w:p>
        </w:tc>
      </w:tr>
      <w:tr>
        <w:trPr/>
        <w:tc>
          <w:tcPr>
            <w:tcW w:w="2045" w:type="dxa"/>
            <w:tcBorders/>
            <w:shd w:fill="CCEEFF" w:val="cle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Expected term</w:t>
            </w:r>
          </w:p>
        </w:tc>
        <w:tc>
          <w:tcPr>
            <w:tcW w:w="60" w:type="dxa"/>
            <w:tcBorders/>
            <w:shd w:fill="CCEEFF" w:val="clear"/>
            <w:vAlign w:val="center"/>
          </w:tcPr>
          <w:p>
            <w:pPr>
              <w:pStyle w:val="TableContents"/>
              <w:bidi w:val="0"/>
              <w:spacing w:before="0" w:after="283"/>
              <w:jc w:val="left"/>
              <w:rPr/>
            </w:pPr>
            <w:r>
              <w:rPr/>
              <w:t> </w:t>
            </w:r>
          </w:p>
        </w:tc>
        <w:tc>
          <w:tcPr>
            <w:tcW w:w="240" w:type="dxa"/>
            <w:tcBorders/>
            <w:shd w:fill="CCEEFF" w:val="clear"/>
            <w:vAlign w:val="center"/>
          </w:tcPr>
          <w:p>
            <w:pPr>
              <w:pStyle w:val="TableContents"/>
              <w:bidi w:val="0"/>
              <w:spacing w:before="0" w:after="283"/>
              <w:jc w:val="left"/>
              <w:rPr/>
            </w:pPr>
            <w:r>
              <w:rPr/>
              <w:t> </w:t>
            </w:r>
          </w:p>
        </w:tc>
        <w:tc>
          <w:tcPr>
            <w:tcW w:w="934"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2.56 years</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0" w:type="dxa"/>
            <w:tcBorders/>
            <w:shd w:fill="CCEEFF" w:val="clear"/>
            <w:vAlign w:val="center"/>
          </w:tcPr>
          <w:p>
            <w:pPr>
              <w:pStyle w:val="TableContents"/>
              <w:bidi w:val="0"/>
              <w:spacing w:before="0" w:after="283"/>
              <w:jc w:val="left"/>
              <w:rPr/>
            </w:pPr>
            <w:r>
              <w:rPr/>
              <w:t> </w:t>
            </w:r>
          </w:p>
        </w:tc>
        <w:tc>
          <w:tcPr>
            <w:tcW w:w="934"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3.56 years</w:t>
            </w:r>
          </w:p>
        </w:tc>
        <w:tc>
          <w:tcPr>
            <w:tcW w:w="200" w:type="dxa"/>
            <w:tcBorders/>
            <w:shd w:fill="CCEEFF" w:val="clear"/>
            <w:vAlign w:val="center"/>
          </w:tcPr>
          <w:p>
            <w:pPr>
              <w:pStyle w:val="TableContents"/>
              <w:bidi w:val="0"/>
              <w:spacing w:before="0" w:after="283"/>
              <w:jc w:val="left"/>
              <w:rPr/>
            </w:pPr>
            <w:r>
              <w:rPr/>
              <w:t> </w:t>
            </w:r>
          </w:p>
        </w:tc>
      </w:tr>
      <w:tr>
        <w:trPr/>
        <w:tc>
          <w:tcPr>
            <w:tcW w:w="2045" w:type="dxa"/>
            <w:tcBorders/>
            <w:shd w:fill="FFFFFF" w:val="cle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Stock price</w:t>
            </w:r>
          </w:p>
        </w:tc>
        <w:tc>
          <w:tcPr>
            <w:tcW w:w="60" w:type="dxa"/>
            <w:tcBorders/>
            <w:shd w:fill="FFFFFF" w:val="clear"/>
            <w:vAlign w:val="center"/>
          </w:tcPr>
          <w:p>
            <w:pPr>
              <w:pStyle w:val="TableContents"/>
              <w:bidi w:val="0"/>
              <w:spacing w:before="0" w:after="283"/>
              <w:jc w:val="left"/>
              <w:rPr/>
            </w:pPr>
            <w:r>
              <w:rPr/>
              <w:t> </w:t>
            </w:r>
          </w:p>
        </w:tc>
        <w:tc>
          <w:tcPr>
            <w:tcW w:w="24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934"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1.62</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4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934"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1.81</w:t>
            </w:r>
          </w:p>
        </w:tc>
        <w:tc>
          <w:tcPr>
            <w:tcW w:w="200" w:type="dxa"/>
            <w:tcBorders/>
            <w:shd w:fill="FFFFFF" w:val="clear"/>
            <w:vAlign w:val="center"/>
          </w:tcPr>
          <w:p>
            <w:pPr>
              <w:pStyle w:val="TableContents"/>
              <w:bidi w:val="0"/>
              <w:spacing w:before="0" w:after="283"/>
              <w:jc w:val="left"/>
              <w:rPr/>
            </w:pPr>
            <w:r>
              <w:rPr/>
              <w:t> </w:t>
            </w:r>
          </w:p>
        </w:tc>
      </w:tr>
      <w:tr>
        <w:trPr/>
        <w:tc>
          <w:tcPr>
            <w:tcW w:w="2045" w:type="dxa"/>
            <w:tcBorders/>
            <w:shd w:fill="CCEEFF" w:val="cle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Exercise price</w:t>
            </w:r>
          </w:p>
        </w:tc>
        <w:tc>
          <w:tcPr>
            <w:tcW w:w="60" w:type="dxa"/>
            <w:tcBorders/>
            <w:shd w:fill="CCEEFF" w:val="clear"/>
            <w:vAlign w:val="center"/>
          </w:tcPr>
          <w:p>
            <w:pPr>
              <w:pStyle w:val="TableContents"/>
              <w:bidi w:val="0"/>
              <w:spacing w:before="0" w:after="283"/>
              <w:jc w:val="left"/>
              <w:rPr/>
            </w:pPr>
            <w:r>
              <w:rPr/>
              <w:t> </w:t>
            </w:r>
          </w:p>
        </w:tc>
        <w:tc>
          <w:tcPr>
            <w:tcW w:w="24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934"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11.50</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934"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11.50</w:t>
            </w:r>
          </w:p>
        </w:tc>
        <w:tc>
          <w:tcPr>
            <w:tcW w:w="200" w:type="dxa"/>
            <w:tcBorders/>
            <w:shd w:fill="CCEEFF" w:val="clear"/>
            <w:vAlign w:val="center"/>
          </w:tcPr>
          <w:p>
            <w:pPr>
              <w:pStyle w:val="TableContents"/>
              <w:bidi w:val="0"/>
              <w:spacing w:before="0" w:after="283"/>
              <w:jc w:val="left"/>
              <w:rPr/>
            </w:pPr>
            <w:r>
              <w:rPr/>
              <w:t> </w:t>
            </w:r>
          </w:p>
        </w:tc>
      </w:tr>
      <w:tr>
        <w:trPr/>
        <w:tc>
          <w:tcPr>
            <w:tcW w:w="2045" w:type="dxa"/>
            <w:tcBorders/>
            <w:shd w:fill="FFFFFF" w:val="cle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Expected volatility</w:t>
            </w:r>
          </w:p>
        </w:tc>
        <w:tc>
          <w:tcPr>
            <w:tcW w:w="60" w:type="dxa"/>
            <w:tcBorders/>
            <w:shd w:fill="FFFFFF" w:val="clear"/>
            <w:vAlign w:val="center"/>
          </w:tcPr>
          <w:p>
            <w:pPr>
              <w:pStyle w:val="TableContents"/>
              <w:bidi w:val="0"/>
              <w:spacing w:before="0" w:after="283"/>
              <w:jc w:val="left"/>
              <w:rPr/>
            </w:pPr>
            <w:r>
              <w:rPr/>
              <w:t> </w:t>
            </w:r>
          </w:p>
        </w:tc>
        <w:tc>
          <w:tcPr>
            <w:tcW w:w="240" w:type="dxa"/>
            <w:tcBorders/>
            <w:shd w:fill="FFFFFF" w:val="clear"/>
            <w:vAlign w:val="center"/>
          </w:tcPr>
          <w:p>
            <w:pPr>
              <w:pStyle w:val="TableContents"/>
              <w:bidi w:val="0"/>
              <w:spacing w:before="0" w:after="283"/>
              <w:jc w:val="left"/>
              <w:rPr/>
            </w:pPr>
            <w:r>
              <w:rPr/>
              <w:t> </w:t>
            </w:r>
          </w:p>
        </w:tc>
        <w:tc>
          <w:tcPr>
            <w:tcW w:w="934"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179.0</w:t>
            </w:r>
          </w:p>
        </w:tc>
        <w:tc>
          <w:tcPr>
            <w:tcW w:w="1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240" w:type="dxa"/>
            <w:tcBorders/>
            <w:shd w:fill="FFFFFF" w:val="clear"/>
            <w:vAlign w:val="center"/>
          </w:tcPr>
          <w:p>
            <w:pPr>
              <w:pStyle w:val="TableContents"/>
              <w:bidi w:val="0"/>
              <w:spacing w:before="0" w:after="283"/>
              <w:jc w:val="left"/>
              <w:rPr/>
            </w:pPr>
            <w:r>
              <w:rPr/>
              <w:t> </w:t>
            </w:r>
          </w:p>
        </w:tc>
        <w:tc>
          <w:tcPr>
            <w:tcW w:w="934"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68.1</w:t>
            </w:r>
          </w:p>
        </w:tc>
        <w:tc>
          <w:tcPr>
            <w:tcW w:w="20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2045" w:type="dxa"/>
            <w:tcBorders/>
            <w:shd w:fill="CCEEFF" w:val="cle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Risk-free rate</w:t>
            </w:r>
          </w:p>
        </w:tc>
        <w:tc>
          <w:tcPr>
            <w:tcW w:w="60" w:type="dxa"/>
            <w:tcBorders/>
            <w:shd w:fill="CCEEFF" w:val="clear"/>
            <w:vAlign w:val="center"/>
          </w:tcPr>
          <w:p>
            <w:pPr>
              <w:pStyle w:val="TableContents"/>
              <w:bidi w:val="0"/>
              <w:spacing w:before="0" w:after="283"/>
              <w:jc w:val="left"/>
              <w:rPr/>
            </w:pPr>
            <w:r>
              <w:rPr/>
              <w:t> </w:t>
            </w:r>
          </w:p>
        </w:tc>
        <w:tc>
          <w:tcPr>
            <w:tcW w:w="240" w:type="dxa"/>
            <w:tcBorders/>
            <w:shd w:fill="CCEEFF" w:val="clear"/>
            <w:vAlign w:val="center"/>
          </w:tcPr>
          <w:p>
            <w:pPr>
              <w:pStyle w:val="TableContents"/>
              <w:bidi w:val="0"/>
              <w:spacing w:before="0" w:after="283"/>
              <w:jc w:val="left"/>
              <w:rPr/>
            </w:pPr>
            <w:r>
              <w:rPr/>
              <w:t> </w:t>
            </w:r>
          </w:p>
        </w:tc>
        <w:tc>
          <w:tcPr>
            <w:tcW w:w="934"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3.50</w:t>
            </w:r>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240" w:type="dxa"/>
            <w:tcBorders/>
            <w:shd w:fill="CCEEFF" w:val="clear"/>
            <w:vAlign w:val="center"/>
          </w:tcPr>
          <w:p>
            <w:pPr>
              <w:pStyle w:val="TableContents"/>
              <w:bidi w:val="0"/>
              <w:spacing w:before="0" w:after="283"/>
              <w:jc w:val="left"/>
              <w:rPr/>
            </w:pPr>
            <w:r>
              <w:rPr/>
              <w:t> </w:t>
            </w:r>
          </w:p>
        </w:tc>
        <w:tc>
          <w:tcPr>
            <w:tcW w:w="934"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4.39</w:t>
            </w:r>
          </w:p>
        </w:tc>
        <w:tc>
          <w:tcPr>
            <w:tcW w:w="20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2045" w:type="dxa"/>
            <w:tcBorders/>
            <w:shd w:fill="FFFFFF" w:val="cle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Expected dividend yield</w:t>
            </w:r>
          </w:p>
        </w:tc>
        <w:tc>
          <w:tcPr>
            <w:tcW w:w="60" w:type="dxa"/>
            <w:tcBorders/>
            <w:shd w:fill="FFFFFF" w:val="clear"/>
            <w:vAlign w:val="center"/>
          </w:tcPr>
          <w:p>
            <w:pPr>
              <w:pStyle w:val="TableContents"/>
              <w:bidi w:val="0"/>
              <w:spacing w:before="0" w:after="283"/>
              <w:jc w:val="left"/>
              <w:rPr/>
            </w:pPr>
            <w:r>
              <w:rPr/>
              <w:t> </w:t>
            </w:r>
          </w:p>
        </w:tc>
        <w:tc>
          <w:tcPr>
            <w:tcW w:w="240" w:type="dxa"/>
            <w:tcBorders/>
            <w:shd w:fill="FFFFFF" w:val="clear"/>
            <w:vAlign w:val="center"/>
          </w:tcPr>
          <w:p>
            <w:pPr>
              <w:pStyle w:val="TableContents"/>
              <w:bidi w:val="0"/>
              <w:spacing w:before="0" w:after="283"/>
              <w:jc w:val="left"/>
              <w:rPr/>
            </w:pPr>
            <w:r>
              <w:rPr/>
              <w:t> </w:t>
            </w:r>
          </w:p>
        </w:tc>
        <w:tc>
          <w:tcPr>
            <w:tcW w:w="934"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0.00</w:t>
            </w:r>
          </w:p>
        </w:tc>
        <w:tc>
          <w:tcPr>
            <w:tcW w:w="1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240" w:type="dxa"/>
            <w:tcBorders/>
            <w:shd w:fill="FFFFFF" w:val="clear"/>
            <w:vAlign w:val="center"/>
          </w:tcPr>
          <w:p>
            <w:pPr>
              <w:pStyle w:val="TableContents"/>
              <w:bidi w:val="0"/>
              <w:spacing w:before="0" w:after="283"/>
              <w:jc w:val="left"/>
              <w:rPr/>
            </w:pPr>
            <w:r>
              <w:rPr/>
              <w:t> </w:t>
            </w:r>
          </w:p>
        </w:tc>
        <w:tc>
          <w:tcPr>
            <w:tcW w:w="934"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0.00</w:t>
            </w:r>
          </w:p>
        </w:tc>
        <w:tc>
          <w:tcPr>
            <w:tcW w:w="20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expected term is the time period to the expiration date of the warrants. The risk-free rate is interpolated from the U.S. Constant Maturity Treasury curve for a term matching the corresponding remaining life. Volatility was calibrated based on the public warrants closing price as of the valuation date. As the private and working capital warrants have terms nearly identical to the publicly traded warrants, the volatility was calibrated until the model price equaled the public warrants closing price. These inherent unobservable assumptions are subject to significant measurement uncertainty, and alternative reasonable assumptions could have produced materially different results as of December 28, 2025 and December 29, 2024. Thus, the private placement and working capital warrant liabilities are classified within Level 3 of the fair value hierarchy.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Public warrants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public warrants are measured at fair value on a recurring basis. The public warrants were valued based on the closing price of the publicly traded instrument and therefore are considered a Level 1 instrument in the fair value hierarchy.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SAFE agreement with related party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measured the fair value of its SAFE using a valuation technique that incorporates significant unobservable inputs and is therefore classified within Level 3 of the fair value hierarchy. The fair value of the SAFE is subject to estimation uncertainty because it depends on management’s judgments about future events that are not directly observable in active markets. Management assigned a 50% probability that the SAFE will convert into shares of the Company’s stock in connection with a qualifying financing or other specified event. If the SAFE does not convert, management expects cash repayment in fiscal 2026 or fiscal 2027, with a 50% probability assigned to each repayment year.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sz w:val="20"/>
          <w:bdr w:val="single" w:sz="12" w:space="1" w:color="000000"/>
        </w:rPr>
      </w:pPr>
      <w:r>
        <w:rPr>
          <w:sz w:val="20"/>
          <w:bdr w:val="single" w:sz="12" w:space="1" w:color="000000"/>
        </w:rPr>
        <w:t>F-80</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SAFE valuation also considers assumptions such as discount rates implied by the Company’s convertible notes as of the valuation date, the timing and likelihood of financing or liquidity events, and, for the conversion path, the expected equity valuation and any applicable conversion economics (e.g., discounts or valuation caps). Settlement of the SAFE is contingent on future financing or liquidity events and the Company’s funding plans. Accordingly, the measurement requires judgment about the likelihood and timing of conversion versus repayment and, where relevant, assumptions about the Company’s equity value at conversion. Because these factors are not directly observable, reasonably possible alternative assumptions at the reporting date could produce a materially different fair value. Increasing the probability of conversion would generally increase the fair value if the conversion terms imply a beneficial outcome to the holder relative to repayment; decreasing that probability would place more weight on the repayment scenarios and could increase or decrease the fair value depending on the applicable discount rate and timing of cash flows. Within the non-conversion path, shifting probability weight toward repayment in fiscal year 2026 would generally increase fair value (lower discounting), while shifting weight toward fiscal 2027 would generally decrease fair value (greater discounting), holding other inputs constant. A higher discount rate would decrease the present value of expected cash flows (and thus fair value), while a lower rate would increase fair value. Higher expected equity values or more favorable conversion economics would increase the fair value under the conversion path; lower expected equity values or less favorable terms would decrease it. These inputs are interrelated and unobservable. Because the valuation depends on significant unobservable inputs—including a 50% probability of conversion to equity and an even allocation between fiscal years 2026 and 2027 of repayment if conversion does not occur—there is significant measurement uncertainty, and alternative reasonable assumptions at the reporting date could have resulted in a materially different fair value of the SAFE liability as of December 28, 2025 and December 29, 2024. Thus, the SAFE liability is classified within Level 3 of the fair value hierarchy.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Financial liabilities not measured at fair value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Company’s senior unsecured convertible notes were fair valued using a binomial lattice model, which includes Level 3, unobservable inputs. The key inputs used are consistent with those used to fair value the derivative liabilities as discussed under </w:t>
      </w:r>
      <w:r>
        <w:rPr>
          <w:rFonts w:ascii="Times New Roman;Times;Serif" w:hAnsi="Times New Roman;Times;Serif"/>
          <w:b w:val="false"/>
          <w:i/>
          <w:caps w:val="false"/>
          <w:smallCaps w:val="false"/>
          <w:sz w:val="20"/>
        </w:rPr>
        <w:t>Derivative Liabilities</w:t>
      </w:r>
      <w:r>
        <w:rPr>
          <w:rFonts w:ascii="Times New Roman;Times;Serif" w:hAnsi="Times New Roman;Times;Serif"/>
          <w:b w:val="false"/>
          <w:i w:val="false"/>
          <w:caps w:val="false"/>
          <w:smallCaps w:val="false"/>
          <w:sz w:val="20"/>
        </w:rPr>
        <w:t xml:space="preserve"> above. The following table sets forth the Company’s financial liabilities that were not measured at fair value and are considered a Level 3 instrument in the fair value hierarchy </w:t>
      </w:r>
      <w:r>
        <w:rPr>
          <w:rFonts w:ascii="Times New Roman;Times;Serif" w:hAnsi="Times New Roman;Times;Serif"/>
          <w:b w:val="false"/>
          <w:i/>
          <w:caps w:val="false"/>
          <w:smallCaps w:val="false"/>
          <w:sz w:val="20"/>
        </w:rPr>
        <w:t>(in thousands)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tbl>
      <w:tblPr>
        <w:tblW w:w="9079" w:type="dxa"/>
        <w:jc w:val="left"/>
        <w:tblInd w:w="0" w:type="dxa"/>
        <w:tblLayout w:type="fixed"/>
        <w:tblCellMar>
          <w:top w:w="0" w:type="dxa"/>
          <w:left w:w="0" w:type="dxa"/>
          <w:bottom w:w="0" w:type="dxa"/>
          <w:right w:w="0" w:type="dxa"/>
        </w:tblCellMar>
      </w:tblPr>
      <w:tblGrid>
        <w:gridCol w:w="4250"/>
        <w:gridCol w:w="60"/>
        <w:gridCol w:w="140"/>
        <w:gridCol w:w="800"/>
        <w:gridCol w:w="60"/>
        <w:gridCol w:w="60"/>
        <w:gridCol w:w="211"/>
        <w:gridCol w:w="1144"/>
        <w:gridCol w:w="95"/>
        <w:gridCol w:w="60"/>
        <w:gridCol w:w="162"/>
        <w:gridCol w:w="788"/>
        <w:gridCol w:w="60"/>
        <w:gridCol w:w="60"/>
        <w:gridCol w:w="157"/>
        <w:gridCol w:w="897"/>
        <w:gridCol w:w="75"/>
      </w:tblGrid>
      <w:tr>
        <w:trPr/>
        <w:tc>
          <w:tcPr>
            <w:tcW w:w="425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694" w:type="dxa"/>
            <w:gridSpan w:val="14"/>
            <w:tcBorders>
              <w:bottom w:val="single" w:sz="12" w:space="0" w:color="000000"/>
            </w:tcBorders>
            <w:tcMar>
              <w:bottom w:w="28" w:type="dxa"/>
            </w:tcMar>
            <w:vAlign w:val="center"/>
          </w:tcPr>
          <w:p>
            <w:pPr>
              <w:pStyle w:val="TableContents"/>
              <w:bidi w:val="0"/>
              <w:spacing w:before="0" w:after="283"/>
              <w:jc w:val="center"/>
              <w:rPr>
                <w:b/>
              </w:rPr>
            </w:pPr>
            <w:r>
              <w:rPr>
                <w:b/>
              </w:rPr>
              <w:t>As of December 28, 2025</w:t>
            </w:r>
          </w:p>
        </w:tc>
        <w:tc>
          <w:tcPr>
            <w:tcW w:w="75" w:type="dxa"/>
            <w:tcBorders/>
            <w:vAlign w:val="center"/>
          </w:tcPr>
          <w:p>
            <w:pPr>
              <w:pStyle w:val="TableContents"/>
              <w:bidi w:val="0"/>
              <w:spacing w:before="0" w:after="283"/>
              <w:jc w:val="left"/>
              <w:rPr/>
            </w:pPr>
            <w:r>
              <w:rPr/>
              <w:t> </w:t>
            </w:r>
          </w:p>
        </w:tc>
      </w:tr>
      <w:tr>
        <w:trPr/>
        <w:tc>
          <w:tcPr>
            <w:tcW w:w="4250"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p>
        </w:tc>
        <w:tc>
          <w:tcPr>
            <w:tcW w:w="940"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Principal</w:t>
              <w:br/>
              <w:t xml:space="preserve">amount </w:t>
            </w:r>
            <w:r>
              <w:rPr>
                <w:rFonts w:ascii="Times New Roman;Times;Serif" w:hAnsi="Times New Roman;Times;Serif"/>
                <w:b/>
                <w:position w:val="7"/>
                <w:sz w:val="16"/>
                <w:sz w:val="20"/>
              </w:rPr>
              <w:t>(1)</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5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Unamortized</w:t>
              <w:br/>
              <w:t>debt</w:t>
              <w:br/>
              <w:t>discount</w:t>
              <w:br/>
              <w:t>and debt</w:t>
              <w:br/>
              <w:t>issuance</w:t>
              <w:br/>
              <w:t>costs</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50"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Net</w:t>
              <w:br/>
              <w:t>carrying</w:t>
              <w:br/>
              <w:t>amount</w:t>
              <w:br/>
              <w:t>excluding</w:t>
              <w:br/>
              <w:t>capitalized</w:t>
              <w:br/>
              <w:t xml:space="preserve">interest </w:t>
            </w:r>
            <w:r>
              <w:rPr>
                <w:rFonts w:ascii="Times New Roman;Times;Serif" w:hAnsi="Times New Roman;Times;Serif"/>
                <w:b/>
                <w:position w:val="7"/>
                <w:sz w:val="16"/>
                <w:sz w:val="20"/>
              </w:rPr>
              <w:t>(1)</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54"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Fair value</w:t>
            </w:r>
          </w:p>
        </w:tc>
        <w:tc>
          <w:tcPr>
            <w:tcW w:w="75" w:type="dxa"/>
            <w:tcBorders/>
            <w:vAlign w:val="center"/>
          </w:tcPr>
          <w:p>
            <w:pPr>
              <w:pStyle w:val="TableContents"/>
              <w:bidi w:val="0"/>
              <w:spacing w:before="0" w:after="283"/>
              <w:jc w:val="left"/>
              <w:rPr/>
            </w:pPr>
            <w:r>
              <w:rPr/>
              <w:t> </w:t>
            </w:r>
          </w:p>
        </w:tc>
      </w:tr>
      <w:tr>
        <w:trPr/>
        <w:tc>
          <w:tcPr>
            <w:tcW w:w="4250" w:type="dxa"/>
            <w:tcBorders/>
            <w:vAlign w:val="center"/>
          </w:tcPr>
          <w:p>
            <w:pPr>
              <w:pStyle w:val="TableContents"/>
              <w:bidi w:val="0"/>
              <w:spacing w:before="0" w:after="283"/>
              <w:jc w:val="left"/>
              <w:rPr>
                <w:b/>
              </w:rPr>
            </w:pPr>
            <w:r>
              <w:rPr>
                <w:b/>
              </w:rPr>
              <w:t>12.0% senior unsecured convertible notes</w:t>
            </w:r>
          </w:p>
        </w:tc>
        <w:tc>
          <w:tcPr>
            <w:tcW w:w="60" w:type="dxa"/>
            <w:tcBorders/>
            <w:vAlign w:val="center"/>
          </w:tcPr>
          <w:p>
            <w:pPr>
              <w:pStyle w:val="TableContents"/>
              <w:bidi w:val="0"/>
              <w:spacing w:before="0" w:after="283"/>
              <w:jc w:val="left"/>
              <w:rPr/>
            </w:pPr>
            <w:r>
              <w:rPr/>
              <w:t> </w:t>
            </w:r>
          </w:p>
        </w:tc>
        <w:tc>
          <w:tcPr>
            <w:tcW w:w="940"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55" w:type="dxa"/>
            <w:gridSpan w:val="2"/>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50"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54" w:type="dxa"/>
            <w:gridSpan w:val="2"/>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4250" w:type="dxa"/>
            <w:tcBorders/>
            <w:shd w:fill="CCEEFF" w:val="clear"/>
            <w:vAlign w:val="center"/>
          </w:tcPr>
          <w:p>
            <w:pPr>
              <w:pStyle w:val="TableContents"/>
              <w:bidi w:val="0"/>
              <w:spacing w:before="0" w:after="283"/>
              <w:jc w:val="both"/>
              <w:rPr/>
            </w:pPr>
            <w:r>
              <w:rPr/>
              <w:t>July 2024 Notes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800" w:type="dxa"/>
            <w:tcBorders/>
            <w:shd w:fill="CCEEFF" w:val="clear"/>
            <w:vAlign w:val="center"/>
          </w:tcPr>
          <w:p>
            <w:pPr>
              <w:pStyle w:val="TableContents"/>
              <w:bidi w:val="0"/>
              <w:spacing w:before="0" w:after="283"/>
              <w:jc w:val="right"/>
              <w:rPr/>
            </w:pPr>
            <w:r>
              <w:rPr/>
              <w:t>27,973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1" w:type="dxa"/>
            <w:tcBorders/>
            <w:shd w:fill="CCEEFF" w:val="clear"/>
            <w:vAlign w:val="center"/>
          </w:tcPr>
          <w:p>
            <w:pPr>
              <w:pStyle w:val="TableContents"/>
              <w:bidi w:val="0"/>
              <w:spacing w:before="0" w:after="283"/>
              <w:jc w:val="left"/>
              <w:rPr/>
            </w:pPr>
            <w:r>
              <w:rPr/>
              <w:t>$</w:t>
            </w:r>
          </w:p>
        </w:tc>
        <w:tc>
          <w:tcPr>
            <w:tcW w:w="1144" w:type="dxa"/>
            <w:tcBorders/>
            <w:shd w:fill="CCEEFF" w:val="clear"/>
            <w:vAlign w:val="center"/>
          </w:tcPr>
          <w:p>
            <w:pPr>
              <w:pStyle w:val="TableContents"/>
              <w:bidi w:val="0"/>
              <w:spacing w:before="0" w:after="283"/>
              <w:jc w:val="right"/>
              <w:rPr/>
            </w:pPr>
            <w:r>
              <w:rPr/>
              <w:t>(5,832</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62" w:type="dxa"/>
            <w:tcBorders/>
            <w:shd w:fill="CCEEFF" w:val="clear"/>
            <w:vAlign w:val="center"/>
          </w:tcPr>
          <w:p>
            <w:pPr>
              <w:pStyle w:val="TableContents"/>
              <w:bidi w:val="0"/>
              <w:spacing w:before="0" w:after="283"/>
              <w:jc w:val="left"/>
              <w:rPr/>
            </w:pPr>
            <w:r>
              <w:rPr/>
              <w:t>$</w:t>
            </w:r>
          </w:p>
        </w:tc>
        <w:tc>
          <w:tcPr>
            <w:tcW w:w="788" w:type="dxa"/>
            <w:tcBorders/>
            <w:shd w:fill="CCEEFF" w:val="clear"/>
            <w:vAlign w:val="center"/>
          </w:tcPr>
          <w:p>
            <w:pPr>
              <w:pStyle w:val="TableContents"/>
              <w:bidi w:val="0"/>
              <w:spacing w:before="0" w:after="283"/>
              <w:jc w:val="right"/>
              <w:rPr/>
            </w:pPr>
            <w:r>
              <w:rPr/>
              <w:t>22,141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7" w:type="dxa"/>
            <w:tcBorders/>
            <w:shd w:fill="CCEEFF" w:val="clear"/>
            <w:vAlign w:val="center"/>
          </w:tcPr>
          <w:p>
            <w:pPr>
              <w:pStyle w:val="TableContents"/>
              <w:bidi w:val="0"/>
              <w:spacing w:before="0" w:after="283"/>
              <w:jc w:val="left"/>
              <w:rPr/>
            </w:pPr>
            <w:r>
              <w:rPr/>
              <w:t>$</w:t>
            </w:r>
          </w:p>
        </w:tc>
        <w:tc>
          <w:tcPr>
            <w:tcW w:w="897" w:type="dxa"/>
            <w:tcBorders/>
            <w:shd w:fill="CCEEFF" w:val="clear"/>
            <w:vAlign w:val="center"/>
          </w:tcPr>
          <w:p>
            <w:pPr>
              <w:pStyle w:val="TableContents"/>
              <w:bidi w:val="0"/>
              <w:spacing w:before="0" w:after="283"/>
              <w:jc w:val="right"/>
              <w:rPr/>
            </w:pPr>
            <w:r>
              <w:rPr/>
              <w:t>33,165</w:t>
            </w:r>
          </w:p>
        </w:tc>
        <w:tc>
          <w:tcPr>
            <w:tcW w:w="75" w:type="dxa"/>
            <w:tcBorders/>
            <w:shd w:fill="CCEEFF" w:val="clear"/>
            <w:vAlign w:val="center"/>
          </w:tcPr>
          <w:p>
            <w:pPr>
              <w:pStyle w:val="TableContents"/>
              <w:bidi w:val="0"/>
              <w:spacing w:before="0" w:after="283"/>
              <w:jc w:val="left"/>
              <w:rPr/>
            </w:pPr>
            <w:r>
              <w:rPr/>
              <w:t> </w:t>
            </w:r>
          </w:p>
        </w:tc>
      </w:tr>
      <w:tr>
        <w:trPr/>
        <w:tc>
          <w:tcPr>
            <w:tcW w:w="4250" w:type="dxa"/>
            <w:tcBorders/>
            <w:shd w:fill="FFFFFF" w:val="clear"/>
            <w:vAlign w:val="center"/>
          </w:tcPr>
          <w:p>
            <w:pPr>
              <w:pStyle w:val="TableContents"/>
              <w:bidi w:val="0"/>
              <w:spacing w:before="0" w:after="283"/>
              <w:jc w:val="left"/>
              <w:rPr/>
            </w:pPr>
            <w:r>
              <w:rPr/>
              <w:t>July 2024 Notes – related parties</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800" w:type="dxa"/>
            <w:tcBorders>
              <w:bottom w:val="single" w:sz="12" w:space="0" w:color="000000"/>
            </w:tcBorders>
            <w:shd w:fill="FFFFFF" w:val="clear"/>
            <w:tcMar>
              <w:bottom w:w="28" w:type="dxa"/>
            </w:tcMar>
            <w:vAlign w:val="center"/>
          </w:tcPr>
          <w:p>
            <w:pPr>
              <w:pStyle w:val="TableContents"/>
              <w:bidi w:val="0"/>
              <w:spacing w:before="0" w:after="283"/>
              <w:jc w:val="right"/>
              <w:rPr/>
            </w:pPr>
            <w:r>
              <w:rPr/>
              <w:t>18,000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1"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44" w:type="dxa"/>
            <w:tcBorders>
              <w:bottom w:val="single" w:sz="12" w:space="0" w:color="000000"/>
            </w:tcBorders>
            <w:shd w:fill="FFFFFF" w:val="clear"/>
            <w:tcMar>
              <w:bottom w:w="28" w:type="dxa"/>
            </w:tcMar>
            <w:vAlign w:val="center"/>
          </w:tcPr>
          <w:p>
            <w:pPr>
              <w:pStyle w:val="TableContents"/>
              <w:bidi w:val="0"/>
              <w:spacing w:before="0" w:after="283"/>
              <w:jc w:val="right"/>
              <w:rPr/>
            </w:pPr>
            <w:r>
              <w:rPr/>
              <w:t>(10,369</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62"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788" w:type="dxa"/>
            <w:tcBorders>
              <w:bottom w:val="single" w:sz="12" w:space="0" w:color="000000"/>
            </w:tcBorders>
            <w:shd w:fill="FFFFFF" w:val="clear"/>
            <w:tcMar>
              <w:bottom w:w="28" w:type="dxa"/>
            </w:tcMar>
            <w:vAlign w:val="center"/>
          </w:tcPr>
          <w:p>
            <w:pPr>
              <w:pStyle w:val="TableContents"/>
              <w:bidi w:val="0"/>
              <w:spacing w:before="0" w:after="283"/>
              <w:jc w:val="right"/>
              <w:rPr/>
            </w:pPr>
            <w:r>
              <w:rPr/>
              <w:t>7,631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7"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897" w:type="dxa"/>
            <w:tcBorders>
              <w:bottom w:val="single" w:sz="12" w:space="0" w:color="000000"/>
            </w:tcBorders>
            <w:shd w:fill="FFFFFF" w:val="clear"/>
            <w:tcMar>
              <w:bottom w:w="28" w:type="dxa"/>
            </w:tcMar>
            <w:vAlign w:val="center"/>
          </w:tcPr>
          <w:p>
            <w:pPr>
              <w:pStyle w:val="TableContents"/>
              <w:bidi w:val="0"/>
              <w:spacing w:before="0" w:after="283"/>
              <w:jc w:val="right"/>
              <w:rPr/>
            </w:pPr>
            <w:r>
              <w:rPr/>
              <w:t>21,204</w:t>
            </w:r>
          </w:p>
        </w:tc>
        <w:tc>
          <w:tcPr>
            <w:tcW w:w="75" w:type="dxa"/>
            <w:tcBorders/>
            <w:shd w:fill="FFFFFF" w:val="clear"/>
            <w:vAlign w:val="center"/>
          </w:tcPr>
          <w:p>
            <w:pPr>
              <w:pStyle w:val="TableContents"/>
              <w:bidi w:val="0"/>
              <w:spacing w:before="0" w:after="283"/>
              <w:jc w:val="left"/>
              <w:rPr/>
            </w:pPr>
            <w:r>
              <w:rPr/>
              <w:t> </w:t>
            </w:r>
          </w:p>
        </w:tc>
      </w:tr>
      <w:tr>
        <w:trPr/>
        <w:tc>
          <w:tcPr>
            <w:tcW w:w="4250" w:type="dxa"/>
            <w:tcBorders/>
            <w:shd w:fill="CCEEFF" w:val="clear"/>
            <w:vAlign w:val="center"/>
          </w:tcPr>
          <w:p>
            <w:pPr>
              <w:pStyle w:val="TableContents"/>
              <w:bidi w:val="0"/>
              <w:spacing w:before="0" w:after="283"/>
              <w:jc w:val="both"/>
              <w:rPr/>
            </w:pPr>
            <w:r>
              <w:rPr/>
              <w:t>Subtotal July 2024 Notes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00" w:type="dxa"/>
            <w:tcBorders>
              <w:bottom w:val="single" w:sz="12" w:space="0" w:color="000000"/>
            </w:tcBorders>
            <w:shd w:fill="CCEEFF" w:val="clear"/>
            <w:tcMar>
              <w:bottom w:w="28" w:type="dxa"/>
            </w:tcMar>
            <w:vAlign w:val="center"/>
          </w:tcPr>
          <w:p>
            <w:pPr>
              <w:pStyle w:val="TableContents"/>
              <w:bidi w:val="0"/>
              <w:spacing w:before="0" w:after="283"/>
              <w:jc w:val="right"/>
              <w:rPr/>
            </w:pPr>
            <w:r>
              <w:rPr/>
              <w:t>45,973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1"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44" w:type="dxa"/>
            <w:tcBorders>
              <w:bottom w:val="single" w:sz="12" w:space="0" w:color="000000"/>
            </w:tcBorders>
            <w:shd w:fill="CCEEFF" w:val="clear"/>
            <w:tcMar>
              <w:bottom w:w="28" w:type="dxa"/>
            </w:tcMar>
            <w:vAlign w:val="center"/>
          </w:tcPr>
          <w:p>
            <w:pPr>
              <w:pStyle w:val="TableContents"/>
              <w:bidi w:val="0"/>
              <w:spacing w:before="0" w:after="283"/>
              <w:jc w:val="right"/>
              <w:rPr/>
            </w:pPr>
            <w:r>
              <w:rPr/>
              <w:t>(16,201</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62"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788" w:type="dxa"/>
            <w:tcBorders>
              <w:bottom w:val="single" w:sz="12" w:space="0" w:color="000000"/>
            </w:tcBorders>
            <w:shd w:fill="CCEEFF" w:val="clear"/>
            <w:tcMar>
              <w:bottom w:w="28" w:type="dxa"/>
            </w:tcMar>
            <w:vAlign w:val="center"/>
          </w:tcPr>
          <w:p>
            <w:pPr>
              <w:pStyle w:val="TableContents"/>
              <w:bidi w:val="0"/>
              <w:spacing w:before="0" w:after="283"/>
              <w:jc w:val="right"/>
              <w:rPr/>
            </w:pPr>
            <w:r>
              <w:rPr/>
              <w:t>29,772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7"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97" w:type="dxa"/>
            <w:tcBorders>
              <w:bottom w:val="single" w:sz="12" w:space="0" w:color="000000"/>
            </w:tcBorders>
            <w:shd w:fill="CCEEFF" w:val="clear"/>
            <w:tcMar>
              <w:bottom w:w="28" w:type="dxa"/>
            </w:tcMar>
            <w:vAlign w:val="center"/>
          </w:tcPr>
          <w:p>
            <w:pPr>
              <w:pStyle w:val="TableContents"/>
              <w:bidi w:val="0"/>
              <w:spacing w:before="0" w:after="283"/>
              <w:jc w:val="right"/>
              <w:rPr/>
            </w:pPr>
            <w:r>
              <w:rPr/>
              <w:t>54,369</w:t>
            </w:r>
          </w:p>
        </w:tc>
        <w:tc>
          <w:tcPr>
            <w:tcW w:w="75" w:type="dxa"/>
            <w:tcBorders/>
            <w:shd w:fill="CCEEFF" w:val="clear"/>
            <w:vAlign w:val="center"/>
          </w:tcPr>
          <w:p>
            <w:pPr>
              <w:pStyle w:val="TableContents"/>
              <w:bidi w:val="0"/>
              <w:spacing w:before="0" w:after="283"/>
              <w:jc w:val="left"/>
              <w:rPr/>
            </w:pPr>
            <w:r>
              <w:rPr/>
              <w:t> </w:t>
            </w:r>
          </w:p>
        </w:tc>
      </w:tr>
      <w:tr>
        <w:trPr/>
        <w:tc>
          <w:tcPr>
            <w:tcW w:w="4250" w:type="dxa"/>
            <w:tcBorders/>
            <w:shd w:fill="FFFFFF" w:val="clear"/>
            <w:vAlign w:val="center"/>
          </w:tcPr>
          <w:p>
            <w:pPr>
              <w:pStyle w:val="TableContents"/>
              <w:bidi w:val="0"/>
              <w:spacing w:before="0" w:after="283"/>
              <w:jc w:val="both"/>
              <w:rPr/>
            </w:pPr>
            <w:r>
              <w:rPr/>
              <w:t>July 2025 Note – related party</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5,000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1144" w:type="dxa"/>
            <w:tcBorders/>
            <w:shd w:fill="FFFFFF" w:val="clear"/>
            <w:vAlign w:val="center"/>
          </w:tcPr>
          <w:p>
            <w:pPr>
              <w:pStyle w:val="TableContents"/>
              <w:bidi w:val="0"/>
              <w:spacing w:before="0" w:after="283"/>
              <w:jc w:val="right"/>
              <w:rPr/>
            </w:pPr>
            <w:r>
              <w:rPr/>
              <w:t>(3,557</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62" w:type="dxa"/>
            <w:tcBorders/>
            <w:shd w:fill="FFFFFF" w:val="clear"/>
            <w:vAlign w:val="center"/>
          </w:tcPr>
          <w:p>
            <w:pPr>
              <w:pStyle w:val="TableContents"/>
              <w:bidi w:val="0"/>
              <w:spacing w:before="0" w:after="283"/>
              <w:jc w:val="left"/>
              <w:rPr/>
            </w:pPr>
            <w:r>
              <w:rPr/>
              <w:t> </w:t>
            </w:r>
          </w:p>
        </w:tc>
        <w:tc>
          <w:tcPr>
            <w:tcW w:w="788" w:type="dxa"/>
            <w:tcBorders/>
            <w:shd w:fill="FFFFFF" w:val="clear"/>
            <w:vAlign w:val="center"/>
          </w:tcPr>
          <w:p>
            <w:pPr>
              <w:pStyle w:val="TableContents"/>
              <w:bidi w:val="0"/>
              <w:spacing w:before="0" w:after="283"/>
              <w:jc w:val="right"/>
              <w:rPr/>
            </w:pPr>
            <w:r>
              <w:rPr/>
              <w:t>1,443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7" w:type="dxa"/>
            <w:tcBorders/>
            <w:shd w:fill="FFFFFF" w:val="clear"/>
            <w:vAlign w:val="center"/>
          </w:tcPr>
          <w:p>
            <w:pPr>
              <w:pStyle w:val="TableContents"/>
              <w:bidi w:val="0"/>
              <w:spacing w:before="0" w:after="283"/>
              <w:jc w:val="left"/>
              <w:rPr/>
            </w:pPr>
            <w:r>
              <w:rPr/>
              <w:t> </w:t>
            </w:r>
          </w:p>
        </w:tc>
        <w:tc>
          <w:tcPr>
            <w:tcW w:w="897" w:type="dxa"/>
            <w:tcBorders/>
            <w:shd w:fill="FFFFFF" w:val="clear"/>
            <w:vAlign w:val="center"/>
          </w:tcPr>
          <w:p>
            <w:pPr>
              <w:pStyle w:val="TableContents"/>
              <w:bidi w:val="0"/>
              <w:spacing w:before="0" w:after="283"/>
              <w:jc w:val="right"/>
              <w:rPr/>
            </w:pPr>
            <w:r>
              <w:rPr/>
              <w:t>5,641</w:t>
            </w:r>
          </w:p>
        </w:tc>
        <w:tc>
          <w:tcPr>
            <w:tcW w:w="75" w:type="dxa"/>
            <w:tcBorders/>
            <w:shd w:fill="FFFFFF" w:val="clear"/>
            <w:vAlign w:val="center"/>
          </w:tcPr>
          <w:p>
            <w:pPr>
              <w:pStyle w:val="TableContents"/>
              <w:bidi w:val="0"/>
              <w:spacing w:before="0" w:after="283"/>
              <w:jc w:val="left"/>
              <w:rPr/>
            </w:pPr>
            <w:r>
              <w:rPr/>
              <w:t> </w:t>
            </w:r>
          </w:p>
        </w:tc>
      </w:tr>
      <w:tr>
        <w:trPr/>
        <w:tc>
          <w:tcPr>
            <w:tcW w:w="4250" w:type="dxa"/>
            <w:tcBorders/>
            <w:shd w:fill="CCEEFF" w:val="clear"/>
            <w:vAlign w:val="center"/>
          </w:tcPr>
          <w:p>
            <w:pPr>
              <w:pStyle w:val="TableContents"/>
              <w:bidi w:val="0"/>
              <w:spacing w:before="0" w:after="283"/>
              <w:jc w:val="left"/>
              <w:rPr/>
            </w:pPr>
            <w:r>
              <w:rPr/>
              <w:t>November 2025 Note – related party</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2,000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1" w:type="dxa"/>
            <w:tcBorders/>
            <w:shd w:fill="CCEEFF" w:val="clear"/>
            <w:vAlign w:val="center"/>
          </w:tcPr>
          <w:p>
            <w:pPr>
              <w:pStyle w:val="TableContents"/>
              <w:bidi w:val="0"/>
              <w:spacing w:before="0" w:after="283"/>
              <w:jc w:val="left"/>
              <w:rPr/>
            </w:pPr>
            <w:r>
              <w:rPr/>
              <w:t> </w:t>
            </w:r>
          </w:p>
        </w:tc>
        <w:tc>
          <w:tcPr>
            <w:tcW w:w="1144" w:type="dxa"/>
            <w:tcBorders/>
            <w:shd w:fill="CCEEFF" w:val="clear"/>
            <w:vAlign w:val="center"/>
          </w:tcPr>
          <w:p>
            <w:pPr>
              <w:pStyle w:val="TableContents"/>
              <w:bidi w:val="0"/>
              <w:spacing w:before="0" w:after="283"/>
              <w:jc w:val="right"/>
              <w:rPr/>
            </w:pPr>
            <w:r>
              <w:rPr/>
              <w:t>(1,509</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62" w:type="dxa"/>
            <w:tcBorders/>
            <w:shd w:fill="CCEEFF" w:val="clear"/>
            <w:vAlign w:val="center"/>
          </w:tcPr>
          <w:p>
            <w:pPr>
              <w:pStyle w:val="TableContents"/>
              <w:bidi w:val="0"/>
              <w:spacing w:before="0" w:after="283"/>
              <w:jc w:val="left"/>
              <w:rPr/>
            </w:pPr>
            <w:r>
              <w:rPr/>
              <w:t> </w:t>
            </w:r>
          </w:p>
        </w:tc>
        <w:tc>
          <w:tcPr>
            <w:tcW w:w="788" w:type="dxa"/>
            <w:tcBorders/>
            <w:shd w:fill="CCEEFF" w:val="clear"/>
            <w:vAlign w:val="center"/>
          </w:tcPr>
          <w:p>
            <w:pPr>
              <w:pStyle w:val="TableContents"/>
              <w:bidi w:val="0"/>
              <w:spacing w:before="0" w:after="283"/>
              <w:jc w:val="right"/>
              <w:rPr/>
            </w:pPr>
            <w:r>
              <w:rPr/>
              <w:t>491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7" w:type="dxa"/>
            <w:tcBorders/>
            <w:shd w:fill="CCEEFF" w:val="clear"/>
            <w:vAlign w:val="center"/>
          </w:tcPr>
          <w:p>
            <w:pPr>
              <w:pStyle w:val="TableContents"/>
              <w:bidi w:val="0"/>
              <w:spacing w:before="0" w:after="283"/>
              <w:jc w:val="left"/>
              <w:rPr/>
            </w:pPr>
            <w:r>
              <w:rPr/>
              <w:t> </w:t>
            </w:r>
          </w:p>
        </w:tc>
        <w:tc>
          <w:tcPr>
            <w:tcW w:w="897" w:type="dxa"/>
            <w:tcBorders/>
            <w:shd w:fill="CCEEFF" w:val="clear"/>
            <w:vAlign w:val="center"/>
          </w:tcPr>
          <w:p>
            <w:pPr>
              <w:pStyle w:val="TableContents"/>
              <w:bidi w:val="0"/>
              <w:spacing w:before="0" w:after="283"/>
              <w:jc w:val="right"/>
              <w:rPr/>
            </w:pPr>
            <w:r>
              <w:rPr/>
              <w:t>2,360</w:t>
            </w:r>
          </w:p>
        </w:tc>
        <w:tc>
          <w:tcPr>
            <w:tcW w:w="75" w:type="dxa"/>
            <w:tcBorders/>
            <w:shd w:fill="CCEEFF" w:val="clear"/>
            <w:vAlign w:val="center"/>
          </w:tcPr>
          <w:p>
            <w:pPr>
              <w:pStyle w:val="TableContents"/>
              <w:bidi w:val="0"/>
              <w:spacing w:before="0" w:after="283"/>
              <w:jc w:val="left"/>
              <w:rPr/>
            </w:pPr>
            <w:r>
              <w:rPr/>
              <w:t> </w:t>
            </w:r>
          </w:p>
        </w:tc>
      </w:tr>
      <w:tr>
        <w:trPr/>
        <w:tc>
          <w:tcPr>
            <w:tcW w:w="4250" w:type="dxa"/>
            <w:tcBorders/>
            <w:shd w:fill="FFFFFF" w:val="clear"/>
            <w:vAlign w:val="center"/>
          </w:tcPr>
          <w:p>
            <w:pPr>
              <w:pStyle w:val="TableContents"/>
              <w:bidi w:val="0"/>
              <w:spacing w:before="0" w:after="283"/>
              <w:jc w:val="both"/>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1144"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2" w:type="dxa"/>
            <w:tcBorders/>
            <w:shd w:fill="FFFFFF" w:val="clear"/>
            <w:vAlign w:val="center"/>
          </w:tcPr>
          <w:p>
            <w:pPr>
              <w:pStyle w:val="TableContents"/>
              <w:bidi w:val="0"/>
              <w:spacing w:before="0" w:after="283"/>
              <w:jc w:val="left"/>
              <w:rPr/>
            </w:pPr>
            <w:r>
              <w:rPr/>
              <w:t> </w:t>
            </w:r>
          </w:p>
        </w:tc>
        <w:tc>
          <w:tcPr>
            <w:tcW w:w="788"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7" w:type="dxa"/>
            <w:tcBorders/>
            <w:shd w:fill="FFFFFF" w:val="clear"/>
            <w:vAlign w:val="center"/>
          </w:tcPr>
          <w:p>
            <w:pPr>
              <w:pStyle w:val="TableContents"/>
              <w:bidi w:val="0"/>
              <w:spacing w:before="0" w:after="283"/>
              <w:jc w:val="left"/>
              <w:rPr/>
            </w:pPr>
            <w:r>
              <w:rPr/>
              <w:t> </w:t>
            </w:r>
          </w:p>
        </w:tc>
        <w:tc>
          <w:tcPr>
            <w:tcW w:w="897" w:type="dxa"/>
            <w:tcBorders/>
            <w:shd w:fill="FFFFFF" w:val="clear"/>
            <w:vAlign w:val="center"/>
          </w:tcPr>
          <w:p>
            <w:pPr>
              <w:pStyle w:val="TableContents"/>
              <w:bidi w:val="0"/>
              <w:spacing w:before="0" w:after="283"/>
              <w:jc w:val="right"/>
              <w:rPr/>
            </w:pPr>
            <w:r>
              <w:rPr/>
              <w:t> </w:t>
            </w:r>
          </w:p>
        </w:tc>
        <w:tc>
          <w:tcPr>
            <w:tcW w:w="75" w:type="dxa"/>
            <w:tcBorders/>
            <w:shd w:fill="FFFFFF" w:val="clear"/>
            <w:vAlign w:val="center"/>
          </w:tcPr>
          <w:p>
            <w:pPr>
              <w:pStyle w:val="TableContents"/>
              <w:bidi w:val="0"/>
              <w:spacing w:before="0" w:after="283"/>
              <w:jc w:val="left"/>
              <w:rPr/>
            </w:pPr>
            <w:r>
              <w:rPr/>
              <w:t> </w:t>
            </w:r>
          </w:p>
        </w:tc>
      </w:tr>
      <w:tr>
        <w:trPr/>
        <w:tc>
          <w:tcPr>
            <w:tcW w:w="4250" w:type="dxa"/>
            <w:tcBorders/>
            <w:shd w:fill="CCEEFF" w:val="clear"/>
            <w:vAlign w:val="center"/>
          </w:tcPr>
          <w:p>
            <w:pPr>
              <w:pStyle w:val="TableContents"/>
              <w:bidi w:val="0"/>
              <w:spacing w:before="0" w:after="283"/>
              <w:jc w:val="left"/>
              <w:rPr>
                <w:b/>
              </w:rPr>
            </w:pPr>
            <w:r>
              <w:rPr>
                <w:b/>
              </w:rPr>
              <w:t>7.0% senior unsecured convertible notes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1" w:type="dxa"/>
            <w:tcBorders/>
            <w:shd w:fill="CCEEFF" w:val="clear"/>
            <w:vAlign w:val="center"/>
          </w:tcPr>
          <w:p>
            <w:pPr>
              <w:pStyle w:val="TableContents"/>
              <w:bidi w:val="0"/>
              <w:spacing w:before="0" w:after="283"/>
              <w:jc w:val="left"/>
              <w:rPr/>
            </w:pPr>
            <w:r>
              <w:rPr/>
              <w:t> </w:t>
            </w:r>
          </w:p>
        </w:tc>
        <w:tc>
          <w:tcPr>
            <w:tcW w:w="1144"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2" w:type="dxa"/>
            <w:tcBorders/>
            <w:shd w:fill="CCEEFF" w:val="clear"/>
            <w:vAlign w:val="center"/>
          </w:tcPr>
          <w:p>
            <w:pPr>
              <w:pStyle w:val="TableContents"/>
              <w:bidi w:val="0"/>
              <w:spacing w:before="0" w:after="283"/>
              <w:jc w:val="left"/>
              <w:rPr/>
            </w:pPr>
            <w:r>
              <w:rPr/>
              <w:t> </w:t>
            </w:r>
          </w:p>
        </w:tc>
        <w:tc>
          <w:tcPr>
            <w:tcW w:w="788"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7" w:type="dxa"/>
            <w:tcBorders/>
            <w:shd w:fill="CCEEFF" w:val="clear"/>
            <w:vAlign w:val="center"/>
          </w:tcPr>
          <w:p>
            <w:pPr>
              <w:pStyle w:val="TableContents"/>
              <w:bidi w:val="0"/>
              <w:spacing w:before="0" w:after="283"/>
              <w:jc w:val="left"/>
              <w:rPr/>
            </w:pPr>
            <w:r>
              <w:rPr/>
              <w:t> </w:t>
            </w:r>
          </w:p>
        </w:tc>
        <w:tc>
          <w:tcPr>
            <w:tcW w:w="897"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4250" w:type="dxa"/>
            <w:tcBorders/>
            <w:shd w:fill="FFFFFF" w:val="clear"/>
            <w:vAlign w:val="center"/>
          </w:tcPr>
          <w:p>
            <w:pPr>
              <w:pStyle w:val="TableContents"/>
              <w:bidi w:val="0"/>
              <w:spacing w:before="0" w:after="283"/>
              <w:jc w:val="both"/>
              <w:rPr/>
            </w:pPr>
            <w:r>
              <w:rPr/>
              <w:t>September 2024 Notes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56,543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1144" w:type="dxa"/>
            <w:tcBorders/>
            <w:shd w:fill="FFFFFF" w:val="clear"/>
            <w:vAlign w:val="center"/>
          </w:tcPr>
          <w:p>
            <w:pPr>
              <w:pStyle w:val="TableContents"/>
              <w:bidi w:val="0"/>
              <w:spacing w:before="0" w:after="283"/>
              <w:jc w:val="right"/>
              <w:rPr/>
            </w:pPr>
            <w:r>
              <w:rPr/>
              <w:t>(42,211</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62" w:type="dxa"/>
            <w:tcBorders/>
            <w:shd w:fill="FFFFFF" w:val="clear"/>
            <w:vAlign w:val="center"/>
          </w:tcPr>
          <w:p>
            <w:pPr>
              <w:pStyle w:val="TableContents"/>
              <w:bidi w:val="0"/>
              <w:spacing w:before="0" w:after="283"/>
              <w:jc w:val="left"/>
              <w:rPr/>
            </w:pPr>
            <w:r>
              <w:rPr/>
              <w:t> </w:t>
            </w:r>
          </w:p>
        </w:tc>
        <w:tc>
          <w:tcPr>
            <w:tcW w:w="788" w:type="dxa"/>
            <w:tcBorders/>
            <w:shd w:fill="FFFFFF" w:val="clear"/>
            <w:vAlign w:val="center"/>
          </w:tcPr>
          <w:p>
            <w:pPr>
              <w:pStyle w:val="TableContents"/>
              <w:bidi w:val="0"/>
              <w:spacing w:before="0" w:after="283"/>
              <w:jc w:val="right"/>
              <w:rPr/>
            </w:pPr>
            <w:r>
              <w:rPr/>
              <w:t>14,332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7" w:type="dxa"/>
            <w:tcBorders/>
            <w:shd w:fill="FFFFFF" w:val="clear"/>
            <w:vAlign w:val="center"/>
          </w:tcPr>
          <w:p>
            <w:pPr>
              <w:pStyle w:val="TableContents"/>
              <w:bidi w:val="0"/>
              <w:spacing w:before="0" w:after="283"/>
              <w:jc w:val="left"/>
              <w:rPr/>
            </w:pPr>
            <w:r>
              <w:rPr/>
              <w:t> </w:t>
            </w:r>
          </w:p>
        </w:tc>
        <w:tc>
          <w:tcPr>
            <w:tcW w:w="897" w:type="dxa"/>
            <w:tcBorders/>
            <w:shd w:fill="FFFFFF" w:val="clear"/>
            <w:vAlign w:val="center"/>
          </w:tcPr>
          <w:p>
            <w:pPr>
              <w:pStyle w:val="TableContents"/>
              <w:bidi w:val="0"/>
              <w:spacing w:before="0" w:after="283"/>
              <w:jc w:val="right"/>
              <w:rPr/>
            </w:pPr>
            <w:r>
              <w:rPr/>
              <w:t>59,425</w:t>
            </w:r>
          </w:p>
        </w:tc>
        <w:tc>
          <w:tcPr>
            <w:tcW w:w="75" w:type="dxa"/>
            <w:tcBorders/>
            <w:shd w:fill="FFFFFF" w:val="clear"/>
            <w:vAlign w:val="center"/>
          </w:tcPr>
          <w:p>
            <w:pPr>
              <w:pStyle w:val="TableContents"/>
              <w:bidi w:val="0"/>
              <w:spacing w:before="0" w:after="283"/>
              <w:jc w:val="left"/>
              <w:rPr/>
            </w:pPr>
            <w:r>
              <w:rPr/>
              <w:t> </w:t>
            </w:r>
          </w:p>
        </w:tc>
      </w:tr>
      <w:tr>
        <w:trPr/>
        <w:tc>
          <w:tcPr>
            <w:tcW w:w="4250" w:type="dxa"/>
            <w:tcBorders/>
            <w:shd w:fill="CCEEFF" w:val="clear"/>
            <w:vAlign w:val="center"/>
          </w:tcPr>
          <w:p>
            <w:pPr>
              <w:pStyle w:val="TableContents"/>
              <w:bidi w:val="0"/>
              <w:spacing w:before="0" w:after="283"/>
              <w:jc w:val="left"/>
              <w:rPr/>
            </w:pPr>
            <w:r>
              <w:rPr/>
              <w:t>September 2024 Notes – related parties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00" w:type="dxa"/>
            <w:tcBorders>
              <w:bottom w:val="single" w:sz="12" w:space="0" w:color="000000"/>
            </w:tcBorders>
            <w:shd w:fill="CCEEFF" w:val="clear"/>
            <w:tcMar>
              <w:bottom w:w="28" w:type="dxa"/>
            </w:tcMar>
            <w:vAlign w:val="center"/>
          </w:tcPr>
          <w:p>
            <w:pPr>
              <w:pStyle w:val="TableContents"/>
              <w:bidi w:val="0"/>
              <w:spacing w:before="0" w:after="283"/>
              <w:jc w:val="right"/>
              <w:rPr/>
            </w:pPr>
            <w:r>
              <w:rPr/>
              <w:t>8,750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1"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44" w:type="dxa"/>
            <w:tcBorders>
              <w:bottom w:val="single" w:sz="12" w:space="0" w:color="000000"/>
            </w:tcBorders>
            <w:shd w:fill="CCEEFF" w:val="clear"/>
            <w:tcMar>
              <w:bottom w:w="28" w:type="dxa"/>
            </w:tcMar>
            <w:vAlign w:val="center"/>
          </w:tcPr>
          <w:p>
            <w:pPr>
              <w:pStyle w:val="TableContents"/>
              <w:bidi w:val="0"/>
              <w:spacing w:before="0" w:after="283"/>
              <w:jc w:val="right"/>
              <w:rPr/>
            </w:pPr>
            <w:r>
              <w:rPr/>
              <w:t>(6,404</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62"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788" w:type="dxa"/>
            <w:tcBorders>
              <w:bottom w:val="single" w:sz="12" w:space="0" w:color="000000"/>
            </w:tcBorders>
            <w:shd w:fill="CCEEFF" w:val="clear"/>
            <w:tcMar>
              <w:bottom w:w="28" w:type="dxa"/>
            </w:tcMar>
            <w:vAlign w:val="center"/>
          </w:tcPr>
          <w:p>
            <w:pPr>
              <w:pStyle w:val="TableContents"/>
              <w:bidi w:val="0"/>
              <w:spacing w:before="0" w:after="283"/>
              <w:jc w:val="right"/>
              <w:rPr/>
            </w:pPr>
            <w:r>
              <w:rPr/>
              <w:t>2,346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7"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97" w:type="dxa"/>
            <w:tcBorders>
              <w:bottom w:val="single" w:sz="12" w:space="0" w:color="000000"/>
            </w:tcBorders>
            <w:shd w:fill="CCEEFF" w:val="clear"/>
            <w:tcMar>
              <w:bottom w:w="28" w:type="dxa"/>
            </w:tcMar>
            <w:vAlign w:val="center"/>
          </w:tcPr>
          <w:p>
            <w:pPr>
              <w:pStyle w:val="TableContents"/>
              <w:bidi w:val="0"/>
              <w:spacing w:before="0" w:after="283"/>
              <w:jc w:val="right"/>
              <w:rPr/>
            </w:pPr>
            <w:r>
              <w:rPr/>
              <w:t>8,880</w:t>
            </w:r>
          </w:p>
        </w:tc>
        <w:tc>
          <w:tcPr>
            <w:tcW w:w="75" w:type="dxa"/>
            <w:tcBorders/>
            <w:shd w:fill="CCEEFF" w:val="clear"/>
            <w:vAlign w:val="center"/>
          </w:tcPr>
          <w:p>
            <w:pPr>
              <w:pStyle w:val="TableContents"/>
              <w:bidi w:val="0"/>
              <w:spacing w:before="0" w:after="283"/>
              <w:jc w:val="left"/>
              <w:rPr/>
            </w:pPr>
            <w:r>
              <w:rPr/>
              <w:t> </w:t>
            </w:r>
          </w:p>
        </w:tc>
      </w:tr>
      <w:tr>
        <w:trPr/>
        <w:tc>
          <w:tcPr>
            <w:tcW w:w="4250" w:type="dxa"/>
            <w:tcBorders/>
            <w:shd w:fill="FFFFFF" w:val="clear"/>
            <w:vAlign w:val="center"/>
          </w:tcPr>
          <w:p>
            <w:pPr>
              <w:pStyle w:val="TableContents"/>
              <w:bidi w:val="0"/>
              <w:spacing w:before="0" w:after="283"/>
              <w:jc w:val="left"/>
              <w:rPr/>
            </w:pPr>
            <w:r>
              <w:rPr/>
              <w:t>Subtotal September 2024 Notes</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800" w:type="dxa"/>
            <w:tcBorders>
              <w:bottom w:val="single" w:sz="12" w:space="0" w:color="000000"/>
            </w:tcBorders>
            <w:shd w:fill="FFFFFF" w:val="clear"/>
            <w:tcMar>
              <w:bottom w:w="28" w:type="dxa"/>
            </w:tcMar>
            <w:vAlign w:val="center"/>
          </w:tcPr>
          <w:p>
            <w:pPr>
              <w:pStyle w:val="TableContents"/>
              <w:bidi w:val="0"/>
              <w:spacing w:before="0" w:after="283"/>
              <w:jc w:val="right"/>
              <w:rPr/>
            </w:pPr>
            <w:r>
              <w:rPr/>
              <w:t>65,293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1"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44" w:type="dxa"/>
            <w:tcBorders>
              <w:bottom w:val="single" w:sz="12" w:space="0" w:color="000000"/>
            </w:tcBorders>
            <w:shd w:fill="FFFFFF" w:val="clear"/>
            <w:tcMar>
              <w:bottom w:w="28" w:type="dxa"/>
            </w:tcMar>
            <w:vAlign w:val="center"/>
          </w:tcPr>
          <w:p>
            <w:pPr>
              <w:pStyle w:val="TableContents"/>
              <w:bidi w:val="0"/>
              <w:spacing w:before="0" w:after="283"/>
              <w:jc w:val="right"/>
              <w:rPr/>
            </w:pPr>
            <w:r>
              <w:rPr/>
              <w:t>(48,615</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62"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788" w:type="dxa"/>
            <w:tcBorders>
              <w:bottom w:val="single" w:sz="12" w:space="0" w:color="000000"/>
            </w:tcBorders>
            <w:shd w:fill="FFFFFF" w:val="clear"/>
            <w:tcMar>
              <w:bottom w:w="28" w:type="dxa"/>
            </w:tcMar>
            <w:vAlign w:val="center"/>
          </w:tcPr>
          <w:p>
            <w:pPr>
              <w:pStyle w:val="TableContents"/>
              <w:bidi w:val="0"/>
              <w:spacing w:before="0" w:after="283"/>
              <w:jc w:val="right"/>
              <w:rPr/>
            </w:pPr>
            <w:r>
              <w:rPr/>
              <w:t>16,678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7"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897" w:type="dxa"/>
            <w:tcBorders>
              <w:bottom w:val="single" w:sz="12" w:space="0" w:color="000000"/>
            </w:tcBorders>
            <w:shd w:fill="FFFFFF" w:val="clear"/>
            <w:tcMar>
              <w:bottom w:w="28" w:type="dxa"/>
            </w:tcMar>
            <w:vAlign w:val="center"/>
          </w:tcPr>
          <w:p>
            <w:pPr>
              <w:pStyle w:val="TableContents"/>
              <w:bidi w:val="0"/>
              <w:spacing w:before="0" w:after="283"/>
              <w:jc w:val="right"/>
              <w:rPr/>
            </w:pPr>
            <w:r>
              <w:rPr/>
              <w:t>68,305</w:t>
            </w:r>
          </w:p>
        </w:tc>
        <w:tc>
          <w:tcPr>
            <w:tcW w:w="75" w:type="dxa"/>
            <w:tcBorders/>
            <w:shd w:fill="FFFFFF" w:val="clear"/>
            <w:vAlign w:val="center"/>
          </w:tcPr>
          <w:p>
            <w:pPr>
              <w:pStyle w:val="TableContents"/>
              <w:bidi w:val="0"/>
              <w:spacing w:before="0" w:after="283"/>
              <w:jc w:val="left"/>
              <w:rPr/>
            </w:pPr>
            <w:r>
              <w:rPr/>
              <w:t> </w:t>
            </w:r>
          </w:p>
        </w:tc>
      </w:tr>
      <w:tr>
        <w:trPr/>
        <w:tc>
          <w:tcPr>
            <w:tcW w:w="4250" w:type="dxa"/>
            <w:tcBorders/>
            <w:shd w:fill="CCEEFF" w:val="clear"/>
            <w:vAlign w:val="center"/>
          </w:tcPr>
          <w:p>
            <w:pPr>
              <w:pStyle w:val="TableContents"/>
              <w:bidi w:val="0"/>
              <w:spacing w:before="0" w:after="283"/>
              <w:jc w:val="both"/>
              <w:rPr/>
            </w:pPr>
            <w:r>
              <w:rPr/>
              <w:t>September 2025 Notes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00" w:type="dxa"/>
            <w:tcBorders>
              <w:bottom w:val="single" w:sz="12" w:space="0" w:color="000000"/>
            </w:tcBorders>
            <w:shd w:fill="CCEEFF" w:val="clear"/>
            <w:tcMar>
              <w:bottom w:w="28" w:type="dxa"/>
            </w:tcMar>
            <w:vAlign w:val="center"/>
          </w:tcPr>
          <w:p>
            <w:pPr>
              <w:pStyle w:val="TableContents"/>
              <w:bidi w:val="0"/>
              <w:spacing w:before="0" w:after="283"/>
              <w:jc w:val="right"/>
              <w:rPr/>
            </w:pPr>
            <w:r>
              <w:rPr/>
              <w:t>22,000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1"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44" w:type="dxa"/>
            <w:tcBorders>
              <w:bottom w:val="single" w:sz="12" w:space="0" w:color="000000"/>
            </w:tcBorders>
            <w:shd w:fill="CCEEFF" w:val="clear"/>
            <w:tcMar>
              <w:bottom w:w="28" w:type="dxa"/>
            </w:tcMar>
            <w:vAlign w:val="center"/>
          </w:tcPr>
          <w:p>
            <w:pPr>
              <w:pStyle w:val="TableContents"/>
              <w:bidi w:val="0"/>
              <w:spacing w:before="0" w:after="283"/>
              <w:jc w:val="right"/>
              <w:rPr/>
            </w:pPr>
            <w:r>
              <w:rPr/>
              <w:t>(18,646</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62"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788" w:type="dxa"/>
            <w:tcBorders>
              <w:bottom w:val="single" w:sz="12" w:space="0" w:color="000000"/>
            </w:tcBorders>
            <w:shd w:fill="CCEEFF" w:val="clear"/>
            <w:tcMar>
              <w:bottom w:w="28" w:type="dxa"/>
            </w:tcMar>
            <w:vAlign w:val="center"/>
          </w:tcPr>
          <w:p>
            <w:pPr>
              <w:pStyle w:val="TableContents"/>
              <w:bidi w:val="0"/>
              <w:spacing w:before="0" w:after="283"/>
              <w:jc w:val="right"/>
              <w:rPr/>
            </w:pPr>
            <w:r>
              <w:rPr/>
              <w:t>3,354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7"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97" w:type="dxa"/>
            <w:tcBorders>
              <w:bottom w:val="single" w:sz="12" w:space="0" w:color="000000"/>
            </w:tcBorders>
            <w:shd w:fill="CCEEFF" w:val="clear"/>
            <w:tcMar>
              <w:bottom w:w="28" w:type="dxa"/>
            </w:tcMar>
            <w:vAlign w:val="center"/>
          </w:tcPr>
          <w:p>
            <w:pPr>
              <w:pStyle w:val="TableContents"/>
              <w:bidi w:val="0"/>
              <w:spacing w:before="0" w:after="283"/>
              <w:jc w:val="right"/>
              <w:rPr/>
            </w:pPr>
            <w:r>
              <w:rPr/>
              <w:t>24,227</w:t>
            </w:r>
          </w:p>
        </w:tc>
        <w:tc>
          <w:tcPr>
            <w:tcW w:w="75" w:type="dxa"/>
            <w:tcBorders/>
            <w:shd w:fill="CCEEFF" w:val="clear"/>
            <w:vAlign w:val="center"/>
          </w:tcPr>
          <w:p>
            <w:pPr>
              <w:pStyle w:val="TableContents"/>
              <w:bidi w:val="0"/>
              <w:spacing w:before="0" w:after="283"/>
              <w:jc w:val="left"/>
              <w:rPr/>
            </w:pPr>
            <w:r>
              <w:rPr/>
              <w:t> </w:t>
            </w:r>
          </w:p>
        </w:tc>
      </w:tr>
      <w:tr>
        <w:trPr/>
        <w:tc>
          <w:tcPr>
            <w:tcW w:w="4250" w:type="dxa"/>
            <w:tcBorders/>
            <w:shd w:fill="FFFFFF" w:val="clear"/>
            <w:vAlign w:val="center"/>
          </w:tcPr>
          <w:p>
            <w:pPr>
              <w:pStyle w:val="TableContents"/>
              <w:bidi w:val="0"/>
              <w:spacing w:before="0" w:after="283"/>
              <w:jc w:val="both"/>
              <w:rPr/>
            </w:pPr>
            <w:r>
              <w:rPr/>
              <w:t>Total</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10" w:space="0" w:color="000000"/>
            </w:tcBorders>
            <w:shd w:fill="FFFFFF" w:val="clear"/>
            <w:tcMar>
              <w:bottom w:w="28" w:type="dxa"/>
            </w:tcMar>
            <w:vAlign w:val="center"/>
          </w:tcPr>
          <w:p>
            <w:pPr>
              <w:pStyle w:val="TableContents"/>
              <w:bidi w:val="0"/>
              <w:spacing w:before="0" w:after="283"/>
              <w:jc w:val="left"/>
              <w:rPr/>
            </w:pPr>
            <w:r>
              <w:rPr/>
              <w:t>$</w:t>
            </w:r>
          </w:p>
        </w:tc>
        <w:tc>
          <w:tcPr>
            <w:tcW w:w="800" w:type="dxa"/>
            <w:tcBorders>
              <w:bottom w:val="double" w:sz="10" w:space="0" w:color="000000"/>
            </w:tcBorders>
            <w:shd w:fill="FFFFFF" w:val="clear"/>
            <w:tcMar>
              <w:bottom w:w="28" w:type="dxa"/>
            </w:tcMar>
            <w:vAlign w:val="center"/>
          </w:tcPr>
          <w:p>
            <w:pPr>
              <w:pStyle w:val="TableContents"/>
              <w:bidi w:val="0"/>
              <w:spacing w:before="0" w:after="283"/>
              <w:jc w:val="right"/>
              <w:rPr/>
            </w:pPr>
            <w:r>
              <w:rPr/>
              <w:t>140,266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1" w:type="dxa"/>
            <w:tcBorders>
              <w:bottom w:val="double" w:sz="10" w:space="0" w:color="000000"/>
            </w:tcBorders>
            <w:shd w:fill="FFFFFF" w:val="clear"/>
            <w:tcMar>
              <w:bottom w:w="28" w:type="dxa"/>
            </w:tcMar>
            <w:vAlign w:val="center"/>
          </w:tcPr>
          <w:p>
            <w:pPr>
              <w:pStyle w:val="TableContents"/>
              <w:bidi w:val="0"/>
              <w:spacing w:before="0" w:after="283"/>
              <w:jc w:val="left"/>
              <w:rPr/>
            </w:pPr>
            <w:r>
              <w:rPr/>
              <w:t>$</w:t>
            </w:r>
          </w:p>
        </w:tc>
        <w:tc>
          <w:tcPr>
            <w:tcW w:w="1144" w:type="dxa"/>
            <w:tcBorders>
              <w:bottom w:val="double" w:sz="10" w:space="0" w:color="000000"/>
            </w:tcBorders>
            <w:shd w:fill="FFFFFF" w:val="clear"/>
            <w:tcMar>
              <w:bottom w:w="28" w:type="dxa"/>
            </w:tcMar>
            <w:vAlign w:val="center"/>
          </w:tcPr>
          <w:p>
            <w:pPr>
              <w:pStyle w:val="TableContents"/>
              <w:bidi w:val="0"/>
              <w:spacing w:before="0" w:after="283"/>
              <w:jc w:val="right"/>
              <w:rPr/>
            </w:pPr>
            <w:r>
              <w:rPr/>
              <w:t>(88,528</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62" w:type="dxa"/>
            <w:tcBorders>
              <w:bottom w:val="double" w:sz="10" w:space="0" w:color="000000"/>
            </w:tcBorders>
            <w:shd w:fill="FFFFFF" w:val="clear"/>
            <w:tcMar>
              <w:bottom w:w="28" w:type="dxa"/>
            </w:tcMar>
            <w:vAlign w:val="center"/>
          </w:tcPr>
          <w:p>
            <w:pPr>
              <w:pStyle w:val="TableContents"/>
              <w:bidi w:val="0"/>
              <w:spacing w:before="0" w:after="283"/>
              <w:jc w:val="left"/>
              <w:rPr/>
            </w:pPr>
            <w:r>
              <w:rPr/>
              <w:t>$</w:t>
            </w:r>
          </w:p>
        </w:tc>
        <w:tc>
          <w:tcPr>
            <w:tcW w:w="788" w:type="dxa"/>
            <w:tcBorders>
              <w:bottom w:val="double" w:sz="10" w:space="0" w:color="000000"/>
            </w:tcBorders>
            <w:shd w:fill="FFFFFF" w:val="clear"/>
            <w:tcMar>
              <w:bottom w:w="28" w:type="dxa"/>
            </w:tcMar>
            <w:vAlign w:val="center"/>
          </w:tcPr>
          <w:p>
            <w:pPr>
              <w:pStyle w:val="TableContents"/>
              <w:bidi w:val="0"/>
              <w:spacing w:before="0" w:after="283"/>
              <w:jc w:val="right"/>
              <w:rPr/>
            </w:pPr>
            <w:r>
              <w:rPr/>
              <w:t>51,738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7" w:type="dxa"/>
            <w:tcBorders>
              <w:bottom w:val="double" w:sz="10" w:space="0" w:color="000000"/>
            </w:tcBorders>
            <w:shd w:fill="FFFFFF" w:val="clear"/>
            <w:tcMar>
              <w:bottom w:w="28" w:type="dxa"/>
            </w:tcMar>
            <w:vAlign w:val="center"/>
          </w:tcPr>
          <w:p>
            <w:pPr>
              <w:pStyle w:val="TableContents"/>
              <w:bidi w:val="0"/>
              <w:spacing w:before="0" w:after="283"/>
              <w:jc w:val="left"/>
              <w:rPr/>
            </w:pPr>
            <w:r>
              <w:rPr/>
              <w:t>$</w:t>
            </w:r>
          </w:p>
        </w:tc>
        <w:tc>
          <w:tcPr>
            <w:tcW w:w="897" w:type="dxa"/>
            <w:tcBorders>
              <w:bottom w:val="double" w:sz="10" w:space="0" w:color="000000"/>
            </w:tcBorders>
            <w:shd w:fill="FFFFFF" w:val="clear"/>
            <w:tcMar>
              <w:bottom w:w="28" w:type="dxa"/>
            </w:tcMar>
            <w:vAlign w:val="center"/>
          </w:tcPr>
          <w:p>
            <w:pPr>
              <w:pStyle w:val="TableContents"/>
              <w:bidi w:val="0"/>
              <w:spacing w:before="0" w:after="283"/>
              <w:jc w:val="right"/>
              <w:rPr/>
            </w:pPr>
            <w:r>
              <w:rPr/>
              <w:t>154,902</w:t>
            </w:r>
          </w:p>
        </w:tc>
        <w:tc>
          <w:tcPr>
            <w:tcW w:w="75"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sz w:val="20"/>
          <w:bdr w:val="single" w:sz="12" w:space="1" w:color="000000"/>
        </w:rPr>
      </w:pPr>
      <w:r>
        <w:rPr>
          <w:sz w:val="20"/>
          <w:bdr w:val="single" w:sz="12" w:space="1" w:color="000000"/>
        </w:rPr>
        <w:t>F-81</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tbl>
      <w:tblPr>
        <w:tblW w:w="7963" w:type="dxa"/>
        <w:jc w:val="left"/>
        <w:tblInd w:w="0" w:type="dxa"/>
        <w:tblLayout w:type="fixed"/>
        <w:tblCellMar>
          <w:top w:w="0" w:type="dxa"/>
          <w:left w:w="0" w:type="dxa"/>
          <w:bottom w:w="0" w:type="dxa"/>
          <w:right w:w="0" w:type="dxa"/>
        </w:tblCellMar>
      </w:tblPr>
      <w:tblGrid>
        <w:gridCol w:w="3545"/>
        <w:gridCol w:w="60"/>
        <w:gridCol w:w="140"/>
        <w:gridCol w:w="779"/>
        <w:gridCol w:w="60"/>
        <w:gridCol w:w="60"/>
        <w:gridCol w:w="182"/>
        <w:gridCol w:w="948"/>
        <w:gridCol w:w="80"/>
        <w:gridCol w:w="60"/>
        <w:gridCol w:w="166"/>
        <w:gridCol w:w="784"/>
        <w:gridCol w:w="60"/>
        <w:gridCol w:w="60"/>
        <w:gridCol w:w="137"/>
        <w:gridCol w:w="767"/>
        <w:gridCol w:w="75"/>
      </w:tblGrid>
      <w:tr>
        <w:trPr/>
        <w:tc>
          <w:tcPr>
            <w:tcW w:w="354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283" w:type="dxa"/>
            <w:gridSpan w:val="14"/>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As of December 29, 2024</w:t>
            </w:r>
          </w:p>
        </w:tc>
        <w:tc>
          <w:tcPr>
            <w:tcW w:w="75" w:type="dxa"/>
            <w:tcBorders/>
            <w:vAlign w:val="center"/>
          </w:tcPr>
          <w:p>
            <w:pPr>
              <w:pStyle w:val="TableContents"/>
              <w:bidi w:val="0"/>
              <w:spacing w:before="0" w:after="283"/>
              <w:jc w:val="left"/>
              <w:rPr/>
            </w:pPr>
            <w:r>
              <w:rPr/>
              <w:t> </w:t>
            </w:r>
          </w:p>
        </w:tc>
      </w:tr>
      <w:tr>
        <w:trPr/>
        <w:tc>
          <w:tcPr>
            <w:tcW w:w="3545"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p>
        </w:tc>
        <w:tc>
          <w:tcPr>
            <w:tcW w:w="919"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Principal</w:t>
              <w:br/>
              <w:t xml:space="preserve">amount </w:t>
            </w:r>
            <w:r>
              <w:rPr>
                <w:rFonts w:ascii="Times New Roman;Times;Serif" w:hAnsi="Times New Roman;Times;Serif"/>
                <w:b/>
                <w:position w:val="7"/>
                <w:sz w:val="16"/>
                <w:sz w:val="20"/>
              </w:rPr>
              <w:t>(1)</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30"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Unamortized</w:t>
              <w:br/>
              <w:t>debt</w:t>
              <w:br/>
              <w:t>discount</w:t>
              <w:br/>
              <w:t>and debt</w:t>
              <w:br/>
              <w:t>issuance</w:t>
              <w:br/>
              <w:t>costs</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50"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Net</w:t>
              <w:br/>
              <w:t>carrying</w:t>
              <w:br/>
              <w:t>amount</w:t>
              <w:br/>
              <w:t>excluding</w:t>
              <w:br/>
              <w:t>capitalized</w:t>
              <w:br/>
              <w:t xml:space="preserve">interest </w:t>
            </w:r>
            <w:r>
              <w:rPr>
                <w:rFonts w:ascii="Times New Roman;Times;Serif" w:hAnsi="Times New Roman;Times;Serif"/>
                <w:b/>
                <w:position w:val="7"/>
                <w:sz w:val="16"/>
                <w:sz w:val="20"/>
              </w:rPr>
              <w:t>(1)</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04"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Fair value</w:t>
            </w:r>
          </w:p>
        </w:tc>
        <w:tc>
          <w:tcPr>
            <w:tcW w:w="75" w:type="dxa"/>
            <w:tcBorders/>
            <w:vAlign w:val="center"/>
          </w:tcPr>
          <w:p>
            <w:pPr>
              <w:pStyle w:val="TableContents"/>
              <w:bidi w:val="0"/>
              <w:spacing w:before="0" w:after="283"/>
              <w:jc w:val="left"/>
              <w:rPr/>
            </w:pPr>
            <w:r>
              <w:rPr/>
              <w:t> </w:t>
            </w:r>
          </w:p>
        </w:tc>
      </w:tr>
      <w:tr>
        <w:trPr/>
        <w:tc>
          <w:tcPr>
            <w:tcW w:w="354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12.0% senior unsecured convertible notes</w:t>
            </w:r>
          </w:p>
        </w:tc>
        <w:tc>
          <w:tcPr>
            <w:tcW w:w="60" w:type="dxa"/>
            <w:tcBorders/>
            <w:vAlign w:val="center"/>
          </w:tcPr>
          <w:p>
            <w:pPr>
              <w:pStyle w:val="TableContents"/>
              <w:bidi w:val="0"/>
              <w:spacing w:before="0" w:after="283"/>
              <w:jc w:val="left"/>
              <w:rPr/>
            </w:pPr>
            <w:r>
              <w:rPr/>
              <w:t> </w:t>
            </w:r>
          </w:p>
        </w:tc>
        <w:tc>
          <w:tcPr>
            <w:tcW w:w="919"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30" w:type="dxa"/>
            <w:gridSpan w:val="2"/>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50"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04" w:type="dxa"/>
            <w:gridSpan w:val="2"/>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3545" w:type="dxa"/>
            <w:tcBorders/>
            <w:shd w:fill="CCEEFF" w:val="cle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July 2024 Notes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779"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17,973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2"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948"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(6,205</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66"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784"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11,768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7"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767"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21,390</w:t>
            </w:r>
          </w:p>
        </w:tc>
        <w:tc>
          <w:tcPr>
            <w:tcW w:w="75" w:type="dxa"/>
            <w:tcBorders/>
            <w:shd w:fill="CCEEFF" w:val="clear"/>
            <w:vAlign w:val="center"/>
          </w:tcPr>
          <w:p>
            <w:pPr>
              <w:pStyle w:val="TableContents"/>
              <w:bidi w:val="0"/>
              <w:spacing w:before="0" w:after="283"/>
              <w:jc w:val="left"/>
              <w:rPr/>
            </w:pPr>
            <w:r>
              <w:rPr/>
              <w:t> </w:t>
            </w:r>
          </w:p>
        </w:tc>
      </w:tr>
      <w:tr>
        <w:trPr/>
        <w:tc>
          <w:tcPr>
            <w:tcW w:w="354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July 2024 Notes – related parties</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779"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28,000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2"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948"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(10,785</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66"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784"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17,215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7"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767"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33,323</w:t>
            </w:r>
          </w:p>
        </w:tc>
        <w:tc>
          <w:tcPr>
            <w:tcW w:w="75" w:type="dxa"/>
            <w:tcBorders/>
            <w:shd w:fill="FFFFFF" w:val="clear"/>
            <w:vAlign w:val="center"/>
          </w:tcPr>
          <w:p>
            <w:pPr>
              <w:pStyle w:val="TableContents"/>
              <w:bidi w:val="0"/>
              <w:spacing w:before="0" w:after="283"/>
              <w:jc w:val="left"/>
              <w:rPr/>
            </w:pPr>
            <w:r>
              <w:rPr/>
              <w:t> </w:t>
            </w:r>
          </w:p>
        </w:tc>
      </w:tr>
      <w:tr>
        <w:trPr/>
        <w:tc>
          <w:tcPr>
            <w:tcW w:w="3545" w:type="dxa"/>
            <w:tcBorders/>
            <w:shd w:fill="CCEEFF" w:val="cle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Subtotal July 2024 Notes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779"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45,973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2"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48"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(16,990</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66"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784"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28,983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7"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767"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54,713</w:t>
            </w:r>
          </w:p>
        </w:tc>
        <w:tc>
          <w:tcPr>
            <w:tcW w:w="75" w:type="dxa"/>
            <w:tcBorders/>
            <w:shd w:fill="CCEEFF" w:val="clear"/>
            <w:vAlign w:val="center"/>
          </w:tcPr>
          <w:p>
            <w:pPr>
              <w:pStyle w:val="TableContents"/>
              <w:bidi w:val="0"/>
              <w:spacing w:before="0" w:after="283"/>
              <w:jc w:val="left"/>
              <w:rPr/>
            </w:pPr>
            <w:r>
              <w:rPr/>
              <w:t> </w:t>
            </w:r>
          </w:p>
        </w:tc>
      </w:tr>
      <w:tr>
        <w:trPr/>
        <w:tc>
          <w:tcPr>
            <w:tcW w:w="3545" w:type="dxa"/>
            <w:tcBorders/>
            <w:shd w:fill="FFFFFF" w:val="clear"/>
            <w:vAlign w:val="center"/>
          </w:tcPr>
          <w:p>
            <w:pPr>
              <w:pStyle w:val="TableContents"/>
              <w:bidi w:val="0"/>
              <w:spacing w:before="0" w:after="283"/>
              <w:jc w:val="both"/>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79"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2" w:type="dxa"/>
            <w:tcBorders/>
            <w:shd w:fill="FFFFFF" w:val="clear"/>
            <w:vAlign w:val="center"/>
          </w:tcPr>
          <w:p>
            <w:pPr>
              <w:pStyle w:val="TableContents"/>
              <w:bidi w:val="0"/>
              <w:spacing w:before="0" w:after="283"/>
              <w:jc w:val="left"/>
              <w:rPr/>
            </w:pPr>
            <w:r>
              <w:rPr/>
              <w:t> </w:t>
            </w:r>
          </w:p>
        </w:tc>
        <w:tc>
          <w:tcPr>
            <w:tcW w:w="948"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784"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7" w:type="dxa"/>
            <w:tcBorders/>
            <w:shd w:fill="FFFFFF" w:val="clear"/>
            <w:vAlign w:val="center"/>
          </w:tcPr>
          <w:p>
            <w:pPr>
              <w:pStyle w:val="TableContents"/>
              <w:bidi w:val="0"/>
              <w:spacing w:before="0" w:after="283"/>
              <w:jc w:val="left"/>
              <w:rPr/>
            </w:pPr>
            <w:r>
              <w:rPr/>
              <w:t> </w:t>
            </w:r>
          </w:p>
        </w:tc>
        <w:tc>
          <w:tcPr>
            <w:tcW w:w="767" w:type="dxa"/>
            <w:tcBorders/>
            <w:shd w:fill="FFFFFF" w:val="clear"/>
            <w:vAlign w:val="center"/>
          </w:tcPr>
          <w:p>
            <w:pPr>
              <w:pStyle w:val="TableContents"/>
              <w:bidi w:val="0"/>
              <w:spacing w:before="0" w:after="283"/>
              <w:jc w:val="right"/>
              <w:rPr/>
            </w:pPr>
            <w:r>
              <w:rPr/>
              <w:t> </w:t>
            </w:r>
          </w:p>
        </w:tc>
        <w:tc>
          <w:tcPr>
            <w:tcW w:w="75" w:type="dxa"/>
            <w:tcBorders/>
            <w:shd w:fill="FFFFFF" w:val="clear"/>
            <w:vAlign w:val="center"/>
          </w:tcPr>
          <w:p>
            <w:pPr>
              <w:pStyle w:val="TableContents"/>
              <w:bidi w:val="0"/>
              <w:spacing w:before="0" w:after="283"/>
              <w:jc w:val="left"/>
              <w:rPr/>
            </w:pPr>
            <w:r>
              <w:rPr/>
              <w:t> </w:t>
            </w:r>
          </w:p>
        </w:tc>
      </w:tr>
      <w:tr>
        <w:trPr/>
        <w:tc>
          <w:tcPr>
            <w:tcW w:w="3545" w:type="dxa"/>
            <w:tcBorders/>
            <w:shd w:fill="CCEEFF" w:val="cle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7.0% senior unsecured convertible notes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79"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2" w:type="dxa"/>
            <w:tcBorders/>
            <w:shd w:fill="CCEEFF" w:val="clear"/>
            <w:vAlign w:val="center"/>
          </w:tcPr>
          <w:p>
            <w:pPr>
              <w:pStyle w:val="TableContents"/>
              <w:bidi w:val="0"/>
              <w:spacing w:before="0" w:after="283"/>
              <w:jc w:val="left"/>
              <w:rPr/>
            </w:pPr>
            <w:r>
              <w:rPr/>
              <w:t> </w:t>
            </w:r>
          </w:p>
        </w:tc>
        <w:tc>
          <w:tcPr>
            <w:tcW w:w="948"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6" w:type="dxa"/>
            <w:tcBorders/>
            <w:shd w:fill="CCEEFF" w:val="clear"/>
            <w:vAlign w:val="center"/>
          </w:tcPr>
          <w:p>
            <w:pPr>
              <w:pStyle w:val="TableContents"/>
              <w:bidi w:val="0"/>
              <w:spacing w:before="0" w:after="283"/>
              <w:jc w:val="left"/>
              <w:rPr/>
            </w:pPr>
            <w:r>
              <w:rPr/>
              <w:t> </w:t>
            </w:r>
          </w:p>
        </w:tc>
        <w:tc>
          <w:tcPr>
            <w:tcW w:w="784"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7" w:type="dxa"/>
            <w:tcBorders/>
            <w:shd w:fill="CCEEFF" w:val="clear"/>
            <w:vAlign w:val="center"/>
          </w:tcPr>
          <w:p>
            <w:pPr>
              <w:pStyle w:val="TableContents"/>
              <w:bidi w:val="0"/>
              <w:spacing w:before="0" w:after="283"/>
              <w:jc w:val="left"/>
              <w:rPr/>
            </w:pPr>
            <w:r>
              <w:rPr/>
              <w:t> </w:t>
            </w:r>
          </w:p>
        </w:tc>
        <w:tc>
          <w:tcPr>
            <w:tcW w:w="767"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3545" w:type="dxa"/>
            <w:tcBorders/>
            <w:shd w:fill="FFFFFF" w:val="cle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September 2024 Notes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79"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71,800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2" w:type="dxa"/>
            <w:tcBorders/>
            <w:shd w:fill="FFFFFF" w:val="clear"/>
            <w:vAlign w:val="center"/>
          </w:tcPr>
          <w:p>
            <w:pPr>
              <w:pStyle w:val="TableContents"/>
              <w:bidi w:val="0"/>
              <w:spacing w:before="0" w:after="283"/>
              <w:jc w:val="left"/>
              <w:rPr/>
            </w:pPr>
            <w:r>
              <w:rPr/>
              <w:t> </w:t>
            </w:r>
          </w:p>
        </w:tc>
        <w:tc>
          <w:tcPr>
            <w:tcW w:w="948"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(66,164</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784"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5,636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7" w:type="dxa"/>
            <w:tcBorders/>
            <w:shd w:fill="FFFFFF" w:val="clear"/>
            <w:vAlign w:val="center"/>
          </w:tcPr>
          <w:p>
            <w:pPr>
              <w:pStyle w:val="TableContents"/>
              <w:bidi w:val="0"/>
              <w:spacing w:before="0" w:after="283"/>
              <w:jc w:val="left"/>
              <w:rPr/>
            </w:pPr>
            <w:r>
              <w:rPr/>
              <w:t> </w:t>
            </w:r>
          </w:p>
        </w:tc>
        <w:tc>
          <w:tcPr>
            <w:tcW w:w="767"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77,245</w:t>
            </w:r>
          </w:p>
        </w:tc>
        <w:tc>
          <w:tcPr>
            <w:tcW w:w="75" w:type="dxa"/>
            <w:tcBorders/>
            <w:shd w:fill="FFFFFF" w:val="clear"/>
            <w:vAlign w:val="center"/>
          </w:tcPr>
          <w:p>
            <w:pPr>
              <w:pStyle w:val="TableContents"/>
              <w:bidi w:val="0"/>
              <w:spacing w:before="0" w:after="283"/>
              <w:jc w:val="left"/>
              <w:rPr/>
            </w:pPr>
            <w:r>
              <w:rPr/>
              <w:t> </w:t>
            </w:r>
          </w:p>
        </w:tc>
      </w:tr>
      <w:tr>
        <w:trPr/>
        <w:tc>
          <w:tcPr>
            <w:tcW w:w="354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September 2024 Notes – related parties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779"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8,000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2"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48"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(7,524</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66"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784"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476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7"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767"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8,583</w:t>
            </w:r>
          </w:p>
        </w:tc>
        <w:tc>
          <w:tcPr>
            <w:tcW w:w="75" w:type="dxa"/>
            <w:tcBorders/>
            <w:shd w:fill="CCEEFF" w:val="clear"/>
            <w:vAlign w:val="center"/>
          </w:tcPr>
          <w:p>
            <w:pPr>
              <w:pStyle w:val="TableContents"/>
              <w:bidi w:val="0"/>
              <w:spacing w:before="0" w:after="283"/>
              <w:jc w:val="left"/>
              <w:rPr/>
            </w:pPr>
            <w:r>
              <w:rPr/>
              <w:t> </w:t>
            </w:r>
          </w:p>
        </w:tc>
      </w:tr>
      <w:tr>
        <w:trPr/>
        <w:tc>
          <w:tcPr>
            <w:tcW w:w="3545" w:type="dxa"/>
            <w:tcBorders/>
            <w:shd w:fill="FFFFFF" w:val="cle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Subtotal September 2024 Notes</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779"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79,800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2"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948"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(73,688</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66"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784"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6,112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7"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767"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85,828</w:t>
            </w:r>
          </w:p>
        </w:tc>
        <w:tc>
          <w:tcPr>
            <w:tcW w:w="75" w:type="dxa"/>
            <w:tcBorders/>
            <w:shd w:fill="FFFFFF" w:val="clear"/>
            <w:vAlign w:val="center"/>
          </w:tcPr>
          <w:p>
            <w:pPr>
              <w:pStyle w:val="TableContents"/>
              <w:bidi w:val="0"/>
              <w:spacing w:before="0" w:after="283"/>
              <w:jc w:val="left"/>
              <w:rPr/>
            </w:pPr>
            <w:r>
              <w:rPr/>
              <w:t> </w:t>
            </w:r>
          </w:p>
        </w:tc>
      </w:tr>
      <w:tr>
        <w:trPr/>
        <w:tc>
          <w:tcPr>
            <w:tcW w:w="3545" w:type="dxa"/>
            <w:tcBorders/>
            <w:shd w:fill="CCEEFF" w:val="cle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Total</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10"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779" w:type="dxa"/>
            <w:tcBorders>
              <w:bottom w:val="double" w:sz="10"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125,773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2" w:type="dxa"/>
            <w:tcBorders>
              <w:bottom w:val="double" w:sz="10"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948" w:type="dxa"/>
            <w:tcBorders>
              <w:bottom w:val="double" w:sz="10"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(90,678</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66" w:type="dxa"/>
            <w:tcBorders>
              <w:bottom w:val="double" w:sz="10"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784" w:type="dxa"/>
            <w:tcBorders>
              <w:bottom w:val="double" w:sz="10"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35,095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7" w:type="dxa"/>
            <w:tcBorders>
              <w:bottom w:val="double" w:sz="10"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767" w:type="dxa"/>
            <w:tcBorders>
              <w:bottom w:val="double" w:sz="10"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140,541</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32"/>
        <w:gridCol w:w="9973"/>
      </w:tblGrid>
      <w:tr>
        <w:trPr/>
        <w:tc>
          <w:tcPr>
            <w:tcW w:w="232"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w:t>
            </w:r>
          </w:p>
        </w:tc>
        <w:tc>
          <w:tcPr>
            <w:tcW w:w="9973"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Excludes capitalized interest (coupon interest, default interest and failure to file interest) of $10.8 million and $13.6 million as of December 28, 2025 and December 29, 2024, respectively, included in the July 2024 Notes.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(6) Supplemental Balance Sheet Information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Prepaid Expenses and Other Current Assets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Prepaid expenses and other current assets consist of the following </w:t>
      </w:r>
      <w:r>
        <w:rPr>
          <w:rFonts w:ascii="Times New Roman;Times;Serif" w:hAnsi="Times New Roman;Times;Serif"/>
          <w:b w:val="false"/>
          <w:i/>
          <w:caps w:val="false"/>
          <w:smallCaps w:val="false"/>
          <w:sz w:val="20"/>
        </w:rPr>
        <w:t>(in thousands)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tbl>
      <w:tblPr>
        <w:tblW w:w="8354" w:type="dxa"/>
        <w:jc w:val="left"/>
        <w:tblInd w:w="0" w:type="dxa"/>
        <w:tblLayout w:type="fixed"/>
        <w:tblCellMar>
          <w:top w:w="0" w:type="dxa"/>
          <w:left w:w="0" w:type="dxa"/>
          <w:bottom w:w="0" w:type="dxa"/>
          <w:right w:w="0" w:type="dxa"/>
        </w:tblCellMar>
      </w:tblPr>
      <w:tblGrid>
        <w:gridCol w:w="5270"/>
        <w:gridCol w:w="60"/>
        <w:gridCol w:w="241"/>
        <w:gridCol w:w="1173"/>
        <w:gridCol w:w="60"/>
        <w:gridCol w:w="60"/>
        <w:gridCol w:w="283"/>
        <w:gridCol w:w="1132"/>
        <w:gridCol w:w="75"/>
      </w:tblGrid>
      <w:tr>
        <w:trPr/>
        <w:tc>
          <w:tcPr>
            <w:tcW w:w="527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949"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As of</w:t>
            </w:r>
          </w:p>
        </w:tc>
        <w:tc>
          <w:tcPr>
            <w:tcW w:w="75" w:type="dxa"/>
            <w:tcBorders/>
            <w:vAlign w:val="center"/>
          </w:tcPr>
          <w:p>
            <w:pPr>
              <w:pStyle w:val="TableContents"/>
              <w:bidi w:val="0"/>
              <w:spacing w:before="0" w:after="283"/>
              <w:jc w:val="left"/>
              <w:rPr/>
            </w:pPr>
            <w:r>
              <w:rPr/>
              <w:t> </w:t>
            </w:r>
          </w:p>
        </w:tc>
      </w:tr>
      <w:tr>
        <w:trPr/>
        <w:tc>
          <w:tcPr>
            <w:tcW w:w="527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14" w:type="dxa"/>
            <w:gridSpan w:val="2"/>
            <w:tcBorders/>
            <w:vAlign w:val="center"/>
          </w:tcPr>
          <w:p>
            <w:pPr>
              <w:pStyle w:val="TableContents"/>
              <w:bidi w:val="0"/>
              <w:spacing w:before="0" w:after="283"/>
              <w:jc w:val="center"/>
              <w:rPr>
                <w:b/>
              </w:rPr>
            </w:pPr>
            <w:r>
              <w:rPr>
                <w:b/>
              </w:rPr>
              <w:t>December 28,</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15" w:type="dxa"/>
            <w:gridSpan w:val="2"/>
            <w:tcBorders/>
            <w:vAlign w:val="center"/>
          </w:tcPr>
          <w:p>
            <w:pPr>
              <w:pStyle w:val="TableContents"/>
              <w:bidi w:val="0"/>
              <w:spacing w:before="0" w:after="283"/>
              <w:jc w:val="center"/>
              <w:rPr>
                <w:b/>
              </w:rPr>
            </w:pPr>
            <w:r>
              <w:rPr>
                <w:b/>
              </w:rPr>
              <w:t>December 29,</w:t>
            </w:r>
          </w:p>
        </w:tc>
        <w:tc>
          <w:tcPr>
            <w:tcW w:w="75" w:type="dxa"/>
            <w:tcBorders/>
            <w:vAlign w:val="center"/>
          </w:tcPr>
          <w:p>
            <w:pPr>
              <w:pStyle w:val="TableContents"/>
              <w:bidi w:val="0"/>
              <w:spacing w:before="0" w:after="283"/>
              <w:jc w:val="left"/>
              <w:rPr/>
            </w:pPr>
            <w:r>
              <w:rPr/>
              <w:t> </w:t>
            </w:r>
          </w:p>
        </w:tc>
      </w:tr>
      <w:tr>
        <w:trPr/>
        <w:tc>
          <w:tcPr>
            <w:tcW w:w="527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14"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1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2024</w:t>
            </w:r>
          </w:p>
        </w:tc>
        <w:tc>
          <w:tcPr>
            <w:tcW w:w="75" w:type="dxa"/>
            <w:tcBorders/>
            <w:vAlign w:val="center"/>
          </w:tcPr>
          <w:p>
            <w:pPr>
              <w:pStyle w:val="TableContents"/>
              <w:bidi w:val="0"/>
              <w:spacing w:before="0" w:after="283"/>
              <w:jc w:val="left"/>
              <w:rPr/>
            </w:pPr>
            <w:r>
              <w:rPr/>
              <w:t> </w:t>
            </w:r>
          </w:p>
        </w:tc>
      </w:tr>
      <w:tr>
        <w:trPr/>
        <w:tc>
          <w:tcPr>
            <w:tcW w:w="5270" w:type="dxa"/>
            <w:tcBorders/>
            <w:shd w:fill="CCEEFF" w:val="clear"/>
            <w:vAlign w:val="center"/>
          </w:tcPr>
          <w:p>
            <w:pPr>
              <w:pStyle w:val="TableContents"/>
              <w:bidi w:val="0"/>
              <w:spacing w:before="0" w:after="283"/>
              <w:jc w:val="left"/>
              <w:rPr/>
            </w:pPr>
            <w:r>
              <w:rPr/>
              <w:t xml:space="preserve">Costs to obtain contracts and costs to fulfill contracts </w:t>
            </w:r>
            <w:r>
              <w:rPr>
                <w:position w:val="8"/>
                <w:sz w:val="19"/>
              </w:rPr>
              <w:t>(1)</w:t>
            </w:r>
          </w:p>
        </w:tc>
        <w:tc>
          <w:tcPr>
            <w:tcW w:w="60" w:type="dxa"/>
            <w:tcBorders/>
            <w:shd w:fill="CCEEFF" w:val="clear"/>
            <w:vAlign w:val="center"/>
          </w:tcPr>
          <w:p>
            <w:pPr>
              <w:pStyle w:val="TableContents"/>
              <w:bidi w:val="0"/>
              <w:spacing w:before="0" w:after="283"/>
              <w:jc w:val="left"/>
              <w:rPr/>
            </w:pPr>
            <w:r>
              <w:rPr/>
              <w:t> </w:t>
            </w:r>
          </w:p>
        </w:tc>
        <w:tc>
          <w:tcPr>
            <w:tcW w:w="241" w:type="dxa"/>
            <w:tcBorders/>
            <w:shd w:fill="CCEEFF" w:val="clear"/>
            <w:vAlign w:val="center"/>
          </w:tcPr>
          <w:p>
            <w:pPr>
              <w:pStyle w:val="TableContents"/>
              <w:bidi w:val="0"/>
              <w:spacing w:before="0" w:after="283"/>
              <w:jc w:val="left"/>
              <w:rPr/>
            </w:pPr>
            <w:r>
              <w:rPr/>
              <w:t>$</w:t>
            </w:r>
          </w:p>
        </w:tc>
        <w:tc>
          <w:tcPr>
            <w:tcW w:w="1173" w:type="dxa"/>
            <w:tcBorders/>
            <w:shd w:fill="CCEEFF" w:val="clear"/>
            <w:vAlign w:val="center"/>
          </w:tcPr>
          <w:p>
            <w:pPr>
              <w:pStyle w:val="TableContents"/>
              <w:bidi w:val="0"/>
              <w:spacing w:before="0" w:after="283"/>
              <w:jc w:val="right"/>
              <w:rPr/>
            </w:pPr>
            <w:r>
              <w:rPr/>
              <w:t>7,361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83" w:type="dxa"/>
            <w:tcBorders/>
            <w:shd w:fill="CCEEFF" w:val="clear"/>
            <w:vAlign w:val="center"/>
          </w:tcPr>
          <w:p>
            <w:pPr>
              <w:pStyle w:val="TableContents"/>
              <w:bidi w:val="0"/>
              <w:spacing w:before="0" w:after="283"/>
              <w:jc w:val="left"/>
              <w:rPr/>
            </w:pPr>
            <w:r>
              <w:rPr/>
              <w:t>$</w:t>
            </w:r>
          </w:p>
        </w:tc>
        <w:tc>
          <w:tcPr>
            <w:tcW w:w="1132" w:type="dxa"/>
            <w:tcBorders/>
            <w:shd w:fill="CCEEFF" w:val="clear"/>
            <w:vAlign w:val="center"/>
          </w:tcPr>
          <w:p>
            <w:pPr>
              <w:pStyle w:val="TableContents"/>
              <w:bidi w:val="0"/>
              <w:spacing w:before="0" w:after="283"/>
              <w:jc w:val="right"/>
              <w:rPr/>
            </w:pPr>
            <w:r>
              <w:rPr/>
              <w:t>3,759</w:t>
            </w:r>
          </w:p>
        </w:tc>
        <w:tc>
          <w:tcPr>
            <w:tcW w:w="75" w:type="dxa"/>
            <w:tcBorders/>
            <w:shd w:fill="CCEEFF" w:val="clear"/>
            <w:vAlign w:val="center"/>
          </w:tcPr>
          <w:p>
            <w:pPr>
              <w:pStyle w:val="TableContents"/>
              <w:bidi w:val="0"/>
              <w:spacing w:before="0" w:after="283"/>
              <w:jc w:val="left"/>
              <w:rPr/>
            </w:pPr>
            <w:r>
              <w:rPr/>
              <w:t> </w:t>
            </w:r>
          </w:p>
        </w:tc>
      </w:tr>
      <w:tr>
        <w:trPr/>
        <w:tc>
          <w:tcPr>
            <w:tcW w:w="5270" w:type="dxa"/>
            <w:tcBorders/>
            <w:shd w:fill="FFFFFF" w:val="clear"/>
            <w:vAlign w:val="center"/>
          </w:tcPr>
          <w:p>
            <w:pPr>
              <w:pStyle w:val="TableContents"/>
              <w:bidi w:val="0"/>
              <w:spacing w:before="0" w:after="283"/>
              <w:jc w:val="left"/>
              <w:rPr/>
            </w:pPr>
            <w:r>
              <w:rPr/>
              <w:t>Other</w:t>
            </w:r>
          </w:p>
        </w:tc>
        <w:tc>
          <w:tcPr>
            <w:tcW w:w="60" w:type="dxa"/>
            <w:tcBorders/>
            <w:shd w:fill="FFFFFF" w:val="clear"/>
            <w:vAlign w:val="center"/>
          </w:tcPr>
          <w:p>
            <w:pPr>
              <w:pStyle w:val="TableContents"/>
              <w:bidi w:val="0"/>
              <w:spacing w:before="0" w:after="283"/>
              <w:jc w:val="left"/>
              <w:rPr/>
            </w:pPr>
            <w:r>
              <w:rPr/>
              <w:t> </w:t>
            </w:r>
          </w:p>
        </w:tc>
        <w:tc>
          <w:tcPr>
            <w:tcW w:w="241"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73" w:type="dxa"/>
            <w:tcBorders>
              <w:bottom w:val="single" w:sz="12" w:space="0" w:color="000000"/>
            </w:tcBorders>
            <w:shd w:fill="FFFFFF" w:val="clear"/>
            <w:tcMar>
              <w:bottom w:w="28" w:type="dxa"/>
            </w:tcMar>
            <w:vAlign w:val="center"/>
          </w:tcPr>
          <w:p>
            <w:pPr>
              <w:pStyle w:val="TableContents"/>
              <w:bidi w:val="0"/>
              <w:spacing w:before="0" w:after="283"/>
              <w:jc w:val="right"/>
              <w:rPr/>
            </w:pPr>
            <w:r>
              <w:rPr/>
              <w:t>9,552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83"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32" w:type="dxa"/>
            <w:tcBorders>
              <w:bottom w:val="single" w:sz="12" w:space="0" w:color="000000"/>
            </w:tcBorders>
            <w:shd w:fill="FFFFFF" w:val="clear"/>
            <w:tcMar>
              <w:bottom w:w="28" w:type="dxa"/>
            </w:tcMar>
            <w:vAlign w:val="center"/>
          </w:tcPr>
          <w:p>
            <w:pPr>
              <w:pStyle w:val="TableContents"/>
              <w:bidi w:val="0"/>
              <w:spacing w:before="0" w:after="283"/>
              <w:jc w:val="right"/>
              <w:rPr/>
            </w:pPr>
            <w:r>
              <w:rPr/>
              <w:t>4,447</w:t>
            </w:r>
          </w:p>
        </w:tc>
        <w:tc>
          <w:tcPr>
            <w:tcW w:w="75" w:type="dxa"/>
            <w:tcBorders/>
            <w:shd w:fill="FFFFFF" w:val="clear"/>
            <w:vAlign w:val="center"/>
          </w:tcPr>
          <w:p>
            <w:pPr>
              <w:pStyle w:val="TableContents"/>
              <w:bidi w:val="0"/>
              <w:spacing w:before="0" w:after="283"/>
              <w:jc w:val="left"/>
              <w:rPr/>
            </w:pPr>
            <w:r>
              <w:rPr/>
              <w:t> </w:t>
            </w:r>
          </w:p>
        </w:tc>
      </w:tr>
      <w:tr>
        <w:trPr/>
        <w:tc>
          <w:tcPr>
            <w:tcW w:w="5270" w:type="dxa"/>
            <w:tcBorders/>
            <w:shd w:fill="CCEEFF" w:val="clear"/>
            <w:vAlign w:val="center"/>
          </w:tcPr>
          <w:p>
            <w:pPr>
              <w:pStyle w:val="TableContents"/>
              <w:bidi w:val="0"/>
              <w:spacing w:before="0" w:after="283"/>
              <w:jc w:val="left"/>
              <w:rPr/>
            </w:pPr>
            <w:r>
              <w:rPr/>
              <w:t>Total prepaid expenses and other current assets</w:t>
            </w:r>
          </w:p>
        </w:tc>
        <w:tc>
          <w:tcPr>
            <w:tcW w:w="60" w:type="dxa"/>
            <w:tcBorders/>
            <w:shd w:fill="CCEEFF" w:val="clear"/>
            <w:vAlign w:val="center"/>
          </w:tcPr>
          <w:p>
            <w:pPr>
              <w:pStyle w:val="TableContents"/>
              <w:bidi w:val="0"/>
              <w:spacing w:before="0" w:after="283"/>
              <w:jc w:val="left"/>
              <w:rPr/>
            </w:pPr>
            <w:r>
              <w:rPr/>
              <w:t> </w:t>
            </w:r>
          </w:p>
        </w:tc>
        <w:tc>
          <w:tcPr>
            <w:tcW w:w="241"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173" w:type="dxa"/>
            <w:tcBorders>
              <w:bottom w:val="double" w:sz="10" w:space="0" w:color="000000"/>
            </w:tcBorders>
            <w:shd w:fill="CCEEFF" w:val="clear"/>
            <w:tcMar>
              <w:bottom w:w="28" w:type="dxa"/>
            </w:tcMar>
            <w:vAlign w:val="center"/>
          </w:tcPr>
          <w:p>
            <w:pPr>
              <w:pStyle w:val="TableContents"/>
              <w:bidi w:val="0"/>
              <w:spacing w:before="0" w:after="283"/>
              <w:jc w:val="right"/>
              <w:rPr/>
            </w:pPr>
            <w:r>
              <w:rPr/>
              <w:t>16,913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83"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132" w:type="dxa"/>
            <w:tcBorders>
              <w:bottom w:val="double" w:sz="10" w:space="0" w:color="000000"/>
            </w:tcBorders>
            <w:shd w:fill="CCEEFF" w:val="clear"/>
            <w:tcMar>
              <w:bottom w:w="28" w:type="dxa"/>
            </w:tcMar>
            <w:vAlign w:val="center"/>
          </w:tcPr>
          <w:p>
            <w:pPr>
              <w:pStyle w:val="TableContents"/>
              <w:bidi w:val="0"/>
              <w:spacing w:before="0" w:after="283"/>
              <w:jc w:val="right"/>
              <w:rPr/>
            </w:pPr>
            <w:r>
              <w:rPr/>
              <w:t>8,206</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32"/>
        <w:gridCol w:w="9973"/>
      </w:tblGrid>
      <w:tr>
        <w:trPr/>
        <w:tc>
          <w:tcPr>
            <w:tcW w:w="232" w:type="dxa"/>
            <w:tcBorders/>
            <w:vAlign w:val="center"/>
          </w:tcPr>
          <w:p>
            <w:pPr>
              <w:pStyle w:val="TableContents"/>
              <w:bidi w:val="0"/>
              <w:spacing w:before="0" w:after="283"/>
              <w:jc w:val="left"/>
              <w:rPr>
                <w:position w:val="8"/>
                <w:sz w:val="19"/>
              </w:rPr>
            </w:pPr>
            <w:r>
              <w:rPr>
                <w:position w:val="8"/>
                <w:sz w:val="19"/>
              </w:rPr>
              <w:t>(1)</w:t>
            </w:r>
          </w:p>
        </w:tc>
        <w:tc>
          <w:tcPr>
            <w:tcW w:w="9973" w:type="dxa"/>
            <w:tcBorders/>
            <w:vAlign w:val="center"/>
          </w:tcPr>
          <w:p>
            <w:pPr>
              <w:pStyle w:val="TableContents"/>
              <w:bidi w:val="0"/>
              <w:spacing w:before="0" w:after="283"/>
              <w:jc w:val="both"/>
              <w:rPr/>
            </w:pPr>
            <w:r>
              <w:rPr/>
              <w:t>Costs to obtain contracts and costs to fulfill contracts with customers are recognized within sales commissions and cost of revenues, respectively, when the related revenue is recognized.</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Property and Equipment, Net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Property and equipment, net consist of the following </w:t>
      </w:r>
      <w:r>
        <w:rPr>
          <w:rFonts w:ascii="Times New Roman;Times;Serif" w:hAnsi="Times New Roman;Times;Serif"/>
          <w:b w:val="false"/>
          <w:i/>
          <w:caps w:val="false"/>
          <w:smallCaps w:val="false"/>
          <w:sz w:val="20"/>
        </w:rPr>
        <w:t>(in thousands)</w:t>
      </w:r>
      <w:r>
        <w:rPr>
          <w:rFonts w:ascii="Times New Roman;Times;Serif" w:hAnsi="Times New Roman;Times;Serif"/>
          <w:b w:val="false"/>
          <w:i w:val="false"/>
          <w:caps w:val="false"/>
          <w:smallCaps w:val="false"/>
          <w:sz w:val="20"/>
        </w:rPr>
        <w:t>:</w:t>
      </w:r>
    </w:p>
    <w:p>
      <w:pPr>
        <w:pStyle w:val="TextBody"/>
        <w:bidi w:val="0"/>
        <w:spacing w:before="0" w:after="0"/>
        <w:ind w:left="360" w:right="0" w:hanging="0"/>
        <w:jc w:val="both"/>
        <w:rPr>
          <w:caps w:val="false"/>
          <w:smallCaps w:val="false"/>
        </w:rPr>
      </w:pPr>
      <w:r>
        <w:rPr>
          <w:caps w:val="false"/>
          <w:smallCaps w:val="false"/>
        </w:rPr>
        <w:t> </w:t>
      </w:r>
    </w:p>
    <w:tbl>
      <w:tblPr>
        <w:tblW w:w="6668" w:type="dxa"/>
        <w:jc w:val="left"/>
        <w:tblInd w:w="0" w:type="dxa"/>
        <w:tblLayout w:type="fixed"/>
        <w:tblCellMar>
          <w:top w:w="0" w:type="dxa"/>
          <w:left w:w="0" w:type="dxa"/>
          <w:bottom w:w="0" w:type="dxa"/>
          <w:right w:w="0" w:type="dxa"/>
        </w:tblCellMar>
      </w:tblPr>
      <w:tblGrid>
        <w:gridCol w:w="4025"/>
        <w:gridCol w:w="60"/>
        <w:gridCol w:w="218"/>
        <w:gridCol w:w="956"/>
        <w:gridCol w:w="80"/>
        <w:gridCol w:w="60"/>
        <w:gridCol w:w="240"/>
        <w:gridCol w:w="934"/>
        <w:gridCol w:w="95"/>
      </w:tblGrid>
      <w:tr>
        <w:trPr/>
        <w:tc>
          <w:tcPr>
            <w:tcW w:w="402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2488" w:type="dxa"/>
            <w:gridSpan w:val="6"/>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As of</w:t>
            </w:r>
          </w:p>
        </w:tc>
        <w:tc>
          <w:tcPr>
            <w:tcW w:w="95" w:type="dxa"/>
            <w:tcBorders/>
            <w:vAlign w:val="center"/>
          </w:tcPr>
          <w:p>
            <w:pPr>
              <w:pStyle w:val="TableContents"/>
              <w:bidi w:val="0"/>
              <w:spacing w:before="0" w:after="283"/>
              <w:jc w:val="left"/>
              <w:rPr/>
            </w:pPr>
            <w:r>
              <w:rPr/>
              <w:t> </w:t>
            </w:r>
          </w:p>
        </w:tc>
      </w:tr>
      <w:tr>
        <w:trPr/>
        <w:tc>
          <w:tcPr>
            <w:tcW w:w="402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174" w:type="dxa"/>
            <w:gridSpan w:val="2"/>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December 28,</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74" w:type="dxa"/>
            <w:gridSpan w:val="2"/>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December 29,</w:t>
            </w:r>
          </w:p>
        </w:tc>
        <w:tc>
          <w:tcPr>
            <w:tcW w:w="95" w:type="dxa"/>
            <w:tcBorders/>
            <w:vAlign w:val="center"/>
          </w:tcPr>
          <w:p>
            <w:pPr>
              <w:pStyle w:val="TableContents"/>
              <w:bidi w:val="0"/>
              <w:spacing w:before="0" w:after="283"/>
              <w:jc w:val="left"/>
              <w:rPr/>
            </w:pPr>
            <w:r>
              <w:rPr/>
              <w:t> </w:t>
            </w:r>
          </w:p>
        </w:tc>
      </w:tr>
      <w:tr>
        <w:trPr/>
        <w:tc>
          <w:tcPr>
            <w:tcW w:w="402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174"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2025</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74"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2024</w:t>
            </w:r>
          </w:p>
        </w:tc>
        <w:tc>
          <w:tcPr>
            <w:tcW w:w="95" w:type="dxa"/>
            <w:tcBorders/>
            <w:vAlign w:val="center"/>
          </w:tcPr>
          <w:p>
            <w:pPr>
              <w:pStyle w:val="TableContents"/>
              <w:bidi w:val="0"/>
              <w:spacing w:before="0" w:after="283"/>
              <w:jc w:val="left"/>
              <w:rPr/>
            </w:pPr>
            <w:r>
              <w:rPr/>
              <w:t> </w:t>
            </w:r>
          </w:p>
        </w:tc>
      </w:tr>
      <w:tr>
        <w:trPr/>
        <w:tc>
          <w:tcPr>
            <w:tcW w:w="402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Internal-use software</w:t>
            </w:r>
          </w:p>
        </w:tc>
        <w:tc>
          <w:tcPr>
            <w:tcW w:w="60" w:type="dxa"/>
            <w:tcBorders/>
            <w:shd w:fill="CCEEFF" w:val="clear"/>
            <w:vAlign w:val="center"/>
          </w:tcPr>
          <w:p>
            <w:pPr>
              <w:pStyle w:val="TableContents"/>
              <w:bidi w:val="0"/>
              <w:spacing w:before="0" w:after="283"/>
              <w:jc w:val="left"/>
              <w:rPr/>
            </w:pPr>
            <w:r>
              <w:rPr/>
              <w:t> </w:t>
            </w:r>
          </w:p>
        </w:tc>
        <w:tc>
          <w:tcPr>
            <w:tcW w:w="218"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956"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308</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934"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420</w:t>
            </w:r>
          </w:p>
        </w:tc>
        <w:tc>
          <w:tcPr>
            <w:tcW w:w="95" w:type="dxa"/>
            <w:tcBorders/>
            <w:shd w:fill="CCEEFF" w:val="clear"/>
            <w:vAlign w:val="center"/>
          </w:tcPr>
          <w:p>
            <w:pPr>
              <w:pStyle w:val="TableContents"/>
              <w:bidi w:val="0"/>
              <w:spacing w:before="0" w:after="283"/>
              <w:jc w:val="left"/>
              <w:rPr/>
            </w:pPr>
            <w:r>
              <w:rPr/>
              <w:t> </w:t>
            </w:r>
          </w:p>
        </w:tc>
      </w:tr>
      <w:tr>
        <w:trPr/>
        <w:tc>
          <w:tcPr>
            <w:tcW w:w="402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Equipment</w:t>
            </w:r>
          </w:p>
        </w:tc>
        <w:tc>
          <w:tcPr>
            <w:tcW w:w="60" w:type="dxa"/>
            <w:tcBorders/>
            <w:shd w:fill="FFFFFF" w:val="clear"/>
            <w:vAlign w:val="center"/>
          </w:tcPr>
          <w:p>
            <w:pPr>
              <w:pStyle w:val="TableContents"/>
              <w:bidi w:val="0"/>
              <w:spacing w:before="0" w:after="283"/>
              <w:jc w:val="left"/>
              <w:rPr/>
            </w:pPr>
            <w:r>
              <w:rPr/>
              <w:t> </w:t>
            </w:r>
          </w:p>
        </w:tc>
        <w:tc>
          <w:tcPr>
            <w:tcW w:w="218" w:type="dxa"/>
            <w:tcBorders/>
            <w:shd w:fill="FFFFFF" w:val="clear"/>
            <w:vAlign w:val="center"/>
          </w:tcPr>
          <w:p>
            <w:pPr>
              <w:pStyle w:val="TableContents"/>
              <w:bidi w:val="0"/>
              <w:spacing w:before="0" w:after="283"/>
              <w:jc w:val="left"/>
              <w:rPr/>
            </w:pPr>
            <w:r>
              <w:rPr/>
              <w:t> </w:t>
            </w:r>
          </w:p>
        </w:tc>
        <w:tc>
          <w:tcPr>
            <w:tcW w:w="956"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145</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40" w:type="dxa"/>
            <w:tcBorders/>
            <w:shd w:fill="FFFFFF" w:val="clear"/>
            <w:vAlign w:val="center"/>
          </w:tcPr>
          <w:p>
            <w:pPr>
              <w:pStyle w:val="TableContents"/>
              <w:bidi w:val="0"/>
              <w:spacing w:before="0" w:after="283"/>
              <w:jc w:val="left"/>
              <w:rPr/>
            </w:pPr>
            <w:r>
              <w:rPr/>
              <w:t> </w:t>
            </w:r>
          </w:p>
        </w:tc>
        <w:tc>
          <w:tcPr>
            <w:tcW w:w="934"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73</w:t>
            </w:r>
          </w:p>
        </w:tc>
        <w:tc>
          <w:tcPr>
            <w:tcW w:w="95" w:type="dxa"/>
            <w:tcBorders/>
            <w:shd w:fill="FFFFFF" w:val="clear"/>
            <w:vAlign w:val="center"/>
          </w:tcPr>
          <w:p>
            <w:pPr>
              <w:pStyle w:val="TableContents"/>
              <w:bidi w:val="0"/>
              <w:spacing w:before="0" w:after="283"/>
              <w:jc w:val="left"/>
              <w:rPr/>
            </w:pPr>
            <w:r>
              <w:rPr/>
              <w:t> </w:t>
            </w:r>
          </w:p>
        </w:tc>
      </w:tr>
      <w:tr>
        <w:trPr/>
        <w:tc>
          <w:tcPr>
            <w:tcW w:w="402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Furniture and equipment</w:t>
            </w:r>
          </w:p>
        </w:tc>
        <w:tc>
          <w:tcPr>
            <w:tcW w:w="60" w:type="dxa"/>
            <w:tcBorders/>
            <w:shd w:fill="CCEEFF" w:val="clear"/>
            <w:vAlign w:val="center"/>
          </w:tcPr>
          <w:p>
            <w:pPr>
              <w:pStyle w:val="TableContents"/>
              <w:bidi w:val="0"/>
              <w:spacing w:before="0" w:after="283"/>
              <w:jc w:val="left"/>
              <w:rPr/>
            </w:pPr>
            <w:r>
              <w:rPr/>
              <w:t> </w:t>
            </w:r>
          </w:p>
        </w:tc>
        <w:tc>
          <w:tcPr>
            <w:tcW w:w="218" w:type="dxa"/>
            <w:tcBorders/>
            <w:shd w:fill="CCEEFF" w:val="clear"/>
            <w:vAlign w:val="center"/>
          </w:tcPr>
          <w:p>
            <w:pPr>
              <w:pStyle w:val="TableContents"/>
              <w:bidi w:val="0"/>
              <w:spacing w:before="0" w:after="283"/>
              <w:jc w:val="left"/>
              <w:rPr/>
            </w:pPr>
            <w:r>
              <w:rPr/>
              <w:t> </w:t>
            </w:r>
          </w:p>
        </w:tc>
        <w:tc>
          <w:tcPr>
            <w:tcW w:w="956"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1,112</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0" w:type="dxa"/>
            <w:tcBorders/>
            <w:shd w:fill="CCEEFF" w:val="clear"/>
            <w:vAlign w:val="center"/>
          </w:tcPr>
          <w:p>
            <w:pPr>
              <w:pStyle w:val="TableContents"/>
              <w:bidi w:val="0"/>
              <w:spacing w:before="0" w:after="283"/>
              <w:jc w:val="left"/>
              <w:rPr/>
            </w:pPr>
            <w:r>
              <w:rPr/>
              <w:t> </w:t>
            </w:r>
          </w:p>
        </w:tc>
        <w:tc>
          <w:tcPr>
            <w:tcW w:w="934"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724</w:t>
            </w:r>
          </w:p>
        </w:tc>
        <w:tc>
          <w:tcPr>
            <w:tcW w:w="95" w:type="dxa"/>
            <w:tcBorders/>
            <w:shd w:fill="CCEEFF" w:val="clear"/>
            <w:vAlign w:val="center"/>
          </w:tcPr>
          <w:p>
            <w:pPr>
              <w:pStyle w:val="TableContents"/>
              <w:bidi w:val="0"/>
              <w:spacing w:before="0" w:after="283"/>
              <w:jc w:val="left"/>
              <w:rPr/>
            </w:pPr>
            <w:r>
              <w:rPr/>
              <w:t> </w:t>
            </w:r>
          </w:p>
        </w:tc>
      </w:tr>
      <w:tr>
        <w:trPr/>
        <w:tc>
          <w:tcPr>
            <w:tcW w:w="402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Vehicles</w:t>
            </w:r>
          </w:p>
        </w:tc>
        <w:tc>
          <w:tcPr>
            <w:tcW w:w="60" w:type="dxa"/>
            <w:tcBorders/>
            <w:shd w:fill="FFFFFF" w:val="clear"/>
            <w:vAlign w:val="center"/>
          </w:tcPr>
          <w:p>
            <w:pPr>
              <w:pStyle w:val="TableContents"/>
              <w:bidi w:val="0"/>
              <w:spacing w:before="0" w:after="283"/>
              <w:jc w:val="left"/>
              <w:rPr/>
            </w:pPr>
            <w:r>
              <w:rPr/>
              <w:t> </w:t>
            </w:r>
          </w:p>
        </w:tc>
        <w:tc>
          <w:tcPr>
            <w:tcW w:w="218" w:type="dxa"/>
            <w:tcBorders/>
            <w:shd w:fill="FFFFFF" w:val="clear"/>
            <w:vAlign w:val="center"/>
          </w:tcPr>
          <w:p>
            <w:pPr>
              <w:pStyle w:val="TableContents"/>
              <w:bidi w:val="0"/>
              <w:spacing w:before="0" w:after="283"/>
              <w:jc w:val="left"/>
              <w:rPr/>
            </w:pPr>
            <w:r>
              <w:rPr/>
              <w:t> </w:t>
            </w:r>
          </w:p>
        </w:tc>
        <w:tc>
          <w:tcPr>
            <w:tcW w:w="956"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6,824</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40" w:type="dxa"/>
            <w:tcBorders/>
            <w:shd w:fill="FFFFFF" w:val="clear"/>
            <w:vAlign w:val="center"/>
          </w:tcPr>
          <w:p>
            <w:pPr>
              <w:pStyle w:val="TableContents"/>
              <w:bidi w:val="0"/>
              <w:spacing w:before="0" w:after="283"/>
              <w:jc w:val="left"/>
              <w:rPr/>
            </w:pPr>
            <w:r>
              <w:rPr/>
              <w:t> </w:t>
            </w:r>
          </w:p>
        </w:tc>
        <w:tc>
          <w:tcPr>
            <w:tcW w:w="934"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5,174</w:t>
            </w:r>
          </w:p>
        </w:tc>
        <w:tc>
          <w:tcPr>
            <w:tcW w:w="95" w:type="dxa"/>
            <w:tcBorders/>
            <w:shd w:fill="FFFFFF" w:val="clear"/>
            <w:vAlign w:val="center"/>
          </w:tcPr>
          <w:p>
            <w:pPr>
              <w:pStyle w:val="TableContents"/>
              <w:bidi w:val="0"/>
              <w:spacing w:before="0" w:after="283"/>
              <w:jc w:val="left"/>
              <w:rPr/>
            </w:pPr>
            <w:r>
              <w:rPr/>
              <w:t> </w:t>
            </w:r>
          </w:p>
        </w:tc>
      </w:tr>
      <w:tr>
        <w:trPr/>
        <w:tc>
          <w:tcPr>
            <w:tcW w:w="402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Leasehold improvements</w:t>
            </w:r>
          </w:p>
        </w:tc>
        <w:tc>
          <w:tcPr>
            <w:tcW w:w="60" w:type="dxa"/>
            <w:tcBorders/>
            <w:shd w:fill="CCEEFF" w:val="clear"/>
            <w:vAlign w:val="center"/>
          </w:tcPr>
          <w:p>
            <w:pPr>
              <w:pStyle w:val="TableContents"/>
              <w:bidi w:val="0"/>
              <w:spacing w:before="0" w:after="283"/>
              <w:jc w:val="left"/>
              <w:rPr/>
            </w:pPr>
            <w:r>
              <w:rPr/>
              <w:t> </w:t>
            </w:r>
          </w:p>
        </w:tc>
        <w:tc>
          <w:tcPr>
            <w:tcW w:w="218"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56"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378</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34"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18</w:t>
            </w:r>
          </w:p>
        </w:tc>
        <w:tc>
          <w:tcPr>
            <w:tcW w:w="95" w:type="dxa"/>
            <w:tcBorders/>
            <w:shd w:fill="CCEEFF" w:val="clear"/>
            <w:vAlign w:val="center"/>
          </w:tcPr>
          <w:p>
            <w:pPr>
              <w:pStyle w:val="TableContents"/>
              <w:bidi w:val="0"/>
              <w:spacing w:before="0" w:after="283"/>
              <w:jc w:val="left"/>
              <w:rPr/>
            </w:pPr>
            <w:r>
              <w:rPr/>
              <w:t> </w:t>
            </w:r>
          </w:p>
        </w:tc>
      </w:tr>
      <w:tr>
        <w:trPr/>
        <w:tc>
          <w:tcPr>
            <w:tcW w:w="402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Total property and equipment</w:t>
            </w:r>
          </w:p>
        </w:tc>
        <w:tc>
          <w:tcPr>
            <w:tcW w:w="60" w:type="dxa"/>
            <w:tcBorders/>
            <w:shd w:fill="FFFFFF" w:val="clear"/>
            <w:vAlign w:val="center"/>
          </w:tcPr>
          <w:p>
            <w:pPr>
              <w:pStyle w:val="TableContents"/>
              <w:bidi w:val="0"/>
              <w:spacing w:before="0" w:after="283"/>
              <w:jc w:val="left"/>
              <w:rPr/>
            </w:pPr>
            <w:r>
              <w:rPr/>
              <w:t> </w:t>
            </w:r>
          </w:p>
        </w:tc>
        <w:tc>
          <w:tcPr>
            <w:tcW w:w="218"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956"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8,767</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934"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6,409</w:t>
            </w:r>
          </w:p>
        </w:tc>
        <w:tc>
          <w:tcPr>
            <w:tcW w:w="95" w:type="dxa"/>
            <w:tcBorders/>
            <w:shd w:fill="FFFFFF" w:val="clear"/>
            <w:vAlign w:val="center"/>
          </w:tcPr>
          <w:p>
            <w:pPr>
              <w:pStyle w:val="TableContents"/>
              <w:bidi w:val="0"/>
              <w:spacing w:before="0" w:after="283"/>
              <w:jc w:val="left"/>
              <w:rPr/>
            </w:pPr>
            <w:r>
              <w:rPr/>
              <w:t> </w:t>
            </w:r>
          </w:p>
        </w:tc>
      </w:tr>
      <w:tr>
        <w:trPr/>
        <w:tc>
          <w:tcPr>
            <w:tcW w:w="402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Less: accumulated depreciation and amortization</w:t>
            </w:r>
          </w:p>
        </w:tc>
        <w:tc>
          <w:tcPr>
            <w:tcW w:w="60" w:type="dxa"/>
            <w:tcBorders/>
            <w:shd w:fill="CCEEFF" w:val="clear"/>
            <w:vAlign w:val="center"/>
          </w:tcPr>
          <w:p>
            <w:pPr>
              <w:pStyle w:val="TableContents"/>
              <w:bidi w:val="0"/>
              <w:spacing w:before="0" w:after="283"/>
              <w:jc w:val="left"/>
              <w:rPr/>
            </w:pPr>
            <w:r>
              <w:rPr/>
              <w:t> </w:t>
            </w:r>
          </w:p>
        </w:tc>
        <w:tc>
          <w:tcPr>
            <w:tcW w:w="218"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56"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(3,877</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2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34"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(916</w:t>
            </w:r>
          </w:p>
        </w:tc>
        <w:tc>
          <w:tcPr>
            <w:tcW w:w="9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402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Total property and equipment, net</w:t>
            </w:r>
          </w:p>
        </w:tc>
        <w:tc>
          <w:tcPr>
            <w:tcW w:w="60" w:type="dxa"/>
            <w:tcBorders/>
            <w:shd w:fill="FFFFFF" w:val="clear"/>
            <w:vAlign w:val="center"/>
          </w:tcPr>
          <w:p>
            <w:pPr>
              <w:pStyle w:val="TableContents"/>
              <w:bidi w:val="0"/>
              <w:spacing w:before="0" w:after="283"/>
              <w:jc w:val="left"/>
              <w:rPr/>
            </w:pPr>
            <w:r>
              <w:rPr/>
              <w:t> </w:t>
            </w:r>
          </w:p>
        </w:tc>
        <w:tc>
          <w:tcPr>
            <w:tcW w:w="218" w:type="dxa"/>
            <w:tcBorders>
              <w:bottom w:val="double" w:sz="10"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956" w:type="dxa"/>
            <w:tcBorders>
              <w:bottom w:val="double" w:sz="10"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4,890</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40" w:type="dxa"/>
            <w:tcBorders>
              <w:bottom w:val="double" w:sz="10"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934" w:type="dxa"/>
            <w:tcBorders>
              <w:bottom w:val="double" w:sz="10"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5,493</w:t>
            </w:r>
          </w:p>
        </w:tc>
        <w:tc>
          <w:tcPr>
            <w:tcW w:w="95"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360" w:right="0" w:hanging="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Depreciation and amortization expense totaled $3.0 million and $2.0 million for the fiscal years ended December 28, 2025 and December 29, 2024, respectively. Finance leases are included within vehicles and account for $1.7 million and $3.9 million of the total balance as of the fiscal years ended December 28, 2025, and December 29, 2024, respectively.  </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fiscal year ended December 29, 2024, the Company capitalized $1.2 million, of internal-use software development costs.</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center"/>
        <w:rPr>
          <w:sz w:val="20"/>
          <w:bdr w:val="single" w:sz="12" w:space="1" w:color="000000"/>
        </w:rPr>
      </w:pPr>
      <w:r>
        <w:rPr>
          <w:sz w:val="20"/>
          <w:bdr w:val="single" w:sz="12" w:space="1" w:color="000000"/>
        </w:rPr>
        <w:t>F-82</w:t>
      </w:r>
    </w:p>
    <w:p>
      <w:pPr>
        <w:pStyle w:val="TextBody"/>
        <w:bidi w:val="0"/>
        <w:spacing w:before="0" w:after="0"/>
        <w:ind w:left="0" w:right="0" w:hanging="0"/>
        <w:jc w:val="left"/>
        <w:rPr/>
      </w:pPr>
      <w:r>
        <w:rPr/>
        <w:t> </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recognized a total of $3.8 million on impairment and loss on disposal of property and equipment for the fiscal year ended December 29, 2024 consisting primarily of $3.4 million relating to its proprietary HelioTrackTM software system. The Company impaired the value of its HelioTrackTM software as this software has no future use following the completion of the migration to software acquired in the SunPower Acquisition.</w:t>
      </w:r>
    </w:p>
    <w:p>
      <w:pPr>
        <w:pStyle w:val="TextBody"/>
        <w:bidi w:val="0"/>
        <w:spacing w:before="0" w:after="0"/>
        <w:ind w:left="36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Accrued Expenses and Other Current Liabilities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Accrued expenses and other current liabilities consist of the following </w:t>
      </w:r>
      <w:r>
        <w:rPr>
          <w:rFonts w:ascii="Times New Roman;Times;Serif" w:hAnsi="Times New Roman;Times;Serif"/>
          <w:b w:val="false"/>
          <w:i/>
          <w:caps w:val="false"/>
          <w:smallCaps w:val="false"/>
          <w:sz w:val="20"/>
        </w:rPr>
        <w:t>(in thousands)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tbl>
      <w:tblPr>
        <w:tblW w:w="7888" w:type="dxa"/>
        <w:jc w:val="left"/>
        <w:tblInd w:w="0" w:type="dxa"/>
        <w:tblLayout w:type="fixed"/>
        <w:tblCellMar>
          <w:top w:w="0" w:type="dxa"/>
          <w:left w:w="0" w:type="dxa"/>
          <w:bottom w:w="0" w:type="dxa"/>
          <w:right w:w="0" w:type="dxa"/>
        </w:tblCellMar>
      </w:tblPr>
      <w:tblGrid>
        <w:gridCol w:w="4805"/>
        <w:gridCol w:w="60"/>
        <w:gridCol w:w="241"/>
        <w:gridCol w:w="1173"/>
        <w:gridCol w:w="60"/>
        <w:gridCol w:w="60"/>
        <w:gridCol w:w="241"/>
        <w:gridCol w:w="1173"/>
        <w:gridCol w:w="75"/>
      </w:tblGrid>
      <w:tr>
        <w:trPr/>
        <w:tc>
          <w:tcPr>
            <w:tcW w:w="480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2948"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As of</w:t>
            </w:r>
          </w:p>
        </w:tc>
        <w:tc>
          <w:tcPr>
            <w:tcW w:w="75" w:type="dxa"/>
            <w:tcBorders/>
            <w:vAlign w:val="center"/>
          </w:tcPr>
          <w:p>
            <w:pPr>
              <w:pStyle w:val="TableContents"/>
              <w:bidi w:val="0"/>
              <w:spacing w:before="0" w:after="283"/>
              <w:jc w:val="left"/>
              <w:rPr/>
            </w:pPr>
            <w:r>
              <w:rPr/>
              <w:t> </w:t>
            </w:r>
          </w:p>
        </w:tc>
      </w:tr>
      <w:tr>
        <w:trPr/>
        <w:tc>
          <w:tcPr>
            <w:tcW w:w="480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414" w:type="dxa"/>
            <w:gridSpan w:val="2"/>
            <w:tcBorders/>
            <w:vAlign w:val="center"/>
          </w:tcPr>
          <w:p>
            <w:pPr>
              <w:pStyle w:val="TableContents"/>
              <w:bidi w:val="0"/>
              <w:spacing w:before="0" w:after="283"/>
              <w:jc w:val="center"/>
              <w:rPr>
                <w:b/>
              </w:rPr>
            </w:pPr>
            <w:r>
              <w:rPr>
                <w:b/>
              </w:rPr>
              <w:t>December 28,</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14" w:type="dxa"/>
            <w:gridSpan w:val="2"/>
            <w:tcBorders/>
            <w:vAlign w:val="center"/>
          </w:tcPr>
          <w:p>
            <w:pPr>
              <w:pStyle w:val="TableContents"/>
              <w:bidi w:val="0"/>
              <w:spacing w:before="0" w:after="283"/>
              <w:jc w:val="center"/>
              <w:rPr>
                <w:b/>
              </w:rPr>
            </w:pPr>
            <w:r>
              <w:rPr>
                <w:b/>
              </w:rPr>
              <w:t>December 29,</w:t>
            </w:r>
          </w:p>
        </w:tc>
        <w:tc>
          <w:tcPr>
            <w:tcW w:w="75" w:type="dxa"/>
            <w:tcBorders/>
            <w:vAlign w:val="center"/>
          </w:tcPr>
          <w:p>
            <w:pPr>
              <w:pStyle w:val="TableContents"/>
              <w:bidi w:val="0"/>
              <w:spacing w:before="0" w:after="283"/>
              <w:jc w:val="left"/>
              <w:rPr/>
            </w:pPr>
            <w:r>
              <w:rPr/>
              <w:t> </w:t>
            </w:r>
          </w:p>
        </w:tc>
      </w:tr>
      <w:tr>
        <w:trPr/>
        <w:tc>
          <w:tcPr>
            <w:tcW w:w="480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414"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14"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2024</w:t>
            </w:r>
          </w:p>
        </w:tc>
        <w:tc>
          <w:tcPr>
            <w:tcW w:w="75" w:type="dxa"/>
            <w:tcBorders/>
            <w:vAlign w:val="center"/>
          </w:tcPr>
          <w:p>
            <w:pPr>
              <w:pStyle w:val="TableContents"/>
              <w:bidi w:val="0"/>
              <w:spacing w:before="0" w:after="283"/>
              <w:jc w:val="left"/>
              <w:rPr/>
            </w:pPr>
            <w:r>
              <w:rPr/>
              <w:t> </w:t>
            </w:r>
          </w:p>
        </w:tc>
      </w:tr>
      <w:tr>
        <w:trPr/>
        <w:tc>
          <w:tcPr>
            <w:tcW w:w="4805" w:type="dxa"/>
            <w:tcBorders/>
            <w:shd w:fill="CCEEFF" w:val="clear"/>
            <w:vAlign w:val="center"/>
          </w:tcPr>
          <w:p>
            <w:pPr>
              <w:pStyle w:val="TableContents"/>
              <w:bidi w:val="0"/>
              <w:spacing w:before="0" w:after="283"/>
              <w:jc w:val="left"/>
              <w:rPr/>
            </w:pPr>
            <w:r>
              <w:rPr/>
              <w:t>Accrued compensation and benefits</w:t>
            </w:r>
          </w:p>
        </w:tc>
        <w:tc>
          <w:tcPr>
            <w:tcW w:w="60" w:type="dxa"/>
            <w:tcBorders/>
            <w:shd w:fill="CCEEFF" w:val="clear"/>
            <w:vAlign w:val="center"/>
          </w:tcPr>
          <w:p>
            <w:pPr>
              <w:pStyle w:val="TableContents"/>
              <w:bidi w:val="0"/>
              <w:spacing w:before="0" w:after="283"/>
              <w:jc w:val="left"/>
              <w:rPr/>
            </w:pPr>
            <w:r>
              <w:rPr/>
              <w:t> </w:t>
            </w:r>
          </w:p>
        </w:tc>
        <w:tc>
          <w:tcPr>
            <w:tcW w:w="241" w:type="dxa"/>
            <w:tcBorders/>
            <w:shd w:fill="CCEEFF" w:val="clear"/>
            <w:vAlign w:val="center"/>
          </w:tcPr>
          <w:p>
            <w:pPr>
              <w:pStyle w:val="TableContents"/>
              <w:bidi w:val="0"/>
              <w:spacing w:before="0" w:after="283"/>
              <w:jc w:val="left"/>
              <w:rPr/>
            </w:pPr>
            <w:r>
              <w:rPr/>
              <w:t>$</w:t>
            </w:r>
          </w:p>
        </w:tc>
        <w:tc>
          <w:tcPr>
            <w:tcW w:w="1173" w:type="dxa"/>
            <w:tcBorders/>
            <w:shd w:fill="CCEEFF" w:val="clear"/>
            <w:vAlign w:val="center"/>
          </w:tcPr>
          <w:p>
            <w:pPr>
              <w:pStyle w:val="TableContents"/>
              <w:bidi w:val="0"/>
              <w:spacing w:before="0" w:after="283"/>
              <w:jc w:val="right"/>
              <w:rPr/>
            </w:pPr>
            <w:r>
              <w:rPr/>
              <w:t>7,202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1" w:type="dxa"/>
            <w:tcBorders/>
            <w:shd w:fill="CCEEFF" w:val="clear"/>
            <w:vAlign w:val="center"/>
          </w:tcPr>
          <w:p>
            <w:pPr>
              <w:pStyle w:val="TableContents"/>
              <w:bidi w:val="0"/>
              <w:spacing w:before="0" w:after="283"/>
              <w:jc w:val="left"/>
              <w:rPr/>
            </w:pPr>
            <w:r>
              <w:rPr/>
              <w:t>$</w:t>
            </w:r>
          </w:p>
        </w:tc>
        <w:tc>
          <w:tcPr>
            <w:tcW w:w="1173" w:type="dxa"/>
            <w:tcBorders/>
            <w:shd w:fill="CCEEFF" w:val="clear"/>
            <w:vAlign w:val="center"/>
          </w:tcPr>
          <w:p>
            <w:pPr>
              <w:pStyle w:val="TableContents"/>
              <w:bidi w:val="0"/>
              <w:spacing w:before="0" w:after="283"/>
              <w:jc w:val="right"/>
              <w:rPr/>
            </w:pPr>
            <w:r>
              <w:rPr/>
              <w:t>6,619</w:t>
            </w:r>
          </w:p>
        </w:tc>
        <w:tc>
          <w:tcPr>
            <w:tcW w:w="75" w:type="dxa"/>
            <w:tcBorders/>
            <w:shd w:fill="CCEEFF" w:val="clear"/>
            <w:vAlign w:val="center"/>
          </w:tcPr>
          <w:p>
            <w:pPr>
              <w:pStyle w:val="TableContents"/>
              <w:bidi w:val="0"/>
              <w:spacing w:before="0" w:after="283"/>
              <w:jc w:val="left"/>
              <w:rPr/>
            </w:pPr>
            <w:r>
              <w:rPr/>
              <w:t> </w:t>
            </w:r>
          </w:p>
        </w:tc>
      </w:tr>
      <w:tr>
        <w:trPr/>
        <w:tc>
          <w:tcPr>
            <w:tcW w:w="4805" w:type="dxa"/>
            <w:tcBorders/>
            <w:shd w:fill="FFFFFF" w:val="clear"/>
            <w:vAlign w:val="center"/>
          </w:tcPr>
          <w:p>
            <w:pPr>
              <w:pStyle w:val="TableContents"/>
              <w:bidi w:val="0"/>
              <w:spacing w:before="0" w:after="283"/>
              <w:jc w:val="left"/>
              <w:rPr/>
            </w:pPr>
            <w:r>
              <w:rPr/>
              <w:t>Income taxes payable</w:t>
            </w:r>
          </w:p>
        </w:tc>
        <w:tc>
          <w:tcPr>
            <w:tcW w:w="60" w:type="dxa"/>
            <w:tcBorders/>
            <w:shd w:fill="FFFFFF" w:val="clear"/>
            <w:vAlign w:val="center"/>
          </w:tcPr>
          <w:p>
            <w:pPr>
              <w:pStyle w:val="TableContents"/>
              <w:bidi w:val="0"/>
              <w:spacing w:before="0" w:after="283"/>
              <w:jc w:val="left"/>
              <w:rPr/>
            </w:pPr>
            <w:r>
              <w:rPr/>
              <w:t> </w:t>
            </w:r>
          </w:p>
        </w:tc>
        <w:tc>
          <w:tcPr>
            <w:tcW w:w="241" w:type="dxa"/>
            <w:tcBorders/>
            <w:shd w:fill="FFFFFF" w:val="clear"/>
            <w:vAlign w:val="center"/>
          </w:tcPr>
          <w:p>
            <w:pPr>
              <w:pStyle w:val="TableContents"/>
              <w:bidi w:val="0"/>
              <w:spacing w:before="0" w:after="283"/>
              <w:jc w:val="left"/>
              <w:rPr/>
            </w:pPr>
            <w:r>
              <w:rPr/>
              <w:t> </w:t>
            </w:r>
          </w:p>
        </w:tc>
        <w:tc>
          <w:tcPr>
            <w:tcW w:w="1173" w:type="dxa"/>
            <w:tcBorders/>
            <w:shd w:fill="FFFFFF" w:val="clear"/>
            <w:vAlign w:val="center"/>
          </w:tcPr>
          <w:p>
            <w:pPr>
              <w:pStyle w:val="TableContents"/>
              <w:bidi w:val="0"/>
              <w:spacing w:before="0" w:after="283"/>
              <w:jc w:val="right"/>
              <w:rPr/>
            </w:pPr>
            <w:r>
              <w:rPr/>
              <w:t>278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41" w:type="dxa"/>
            <w:tcBorders/>
            <w:shd w:fill="FFFFFF" w:val="clear"/>
            <w:vAlign w:val="center"/>
          </w:tcPr>
          <w:p>
            <w:pPr>
              <w:pStyle w:val="TableContents"/>
              <w:bidi w:val="0"/>
              <w:spacing w:before="0" w:after="283"/>
              <w:jc w:val="left"/>
              <w:rPr/>
            </w:pPr>
            <w:r>
              <w:rPr/>
              <w:t> </w:t>
            </w:r>
          </w:p>
        </w:tc>
        <w:tc>
          <w:tcPr>
            <w:tcW w:w="1173" w:type="dxa"/>
            <w:tcBorders/>
            <w:shd w:fill="FFFFFF" w:val="clear"/>
            <w:vAlign w:val="center"/>
          </w:tcPr>
          <w:p>
            <w:pPr>
              <w:pStyle w:val="TableContents"/>
              <w:bidi w:val="0"/>
              <w:spacing w:before="0" w:after="283"/>
              <w:jc w:val="right"/>
              <w:rPr/>
            </w:pPr>
            <w:r>
              <w:rPr/>
              <w:t>—</w:t>
            </w:r>
          </w:p>
        </w:tc>
        <w:tc>
          <w:tcPr>
            <w:tcW w:w="75" w:type="dxa"/>
            <w:tcBorders/>
            <w:shd w:fill="FFFFFF" w:val="clear"/>
            <w:vAlign w:val="center"/>
          </w:tcPr>
          <w:p>
            <w:pPr>
              <w:pStyle w:val="TableContents"/>
              <w:bidi w:val="0"/>
              <w:spacing w:before="0" w:after="283"/>
              <w:jc w:val="left"/>
              <w:rPr/>
            </w:pPr>
            <w:r>
              <w:rPr/>
              <w:t> </w:t>
            </w:r>
          </w:p>
        </w:tc>
      </w:tr>
      <w:tr>
        <w:trPr/>
        <w:tc>
          <w:tcPr>
            <w:tcW w:w="4805" w:type="dxa"/>
            <w:tcBorders/>
            <w:shd w:fill="CCEEFF" w:val="clear"/>
            <w:vAlign w:val="center"/>
          </w:tcPr>
          <w:p>
            <w:pPr>
              <w:pStyle w:val="TableContents"/>
              <w:bidi w:val="0"/>
              <w:spacing w:before="0" w:after="283"/>
              <w:jc w:val="left"/>
              <w:rPr/>
            </w:pPr>
            <w:r>
              <w:rPr/>
              <w:t>Professional fees</w:t>
            </w:r>
          </w:p>
        </w:tc>
        <w:tc>
          <w:tcPr>
            <w:tcW w:w="60" w:type="dxa"/>
            <w:tcBorders/>
            <w:shd w:fill="CCEEFF" w:val="clear"/>
            <w:vAlign w:val="center"/>
          </w:tcPr>
          <w:p>
            <w:pPr>
              <w:pStyle w:val="TableContents"/>
              <w:bidi w:val="0"/>
              <w:spacing w:before="0" w:after="283"/>
              <w:jc w:val="left"/>
              <w:rPr/>
            </w:pPr>
            <w:r>
              <w:rPr/>
              <w:t> </w:t>
            </w:r>
          </w:p>
        </w:tc>
        <w:tc>
          <w:tcPr>
            <w:tcW w:w="241" w:type="dxa"/>
            <w:tcBorders/>
            <w:shd w:fill="CCEEFF" w:val="clear"/>
            <w:vAlign w:val="center"/>
          </w:tcPr>
          <w:p>
            <w:pPr>
              <w:pStyle w:val="TableContents"/>
              <w:bidi w:val="0"/>
              <w:spacing w:before="0" w:after="283"/>
              <w:jc w:val="left"/>
              <w:rPr/>
            </w:pPr>
            <w:r>
              <w:rPr/>
              <w:t> </w:t>
            </w:r>
          </w:p>
        </w:tc>
        <w:tc>
          <w:tcPr>
            <w:tcW w:w="1173" w:type="dxa"/>
            <w:tcBorders/>
            <w:shd w:fill="CCEEFF" w:val="clear"/>
            <w:vAlign w:val="center"/>
          </w:tcPr>
          <w:p>
            <w:pPr>
              <w:pStyle w:val="TableContents"/>
              <w:bidi w:val="0"/>
              <w:spacing w:before="0" w:after="283"/>
              <w:jc w:val="right"/>
              <w:rPr/>
            </w:pPr>
            <w:r>
              <w:rPr/>
              <w:t>70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1" w:type="dxa"/>
            <w:tcBorders/>
            <w:shd w:fill="CCEEFF" w:val="clear"/>
            <w:vAlign w:val="center"/>
          </w:tcPr>
          <w:p>
            <w:pPr>
              <w:pStyle w:val="TableContents"/>
              <w:bidi w:val="0"/>
              <w:spacing w:before="0" w:after="283"/>
              <w:jc w:val="left"/>
              <w:rPr/>
            </w:pPr>
            <w:r>
              <w:rPr/>
              <w:t> </w:t>
            </w:r>
          </w:p>
        </w:tc>
        <w:tc>
          <w:tcPr>
            <w:tcW w:w="1173" w:type="dxa"/>
            <w:tcBorders/>
            <w:shd w:fill="CCEEFF" w:val="clear"/>
            <w:vAlign w:val="center"/>
          </w:tcPr>
          <w:p>
            <w:pPr>
              <w:pStyle w:val="TableContents"/>
              <w:bidi w:val="0"/>
              <w:spacing w:before="0" w:after="283"/>
              <w:jc w:val="right"/>
              <w:rPr/>
            </w:pPr>
            <w:r>
              <w:rPr/>
              <w:t>8,028</w:t>
            </w:r>
          </w:p>
        </w:tc>
        <w:tc>
          <w:tcPr>
            <w:tcW w:w="75" w:type="dxa"/>
            <w:tcBorders/>
            <w:shd w:fill="CCEEFF" w:val="clear"/>
            <w:vAlign w:val="center"/>
          </w:tcPr>
          <w:p>
            <w:pPr>
              <w:pStyle w:val="TableContents"/>
              <w:bidi w:val="0"/>
              <w:spacing w:before="0" w:after="283"/>
              <w:jc w:val="left"/>
              <w:rPr/>
            </w:pPr>
            <w:r>
              <w:rPr/>
              <w:t> </w:t>
            </w:r>
          </w:p>
        </w:tc>
      </w:tr>
      <w:tr>
        <w:trPr/>
        <w:tc>
          <w:tcPr>
            <w:tcW w:w="4805" w:type="dxa"/>
            <w:tcBorders/>
            <w:shd w:fill="FFFFFF" w:val="clear"/>
            <w:vAlign w:val="center"/>
          </w:tcPr>
          <w:p>
            <w:pPr>
              <w:pStyle w:val="TableContents"/>
              <w:bidi w:val="0"/>
              <w:spacing w:before="0" w:after="283"/>
              <w:jc w:val="left"/>
              <w:rPr/>
            </w:pPr>
            <w:r>
              <w:rPr/>
              <w:t>Accrued legal settlements</w:t>
            </w:r>
          </w:p>
        </w:tc>
        <w:tc>
          <w:tcPr>
            <w:tcW w:w="60" w:type="dxa"/>
            <w:tcBorders/>
            <w:shd w:fill="FFFFFF" w:val="clear"/>
            <w:vAlign w:val="center"/>
          </w:tcPr>
          <w:p>
            <w:pPr>
              <w:pStyle w:val="TableContents"/>
              <w:bidi w:val="0"/>
              <w:spacing w:before="0" w:after="283"/>
              <w:jc w:val="left"/>
              <w:rPr/>
            </w:pPr>
            <w:r>
              <w:rPr/>
              <w:t> </w:t>
            </w:r>
          </w:p>
        </w:tc>
        <w:tc>
          <w:tcPr>
            <w:tcW w:w="241" w:type="dxa"/>
            <w:tcBorders/>
            <w:shd w:fill="FFFFFF" w:val="clear"/>
            <w:vAlign w:val="center"/>
          </w:tcPr>
          <w:p>
            <w:pPr>
              <w:pStyle w:val="TableContents"/>
              <w:bidi w:val="0"/>
              <w:spacing w:before="0" w:after="283"/>
              <w:jc w:val="left"/>
              <w:rPr/>
            </w:pPr>
            <w:r>
              <w:rPr/>
              <w:t> </w:t>
            </w:r>
          </w:p>
        </w:tc>
        <w:tc>
          <w:tcPr>
            <w:tcW w:w="1173" w:type="dxa"/>
            <w:tcBorders/>
            <w:shd w:fill="FFFFFF" w:val="clear"/>
            <w:vAlign w:val="center"/>
          </w:tcPr>
          <w:p>
            <w:pPr>
              <w:pStyle w:val="TableContents"/>
              <w:bidi w:val="0"/>
              <w:spacing w:before="0" w:after="283"/>
              <w:jc w:val="right"/>
              <w:rPr/>
            </w:pPr>
            <w:r>
              <w:rPr/>
              <w:t>9,500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41" w:type="dxa"/>
            <w:tcBorders/>
            <w:shd w:fill="FFFFFF" w:val="clear"/>
            <w:vAlign w:val="center"/>
          </w:tcPr>
          <w:p>
            <w:pPr>
              <w:pStyle w:val="TableContents"/>
              <w:bidi w:val="0"/>
              <w:spacing w:before="0" w:after="283"/>
              <w:jc w:val="left"/>
              <w:rPr/>
            </w:pPr>
            <w:r>
              <w:rPr/>
              <w:t> </w:t>
            </w:r>
          </w:p>
        </w:tc>
        <w:tc>
          <w:tcPr>
            <w:tcW w:w="1173" w:type="dxa"/>
            <w:tcBorders/>
            <w:shd w:fill="FFFFFF" w:val="clear"/>
            <w:vAlign w:val="center"/>
          </w:tcPr>
          <w:p>
            <w:pPr>
              <w:pStyle w:val="TableContents"/>
              <w:bidi w:val="0"/>
              <w:spacing w:before="0" w:after="283"/>
              <w:jc w:val="right"/>
              <w:rPr/>
            </w:pPr>
            <w:r>
              <w:rPr/>
              <w:t>7,700</w:t>
            </w:r>
          </w:p>
        </w:tc>
        <w:tc>
          <w:tcPr>
            <w:tcW w:w="75" w:type="dxa"/>
            <w:tcBorders/>
            <w:shd w:fill="FFFFFF" w:val="clear"/>
            <w:vAlign w:val="center"/>
          </w:tcPr>
          <w:p>
            <w:pPr>
              <w:pStyle w:val="TableContents"/>
              <w:bidi w:val="0"/>
              <w:spacing w:before="0" w:after="283"/>
              <w:jc w:val="left"/>
              <w:rPr/>
            </w:pPr>
            <w:r>
              <w:rPr/>
              <w:t> </w:t>
            </w:r>
          </w:p>
        </w:tc>
      </w:tr>
      <w:tr>
        <w:trPr/>
        <w:tc>
          <w:tcPr>
            <w:tcW w:w="4805" w:type="dxa"/>
            <w:tcBorders/>
            <w:shd w:fill="CCEEFF" w:val="clear"/>
            <w:vAlign w:val="center"/>
          </w:tcPr>
          <w:p>
            <w:pPr>
              <w:pStyle w:val="TableContents"/>
              <w:bidi w:val="0"/>
              <w:spacing w:before="0" w:after="283"/>
              <w:jc w:val="left"/>
              <w:rPr/>
            </w:pPr>
            <w:r>
              <w:rPr/>
              <w:t>Accrued rebates and credits</w:t>
            </w:r>
          </w:p>
        </w:tc>
        <w:tc>
          <w:tcPr>
            <w:tcW w:w="60" w:type="dxa"/>
            <w:tcBorders/>
            <w:shd w:fill="CCEEFF" w:val="clear"/>
            <w:vAlign w:val="center"/>
          </w:tcPr>
          <w:p>
            <w:pPr>
              <w:pStyle w:val="TableContents"/>
              <w:bidi w:val="0"/>
              <w:spacing w:before="0" w:after="283"/>
              <w:jc w:val="left"/>
              <w:rPr/>
            </w:pPr>
            <w:r>
              <w:rPr/>
              <w:t> </w:t>
            </w:r>
          </w:p>
        </w:tc>
        <w:tc>
          <w:tcPr>
            <w:tcW w:w="241" w:type="dxa"/>
            <w:tcBorders/>
            <w:shd w:fill="CCEEFF" w:val="clear"/>
            <w:vAlign w:val="center"/>
          </w:tcPr>
          <w:p>
            <w:pPr>
              <w:pStyle w:val="TableContents"/>
              <w:bidi w:val="0"/>
              <w:spacing w:before="0" w:after="283"/>
              <w:jc w:val="left"/>
              <w:rPr/>
            </w:pPr>
            <w:r>
              <w:rPr/>
              <w:t> </w:t>
            </w:r>
          </w:p>
        </w:tc>
        <w:tc>
          <w:tcPr>
            <w:tcW w:w="1173" w:type="dxa"/>
            <w:tcBorders/>
            <w:shd w:fill="CCEEFF" w:val="clear"/>
            <w:vAlign w:val="center"/>
          </w:tcPr>
          <w:p>
            <w:pPr>
              <w:pStyle w:val="TableContents"/>
              <w:bidi w:val="0"/>
              <w:spacing w:before="0" w:after="283"/>
              <w:jc w:val="right"/>
              <w:rPr/>
            </w:pPr>
            <w:r>
              <w:rPr/>
              <w:t>7,564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1" w:type="dxa"/>
            <w:tcBorders/>
            <w:shd w:fill="CCEEFF" w:val="clear"/>
            <w:vAlign w:val="center"/>
          </w:tcPr>
          <w:p>
            <w:pPr>
              <w:pStyle w:val="TableContents"/>
              <w:bidi w:val="0"/>
              <w:spacing w:before="0" w:after="283"/>
              <w:jc w:val="left"/>
              <w:rPr/>
            </w:pPr>
            <w:r>
              <w:rPr/>
              <w:t> </w:t>
            </w:r>
          </w:p>
        </w:tc>
        <w:tc>
          <w:tcPr>
            <w:tcW w:w="1173" w:type="dxa"/>
            <w:tcBorders/>
            <w:shd w:fill="CCEEFF" w:val="clear"/>
            <w:vAlign w:val="center"/>
          </w:tcPr>
          <w:p>
            <w:pPr>
              <w:pStyle w:val="TableContents"/>
              <w:bidi w:val="0"/>
              <w:spacing w:before="0" w:after="283"/>
              <w:jc w:val="right"/>
              <w:rPr/>
            </w:pPr>
            <w:r>
              <w:rPr/>
              <w:t>7,641</w:t>
            </w:r>
          </w:p>
        </w:tc>
        <w:tc>
          <w:tcPr>
            <w:tcW w:w="75" w:type="dxa"/>
            <w:tcBorders/>
            <w:shd w:fill="CCEEFF" w:val="clear"/>
            <w:vAlign w:val="center"/>
          </w:tcPr>
          <w:p>
            <w:pPr>
              <w:pStyle w:val="TableContents"/>
              <w:bidi w:val="0"/>
              <w:spacing w:before="0" w:after="283"/>
              <w:jc w:val="left"/>
              <w:rPr/>
            </w:pPr>
            <w:r>
              <w:rPr/>
              <w:t> </w:t>
            </w:r>
          </w:p>
        </w:tc>
      </w:tr>
      <w:tr>
        <w:trPr/>
        <w:tc>
          <w:tcPr>
            <w:tcW w:w="4805" w:type="dxa"/>
            <w:tcBorders/>
            <w:shd w:fill="FFFFFF" w:val="clear"/>
            <w:vAlign w:val="center"/>
          </w:tcPr>
          <w:p>
            <w:pPr>
              <w:pStyle w:val="TableContents"/>
              <w:bidi w:val="0"/>
              <w:spacing w:before="0" w:after="283"/>
              <w:jc w:val="left"/>
              <w:rPr/>
            </w:pPr>
            <w:r>
              <w:rPr/>
              <w:t>Deferred financing fees</w:t>
            </w:r>
          </w:p>
        </w:tc>
        <w:tc>
          <w:tcPr>
            <w:tcW w:w="60" w:type="dxa"/>
            <w:tcBorders/>
            <w:shd w:fill="FFFFFF" w:val="clear"/>
            <w:vAlign w:val="center"/>
          </w:tcPr>
          <w:p>
            <w:pPr>
              <w:pStyle w:val="TableContents"/>
              <w:bidi w:val="0"/>
              <w:spacing w:before="0" w:after="283"/>
              <w:jc w:val="left"/>
              <w:rPr/>
            </w:pPr>
            <w:r>
              <w:rPr/>
              <w:t> </w:t>
            </w:r>
          </w:p>
        </w:tc>
        <w:tc>
          <w:tcPr>
            <w:tcW w:w="241" w:type="dxa"/>
            <w:tcBorders/>
            <w:shd w:fill="FFFFFF" w:val="clear"/>
            <w:vAlign w:val="center"/>
          </w:tcPr>
          <w:p>
            <w:pPr>
              <w:pStyle w:val="TableContents"/>
              <w:bidi w:val="0"/>
              <w:spacing w:before="0" w:after="283"/>
              <w:jc w:val="left"/>
              <w:rPr/>
            </w:pPr>
            <w:r>
              <w:rPr/>
              <w:t> </w:t>
            </w:r>
          </w:p>
        </w:tc>
        <w:tc>
          <w:tcPr>
            <w:tcW w:w="1173" w:type="dxa"/>
            <w:tcBorders/>
            <w:shd w:fill="FFFFFF" w:val="clear"/>
            <w:vAlign w:val="center"/>
          </w:tcPr>
          <w:p>
            <w:pPr>
              <w:pStyle w:val="TableContents"/>
              <w:bidi w:val="0"/>
              <w:spacing w:before="0" w:after="283"/>
              <w:jc w:val="right"/>
              <w:rPr/>
            </w:pPr>
            <w:r>
              <w:rPr/>
              <w:t>4,868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41" w:type="dxa"/>
            <w:tcBorders/>
            <w:shd w:fill="FFFFFF" w:val="clear"/>
            <w:vAlign w:val="center"/>
          </w:tcPr>
          <w:p>
            <w:pPr>
              <w:pStyle w:val="TableContents"/>
              <w:bidi w:val="0"/>
              <w:spacing w:before="0" w:after="283"/>
              <w:jc w:val="left"/>
              <w:rPr/>
            </w:pPr>
            <w:r>
              <w:rPr/>
              <w:t> </w:t>
            </w:r>
          </w:p>
        </w:tc>
        <w:tc>
          <w:tcPr>
            <w:tcW w:w="1173" w:type="dxa"/>
            <w:tcBorders/>
            <w:shd w:fill="FFFFFF" w:val="clear"/>
            <w:vAlign w:val="center"/>
          </w:tcPr>
          <w:p>
            <w:pPr>
              <w:pStyle w:val="TableContents"/>
              <w:bidi w:val="0"/>
              <w:spacing w:before="0" w:after="283"/>
              <w:jc w:val="right"/>
              <w:rPr/>
            </w:pPr>
            <w:r>
              <w:rPr/>
              <w:t>4,674</w:t>
            </w:r>
          </w:p>
        </w:tc>
        <w:tc>
          <w:tcPr>
            <w:tcW w:w="75" w:type="dxa"/>
            <w:tcBorders/>
            <w:shd w:fill="FFFFFF" w:val="clear"/>
            <w:vAlign w:val="center"/>
          </w:tcPr>
          <w:p>
            <w:pPr>
              <w:pStyle w:val="TableContents"/>
              <w:bidi w:val="0"/>
              <w:spacing w:before="0" w:after="283"/>
              <w:jc w:val="left"/>
              <w:rPr/>
            </w:pPr>
            <w:r>
              <w:rPr/>
              <w:t> </w:t>
            </w:r>
          </w:p>
        </w:tc>
      </w:tr>
      <w:tr>
        <w:trPr/>
        <w:tc>
          <w:tcPr>
            <w:tcW w:w="480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Investor financing deposit with related party </w:t>
            </w:r>
            <w:r>
              <w:rPr>
                <w:rFonts w:ascii="Times New Roman;Times;Serif" w:hAnsi="Times New Roman;Times;Serif"/>
                <w:position w:val="7"/>
                <w:sz w:val="16"/>
                <w:sz w:val="20"/>
              </w:rPr>
              <w:t>(1)</w:t>
            </w:r>
          </w:p>
        </w:tc>
        <w:tc>
          <w:tcPr>
            <w:tcW w:w="60" w:type="dxa"/>
            <w:tcBorders/>
            <w:shd w:fill="CCEEFF" w:val="clear"/>
            <w:vAlign w:val="center"/>
          </w:tcPr>
          <w:p>
            <w:pPr>
              <w:pStyle w:val="TableContents"/>
              <w:bidi w:val="0"/>
              <w:spacing w:before="0" w:after="283"/>
              <w:jc w:val="left"/>
              <w:rPr/>
            </w:pPr>
            <w:r>
              <w:rPr/>
              <w:t> </w:t>
            </w:r>
          </w:p>
        </w:tc>
        <w:tc>
          <w:tcPr>
            <w:tcW w:w="241" w:type="dxa"/>
            <w:tcBorders/>
            <w:shd w:fill="CCEEFF" w:val="clear"/>
            <w:vAlign w:val="center"/>
          </w:tcPr>
          <w:p>
            <w:pPr>
              <w:pStyle w:val="TableContents"/>
              <w:bidi w:val="0"/>
              <w:spacing w:before="0" w:after="283"/>
              <w:jc w:val="left"/>
              <w:rPr/>
            </w:pPr>
            <w:r>
              <w:rPr/>
              <w:t> </w:t>
            </w:r>
          </w:p>
        </w:tc>
        <w:tc>
          <w:tcPr>
            <w:tcW w:w="1173" w:type="dxa"/>
            <w:tcBorders/>
            <w:shd w:fill="CCEEFF" w:val="clear"/>
            <w:vAlign w:val="center"/>
          </w:tcPr>
          <w:p>
            <w:pPr>
              <w:pStyle w:val="TableContents"/>
              <w:bidi w:val="0"/>
              <w:spacing w:before="0" w:after="283"/>
              <w:jc w:val="right"/>
              <w:rPr/>
            </w:pPr>
            <w:r>
              <w:rPr/>
              <w:t>2,000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1" w:type="dxa"/>
            <w:tcBorders/>
            <w:shd w:fill="CCEEFF" w:val="clear"/>
            <w:vAlign w:val="center"/>
          </w:tcPr>
          <w:p>
            <w:pPr>
              <w:pStyle w:val="TableContents"/>
              <w:bidi w:val="0"/>
              <w:spacing w:before="0" w:after="283"/>
              <w:jc w:val="left"/>
              <w:rPr/>
            </w:pPr>
            <w:r>
              <w:rPr/>
              <w:t> </w:t>
            </w:r>
          </w:p>
        </w:tc>
        <w:tc>
          <w:tcPr>
            <w:tcW w:w="1173" w:type="dxa"/>
            <w:tcBorders/>
            <w:shd w:fill="CCEEFF" w:val="clear"/>
            <w:vAlign w:val="center"/>
          </w:tcPr>
          <w:p>
            <w:pPr>
              <w:pStyle w:val="TableContents"/>
              <w:bidi w:val="0"/>
              <w:spacing w:before="0" w:after="283"/>
              <w:jc w:val="right"/>
              <w:rPr/>
            </w:pPr>
            <w:r>
              <w:rPr/>
              <w:t>—</w:t>
            </w:r>
          </w:p>
        </w:tc>
        <w:tc>
          <w:tcPr>
            <w:tcW w:w="75" w:type="dxa"/>
            <w:tcBorders/>
            <w:shd w:fill="CCEEFF" w:val="clear"/>
            <w:vAlign w:val="center"/>
          </w:tcPr>
          <w:p>
            <w:pPr>
              <w:pStyle w:val="TableContents"/>
              <w:bidi w:val="0"/>
              <w:spacing w:before="0" w:after="283"/>
              <w:jc w:val="left"/>
              <w:rPr/>
            </w:pPr>
            <w:r>
              <w:rPr/>
              <w:t> </w:t>
            </w:r>
          </w:p>
        </w:tc>
      </w:tr>
      <w:tr>
        <w:trPr/>
        <w:tc>
          <w:tcPr>
            <w:tcW w:w="480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Accrued interest </w:t>
            </w:r>
            <w:r>
              <w:rPr>
                <w:rFonts w:ascii="Times New Roman;Times;Serif" w:hAnsi="Times New Roman;Times;Serif"/>
                <w:position w:val="7"/>
                <w:sz w:val="16"/>
                <w:sz w:val="20"/>
              </w:rPr>
              <w:t>(2)</w:t>
            </w:r>
          </w:p>
        </w:tc>
        <w:tc>
          <w:tcPr>
            <w:tcW w:w="60" w:type="dxa"/>
            <w:tcBorders/>
            <w:shd w:fill="FFFFFF" w:val="clear"/>
            <w:vAlign w:val="center"/>
          </w:tcPr>
          <w:p>
            <w:pPr>
              <w:pStyle w:val="TableContents"/>
              <w:bidi w:val="0"/>
              <w:spacing w:before="0" w:after="283"/>
              <w:jc w:val="left"/>
              <w:rPr/>
            </w:pPr>
            <w:r>
              <w:rPr/>
              <w:t> </w:t>
            </w:r>
          </w:p>
        </w:tc>
        <w:tc>
          <w:tcPr>
            <w:tcW w:w="241" w:type="dxa"/>
            <w:tcBorders/>
            <w:shd w:fill="FFFFFF" w:val="clear"/>
            <w:vAlign w:val="center"/>
          </w:tcPr>
          <w:p>
            <w:pPr>
              <w:pStyle w:val="TableContents"/>
              <w:bidi w:val="0"/>
              <w:spacing w:before="0" w:after="283"/>
              <w:jc w:val="left"/>
              <w:rPr/>
            </w:pPr>
            <w:r>
              <w:rPr/>
              <w:t> </w:t>
            </w:r>
          </w:p>
        </w:tc>
        <w:tc>
          <w:tcPr>
            <w:tcW w:w="1173" w:type="dxa"/>
            <w:tcBorders/>
            <w:shd w:fill="FFFFFF" w:val="clear"/>
            <w:vAlign w:val="center"/>
          </w:tcPr>
          <w:p>
            <w:pPr>
              <w:pStyle w:val="TableContents"/>
              <w:bidi w:val="0"/>
              <w:spacing w:before="0" w:after="283"/>
              <w:jc w:val="right"/>
              <w:rPr/>
            </w:pPr>
            <w:r>
              <w:rPr/>
              <w:t>6,301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41" w:type="dxa"/>
            <w:tcBorders/>
            <w:shd w:fill="FFFFFF" w:val="clear"/>
            <w:vAlign w:val="center"/>
          </w:tcPr>
          <w:p>
            <w:pPr>
              <w:pStyle w:val="TableContents"/>
              <w:bidi w:val="0"/>
              <w:spacing w:before="0" w:after="283"/>
              <w:jc w:val="left"/>
              <w:rPr/>
            </w:pPr>
            <w:r>
              <w:rPr/>
              <w:t> </w:t>
            </w:r>
          </w:p>
        </w:tc>
        <w:tc>
          <w:tcPr>
            <w:tcW w:w="1173" w:type="dxa"/>
            <w:tcBorders/>
            <w:shd w:fill="FFFFFF" w:val="clear"/>
            <w:vAlign w:val="center"/>
          </w:tcPr>
          <w:p>
            <w:pPr>
              <w:pStyle w:val="TableContents"/>
              <w:bidi w:val="0"/>
              <w:spacing w:before="0" w:after="283"/>
              <w:jc w:val="right"/>
              <w:rPr/>
            </w:pPr>
            <w:r>
              <w:rPr/>
              <w:t>4,523</w:t>
            </w:r>
          </w:p>
        </w:tc>
        <w:tc>
          <w:tcPr>
            <w:tcW w:w="75" w:type="dxa"/>
            <w:tcBorders/>
            <w:shd w:fill="FFFFFF" w:val="clear"/>
            <w:vAlign w:val="center"/>
          </w:tcPr>
          <w:p>
            <w:pPr>
              <w:pStyle w:val="TableContents"/>
              <w:bidi w:val="0"/>
              <w:spacing w:before="0" w:after="283"/>
              <w:jc w:val="left"/>
              <w:rPr/>
            </w:pPr>
            <w:r>
              <w:rPr/>
              <w:t> </w:t>
            </w:r>
          </w:p>
        </w:tc>
      </w:tr>
      <w:tr>
        <w:trPr/>
        <w:tc>
          <w:tcPr>
            <w:tcW w:w="480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Other </w:t>
            </w:r>
            <w:r>
              <w:rPr>
                <w:rFonts w:ascii="Times New Roman;Times;Serif" w:hAnsi="Times New Roman;Times;Serif"/>
                <w:position w:val="7"/>
                <w:sz w:val="16"/>
                <w:sz w:val="20"/>
              </w:rPr>
              <w:t>(3)</w:t>
            </w:r>
          </w:p>
        </w:tc>
        <w:tc>
          <w:tcPr>
            <w:tcW w:w="60" w:type="dxa"/>
            <w:tcBorders/>
            <w:shd w:fill="CCEEFF" w:val="clear"/>
            <w:vAlign w:val="center"/>
          </w:tcPr>
          <w:p>
            <w:pPr>
              <w:pStyle w:val="TableContents"/>
              <w:bidi w:val="0"/>
              <w:spacing w:before="0" w:after="283"/>
              <w:jc w:val="left"/>
              <w:rPr/>
            </w:pPr>
            <w:r>
              <w:rPr/>
              <w:t> </w:t>
            </w:r>
          </w:p>
        </w:tc>
        <w:tc>
          <w:tcPr>
            <w:tcW w:w="241"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73" w:type="dxa"/>
            <w:tcBorders>
              <w:bottom w:val="single" w:sz="12" w:space="0" w:color="000000"/>
            </w:tcBorders>
            <w:shd w:fill="CCEEFF" w:val="clear"/>
            <w:tcMar>
              <w:bottom w:w="28" w:type="dxa"/>
            </w:tcMar>
            <w:vAlign w:val="center"/>
          </w:tcPr>
          <w:p>
            <w:pPr>
              <w:pStyle w:val="TableContents"/>
              <w:bidi w:val="0"/>
              <w:spacing w:before="0" w:after="283"/>
              <w:jc w:val="right"/>
              <w:rPr/>
            </w:pPr>
            <w:r>
              <w:rPr/>
              <w:t>19,194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1"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73" w:type="dxa"/>
            <w:tcBorders>
              <w:bottom w:val="single" w:sz="12" w:space="0" w:color="000000"/>
            </w:tcBorders>
            <w:shd w:fill="CCEEFF" w:val="clear"/>
            <w:tcMar>
              <w:bottom w:w="28" w:type="dxa"/>
            </w:tcMar>
            <w:vAlign w:val="center"/>
          </w:tcPr>
          <w:p>
            <w:pPr>
              <w:pStyle w:val="TableContents"/>
              <w:bidi w:val="0"/>
              <w:spacing w:before="0" w:after="283"/>
              <w:jc w:val="right"/>
              <w:rPr/>
            </w:pPr>
            <w:r>
              <w:rPr/>
              <w:t>16,896</w:t>
            </w:r>
          </w:p>
        </w:tc>
        <w:tc>
          <w:tcPr>
            <w:tcW w:w="75" w:type="dxa"/>
            <w:tcBorders/>
            <w:shd w:fill="CCEEFF" w:val="clear"/>
            <w:vAlign w:val="center"/>
          </w:tcPr>
          <w:p>
            <w:pPr>
              <w:pStyle w:val="TableContents"/>
              <w:bidi w:val="0"/>
              <w:spacing w:before="0" w:after="283"/>
              <w:jc w:val="left"/>
              <w:rPr/>
            </w:pPr>
            <w:r>
              <w:rPr/>
              <w:t> </w:t>
            </w:r>
          </w:p>
        </w:tc>
      </w:tr>
      <w:tr>
        <w:trPr/>
        <w:tc>
          <w:tcPr>
            <w:tcW w:w="4805" w:type="dxa"/>
            <w:tcBorders/>
            <w:shd w:fill="FFFFFF" w:val="clear"/>
            <w:vAlign w:val="center"/>
          </w:tcPr>
          <w:p>
            <w:pPr>
              <w:pStyle w:val="TableContents"/>
              <w:bidi w:val="0"/>
              <w:spacing w:before="0" w:after="283"/>
              <w:jc w:val="left"/>
              <w:rPr/>
            </w:pPr>
            <w:r>
              <w:rPr/>
              <w:t>Total accrued expenses and other current liabilities</w:t>
            </w:r>
          </w:p>
        </w:tc>
        <w:tc>
          <w:tcPr>
            <w:tcW w:w="60" w:type="dxa"/>
            <w:tcBorders/>
            <w:shd w:fill="FFFFFF" w:val="clear"/>
            <w:vAlign w:val="center"/>
          </w:tcPr>
          <w:p>
            <w:pPr>
              <w:pStyle w:val="TableContents"/>
              <w:bidi w:val="0"/>
              <w:spacing w:before="0" w:after="283"/>
              <w:jc w:val="left"/>
              <w:rPr/>
            </w:pPr>
            <w:r>
              <w:rPr/>
              <w:t> </w:t>
            </w:r>
          </w:p>
        </w:tc>
        <w:tc>
          <w:tcPr>
            <w:tcW w:w="241" w:type="dxa"/>
            <w:tcBorders>
              <w:bottom w:val="double" w:sz="10" w:space="0" w:color="000000"/>
            </w:tcBorders>
            <w:shd w:fill="FFFFFF" w:val="clear"/>
            <w:tcMar>
              <w:bottom w:w="28" w:type="dxa"/>
            </w:tcMar>
            <w:vAlign w:val="center"/>
          </w:tcPr>
          <w:p>
            <w:pPr>
              <w:pStyle w:val="TableContents"/>
              <w:bidi w:val="0"/>
              <w:spacing w:before="0" w:after="283"/>
              <w:jc w:val="left"/>
              <w:rPr/>
            </w:pPr>
            <w:r>
              <w:rPr/>
              <w:t>$</w:t>
            </w:r>
          </w:p>
        </w:tc>
        <w:tc>
          <w:tcPr>
            <w:tcW w:w="1173" w:type="dxa"/>
            <w:tcBorders>
              <w:bottom w:val="double" w:sz="10" w:space="0" w:color="000000"/>
            </w:tcBorders>
            <w:shd w:fill="FFFFFF" w:val="clear"/>
            <w:tcMar>
              <w:bottom w:w="28" w:type="dxa"/>
            </w:tcMar>
            <w:vAlign w:val="center"/>
          </w:tcPr>
          <w:p>
            <w:pPr>
              <w:pStyle w:val="TableContents"/>
              <w:bidi w:val="0"/>
              <w:spacing w:before="0" w:after="283"/>
              <w:jc w:val="right"/>
              <w:rPr/>
            </w:pPr>
            <w:r>
              <w:rPr/>
              <w:t>56,977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41" w:type="dxa"/>
            <w:tcBorders>
              <w:bottom w:val="double" w:sz="10" w:space="0" w:color="000000"/>
            </w:tcBorders>
            <w:shd w:fill="FFFFFF" w:val="clear"/>
            <w:tcMar>
              <w:bottom w:w="28" w:type="dxa"/>
            </w:tcMar>
            <w:vAlign w:val="center"/>
          </w:tcPr>
          <w:p>
            <w:pPr>
              <w:pStyle w:val="TableContents"/>
              <w:bidi w:val="0"/>
              <w:spacing w:before="0" w:after="283"/>
              <w:jc w:val="left"/>
              <w:rPr/>
            </w:pPr>
            <w:r>
              <w:rPr/>
              <w:t>$</w:t>
            </w:r>
          </w:p>
        </w:tc>
        <w:tc>
          <w:tcPr>
            <w:tcW w:w="1173" w:type="dxa"/>
            <w:tcBorders>
              <w:bottom w:val="double" w:sz="10" w:space="0" w:color="000000"/>
            </w:tcBorders>
            <w:shd w:fill="FFFFFF" w:val="clear"/>
            <w:tcMar>
              <w:bottom w:w="28" w:type="dxa"/>
            </w:tcMar>
            <w:vAlign w:val="center"/>
          </w:tcPr>
          <w:p>
            <w:pPr>
              <w:pStyle w:val="TableContents"/>
              <w:bidi w:val="0"/>
              <w:spacing w:before="0" w:after="283"/>
              <w:jc w:val="right"/>
              <w:rPr/>
            </w:pPr>
            <w:r>
              <w:rPr/>
              <w:t>56,081</w:t>
            </w:r>
          </w:p>
        </w:tc>
        <w:tc>
          <w:tcPr>
            <w:tcW w:w="75"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01"/>
        <w:gridCol w:w="10004"/>
      </w:tblGrid>
      <w:tr>
        <w:trPr/>
        <w:tc>
          <w:tcPr>
            <w:tcW w:w="201" w:type="dxa"/>
            <w:tcBorders/>
            <w:vAlign w:val="center"/>
          </w:tcPr>
          <w:p>
            <w:pPr>
              <w:pStyle w:val="TableContents"/>
              <w:bidi w:val="0"/>
              <w:spacing w:before="0" w:after="283"/>
              <w:jc w:val="left"/>
              <w:rPr>
                <w:rFonts w:ascii="Times New Roman;Times;Serif" w:hAnsi="Times New Roman;Times;Serif"/>
                <w:position w:val="7"/>
                <w:sz w:val="16"/>
                <w:sz w:val="20"/>
              </w:rPr>
            </w:pPr>
            <w:r>
              <w:rPr>
                <w:rFonts w:ascii="Times New Roman;Times;Serif" w:hAnsi="Times New Roman;Times;Serif"/>
                <w:position w:val="7"/>
                <w:sz w:val="16"/>
                <w:sz w:val="20"/>
              </w:rPr>
              <w:t>(1)</w:t>
            </w:r>
          </w:p>
        </w:tc>
        <w:tc>
          <w:tcPr>
            <w:tcW w:w="10004"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 xml:space="preserve">The Company received a deposit of $2.0 million from the Rodgers Massey Revocable Living Trust (“Rodgers Revocable Trust”), a related party, in fiscal 2025. In January 2026, these proceeds along with an additional $1.3 million received in January 2026 was converted to a 12.0% convertible promissory note. </w:t>
            </w:r>
            <w:r>
              <w:rPr>
                <w:rFonts w:ascii="Times New Roman;Times;Serif" w:hAnsi="Times New Roman;Times;Serif"/>
                <w:b/>
                <w:sz w:val="20"/>
              </w:rPr>
              <w:t xml:space="preserve">Refer to Note 20 – Subsequent Events – </w:t>
            </w:r>
            <w:r>
              <w:rPr>
                <w:rFonts w:ascii="Times New Roman;Times;Serif" w:hAnsi="Times New Roman;Times;Serif"/>
                <w:b/>
                <w:i/>
                <w:sz w:val="20"/>
              </w:rPr>
              <w:t>12.0% Convertible Promissory Not</w:t>
            </w:r>
            <w:r>
              <w:rPr>
                <w:rFonts w:ascii="Times New Roman;Times;Serif" w:hAnsi="Times New Roman;Times;Serif"/>
                <w:b/>
                <w:sz w:val="20"/>
              </w:rPr>
              <w:t>e</w:t>
            </w:r>
            <w:r>
              <w:rPr>
                <w:rFonts w:ascii="Times New Roman;Times;Serif" w:hAnsi="Times New Roman;Times;Serif"/>
                <w:sz w:val="20"/>
              </w:rPr>
              <w:t xml:space="preserve"> for further details.</w:t>
            </w:r>
          </w:p>
        </w:tc>
      </w:tr>
      <w:tr>
        <w:trPr/>
        <w:tc>
          <w:tcPr>
            <w:tcW w:w="201" w:type="dxa"/>
            <w:tcBorders/>
            <w:vAlign w:val="center"/>
          </w:tcPr>
          <w:p>
            <w:pPr>
              <w:pStyle w:val="TableContents"/>
              <w:bidi w:val="0"/>
              <w:spacing w:before="0" w:after="283"/>
              <w:jc w:val="left"/>
              <w:rPr>
                <w:rFonts w:ascii="Times New Roman;Times;Serif" w:hAnsi="Times New Roman;Times;Serif"/>
                <w:position w:val="7"/>
                <w:sz w:val="16"/>
                <w:sz w:val="20"/>
              </w:rPr>
            </w:pPr>
            <w:r>
              <w:rPr>
                <w:rFonts w:ascii="Times New Roman;Times;Serif" w:hAnsi="Times New Roman;Times;Serif"/>
                <w:position w:val="7"/>
                <w:sz w:val="16"/>
                <w:sz w:val="20"/>
              </w:rPr>
              <w:t>(2)</w:t>
            </w:r>
          </w:p>
        </w:tc>
        <w:tc>
          <w:tcPr>
            <w:tcW w:w="10004"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Includes accrued interest due to related parties of $2.6 million and $2.5 million as of December 28, 2025 and December 29, 2024, respectively.</w:t>
            </w:r>
          </w:p>
        </w:tc>
      </w:tr>
      <w:tr>
        <w:trPr/>
        <w:tc>
          <w:tcPr>
            <w:tcW w:w="201" w:type="dxa"/>
            <w:tcBorders/>
            <w:vAlign w:val="center"/>
          </w:tcPr>
          <w:p>
            <w:pPr>
              <w:pStyle w:val="TableContents"/>
              <w:bidi w:val="0"/>
              <w:spacing w:before="0" w:after="283"/>
              <w:jc w:val="left"/>
              <w:rPr>
                <w:rFonts w:ascii="Times New Roman;Times;Serif" w:hAnsi="Times New Roman;Times;Serif"/>
                <w:position w:val="7"/>
                <w:sz w:val="16"/>
                <w:sz w:val="20"/>
              </w:rPr>
            </w:pPr>
            <w:r>
              <w:rPr>
                <w:rFonts w:ascii="Times New Roman;Times;Serif" w:hAnsi="Times New Roman;Times;Serif"/>
                <w:position w:val="7"/>
                <w:sz w:val="16"/>
                <w:sz w:val="20"/>
              </w:rPr>
              <w:t>(3)</w:t>
            </w:r>
          </w:p>
        </w:tc>
        <w:tc>
          <w:tcPr>
            <w:tcW w:w="10004"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No individual items exceed 5% of total current liabilities.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(7) Intangible Assets, Net and Goodwill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Goodwill</w:t>
      </w:r>
    </w:p>
    <w:p>
      <w:pPr>
        <w:pStyle w:val="TextBody"/>
        <w:bidi w:val="0"/>
        <w:spacing w:before="0" w:after="0"/>
        <w:ind w:left="0" w:right="0" w:hanging="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September 30, 2024, the Company completed the acquisition of the SunPower Businesses. As of December 29, 2024, the Company had assigned provisional goodwill of $18.3 million to the Residential Solar Installation reportable segment and $0.2 million to the New Homes Businesses reportable segment. Upon finalization of the fair values in fiscal 2025 related to the SunPower Businesses, the Company concluded that the purchase price did not include any excess purchase price over the fair value of net assets acquired related to the SunPower Businesses acquired.</w:t>
      </w:r>
    </w:p>
    <w:p>
      <w:pPr>
        <w:pStyle w:val="TextBody"/>
        <w:bidi w:val="0"/>
        <w:spacing w:before="0" w:after="0"/>
        <w:ind w:left="0" w:right="0" w:hanging="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September 24, 2025, the Company completed the acquisition of Sunder and assigned provisional goodwill of $31.8 million from this acquisition to the Dealer reportable segment. On November 21, 2025, the Company completed the acquisition of Ambia and assigned provisional goodwill of $30.8 million from this acquisition to the Residential Solar Installation reportable segment.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Goodwill as of and for the fiscal years ended December 28, 2025 and December 29, 2024 is as follows (</w:t>
      </w:r>
      <w:r>
        <w:rPr>
          <w:rFonts w:ascii="Times New Roman;Times;Serif" w:hAnsi="Times New Roman;Times;Serif"/>
          <w:b w:val="false"/>
          <w:i/>
          <w:caps w:val="false"/>
          <w:smallCaps w:val="false"/>
          <w:sz w:val="20"/>
        </w:rPr>
        <w:t>in thousands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936"/>
        <w:gridCol w:w="60"/>
        <w:gridCol w:w="431"/>
        <w:gridCol w:w="2338"/>
        <w:gridCol w:w="95"/>
        <w:gridCol w:w="60"/>
        <w:gridCol w:w="278"/>
        <w:gridCol w:w="904"/>
        <w:gridCol w:w="95"/>
        <w:gridCol w:w="60"/>
        <w:gridCol w:w="140"/>
        <w:gridCol w:w="680"/>
        <w:gridCol w:w="60"/>
        <w:gridCol w:w="60"/>
        <w:gridCol w:w="140"/>
        <w:gridCol w:w="755"/>
        <w:gridCol w:w="113"/>
      </w:tblGrid>
      <w:tr>
        <w:trPr/>
        <w:tc>
          <w:tcPr>
            <w:tcW w:w="3936"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769"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Residential Solar Installation</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82"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New Homes</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2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Dealer</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9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Total</w:t>
            </w:r>
          </w:p>
        </w:tc>
        <w:tc>
          <w:tcPr>
            <w:tcW w:w="113" w:type="dxa"/>
            <w:tcBorders/>
            <w:vAlign w:val="center"/>
          </w:tcPr>
          <w:p>
            <w:pPr>
              <w:pStyle w:val="TableContents"/>
              <w:bidi w:val="0"/>
              <w:spacing w:before="0" w:after="283"/>
              <w:jc w:val="left"/>
              <w:rPr/>
            </w:pPr>
            <w:r>
              <w:rPr/>
              <w:t> </w:t>
            </w:r>
          </w:p>
        </w:tc>
      </w:tr>
      <w:tr>
        <w:trPr/>
        <w:tc>
          <w:tcPr>
            <w:tcW w:w="3936" w:type="dxa"/>
            <w:tcBorders/>
            <w:shd w:fill="CCEEFF" w:val="clear"/>
            <w:vAlign w:val="center"/>
          </w:tcPr>
          <w:p>
            <w:pPr>
              <w:pStyle w:val="TableContents"/>
              <w:bidi w:val="0"/>
              <w:spacing w:before="0" w:after="283"/>
              <w:jc w:val="left"/>
              <w:rPr/>
            </w:pPr>
            <w:r>
              <w:rPr/>
              <w:t>Balance as of December 31, 2023</w:t>
            </w:r>
          </w:p>
        </w:tc>
        <w:tc>
          <w:tcPr>
            <w:tcW w:w="60" w:type="dxa"/>
            <w:tcBorders/>
            <w:shd w:fill="CCEEFF" w:val="clear"/>
            <w:vAlign w:val="center"/>
          </w:tcPr>
          <w:p>
            <w:pPr>
              <w:pStyle w:val="TableContents"/>
              <w:bidi w:val="0"/>
              <w:spacing w:before="0" w:after="283"/>
              <w:jc w:val="left"/>
              <w:rPr/>
            </w:pPr>
            <w:r>
              <w:rPr/>
              <w:t> </w:t>
            </w:r>
          </w:p>
        </w:tc>
        <w:tc>
          <w:tcPr>
            <w:tcW w:w="431" w:type="dxa"/>
            <w:tcBorders/>
            <w:shd w:fill="CCEEFF" w:val="clear"/>
            <w:vAlign w:val="center"/>
          </w:tcPr>
          <w:p>
            <w:pPr>
              <w:pStyle w:val="TableContents"/>
              <w:bidi w:val="0"/>
              <w:spacing w:before="0" w:after="283"/>
              <w:jc w:val="left"/>
              <w:rPr/>
            </w:pPr>
            <w:r>
              <w:rPr/>
              <w:t>$</w:t>
            </w:r>
          </w:p>
        </w:tc>
        <w:tc>
          <w:tcPr>
            <w:tcW w:w="2338"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78" w:type="dxa"/>
            <w:tcBorders/>
            <w:shd w:fill="CCEEFF" w:val="clear"/>
            <w:vAlign w:val="center"/>
          </w:tcPr>
          <w:p>
            <w:pPr>
              <w:pStyle w:val="TableContents"/>
              <w:bidi w:val="0"/>
              <w:spacing w:before="0" w:after="283"/>
              <w:jc w:val="left"/>
              <w:rPr/>
            </w:pPr>
            <w:r>
              <w:rPr/>
              <w:t>$</w:t>
            </w:r>
          </w:p>
        </w:tc>
        <w:tc>
          <w:tcPr>
            <w:tcW w:w="904"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68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755" w:type="dxa"/>
            <w:tcBorders/>
            <w:shd w:fill="CCEEFF" w:val="clear"/>
            <w:vAlign w:val="center"/>
          </w:tcPr>
          <w:p>
            <w:pPr>
              <w:pStyle w:val="TableContents"/>
              <w:bidi w:val="0"/>
              <w:spacing w:before="0" w:after="283"/>
              <w:jc w:val="right"/>
              <w:rPr/>
            </w:pPr>
            <w:r>
              <w:rPr/>
              <w:t>—</w:t>
            </w:r>
          </w:p>
        </w:tc>
        <w:tc>
          <w:tcPr>
            <w:tcW w:w="113" w:type="dxa"/>
            <w:tcBorders/>
            <w:shd w:fill="CCEEFF" w:val="clear"/>
            <w:vAlign w:val="center"/>
          </w:tcPr>
          <w:p>
            <w:pPr>
              <w:pStyle w:val="TableContents"/>
              <w:bidi w:val="0"/>
              <w:spacing w:before="0" w:after="283"/>
              <w:jc w:val="left"/>
              <w:rPr/>
            </w:pPr>
            <w:r>
              <w:rPr/>
              <w:t> </w:t>
            </w:r>
          </w:p>
        </w:tc>
      </w:tr>
      <w:tr>
        <w:trPr/>
        <w:tc>
          <w:tcPr>
            <w:tcW w:w="3936" w:type="dxa"/>
            <w:tcBorders/>
            <w:shd w:fill="FFFFFF" w:val="clear"/>
            <w:vAlign w:val="center"/>
          </w:tcPr>
          <w:p>
            <w:pPr>
              <w:pStyle w:val="TableContents"/>
              <w:bidi w:val="0"/>
              <w:spacing w:before="0" w:after="283"/>
              <w:jc w:val="both"/>
              <w:rPr/>
            </w:pPr>
            <w:r>
              <w:rPr/>
              <w:t>Goodwill acquired in business combinations</w:t>
            </w:r>
          </w:p>
        </w:tc>
        <w:tc>
          <w:tcPr>
            <w:tcW w:w="60" w:type="dxa"/>
            <w:tcBorders/>
            <w:shd w:fill="FFFFFF" w:val="clear"/>
            <w:vAlign w:val="center"/>
          </w:tcPr>
          <w:p>
            <w:pPr>
              <w:pStyle w:val="TableContents"/>
              <w:bidi w:val="0"/>
              <w:spacing w:before="0" w:after="283"/>
              <w:jc w:val="left"/>
              <w:rPr/>
            </w:pPr>
            <w:r>
              <w:rPr/>
              <w:t> </w:t>
            </w:r>
          </w:p>
        </w:tc>
        <w:tc>
          <w:tcPr>
            <w:tcW w:w="431" w:type="dxa"/>
            <w:tcBorders/>
            <w:shd w:fill="FFFFFF" w:val="clear"/>
            <w:vAlign w:val="center"/>
          </w:tcPr>
          <w:p>
            <w:pPr>
              <w:pStyle w:val="TableContents"/>
              <w:bidi w:val="0"/>
              <w:spacing w:before="0" w:after="283"/>
              <w:jc w:val="left"/>
              <w:rPr/>
            </w:pPr>
            <w:r>
              <w:rPr/>
              <w:t> </w:t>
            </w:r>
          </w:p>
        </w:tc>
        <w:tc>
          <w:tcPr>
            <w:tcW w:w="2338" w:type="dxa"/>
            <w:tcBorders/>
            <w:shd w:fill="FFFFFF" w:val="clear"/>
            <w:vAlign w:val="center"/>
          </w:tcPr>
          <w:p>
            <w:pPr>
              <w:pStyle w:val="TableContents"/>
              <w:bidi w:val="0"/>
              <w:spacing w:before="0" w:after="283"/>
              <w:jc w:val="right"/>
              <w:rPr/>
            </w:pPr>
            <w:r>
              <w:rPr/>
              <w:t>18,276</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78" w:type="dxa"/>
            <w:tcBorders/>
            <w:shd w:fill="FFFFFF" w:val="clear"/>
            <w:vAlign w:val="center"/>
          </w:tcPr>
          <w:p>
            <w:pPr>
              <w:pStyle w:val="TableContents"/>
              <w:bidi w:val="0"/>
              <w:spacing w:before="0" w:after="283"/>
              <w:jc w:val="left"/>
              <w:rPr/>
            </w:pPr>
            <w:r>
              <w:rPr/>
              <w:t> </w:t>
            </w:r>
          </w:p>
        </w:tc>
        <w:tc>
          <w:tcPr>
            <w:tcW w:w="904" w:type="dxa"/>
            <w:tcBorders/>
            <w:shd w:fill="FFFFFF" w:val="clear"/>
            <w:vAlign w:val="center"/>
          </w:tcPr>
          <w:p>
            <w:pPr>
              <w:pStyle w:val="TableContents"/>
              <w:bidi w:val="0"/>
              <w:spacing w:before="0" w:after="283"/>
              <w:jc w:val="right"/>
              <w:rPr/>
            </w:pPr>
            <w:r>
              <w:rPr/>
              <w:t>200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18,476</w:t>
            </w:r>
          </w:p>
        </w:tc>
        <w:tc>
          <w:tcPr>
            <w:tcW w:w="113" w:type="dxa"/>
            <w:tcBorders/>
            <w:shd w:fill="FFFFFF" w:val="clear"/>
            <w:vAlign w:val="center"/>
          </w:tcPr>
          <w:p>
            <w:pPr>
              <w:pStyle w:val="TableContents"/>
              <w:bidi w:val="0"/>
              <w:spacing w:before="0" w:after="283"/>
              <w:jc w:val="left"/>
              <w:rPr/>
            </w:pPr>
            <w:r>
              <w:rPr/>
              <w:t> </w:t>
            </w:r>
          </w:p>
        </w:tc>
      </w:tr>
      <w:tr>
        <w:trPr/>
        <w:tc>
          <w:tcPr>
            <w:tcW w:w="3936" w:type="dxa"/>
            <w:tcBorders/>
            <w:shd w:fill="CCEEFF" w:val="clear"/>
            <w:vAlign w:val="center"/>
          </w:tcPr>
          <w:p>
            <w:pPr>
              <w:pStyle w:val="TableContents"/>
              <w:bidi w:val="0"/>
              <w:spacing w:before="0" w:after="283"/>
              <w:jc w:val="left"/>
              <w:rPr/>
            </w:pPr>
            <w:r>
              <w:rPr/>
              <w:t>Impairment losses</w:t>
            </w:r>
          </w:p>
        </w:tc>
        <w:tc>
          <w:tcPr>
            <w:tcW w:w="60" w:type="dxa"/>
            <w:tcBorders/>
            <w:shd w:fill="CCEEFF" w:val="clear"/>
            <w:vAlign w:val="center"/>
          </w:tcPr>
          <w:p>
            <w:pPr>
              <w:pStyle w:val="TableContents"/>
              <w:bidi w:val="0"/>
              <w:spacing w:before="0" w:after="283"/>
              <w:jc w:val="left"/>
              <w:rPr/>
            </w:pPr>
            <w:r>
              <w:rPr/>
              <w:t> </w:t>
            </w:r>
          </w:p>
        </w:tc>
        <w:tc>
          <w:tcPr>
            <w:tcW w:w="431"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2338"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78"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04"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680"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755"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113" w:type="dxa"/>
            <w:tcBorders/>
            <w:shd w:fill="CCEEFF" w:val="clear"/>
            <w:vAlign w:val="center"/>
          </w:tcPr>
          <w:p>
            <w:pPr>
              <w:pStyle w:val="TableContents"/>
              <w:bidi w:val="0"/>
              <w:spacing w:before="0" w:after="283"/>
              <w:jc w:val="left"/>
              <w:rPr/>
            </w:pPr>
            <w:r>
              <w:rPr/>
              <w:t> </w:t>
            </w:r>
          </w:p>
        </w:tc>
      </w:tr>
      <w:tr>
        <w:trPr/>
        <w:tc>
          <w:tcPr>
            <w:tcW w:w="3936" w:type="dxa"/>
            <w:tcBorders/>
            <w:shd w:fill="FFFFFF" w:val="clear"/>
            <w:vAlign w:val="center"/>
          </w:tcPr>
          <w:p>
            <w:pPr>
              <w:pStyle w:val="TableContents"/>
              <w:bidi w:val="0"/>
              <w:spacing w:before="0" w:after="283"/>
              <w:jc w:val="left"/>
              <w:rPr/>
            </w:pPr>
            <w:r>
              <w:rPr/>
              <w:t>Balance as of December 29, 2024</w:t>
            </w:r>
          </w:p>
        </w:tc>
        <w:tc>
          <w:tcPr>
            <w:tcW w:w="60" w:type="dxa"/>
            <w:tcBorders/>
            <w:shd w:fill="FFFFFF" w:val="clear"/>
            <w:vAlign w:val="center"/>
          </w:tcPr>
          <w:p>
            <w:pPr>
              <w:pStyle w:val="TableContents"/>
              <w:bidi w:val="0"/>
              <w:spacing w:before="0" w:after="283"/>
              <w:jc w:val="left"/>
              <w:rPr/>
            </w:pPr>
            <w:r>
              <w:rPr/>
              <w:t> </w:t>
            </w:r>
          </w:p>
        </w:tc>
        <w:tc>
          <w:tcPr>
            <w:tcW w:w="431" w:type="dxa"/>
            <w:tcBorders/>
            <w:shd w:fill="FFFFFF" w:val="clear"/>
            <w:vAlign w:val="center"/>
          </w:tcPr>
          <w:p>
            <w:pPr>
              <w:pStyle w:val="TableContents"/>
              <w:bidi w:val="0"/>
              <w:spacing w:before="0" w:after="283"/>
              <w:jc w:val="left"/>
              <w:rPr/>
            </w:pPr>
            <w:r>
              <w:rPr/>
              <w:t> </w:t>
            </w:r>
          </w:p>
        </w:tc>
        <w:tc>
          <w:tcPr>
            <w:tcW w:w="2338"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78" w:type="dxa"/>
            <w:tcBorders/>
            <w:shd w:fill="FFFFFF" w:val="clear"/>
            <w:vAlign w:val="center"/>
          </w:tcPr>
          <w:p>
            <w:pPr>
              <w:pStyle w:val="TableContents"/>
              <w:bidi w:val="0"/>
              <w:spacing w:before="0" w:after="283"/>
              <w:jc w:val="left"/>
              <w:rPr/>
            </w:pPr>
            <w:r>
              <w:rPr/>
              <w:t> </w:t>
            </w:r>
          </w:p>
        </w:tc>
        <w:tc>
          <w:tcPr>
            <w:tcW w:w="904"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 </w:t>
            </w:r>
          </w:p>
        </w:tc>
        <w:tc>
          <w:tcPr>
            <w:tcW w:w="113" w:type="dxa"/>
            <w:tcBorders/>
            <w:shd w:fill="FFFFFF" w:val="clear"/>
            <w:vAlign w:val="center"/>
          </w:tcPr>
          <w:p>
            <w:pPr>
              <w:pStyle w:val="TableContents"/>
              <w:bidi w:val="0"/>
              <w:spacing w:before="0" w:after="283"/>
              <w:jc w:val="left"/>
              <w:rPr/>
            </w:pPr>
            <w:r>
              <w:rPr/>
              <w:t> </w:t>
            </w:r>
          </w:p>
        </w:tc>
      </w:tr>
      <w:tr>
        <w:trPr/>
        <w:tc>
          <w:tcPr>
            <w:tcW w:w="3936" w:type="dxa"/>
            <w:tcBorders/>
            <w:shd w:fill="CCEEFF" w:val="clear"/>
            <w:vAlign w:val="center"/>
          </w:tcPr>
          <w:p>
            <w:pPr>
              <w:pStyle w:val="TableContents"/>
              <w:bidi w:val="0"/>
              <w:spacing w:before="0" w:after="283"/>
              <w:jc w:val="both"/>
              <w:rPr/>
            </w:pPr>
            <w:r>
              <w:rPr/>
              <w:t>Goodwill</w:t>
            </w:r>
          </w:p>
        </w:tc>
        <w:tc>
          <w:tcPr>
            <w:tcW w:w="60" w:type="dxa"/>
            <w:tcBorders/>
            <w:shd w:fill="CCEEFF" w:val="clear"/>
            <w:vAlign w:val="center"/>
          </w:tcPr>
          <w:p>
            <w:pPr>
              <w:pStyle w:val="TableContents"/>
              <w:bidi w:val="0"/>
              <w:spacing w:before="0" w:after="283"/>
              <w:jc w:val="left"/>
              <w:rPr/>
            </w:pPr>
            <w:r>
              <w:rPr/>
              <w:t> </w:t>
            </w:r>
          </w:p>
        </w:tc>
        <w:tc>
          <w:tcPr>
            <w:tcW w:w="431" w:type="dxa"/>
            <w:tcBorders/>
            <w:shd w:fill="CCEEFF" w:val="clear"/>
            <w:vAlign w:val="center"/>
          </w:tcPr>
          <w:p>
            <w:pPr>
              <w:pStyle w:val="TableContents"/>
              <w:bidi w:val="0"/>
              <w:spacing w:before="0" w:after="283"/>
              <w:jc w:val="left"/>
              <w:rPr/>
            </w:pPr>
            <w:r>
              <w:rPr/>
              <w:t> </w:t>
            </w:r>
          </w:p>
        </w:tc>
        <w:tc>
          <w:tcPr>
            <w:tcW w:w="2338" w:type="dxa"/>
            <w:tcBorders/>
            <w:shd w:fill="CCEEFF" w:val="clear"/>
            <w:vAlign w:val="center"/>
          </w:tcPr>
          <w:p>
            <w:pPr>
              <w:pStyle w:val="TableContents"/>
              <w:bidi w:val="0"/>
              <w:spacing w:before="0" w:after="283"/>
              <w:jc w:val="right"/>
              <w:rPr/>
            </w:pPr>
            <w:r>
              <w:rPr/>
              <w:t>18,276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78" w:type="dxa"/>
            <w:tcBorders/>
            <w:shd w:fill="CCEEFF" w:val="clear"/>
            <w:vAlign w:val="center"/>
          </w:tcPr>
          <w:p>
            <w:pPr>
              <w:pStyle w:val="TableContents"/>
              <w:bidi w:val="0"/>
              <w:spacing w:before="0" w:after="283"/>
              <w:jc w:val="left"/>
              <w:rPr/>
            </w:pPr>
            <w:r>
              <w:rPr/>
              <w:t> </w:t>
            </w:r>
          </w:p>
        </w:tc>
        <w:tc>
          <w:tcPr>
            <w:tcW w:w="904" w:type="dxa"/>
            <w:tcBorders/>
            <w:shd w:fill="CCEEFF" w:val="clear"/>
            <w:vAlign w:val="center"/>
          </w:tcPr>
          <w:p>
            <w:pPr>
              <w:pStyle w:val="TableContents"/>
              <w:bidi w:val="0"/>
              <w:spacing w:before="0" w:after="283"/>
              <w:jc w:val="right"/>
              <w:rPr/>
            </w:pPr>
            <w:r>
              <w:rPr/>
              <w:t>200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18,476</w:t>
            </w:r>
          </w:p>
        </w:tc>
        <w:tc>
          <w:tcPr>
            <w:tcW w:w="113" w:type="dxa"/>
            <w:tcBorders/>
            <w:shd w:fill="CCEEFF" w:val="clear"/>
            <w:vAlign w:val="center"/>
          </w:tcPr>
          <w:p>
            <w:pPr>
              <w:pStyle w:val="TableContents"/>
              <w:bidi w:val="0"/>
              <w:spacing w:before="0" w:after="283"/>
              <w:jc w:val="left"/>
              <w:rPr/>
            </w:pPr>
            <w:r>
              <w:rPr/>
              <w:t> </w:t>
            </w:r>
          </w:p>
        </w:tc>
      </w:tr>
      <w:tr>
        <w:trPr/>
        <w:tc>
          <w:tcPr>
            <w:tcW w:w="3936" w:type="dxa"/>
            <w:tcBorders/>
            <w:shd w:fill="FFFFFF" w:val="clear"/>
            <w:vAlign w:val="center"/>
          </w:tcPr>
          <w:p>
            <w:pPr>
              <w:pStyle w:val="TableContents"/>
              <w:bidi w:val="0"/>
              <w:spacing w:before="0" w:after="283"/>
              <w:jc w:val="both"/>
              <w:rPr/>
            </w:pPr>
            <w:r>
              <w:rPr/>
              <w:t>Accumulated impairment losses</w:t>
            </w:r>
          </w:p>
        </w:tc>
        <w:tc>
          <w:tcPr>
            <w:tcW w:w="60" w:type="dxa"/>
            <w:tcBorders/>
            <w:shd w:fill="FFFFFF" w:val="clear"/>
            <w:vAlign w:val="center"/>
          </w:tcPr>
          <w:p>
            <w:pPr>
              <w:pStyle w:val="TableContents"/>
              <w:bidi w:val="0"/>
              <w:spacing w:before="0" w:after="283"/>
              <w:jc w:val="left"/>
              <w:rPr/>
            </w:pPr>
            <w:r>
              <w:rPr/>
              <w:t> </w:t>
            </w:r>
          </w:p>
        </w:tc>
        <w:tc>
          <w:tcPr>
            <w:tcW w:w="431"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2338"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78"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904"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680"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755"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113" w:type="dxa"/>
            <w:tcBorders/>
            <w:shd w:fill="FFFFFF" w:val="clear"/>
            <w:vAlign w:val="center"/>
          </w:tcPr>
          <w:p>
            <w:pPr>
              <w:pStyle w:val="TableContents"/>
              <w:bidi w:val="0"/>
              <w:spacing w:before="0" w:after="283"/>
              <w:jc w:val="left"/>
              <w:rPr/>
            </w:pPr>
            <w:r>
              <w:rPr/>
              <w:t> </w:t>
            </w:r>
          </w:p>
        </w:tc>
      </w:tr>
      <w:tr>
        <w:trPr/>
        <w:tc>
          <w:tcPr>
            <w:tcW w:w="3936" w:type="dxa"/>
            <w:tcBorders/>
            <w:shd w:fill="CCEEFF" w:val="clear"/>
            <w:vAlign w:val="center"/>
          </w:tcPr>
          <w:p>
            <w:pPr>
              <w:pStyle w:val="TableContents"/>
              <w:bidi w:val="0"/>
              <w:spacing w:before="0" w:after="283"/>
              <w:jc w:val="both"/>
              <w:rPr/>
            </w:pPr>
            <w:r>
              <w:rPr/>
              <w:t>Total</w:t>
            </w:r>
          </w:p>
        </w:tc>
        <w:tc>
          <w:tcPr>
            <w:tcW w:w="60" w:type="dxa"/>
            <w:tcBorders/>
            <w:shd w:fill="CCEEFF" w:val="clear"/>
            <w:vAlign w:val="center"/>
          </w:tcPr>
          <w:p>
            <w:pPr>
              <w:pStyle w:val="TableContents"/>
              <w:bidi w:val="0"/>
              <w:spacing w:before="0" w:after="283"/>
              <w:jc w:val="left"/>
              <w:rPr/>
            </w:pPr>
            <w:r>
              <w:rPr/>
              <w:t> </w:t>
            </w:r>
          </w:p>
        </w:tc>
        <w:tc>
          <w:tcPr>
            <w:tcW w:w="431"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2338" w:type="dxa"/>
            <w:tcBorders>
              <w:bottom w:val="single" w:sz="12" w:space="0" w:color="000000"/>
            </w:tcBorders>
            <w:shd w:fill="CCEEFF" w:val="clear"/>
            <w:tcMar>
              <w:bottom w:w="28" w:type="dxa"/>
            </w:tcMar>
            <w:vAlign w:val="center"/>
          </w:tcPr>
          <w:p>
            <w:pPr>
              <w:pStyle w:val="TableContents"/>
              <w:bidi w:val="0"/>
              <w:spacing w:before="0" w:after="283"/>
              <w:jc w:val="right"/>
              <w:rPr/>
            </w:pPr>
            <w:r>
              <w:rPr/>
              <w:t>18,276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78"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04" w:type="dxa"/>
            <w:tcBorders>
              <w:bottom w:val="single" w:sz="12" w:space="0" w:color="000000"/>
            </w:tcBorders>
            <w:shd w:fill="CCEEFF" w:val="clear"/>
            <w:tcMar>
              <w:bottom w:w="28" w:type="dxa"/>
            </w:tcMar>
            <w:vAlign w:val="center"/>
          </w:tcPr>
          <w:p>
            <w:pPr>
              <w:pStyle w:val="TableContents"/>
              <w:bidi w:val="0"/>
              <w:spacing w:before="0" w:after="283"/>
              <w:jc w:val="right"/>
              <w:rPr/>
            </w:pPr>
            <w:r>
              <w:rPr/>
              <w:t>200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680"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755" w:type="dxa"/>
            <w:tcBorders>
              <w:bottom w:val="single" w:sz="12" w:space="0" w:color="000000"/>
            </w:tcBorders>
            <w:shd w:fill="CCEEFF" w:val="clear"/>
            <w:tcMar>
              <w:bottom w:w="28" w:type="dxa"/>
            </w:tcMar>
            <w:vAlign w:val="center"/>
          </w:tcPr>
          <w:p>
            <w:pPr>
              <w:pStyle w:val="TableContents"/>
              <w:bidi w:val="0"/>
              <w:spacing w:before="0" w:after="283"/>
              <w:jc w:val="right"/>
              <w:rPr/>
            </w:pPr>
            <w:r>
              <w:rPr/>
              <w:t>18,476</w:t>
            </w:r>
          </w:p>
        </w:tc>
        <w:tc>
          <w:tcPr>
            <w:tcW w:w="113" w:type="dxa"/>
            <w:tcBorders/>
            <w:shd w:fill="CCEEFF" w:val="clear"/>
            <w:vAlign w:val="center"/>
          </w:tcPr>
          <w:p>
            <w:pPr>
              <w:pStyle w:val="TableContents"/>
              <w:bidi w:val="0"/>
              <w:spacing w:before="0" w:after="283"/>
              <w:jc w:val="left"/>
              <w:rPr/>
            </w:pPr>
            <w:r>
              <w:rPr/>
              <w:t> </w:t>
            </w:r>
          </w:p>
        </w:tc>
      </w:tr>
      <w:tr>
        <w:trPr/>
        <w:tc>
          <w:tcPr>
            <w:tcW w:w="3936" w:type="dxa"/>
            <w:tcBorders/>
            <w:shd w:fill="FFFFFF" w:val="clear"/>
            <w:vAlign w:val="center"/>
          </w:tcPr>
          <w:p>
            <w:pPr>
              <w:pStyle w:val="TableContents"/>
              <w:bidi w:val="0"/>
              <w:spacing w:before="0" w:after="283"/>
              <w:jc w:val="both"/>
              <w:rPr/>
            </w:pPr>
            <w:r>
              <w:rPr/>
              <w:t>Measurement period adjustments</w:t>
            </w:r>
          </w:p>
        </w:tc>
        <w:tc>
          <w:tcPr>
            <w:tcW w:w="60" w:type="dxa"/>
            <w:tcBorders/>
            <w:shd w:fill="FFFFFF" w:val="clear"/>
            <w:vAlign w:val="center"/>
          </w:tcPr>
          <w:p>
            <w:pPr>
              <w:pStyle w:val="TableContents"/>
              <w:bidi w:val="0"/>
              <w:spacing w:before="0" w:after="283"/>
              <w:jc w:val="left"/>
              <w:rPr/>
            </w:pPr>
            <w:r>
              <w:rPr/>
              <w:t> </w:t>
            </w:r>
          </w:p>
        </w:tc>
        <w:tc>
          <w:tcPr>
            <w:tcW w:w="431" w:type="dxa"/>
            <w:tcBorders/>
            <w:shd w:fill="FFFFFF" w:val="clear"/>
            <w:vAlign w:val="center"/>
          </w:tcPr>
          <w:p>
            <w:pPr>
              <w:pStyle w:val="TableContents"/>
              <w:bidi w:val="0"/>
              <w:spacing w:before="0" w:after="283"/>
              <w:jc w:val="left"/>
              <w:rPr/>
            </w:pPr>
            <w:r>
              <w:rPr/>
              <w:t> </w:t>
            </w:r>
          </w:p>
        </w:tc>
        <w:tc>
          <w:tcPr>
            <w:tcW w:w="2338" w:type="dxa"/>
            <w:tcBorders/>
            <w:shd w:fill="FFFFFF" w:val="clear"/>
            <w:vAlign w:val="center"/>
          </w:tcPr>
          <w:p>
            <w:pPr>
              <w:pStyle w:val="TableContents"/>
              <w:bidi w:val="0"/>
              <w:spacing w:before="0" w:after="283"/>
              <w:jc w:val="right"/>
              <w:rPr/>
            </w:pPr>
            <w:r>
              <w:rPr/>
              <w:t>(18,276</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278" w:type="dxa"/>
            <w:tcBorders/>
            <w:shd w:fill="FFFFFF" w:val="clear"/>
            <w:vAlign w:val="center"/>
          </w:tcPr>
          <w:p>
            <w:pPr>
              <w:pStyle w:val="TableContents"/>
              <w:bidi w:val="0"/>
              <w:spacing w:before="0" w:after="283"/>
              <w:jc w:val="left"/>
              <w:rPr/>
            </w:pPr>
            <w:r>
              <w:rPr/>
              <w:t> </w:t>
            </w:r>
          </w:p>
        </w:tc>
        <w:tc>
          <w:tcPr>
            <w:tcW w:w="904" w:type="dxa"/>
            <w:tcBorders/>
            <w:shd w:fill="FFFFFF" w:val="clear"/>
            <w:vAlign w:val="center"/>
          </w:tcPr>
          <w:p>
            <w:pPr>
              <w:pStyle w:val="TableContents"/>
              <w:bidi w:val="0"/>
              <w:spacing w:before="0" w:after="283"/>
              <w:jc w:val="right"/>
              <w:rPr/>
            </w:pPr>
            <w:r>
              <w:rPr/>
              <w:t>(200</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(18,476</w:t>
            </w:r>
          </w:p>
        </w:tc>
        <w:tc>
          <w:tcPr>
            <w:tcW w:w="113" w:type="dxa"/>
            <w:tcBorders/>
            <w:shd w:fill="FFFFFF" w:val="clear"/>
            <w:vAlign w:val="center"/>
          </w:tcPr>
          <w:p>
            <w:pPr>
              <w:pStyle w:val="TableContents"/>
              <w:bidi w:val="0"/>
              <w:spacing w:before="0" w:after="283"/>
              <w:jc w:val="left"/>
              <w:rPr/>
            </w:pPr>
            <w:r>
              <w:rPr/>
              <w:t>)</w:t>
            </w:r>
          </w:p>
        </w:tc>
      </w:tr>
      <w:tr>
        <w:trPr/>
        <w:tc>
          <w:tcPr>
            <w:tcW w:w="3936" w:type="dxa"/>
            <w:tcBorders/>
            <w:shd w:fill="CCEEFF" w:val="clear"/>
            <w:vAlign w:val="center"/>
          </w:tcPr>
          <w:p>
            <w:pPr>
              <w:pStyle w:val="TableContents"/>
              <w:bidi w:val="0"/>
              <w:spacing w:before="0" w:after="283"/>
              <w:jc w:val="left"/>
              <w:rPr/>
            </w:pPr>
            <w:r>
              <w:rPr/>
              <w:t>Goodwill acquired in business combinations</w:t>
            </w:r>
          </w:p>
        </w:tc>
        <w:tc>
          <w:tcPr>
            <w:tcW w:w="60" w:type="dxa"/>
            <w:tcBorders/>
            <w:shd w:fill="CCEEFF" w:val="clear"/>
            <w:vAlign w:val="center"/>
          </w:tcPr>
          <w:p>
            <w:pPr>
              <w:pStyle w:val="TableContents"/>
              <w:bidi w:val="0"/>
              <w:spacing w:before="0" w:after="283"/>
              <w:jc w:val="left"/>
              <w:rPr/>
            </w:pPr>
            <w:r>
              <w:rPr/>
              <w:t> </w:t>
            </w:r>
          </w:p>
        </w:tc>
        <w:tc>
          <w:tcPr>
            <w:tcW w:w="431" w:type="dxa"/>
            <w:tcBorders/>
            <w:shd w:fill="CCEEFF" w:val="clear"/>
            <w:vAlign w:val="center"/>
          </w:tcPr>
          <w:p>
            <w:pPr>
              <w:pStyle w:val="TableContents"/>
              <w:bidi w:val="0"/>
              <w:spacing w:before="0" w:after="283"/>
              <w:jc w:val="left"/>
              <w:rPr/>
            </w:pPr>
            <w:r>
              <w:rPr/>
              <w:t> </w:t>
            </w:r>
          </w:p>
        </w:tc>
        <w:tc>
          <w:tcPr>
            <w:tcW w:w="2338" w:type="dxa"/>
            <w:tcBorders/>
            <w:shd w:fill="CCEEFF" w:val="clear"/>
            <w:vAlign w:val="center"/>
          </w:tcPr>
          <w:p>
            <w:pPr>
              <w:pStyle w:val="TableContents"/>
              <w:bidi w:val="0"/>
              <w:spacing w:before="0" w:after="283"/>
              <w:jc w:val="right"/>
              <w:rPr/>
            </w:pPr>
            <w:r>
              <w:rPr/>
              <w:t>30,808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78" w:type="dxa"/>
            <w:tcBorders/>
            <w:shd w:fill="CCEEFF" w:val="clear"/>
            <w:vAlign w:val="center"/>
          </w:tcPr>
          <w:p>
            <w:pPr>
              <w:pStyle w:val="TableContents"/>
              <w:bidi w:val="0"/>
              <w:spacing w:before="0" w:after="283"/>
              <w:jc w:val="left"/>
              <w:rPr/>
            </w:pPr>
            <w:r>
              <w:rPr/>
              <w:t> </w:t>
            </w:r>
          </w:p>
        </w:tc>
        <w:tc>
          <w:tcPr>
            <w:tcW w:w="904"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31,822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62,630</w:t>
            </w:r>
          </w:p>
        </w:tc>
        <w:tc>
          <w:tcPr>
            <w:tcW w:w="113" w:type="dxa"/>
            <w:tcBorders/>
            <w:shd w:fill="CCEEFF" w:val="clear"/>
            <w:vAlign w:val="center"/>
          </w:tcPr>
          <w:p>
            <w:pPr>
              <w:pStyle w:val="TableContents"/>
              <w:bidi w:val="0"/>
              <w:spacing w:before="0" w:after="283"/>
              <w:jc w:val="left"/>
              <w:rPr/>
            </w:pPr>
            <w:r>
              <w:rPr/>
              <w:t> </w:t>
            </w:r>
          </w:p>
        </w:tc>
      </w:tr>
      <w:tr>
        <w:trPr/>
        <w:tc>
          <w:tcPr>
            <w:tcW w:w="3936" w:type="dxa"/>
            <w:tcBorders/>
            <w:shd w:fill="FFFFFF" w:val="clear"/>
            <w:vAlign w:val="center"/>
          </w:tcPr>
          <w:p>
            <w:pPr>
              <w:pStyle w:val="TableContents"/>
              <w:bidi w:val="0"/>
              <w:spacing w:before="0" w:after="283"/>
              <w:jc w:val="left"/>
              <w:rPr/>
            </w:pPr>
            <w:r>
              <w:rPr/>
              <w:t>Impairment losses</w:t>
            </w:r>
          </w:p>
        </w:tc>
        <w:tc>
          <w:tcPr>
            <w:tcW w:w="60" w:type="dxa"/>
            <w:tcBorders/>
            <w:shd w:fill="FFFFFF" w:val="clear"/>
            <w:vAlign w:val="center"/>
          </w:tcPr>
          <w:p>
            <w:pPr>
              <w:pStyle w:val="TableContents"/>
              <w:bidi w:val="0"/>
              <w:spacing w:before="0" w:after="283"/>
              <w:jc w:val="left"/>
              <w:rPr/>
            </w:pPr>
            <w:r>
              <w:rPr/>
              <w:t> </w:t>
            </w:r>
          </w:p>
        </w:tc>
        <w:tc>
          <w:tcPr>
            <w:tcW w:w="431"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2338"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78"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904"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680"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755"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113" w:type="dxa"/>
            <w:tcBorders/>
            <w:shd w:fill="FFFFFF" w:val="clear"/>
            <w:vAlign w:val="center"/>
          </w:tcPr>
          <w:p>
            <w:pPr>
              <w:pStyle w:val="TableContents"/>
              <w:bidi w:val="0"/>
              <w:spacing w:before="0" w:after="283"/>
              <w:jc w:val="left"/>
              <w:rPr/>
            </w:pPr>
            <w:r>
              <w:rPr/>
              <w:t> </w:t>
            </w:r>
          </w:p>
        </w:tc>
      </w:tr>
      <w:tr>
        <w:trPr/>
        <w:tc>
          <w:tcPr>
            <w:tcW w:w="3936" w:type="dxa"/>
            <w:tcBorders/>
            <w:shd w:fill="CCEEFF" w:val="clear"/>
            <w:vAlign w:val="center"/>
          </w:tcPr>
          <w:p>
            <w:pPr>
              <w:pStyle w:val="TableContents"/>
              <w:bidi w:val="0"/>
              <w:spacing w:before="0" w:after="283"/>
              <w:jc w:val="left"/>
              <w:rPr/>
            </w:pPr>
            <w:r>
              <w:rPr/>
              <w:t>Balance as of December 28, 2025</w:t>
            </w:r>
          </w:p>
        </w:tc>
        <w:tc>
          <w:tcPr>
            <w:tcW w:w="60" w:type="dxa"/>
            <w:tcBorders/>
            <w:shd w:fill="CCEEFF" w:val="clear"/>
            <w:vAlign w:val="center"/>
          </w:tcPr>
          <w:p>
            <w:pPr>
              <w:pStyle w:val="TableContents"/>
              <w:bidi w:val="0"/>
              <w:spacing w:before="0" w:after="283"/>
              <w:jc w:val="left"/>
              <w:rPr/>
            </w:pPr>
            <w:r>
              <w:rPr/>
              <w:t> </w:t>
            </w:r>
          </w:p>
        </w:tc>
        <w:tc>
          <w:tcPr>
            <w:tcW w:w="431" w:type="dxa"/>
            <w:tcBorders/>
            <w:shd w:fill="CCEEFF" w:val="clear"/>
            <w:vAlign w:val="center"/>
          </w:tcPr>
          <w:p>
            <w:pPr>
              <w:pStyle w:val="TableContents"/>
              <w:bidi w:val="0"/>
              <w:spacing w:before="0" w:after="283"/>
              <w:jc w:val="left"/>
              <w:rPr/>
            </w:pPr>
            <w:r>
              <w:rPr/>
              <w:t> </w:t>
            </w:r>
          </w:p>
        </w:tc>
        <w:tc>
          <w:tcPr>
            <w:tcW w:w="2338"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78" w:type="dxa"/>
            <w:tcBorders/>
            <w:shd w:fill="CCEEFF" w:val="clear"/>
            <w:vAlign w:val="center"/>
          </w:tcPr>
          <w:p>
            <w:pPr>
              <w:pStyle w:val="TableContents"/>
              <w:bidi w:val="0"/>
              <w:spacing w:before="0" w:after="283"/>
              <w:jc w:val="left"/>
              <w:rPr/>
            </w:pPr>
            <w:r>
              <w:rPr/>
              <w:t> </w:t>
            </w:r>
          </w:p>
        </w:tc>
        <w:tc>
          <w:tcPr>
            <w:tcW w:w="904"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 </w:t>
            </w:r>
          </w:p>
        </w:tc>
        <w:tc>
          <w:tcPr>
            <w:tcW w:w="113" w:type="dxa"/>
            <w:tcBorders/>
            <w:shd w:fill="CCEEFF" w:val="clear"/>
            <w:vAlign w:val="center"/>
          </w:tcPr>
          <w:p>
            <w:pPr>
              <w:pStyle w:val="TableContents"/>
              <w:bidi w:val="0"/>
              <w:spacing w:before="0" w:after="283"/>
              <w:jc w:val="left"/>
              <w:rPr/>
            </w:pPr>
            <w:r>
              <w:rPr/>
              <w:t> </w:t>
            </w:r>
          </w:p>
        </w:tc>
      </w:tr>
      <w:tr>
        <w:trPr/>
        <w:tc>
          <w:tcPr>
            <w:tcW w:w="3936" w:type="dxa"/>
            <w:tcBorders/>
            <w:shd w:fill="FFFFFF" w:val="clear"/>
            <w:vAlign w:val="center"/>
          </w:tcPr>
          <w:p>
            <w:pPr>
              <w:pStyle w:val="TableContents"/>
              <w:bidi w:val="0"/>
              <w:spacing w:before="0" w:after="283"/>
              <w:jc w:val="left"/>
              <w:rPr/>
            </w:pPr>
            <w:r>
              <w:rPr/>
              <w:t>Goodwill</w:t>
            </w:r>
          </w:p>
        </w:tc>
        <w:tc>
          <w:tcPr>
            <w:tcW w:w="60" w:type="dxa"/>
            <w:tcBorders/>
            <w:shd w:fill="FFFFFF" w:val="clear"/>
            <w:vAlign w:val="center"/>
          </w:tcPr>
          <w:p>
            <w:pPr>
              <w:pStyle w:val="TableContents"/>
              <w:bidi w:val="0"/>
              <w:spacing w:before="0" w:after="283"/>
              <w:jc w:val="left"/>
              <w:rPr/>
            </w:pPr>
            <w:r>
              <w:rPr/>
              <w:t> </w:t>
            </w:r>
          </w:p>
        </w:tc>
        <w:tc>
          <w:tcPr>
            <w:tcW w:w="431" w:type="dxa"/>
            <w:tcBorders/>
            <w:shd w:fill="FFFFFF" w:val="clear"/>
            <w:vAlign w:val="center"/>
          </w:tcPr>
          <w:p>
            <w:pPr>
              <w:pStyle w:val="TableContents"/>
              <w:bidi w:val="0"/>
              <w:spacing w:before="0" w:after="283"/>
              <w:jc w:val="left"/>
              <w:rPr/>
            </w:pPr>
            <w:r>
              <w:rPr/>
              <w:t> </w:t>
            </w:r>
          </w:p>
        </w:tc>
        <w:tc>
          <w:tcPr>
            <w:tcW w:w="2338" w:type="dxa"/>
            <w:tcBorders/>
            <w:shd w:fill="FFFFFF" w:val="clear"/>
            <w:vAlign w:val="center"/>
          </w:tcPr>
          <w:p>
            <w:pPr>
              <w:pStyle w:val="TableContents"/>
              <w:bidi w:val="0"/>
              <w:spacing w:before="0" w:after="283"/>
              <w:jc w:val="right"/>
              <w:rPr/>
            </w:pPr>
            <w:r>
              <w:rPr/>
              <w:t>30,808</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78" w:type="dxa"/>
            <w:tcBorders/>
            <w:shd w:fill="FFFFFF" w:val="clear"/>
            <w:vAlign w:val="center"/>
          </w:tcPr>
          <w:p>
            <w:pPr>
              <w:pStyle w:val="TableContents"/>
              <w:bidi w:val="0"/>
              <w:spacing w:before="0" w:after="283"/>
              <w:jc w:val="left"/>
              <w:rPr/>
            </w:pPr>
            <w:r>
              <w:rPr/>
              <w:t> </w:t>
            </w:r>
          </w:p>
        </w:tc>
        <w:tc>
          <w:tcPr>
            <w:tcW w:w="904"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pPr>
            <w:r>
              <w:rPr/>
              <w:t>31,822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62,630</w:t>
            </w:r>
          </w:p>
        </w:tc>
        <w:tc>
          <w:tcPr>
            <w:tcW w:w="113" w:type="dxa"/>
            <w:tcBorders/>
            <w:shd w:fill="FFFFFF" w:val="clear"/>
            <w:vAlign w:val="center"/>
          </w:tcPr>
          <w:p>
            <w:pPr>
              <w:pStyle w:val="TableContents"/>
              <w:bidi w:val="0"/>
              <w:spacing w:before="0" w:after="283"/>
              <w:jc w:val="left"/>
              <w:rPr/>
            </w:pPr>
            <w:r>
              <w:rPr/>
              <w:t> </w:t>
            </w:r>
          </w:p>
        </w:tc>
      </w:tr>
      <w:tr>
        <w:trPr/>
        <w:tc>
          <w:tcPr>
            <w:tcW w:w="3936" w:type="dxa"/>
            <w:tcBorders/>
            <w:shd w:fill="CCEEFF" w:val="clear"/>
            <w:vAlign w:val="center"/>
          </w:tcPr>
          <w:p>
            <w:pPr>
              <w:pStyle w:val="TableContents"/>
              <w:bidi w:val="0"/>
              <w:spacing w:before="0" w:after="283"/>
              <w:jc w:val="left"/>
              <w:rPr/>
            </w:pPr>
            <w:r>
              <w:rPr/>
              <w:t>Accumulated impairment losses</w:t>
            </w:r>
          </w:p>
        </w:tc>
        <w:tc>
          <w:tcPr>
            <w:tcW w:w="60" w:type="dxa"/>
            <w:tcBorders/>
            <w:shd w:fill="CCEEFF" w:val="clear"/>
            <w:vAlign w:val="center"/>
          </w:tcPr>
          <w:p>
            <w:pPr>
              <w:pStyle w:val="TableContents"/>
              <w:bidi w:val="0"/>
              <w:spacing w:before="0" w:after="283"/>
              <w:jc w:val="left"/>
              <w:rPr/>
            </w:pPr>
            <w:r>
              <w:rPr/>
              <w:t> </w:t>
            </w:r>
          </w:p>
        </w:tc>
        <w:tc>
          <w:tcPr>
            <w:tcW w:w="431"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2338"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78"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04"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680"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755"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113" w:type="dxa"/>
            <w:tcBorders/>
            <w:shd w:fill="CCEEFF" w:val="clear"/>
            <w:vAlign w:val="center"/>
          </w:tcPr>
          <w:p>
            <w:pPr>
              <w:pStyle w:val="TableContents"/>
              <w:bidi w:val="0"/>
              <w:spacing w:before="0" w:after="283"/>
              <w:jc w:val="left"/>
              <w:rPr/>
            </w:pPr>
            <w:r>
              <w:rPr/>
              <w:t> </w:t>
            </w:r>
          </w:p>
        </w:tc>
      </w:tr>
      <w:tr>
        <w:trPr/>
        <w:tc>
          <w:tcPr>
            <w:tcW w:w="3936" w:type="dxa"/>
            <w:tcBorders/>
            <w:shd w:fill="FFFFFF" w:val="clear"/>
            <w:vAlign w:val="center"/>
          </w:tcPr>
          <w:p>
            <w:pPr>
              <w:pStyle w:val="TableContents"/>
              <w:bidi w:val="0"/>
              <w:spacing w:before="0" w:after="283"/>
              <w:jc w:val="both"/>
              <w:rPr/>
            </w:pPr>
            <w:r>
              <w:rPr/>
              <w:t>Total</w:t>
            </w:r>
          </w:p>
        </w:tc>
        <w:tc>
          <w:tcPr>
            <w:tcW w:w="60" w:type="dxa"/>
            <w:tcBorders/>
            <w:shd w:fill="FFFFFF" w:val="clear"/>
            <w:vAlign w:val="center"/>
          </w:tcPr>
          <w:p>
            <w:pPr>
              <w:pStyle w:val="TableContents"/>
              <w:bidi w:val="0"/>
              <w:spacing w:before="0" w:after="283"/>
              <w:jc w:val="left"/>
              <w:rPr/>
            </w:pPr>
            <w:r>
              <w:rPr/>
              <w:t> </w:t>
            </w:r>
          </w:p>
        </w:tc>
        <w:tc>
          <w:tcPr>
            <w:tcW w:w="431" w:type="dxa"/>
            <w:tcBorders>
              <w:bottom w:val="double" w:sz="10" w:space="0" w:color="000000"/>
            </w:tcBorders>
            <w:shd w:fill="FFFFFF" w:val="clear"/>
            <w:tcMar>
              <w:bottom w:w="28" w:type="dxa"/>
            </w:tcMar>
            <w:vAlign w:val="center"/>
          </w:tcPr>
          <w:p>
            <w:pPr>
              <w:pStyle w:val="TableContents"/>
              <w:bidi w:val="0"/>
              <w:spacing w:before="0" w:after="283"/>
              <w:jc w:val="left"/>
              <w:rPr/>
            </w:pPr>
            <w:r>
              <w:rPr/>
              <w:t>$</w:t>
            </w:r>
          </w:p>
        </w:tc>
        <w:tc>
          <w:tcPr>
            <w:tcW w:w="2338" w:type="dxa"/>
            <w:tcBorders>
              <w:bottom w:val="double" w:sz="10" w:space="0" w:color="000000"/>
            </w:tcBorders>
            <w:shd w:fill="FFFFFF" w:val="clear"/>
            <w:tcMar>
              <w:bottom w:w="28" w:type="dxa"/>
            </w:tcMar>
            <w:vAlign w:val="center"/>
          </w:tcPr>
          <w:p>
            <w:pPr>
              <w:pStyle w:val="TableContents"/>
              <w:bidi w:val="0"/>
              <w:spacing w:before="0" w:after="283"/>
              <w:jc w:val="right"/>
              <w:rPr/>
            </w:pPr>
            <w:r>
              <w:rPr/>
              <w:t>30,808</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78" w:type="dxa"/>
            <w:tcBorders>
              <w:bottom w:val="double" w:sz="10" w:space="0" w:color="000000"/>
            </w:tcBorders>
            <w:shd w:fill="FFFFFF" w:val="clear"/>
            <w:tcMar>
              <w:bottom w:w="28" w:type="dxa"/>
            </w:tcMar>
            <w:vAlign w:val="center"/>
          </w:tcPr>
          <w:p>
            <w:pPr>
              <w:pStyle w:val="TableContents"/>
              <w:bidi w:val="0"/>
              <w:spacing w:before="0" w:after="283"/>
              <w:jc w:val="left"/>
              <w:rPr/>
            </w:pPr>
            <w:r>
              <w:rPr/>
              <w:t>$</w:t>
            </w:r>
          </w:p>
        </w:tc>
        <w:tc>
          <w:tcPr>
            <w:tcW w:w="904" w:type="dxa"/>
            <w:tcBorders>
              <w:bottom w:val="double" w:sz="10" w:space="0" w:color="000000"/>
            </w:tcBorders>
            <w:shd w:fill="FFFFFF" w:val="clear"/>
            <w:tcMar>
              <w:bottom w:w="28" w:type="dxa"/>
            </w:tcM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10" w:space="0" w:color="000000"/>
            </w:tcBorders>
            <w:shd w:fill="FFFFFF" w:val="clear"/>
            <w:tcMar>
              <w:bottom w:w="28" w:type="dxa"/>
            </w:tcMar>
            <w:vAlign w:val="center"/>
          </w:tcPr>
          <w:p>
            <w:pPr>
              <w:pStyle w:val="TableContents"/>
              <w:bidi w:val="0"/>
              <w:spacing w:before="0" w:after="283"/>
              <w:jc w:val="left"/>
              <w:rPr/>
            </w:pPr>
            <w:r>
              <w:rPr/>
              <w:t>$</w:t>
            </w:r>
          </w:p>
        </w:tc>
        <w:tc>
          <w:tcPr>
            <w:tcW w:w="680" w:type="dxa"/>
            <w:tcBorders>
              <w:bottom w:val="double" w:sz="10" w:space="0" w:color="000000"/>
            </w:tcBorders>
            <w:shd w:fill="FFFFFF" w:val="clear"/>
            <w:tcMar>
              <w:bottom w:w="28" w:type="dxa"/>
            </w:tcMar>
            <w:vAlign w:val="center"/>
          </w:tcPr>
          <w:p>
            <w:pPr>
              <w:pStyle w:val="TableContents"/>
              <w:bidi w:val="0"/>
              <w:spacing w:before="0" w:after="283"/>
              <w:jc w:val="right"/>
              <w:rPr/>
            </w:pPr>
            <w:r>
              <w:rPr/>
              <w:t>31,822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10" w:space="0" w:color="000000"/>
            </w:tcBorders>
            <w:shd w:fill="FFFFFF" w:val="clear"/>
            <w:tcMar>
              <w:bottom w:w="28" w:type="dxa"/>
            </w:tcMar>
            <w:vAlign w:val="center"/>
          </w:tcPr>
          <w:p>
            <w:pPr>
              <w:pStyle w:val="TableContents"/>
              <w:bidi w:val="0"/>
              <w:spacing w:before="0" w:after="283"/>
              <w:jc w:val="left"/>
              <w:rPr/>
            </w:pPr>
            <w:r>
              <w:rPr/>
              <w:t>$</w:t>
            </w:r>
          </w:p>
        </w:tc>
        <w:tc>
          <w:tcPr>
            <w:tcW w:w="755" w:type="dxa"/>
            <w:tcBorders>
              <w:bottom w:val="double" w:sz="10" w:space="0" w:color="000000"/>
            </w:tcBorders>
            <w:shd w:fill="FFFFFF" w:val="clear"/>
            <w:tcMar>
              <w:bottom w:w="28" w:type="dxa"/>
            </w:tcMar>
            <w:vAlign w:val="center"/>
          </w:tcPr>
          <w:p>
            <w:pPr>
              <w:pStyle w:val="TableContents"/>
              <w:bidi w:val="0"/>
              <w:spacing w:before="0" w:after="283"/>
              <w:jc w:val="right"/>
              <w:rPr/>
            </w:pPr>
            <w:r>
              <w:rPr/>
              <w:t>62,630</w:t>
            </w:r>
          </w:p>
        </w:tc>
        <w:tc>
          <w:tcPr>
            <w:tcW w:w="113"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02"/>
        <w:gridCol w:w="10003"/>
      </w:tblGrid>
      <w:tr>
        <w:trPr/>
        <w:tc>
          <w:tcPr>
            <w:tcW w:w="202" w:type="dxa"/>
            <w:tcBorders/>
            <w:vAlign w:val="center"/>
          </w:tcPr>
          <w:p>
            <w:pPr>
              <w:pStyle w:val="TableContents"/>
              <w:bidi w:val="0"/>
              <w:spacing w:before="0" w:after="283"/>
              <w:jc w:val="left"/>
              <w:rPr>
                <w:rFonts w:ascii="Times New Roman;Times;Serif" w:hAnsi="Times New Roman;Times;Serif"/>
                <w:position w:val="7"/>
                <w:sz w:val="16"/>
                <w:sz w:val="20"/>
              </w:rPr>
            </w:pPr>
            <w:r>
              <w:rPr>
                <w:rFonts w:ascii="Times New Roman;Times;Serif" w:hAnsi="Times New Roman;Times;Serif"/>
                <w:position w:val="7"/>
                <w:sz w:val="16"/>
                <w:sz w:val="20"/>
              </w:rPr>
              <w:t>(1)</w:t>
            </w:r>
          </w:p>
        </w:tc>
        <w:tc>
          <w:tcPr>
            <w:tcW w:w="10003"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Subsequent to December 29, 2024, the Company recognized a measurement period adjustment attributable to the net assets of the SunPower Businesses acquired resulting in a measurement period adjustment that eliminated the goodwill provisionally recorded in fiscal 2024. The acquisitions of Sunder and Ambia account for the balance in goodwill as of December 28, 2025 as described above.</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performed a qualitative assessment of goodwill and determined that at the acquisition date and the date at which the Company performed an impairment analysis, there were no relevant events or circumstances that would result in the fair value of a reportable unit being less than its carrying amount.</w:t>
      </w:r>
    </w:p>
    <w:p>
      <w:pPr>
        <w:pStyle w:val="TextBody"/>
        <w:bidi w:val="0"/>
        <w:spacing w:before="0" w:after="0"/>
        <w:ind w:left="0" w:right="0" w:hanging="0"/>
        <w:jc w:val="center"/>
        <w:rPr>
          <w:sz w:val="20"/>
          <w:bdr w:val="single" w:sz="12" w:space="1" w:color="000000"/>
        </w:rPr>
      </w:pPr>
      <w:r>
        <w:rPr>
          <w:sz w:val="20"/>
          <w:bdr w:val="single" w:sz="12" w:space="1" w:color="000000"/>
        </w:rPr>
        <w:t>F-83</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Intangible Assets, Net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following tables present intangible assets with finite useful lives as of December 28, 2025 and December 29, 2024 </w:t>
      </w:r>
      <w:r>
        <w:rPr>
          <w:rFonts w:ascii="Times New Roman;Times;Serif" w:hAnsi="Times New Roman;Times;Serif"/>
          <w:b w:val="false"/>
          <w:i/>
          <w:caps w:val="false"/>
          <w:smallCaps w:val="false"/>
          <w:sz w:val="20"/>
        </w:rPr>
        <w:t>(in thousands)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tbl>
      <w:tblPr>
        <w:tblW w:w="6383" w:type="dxa"/>
        <w:jc w:val="left"/>
        <w:tblInd w:w="0" w:type="dxa"/>
        <w:tblLayout w:type="fixed"/>
        <w:tblCellMar>
          <w:top w:w="0" w:type="dxa"/>
          <w:left w:w="0" w:type="dxa"/>
          <w:bottom w:w="28" w:type="dxa"/>
          <w:right w:w="0" w:type="dxa"/>
        </w:tblCellMar>
      </w:tblPr>
      <w:tblGrid>
        <w:gridCol w:w="2720"/>
        <w:gridCol w:w="60"/>
        <w:gridCol w:w="154"/>
        <w:gridCol w:w="750"/>
        <w:gridCol w:w="60"/>
        <w:gridCol w:w="60"/>
        <w:gridCol w:w="247"/>
        <w:gridCol w:w="1123"/>
        <w:gridCol w:w="95"/>
        <w:gridCol w:w="60"/>
        <w:gridCol w:w="167"/>
        <w:gridCol w:w="812"/>
        <w:gridCol w:w="75"/>
      </w:tblGrid>
      <w:tr>
        <w:trPr/>
        <w:tc>
          <w:tcPr>
            <w:tcW w:w="2720" w:type="dxa"/>
            <w:tcBorders>
              <w:bottom w:val="single" w:sz="12" w:space="0" w:color="000000"/>
            </w:tcBorders>
            <w:vAlign w:val="center"/>
          </w:tcPr>
          <w:p>
            <w:pPr>
              <w:pStyle w:val="TableContents"/>
              <w:bidi w:val="0"/>
              <w:spacing w:before="0" w:after="283"/>
              <w:jc w:val="both"/>
              <w:rPr>
                <w:b/>
              </w:rPr>
            </w:pPr>
            <w:r>
              <w:rPr>
                <w:b/>
              </w:rPr>
              <w:t>As of December 28, 2025</w:t>
            </w:r>
          </w:p>
        </w:tc>
        <w:tc>
          <w:tcPr>
            <w:tcW w:w="60" w:type="dxa"/>
            <w:tcBorders/>
            <w:tcMar>
              <w:bottom w:w="0" w:type="dxa"/>
            </w:tcMar>
            <w:vAlign w:val="center"/>
          </w:tcPr>
          <w:p>
            <w:pPr>
              <w:pStyle w:val="TableContents"/>
              <w:bidi w:val="0"/>
              <w:spacing w:before="0" w:after="283"/>
              <w:jc w:val="left"/>
              <w:rPr/>
            </w:pPr>
            <w:r>
              <w:rPr/>
              <w:t> </w:t>
            </w:r>
          </w:p>
        </w:tc>
        <w:tc>
          <w:tcPr>
            <w:tcW w:w="904" w:type="dxa"/>
            <w:gridSpan w:val="2"/>
            <w:tcBorders>
              <w:bottom w:val="single" w:sz="12"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Gross</w:t>
              <w:br/>
              <w:t>Carrying</w:t>
              <w:br/>
              <w:t>Amount</w:t>
            </w:r>
            <w:r>
              <w:rPr>
                <w:rFonts w:ascii="Times New Roman;Times;Serif" w:hAnsi="Times New Roman;Times;Serif"/>
                <w:b/>
                <w:position w:val="7"/>
                <w:sz w:val="16"/>
                <w:sz w:val="20"/>
              </w:rPr>
              <w:t>(1)</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370" w:type="dxa"/>
            <w:gridSpan w:val="2"/>
            <w:tcBorders>
              <w:bottom w:val="single" w:sz="12" w:space="0" w:color="000000"/>
            </w:tcBorders>
            <w:vAlign w:val="center"/>
          </w:tcPr>
          <w:p>
            <w:pPr>
              <w:pStyle w:val="TableContents"/>
              <w:bidi w:val="0"/>
              <w:spacing w:before="0" w:after="283"/>
              <w:jc w:val="center"/>
              <w:rPr>
                <w:b/>
              </w:rPr>
            </w:pPr>
            <w:r>
              <w:rPr>
                <w:b/>
              </w:rPr>
              <w:t>Accumulated</w:t>
              <w:br/>
              <w:t>Amortization</w:t>
            </w:r>
          </w:p>
        </w:tc>
        <w:tc>
          <w:tcPr>
            <w:tcW w:w="9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979" w:type="dxa"/>
            <w:gridSpan w:val="2"/>
            <w:tcBorders>
              <w:bottom w:val="single" w:sz="12" w:space="0" w:color="000000"/>
            </w:tcBorders>
            <w:vAlign w:val="center"/>
          </w:tcPr>
          <w:p>
            <w:pPr>
              <w:pStyle w:val="TableContents"/>
              <w:bidi w:val="0"/>
              <w:spacing w:before="0" w:after="283"/>
              <w:jc w:val="center"/>
              <w:rPr>
                <w:b/>
              </w:rPr>
            </w:pPr>
            <w:r>
              <w:rPr>
                <w:b/>
              </w:rPr>
              <w:t>Net Book</w:t>
              <w:br/>
              <w:t>Value</w:t>
            </w:r>
          </w:p>
        </w:tc>
        <w:tc>
          <w:tcPr>
            <w:tcW w:w="75" w:type="dxa"/>
            <w:tcBorders/>
            <w:tcMar>
              <w:bottom w:w="0" w:type="dxa"/>
            </w:tcMar>
            <w:vAlign w:val="center"/>
          </w:tcPr>
          <w:p>
            <w:pPr>
              <w:pStyle w:val="TableContents"/>
              <w:bidi w:val="0"/>
              <w:spacing w:before="0" w:after="283"/>
              <w:jc w:val="left"/>
              <w:rPr/>
            </w:pPr>
            <w:r>
              <w:rPr/>
              <w:t> </w:t>
            </w:r>
          </w:p>
        </w:tc>
      </w:tr>
      <w:tr>
        <w:trPr/>
        <w:tc>
          <w:tcPr>
            <w:tcW w:w="2720" w:type="dxa"/>
            <w:tcBorders/>
            <w:shd w:fill="CCEEFF" w:val="clear"/>
            <w:tcMar>
              <w:bottom w:w="0" w:type="dxa"/>
            </w:tcMar>
            <w:vAlign w:val="center"/>
          </w:tcPr>
          <w:p>
            <w:pPr>
              <w:pStyle w:val="TableContents"/>
              <w:bidi w:val="0"/>
              <w:spacing w:before="0" w:after="283"/>
              <w:jc w:val="both"/>
              <w:rPr/>
            </w:pPr>
            <w:r>
              <w:rPr/>
              <w:t>Customer related intangibles</w:t>
            </w:r>
          </w:p>
        </w:tc>
        <w:tc>
          <w:tcPr>
            <w:tcW w:w="60" w:type="dxa"/>
            <w:tcBorders/>
            <w:shd w:fill="CCEEFF" w:val="clear"/>
            <w:tcMar>
              <w:bottom w:w="0" w:type="dxa"/>
            </w:tcMar>
            <w:vAlign w:val="center"/>
          </w:tcPr>
          <w:p>
            <w:pPr>
              <w:pStyle w:val="TableContents"/>
              <w:bidi w:val="0"/>
              <w:spacing w:before="0" w:after="283"/>
              <w:jc w:val="left"/>
              <w:rPr/>
            </w:pPr>
            <w:r>
              <w:rPr/>
              <w:t> </w:t>
            </w:r>
          </w:p>
        </w:tc>
        <w:tc>
          <w:tcPr>
            <w:tcW w:w="154" w:type="dxa"/>
            <w:tcBorders/>
            <w:shd w:fill="CCEEFF" w:val="clear"/>
            <w:tcMar>
              <w:bottom w:w="0" w:type="dxa"/>
            </w:tcMar>
            <w:vAlign w:val="center"/>
          </w:tcPr>
          <w:p>
            <w:pPr>
              <w:pStyle w:val="TableContents"/>
              <w:bidi w:val="0"/>
              <w:spacing w:before="0" w:after="283"/>
              <w:jc w:val="left"/>
              <w:rPr/>
            </w:pPr>
            <w:r>
              <w:rPr/>
              <w:t>$</w:t>
            </w:r>
          </w:p>
        </w:tc>
        <w:tc>
          <w:tcPr>
            <w:tcW w:w="750" w:type="dxa"/>
            <w:tcBorders/>
            <w:shd w:fill="CCEEFF" w:val="clear"/>
            <w:tcMar>
              <w:bottom w:w="0" w:type="dxa"/>
            </w:tcMar>
            <w:vAlign w:val="center"/>
          </w:tcPr>
          <w:p>
            <w:pPr>
              <w:pStyle w:val="TableContents"/>
              <w:bidi w:val="0"/>
              <w:spacing w:before="0" w:after="283"/>
              <w:jc w:val="right"/>
              <w:rPr/>
            </w:pPr>
            <w:r>
              <w:rPr/>
              <w:t>34,000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47" w:type="dxa"/>
            <w:tcBorders/>
            <w:shd w:fill="CCEEFF" w:val="clear"/>
            <w:tcMar>
              <w:bottom w:w="0" w:type="dxa"/>
            </w:tcMar>
            <w:vAlign w:val="center"/>
          </w:tcPr>
          <w:p>
            <w:pPr>
              <w:pStyle w:val="TableContents"/>
              <w:bidi w:val="0"/>
              <w:spacing w:before="0" w:after="283"/>
              <w:jc w:val="left"/>
              <w:rPr/>
            </w:pPr>
            <w:r>
              <w:rPr/>
              <w:t>$</w:t>
            </w:r>
          </w:p>
        </w:tc>
        <w:tc>
          <w:tcPr>
            <w:tcW w:w="1123" w:type="dxa"/>
            <w:tcBorders/>
            <w:shd w:fill="CCEEFF" w:val="clear"/>
            <w:tcMar>
              <w:bottom w:w="0" w:type="dxa"/>
            </w:tcMar>
            <w:vAlign w:val="center"/>
          </w:tcPr>
          <w:p>
            <w:pPr>
              <w:pStyle w:val="TableContents"/>
              <w:bidi w:val="0"/>
              <w:spacing w:before="0" w:after="283"/>
              <w:jc w:val="right"/>
              <w:rPr/>
            </w:pPr>
            <w:r>
              <w:rPr/>
              <w:t>(3,198</w:t>
            </w:r>
          </w:p>
        </w:tc>
        <w:tc>
          <w:tcPr>
            <w:tcW w:w="95" w:type="dxa"/>
            <w:tcBorders/>
            <w:shd w:fill="CCEEFF" w:val="clear"/>
            <w:tcMar>
              <w:bottom w:w="0" w:type="dxa"/>
            </w:tcMar>
            <w:vAlign w:val="center"/>
          </w:tcPr>
          <w:p>
            <w:pPr>
              <w:pStyle w:val="TableContents"/>
              <w:bidi w:val="0"/>
              <w:spacing w:before="0" w:after="283"/>
              <w:jc w:val="lef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167" w:type="dxa"/>
            <w:tcBorders/>
            <w:shd w:fill="CCEEFF" w:val="clear"/>
            <w:tcMar>
              <w:bottom w:w="0" w:type="dxa"/>
            </w:tcMar>
            <w:vAlign w:val="center"/>
          </w:tcPr>
          <w:p>
            <w:pPr>
              <w:pStyle w:val="TableContents"/>
              <w:bidi w:val="0"/>
              <w:spacing w:before="0" w:after="283"/>
              <w:jc w:val="left"/>
              <w:rPr/>
            </w:pPr>
            <w:r>
              <w:rPr/>
              <w:t>$</w:t>
            </w:r>
          </w:p>
        </w:tc>
        <w:tc>
          <w:tcPr>
            <w:tcW w:w="812" w:type="dxa"/>
            <w:tcBorders/>
            <w:shd w:fill="CCEEFF" w:val="clear"/>
            <w:tcMar>
              <w:bottom w:w="0" w:type="dxa"/>
            </w:tcMar>
            <w:vAlign w:val="center"/>
          </w:tcPr>
          <w:p>
            <w:pPr>
              <w:pStyle w:val="TableContents"/>
              <w:bidi w:val="0"/>
              <w:spacing w:before="0" w:after="283"/>
              <w:jc w:val="right"/>
              <w:rPr/>
            </w:pPr>
            <w:r>
              <w:rPr/>
              <w:t>30,802</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2720" w:type="dxa"/>
            <w:tcBorders/>
            <w:shd w:fill="FFFFFF" w:val="clear"/>
            <w:tcMar>
              <w:bottom w:w="0" w:type="dxa"/>
            </w:tcMar>
            <w:vAlign w:val="center"/>
          </w:tcPr>
          <w:p>
            <w:pPr>
              <w:pStyle w:val="TableContents"/>
              <w:bidi w:val="0"/>
              <w:spacing w:before="0" w:after="283"/>
              <w:jc w:val="both"/>
              <w:rPr/>
            </w:pPr>
            <w:r>
              <w:rPr/>
              <w:t>Trademarks</w:t>
            </w:r>
          </w:p>
        </w:tc>
        <w:tc>
          <w:tcPr>
            <w:tcW w:w="60" w:type="dxa"/>
            <w:tcBorders/>
            <w:shd w:fill="FFFFFF" w:val="clear"/>
            <w:tcMar>
              <w:bottom w:w="0" w:type="dxa"/>
            </w:tcMar>
            <w:vAlign w:val="center"/>
          </w:tcPr>
          <w:p>
            <w:pPr>
              <w:pStyle w:val="TableContents"/>
              <w:bidi w:val="0"/>
              <w:spacing w:before="0" w:after="283"/>
              <w:jc w:val="left"/>
              <w:rPr/>
            </w:pPr>
            <w:r>
              <w:rPr/>
              <w:t> </w:t>
            </w:r>
          </w:p>
        </w:tc>
        <w:tc>
          <w:tcPr>
            <w:tcW w:w="154" w:type="dxa"/>
            <w:tcBorders/>
            <w:shd w:fill="FFFFFF" w:val="clear"/>
            <w:tcMar>
              <w:bottom w:w="0" w:type="dxa"/>
            </w:tcMar>
            <w:vAlign w:val="center"/>
          </w:tcPr>
          <w:p>
            <w:pPr>
              <w:pStyle w:val="TableContents"/>
              <w:bidi w:val="0"/>
              <w:spacing w:before="0" w:after="283"/>
              <w:jc w:val="left"/>
              <w:rPr/>
            </w:pPr>
            <w:r>
              <w:rPr/>
              <w:t> </w:t>
            </w:r>
          </w:p>
        </w:tc>
        <w:tc>
          <w:tcPr>
            <w:tcW w:w="750" w:type="dxa"/>
            <w:tcBorders/>
            <w:shd w:fill="FFFFFF" w:val="clear"/>
            <w:tcMar>
              <w:bottom w:w="0" w:type="dxa"/>
            </w:tcMar>
            <w:vAlign w:val="center"/>
          </w:tcPr>
          <w:p>
            <w:pPr>
              <w:pStyle w:val="TableContents"/>
              <w:bidi w:val="0"/>
              <w:spacing w:before="0" w:after="283"/>
              <w:jc w:val="right"/>
              <w:rPr/>
            </w:pPr>
            <w:r>
              <w:rPr/>
              <w:t>18,394</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47" w:type="dxa"/>
            <w:tcBorders/>
            <w:shd w:fill="FFFFFF" w:val="clear"/>
            <w:tcMar>
              <w:bottom w:w="0" w:type="dxa"/>
            </w:tcMar>
            <w:vAlign w:val="center"/>
          </w:tcPr>
          <w:p>
            <w:pPr>
              <w:pStyle w:val="TableContents"/>
              <w:bidi w:val="0"/>
              <w:spacing w:before="0" w:after="283"/>
              <w:jc w:val="left"/>
              <w:rPr/>
            </w:pPr>
            <w:r>
              <w:rPr/>
              <w:t> </w:t>
            </w:r>
          </w:p>
        </w:tc>
        <w:tc>
          <w:tcPr>
            <w:tcW w:w="1123" w:type="dxa"/>
            <w:tcBorders/>
            <w:shd w:fill="FFFFFF" w:val="clear"/>
            <w:tcMar>
              <w:bottom w:w="0" w:type="dxa"/>
            </w:tcMar>
            <w:vAlign w:val="center"/>
          </w:tcPr>
          <w:p>
            <w:pPr>
              <w:pStyle w:val="TableContents"/>
              <w:bidi w:val="0"/>
              <w:spacing w:before="0" w:after="283"/>
              <w:jc w:val="right"/>
              <w:rPr/>
            </w:pPr>
            <w:r>
              <w:rPr/>
              <w:t>(1,707</w:t>
            </w:r>
          </w:p>
        </w:tc>
        <w:tc>
          <w:tcPr>
            <w:tcW w:w="95" w:type="dxa"/>
            <w:tcBorders/>
            <w:shd w:fill="FFFFFF" w:val="clear"/>
            <w:tcMar>
              <w:bottom w:w="0" w:type="dxa"/>
            </w:tcMar>
            <w:vAlign w:val="center"/>
          </w:tcPr>
          <w:p>
            <w:pPr>
              <w:pStyle w:val="TableContents"/>
              <w:bidi w:val="0"/>
              <w:spacing w:before="0" w:after="283"/>
              <w:jc w:val="lef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167" w:type="dxa"/>
            <w:tcBorders/>
            <w:shd w:fill="FFFFFF" w:val="clear"/>
            <w:tcMar>
              <w:bottom w:w="0" w:type="dxa"/>
            </w:tcMar>
            <w:vAlign w:val="center"/>
          </w:tcPr>
          <w:p>
            <w:pPr>
              <w:pStyle w:val="TableContents"/>
              <w:bidi w:val="0"/>
              <w:spacing w:before="0" w:after="283"/>
              <w:jc w:val="left"/>
              <w:rPr/>
            </w:pPr>
            <w:r>
              <w:rPr/>
              <w:t> </w:t>
            </w:r>
          </w:p>
        </w:tc>
        <w:tc>
          <w:tcPr>
            <w:tcW w:w="812" w:type="dxa"/>
            <w:tcBorders/>
            <w:shd w:fill="FFFFFF" w:val="clear"/>
            <w:tcMar>
              <w:bottom w:w="0" w:type="dxa"/>
            </w:tcMar>
            <w:vAlign w:val="center"/>
          </w:tcPr>
          <w:p>
            <w:pPr>
              <w:pStyle w:val="TableContents"/>
              <w:bidi w:val="0"/>
              <w:spacing w:before="0" w:after="283"/>
              <w:jc w:val="right"/>
              <w:rPr/>
            </w:pPr>
            <w:r>
              <w:rPr/>
              <w:t>16,687</w:t>
            </w:r>
          </w:p>
        </w:tc>
        <w:tc>
          <w:tcPr>
            <w:tcW w:w="75" w:type="dxa"/>
            <w:tcBorders/>
            <w:shd w:fill="FFFFFF" w:val="clear"/>
            <w:tcMar>
              <w:bottom w:w="0" w:type="dxa"/>
            </w:tcMar>
            <w:vAlign w:val="center"/>
          </w:tcPr>
          <w:p>
            <w:pPr>
              <w:pStyle w:val="TableContents"/>
              <w:bidi w:val="0"/>
              <w:spacing w:before="0" w:after="283"/>
              <w:jc w:val="left"/>
              <w:rPr/>
            </w:pPr>
            <w:r>
              <w:rPr/>
              <w:t> </w:t>
            </w:r>
          </w:p>
        </w:tc>
      </w:tr>
      <w:tr>
        <w:trPr/>
        <w:tc>
          <w:tcPr>
            <w:tcW w:w="2720" w:type="dxa"/>
            <w:tcBorders/>
            <w:shd w:fill="CCEEFF" w:val="clear"/>
            <w:tcMar>
              <w:bottom w:w="0" w:type="dxa"/>
            </w:tcMar>
            <w:vAlign w:val="center"/>
          </w:tcPr>
          <w:p>
            <w:pPr>
              <w:pStyle w:val="TableContents"/>
              <w:bidi w:val="0"/>
              <w:spacing w:before="0" w:after="283"/>
              <w:jc w:val="both"/>
              <w:rPr/>
            </w:pPr>
            <w:r>
              <w:rPr/>
              <w:t>Developed technology</w:t>
            </w:r>
          </w:p>
        </w:tc>
        <w:tc>
          <w:tcPr>
            <w:tcW w:w="60" w:type="dxa"/>
            <w:tcBorders/>
            <w:shd w:fill="CCEEFF" w:val="clear"/>
            <w:tcMar>
              <w:bottom w:w="0" w:type="dxa"/>
            </w:tcMar>
            <w:vAlign w:val="center"/>
          </w:tcPr>
          <w:p>
            <w:pPr>
              <w:pStyle w:val="TableContents"/>
              <w:bidi w:val="0"/>
              <w:spacing w:before="0" w:after="283"/>
              <w:jc w:val="left"/>
              <w:rPr/>
            </w:pPr>
            <w:r>
              <w:rPr/>
              <w:t> </w:t>
            </w:r>
          </w:p>
        </w:tc>
        <w:tc>
          <w:tcPr>
            <w:tcW w:w="154" w:type="dxa"/>
            <w:tcBorders>
              <w:bottom w:val="single" w:sz="12" w:space="0" w:color="000000"/>
            </w:tcBorders>
            <w:shd w:fill="CCEEFF" w:val="clear"/>
            <w:vAlign w:val="center"/>
          </w:tcPr>
          <w:p>
            <w:pPr>
              <w:pStyle w:val="TableContents"/>
              <w:bidi w:val="0"/>
              <w:spacing w:before="0" w:after="283"/>
              <w:jc w:val="left"/>
              <w:rPr/>
            </w:pPr>
            <w:r>
              <w:rPr/>
              <w:t> </w:t>
            </w:r>
          </w:p>
        </w:tc>
        <w:tc>
          <w:tcPr>
            <w:tcW w:w="750" w:type="dxa"/>
            <w:tcBorders>
              <w:bottom w:val="single" w:sz="12" w:space="0" w:color="000000"/>
            </w:tcBorders>
            <w:shd w:fill="CCEEFF" w:val="clear"/>
            <w:vAlign w:val="center"/>
          </w:tcPr>
          <w:p>
            <w:pPr>
              <w:pStyle w:val="TableContents"/>
              <w:bidi w:val="0"/>
              <w:spacing w:before="0" w:after="283"/>
              <w:jc w:val="right"/>
              <w:rPr/>
            </w:pPr>
            <w:r>
              <w:rPr/>
              <w:t>5,300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47" w:type="dxa"/>
            <w:tcBorders>
              <w:bottom w:val="single" w:sz="12" w:space="0" w:color="000000"/>
            </w:tcBorders>
            <w:shd w:fill="CCEEFF" w:val="clear"/>
            <w:vAlign w:val="center"/>
          </w:tcPr>
          <w:p>
            <w:pPr>
              <w:pStyle w:val="TableContents"/>
              <w:bidi w:val="0"/>
              <w:spacing w:before="0" w:after="283"/>
              <w:jc w:val="left"/>
              <w:rPr/>
            </w:pPr>
            <w:r>
              <w:rPr/>
              <w:t> </w:t>
            </w:r>
          </w:p>
        </w:tc>
        <w:tc>
          <w:tcPr>
            <w:tcW w:w="1123" w:type="dxa"/>
            <w:tcBorders>
              <w:bottom w:val="single" w:sz="12" w:space="0" w:color="000000"/>
            </w:tcBorders>
            <w:shd w:fill="CCEEFF" w:val="clear"/>
            <w:vAlign w:val="center"/>
          </w:tcPr>
          <w:p>
            <w:pPr>
              <w:pStyle w:val="TableContents"/>
              <w:bidi w:val="0"/>
              <w:spacing w:before="0" w:after="283"/>
              <w:jc w:val="right"/>
              <w:rPr/>
            </w:pPr>
            <w:r>
              <w:rPr/>
              <w:t>(1,975</w:t>
            </w:r>
          </w:p>
        </w:tc>
        <w:tc>
          <w:tcPr>
            <w:tcW w:w="95" w:type="dxa"/>
            <w:tcBorders/>
            <w:shd w:fill="CCEEFF" w:val="clear"/>
            <w:tcMar>
              <w:bottom w:w="0" w:type="dxa"/>
            </w:tcMar>
            <w:vAlign w:val="center"/>
          </w:tcPr>
          <w:p>
            <w:pPr>
              <w:pStyle w:val="TableContents"/>
              <w:bidi w:val="0"/>
              <w:spacing w:before="0" w:after="283"/>
              <w:jc w:val="lef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167" w:type="dxa"/>
            <w:tcBorders>
              <w:bottom w:val="single" w:sz="12" w:space="0" w:color="000000"/>
            </w:tcBorders>
            <w:shd w:fill="CCEEFF" w:val="clear"/>
            <w:vAlign w:val="center"/>
          </w:tcPr>
          <w:p>
            <w:pPr>
              <w:pStyle w:val="TableContents"/>
              <w:bidi w:val="0"/>
              <w:spacing w:before="0" w:after="283"/>
              <w:jc w:val="left"/>
              <w:rPr/>
            </w:pPr>
            <w:r>
              <w:rPr/>
              <w:t> </w:t>
            </w:r>
          </w:p>
        </w:tc>
        <w:tc>
          <w:tcPr>
            <w:tcW w:w="812" w:type="dxa"/>
            <w:tcBorders>
              <w:bottom w:val="single" w:sz="12" w:space="0" w:color="000000"/>
            </w:tcBorders>
            <w:shd w:fill="CCEEFF" w:val="clear"/>
            <w:vAlign w:val="center"/>
          </w:tcPr>
          <w:p>
            <w:pPr>
              <w:pStyle w:val="TableContents"/>
              <w:bidi w:val="0"/>
              <w:spacing w:before="0" w:after="283"/>
              <w:jc w:val="right"/>
              <w:rPr/>
            </w:pPr>
            <w:r>
              <w:rPr/>
              <w:t>3,325</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2720" w:type="dxa"/>
            <w:tcBorders/>
            <w:shd w:fill="FFFFFF" w:val="clear"/>
            <w:tcMar>
              <w:bottom w:w="0" w:type="dxa"/>
            </w:tcMar>
            <w:vAlign w:val="center"/>
          </w:tcPr>
          <w:p>
            <w:pPr>
              <w:pStyle w:val="TableContents"/>
              <w:bidi w:val="0"/>
              <w:spacing w:before="0" w:after="283"/>
              <w:jc w:val="both"/>
              <w:rPr/>
            </w:pPr>
            <w:r>
              <w:rPr/>
              <w:t>Total</w:t>
            </w:r>
          </w:p>
        </w:tc>
        <w:tc>
          <w:tcPr>
            <w:tcW w:w="60" w:type="dxa"/>
            <w:tcBorders/>
            <w:shd w:fill="FFFFFF" w:val="clear"/>
            <w:tcMar>
              <w:bottom w:w="0" w:type="dxa"/>
            </w:tcMar>
            <w:vAlign w:val="center"/>
          </w:tcPr>
          <w:p>
            <w:pPr>
              <w:pStyle w:val="TableContents"/>
              <w:bidi w:val="0"/>
              <w:spacing w:before="0" w:after="283"/>
              <w:jc w:val="left"/>
              <w:rPr/>
            </w:pPr>
            <w:r>
              <w:rPr/>
              <w:t> </w:t>
            </w:r>
          </w:p>
        </w:tc>
        <w:tc>
          <w:tcPr>
            <w:tcW w:w="154" w:type="dxa"/>
            <w:tcBorders>
              <w:bottom w:val="double" w:sz="10" w:space="0" w:color="000000"/>
            </w:tcBorders>
            <w:shd w:fill="FFFFFF" w:val="clear"/>
            <w:vAlign w:val="center"/>
          </w:tcPr>
          <w:p>
            <w:pPr>
              <w:pStyle w:val="TableContents"/>
              <w:bidi w:val="0"/>
              <w:spacing w:before="0" w:after="283"/>
              <w:jc w:val="left"/>
              <w:rPr/>
            </w:pPr>
            <w:r>
              <w:rPr/>
              <w:t>$</w:t>
            </w:r>
          </w:p>
        </w:tc>
        <w:tc>
          <w:tcPr>
            <w:tcW w:w="750" w:type="dxa"/>
            <w:tcBorders>
              <w:bottom w:val="double" w:sz="10" w:space="0" w:color="000000"/>
            </w:tcBorders>
            <w:shd w:fill="FFFFFF" w:val="clear"/>
            <w:vAlign w:val="center"/>
          </w:tcPr>
          <w:p>
            <w:pPr>
              <w:pStyle w:val="TableContents"/>
              <w:bidi w:val="0"/>
              <w:spacing w:before="0" w:after="283"/>
              <w:jc w:val="right"/>
              <w:rPr/>
            </w:pPr>
            <w:r>
              <w:rPr/>
              <w:t>57,694</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47" w:type="dxa"/>
            <w:tcBorders>
              <w:bottom w:val="double" w:sz="10" w:space="0" w:color="000000"/>
            </w:tcBorders>
            <w:shd w:fill="FFFFFF" w:val="clear"/>
            <w:vAlign w:val="center"/>
          </w:tcPr>
          <w:p>
            <w:pPr>
              <w:pStyle w:val="TableContents"/>
              <w:bidi w:val="0"/>
              <w:spacing w:before="0" w:after="283"/>
              <w:jc w:val="left"/>
              <w:rPr/>
            </w:pPr>
            <w:r>
              <w:rPr/>
              <w:t>$</w:t>
            </w:r>
          </w:p>
        </w:tc>
        <w:tc>
          <w:tcPr>
            <w:tcW w:w="1123" w:type="dxa"/>
            <w:tcBorders>
              <w:bottom w:val="double" w:sz="10" w:space="0" w:color="000000"/>
            </w:tcBorders>
            <w:shd w:fill="FFFFFF" w:val="clear"/>
            <w:vAlign w:val="center"/>
          </w:tcPr>
          <w:p>
            <w:pPr>
              <w:pStyle w:val="TableContents"/>
              <w:bidi w:val="0"/>
              <w:spacing w:before="0" w:after="283"/>
              <w:jc w:val="right"/>
              <w:rPr/>
            </w:pPr>
            <w:r>
              <w:rPr/>
              <w:t>(6,880</w:t>
            </w:r>
          </w:p>
        </w:tc>
        <w:tc>
          <w:tcPr>
            <w:tcW w:w="95" w:type="dxa"/>
            <w:tcBorders/>
            <w:shd w:fill="FFFFFF" w:val="clear"/>
            <w:tcMar>
              <w:bottom w:w="0" w:type="dxa"/>
            </w:tcMar>
            <w:vAlign w:val="center"/>
          </w:tcPr>
          <w:p>
            <w:pPr>
              <w:pStyle w:val="TableContents"/>
              <w:bidi w:val="0"/>
              <w:spacing w:before="0" w:after="283"/>
              <w:jc w:val="lef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167" w:type="dxa"/>
            <w:tcBorders>
              <w:bottom w:val="double" w:sz="10" w:space="0" w:color="000000"/>
            </w:tcBorders>
            <w:shd w:fill="FFFFFF" w:val="clear"/>
            <w:vAlign w:val="center"/>
          </w:tcPr>
          <w:p>
            <w:pPr>
              <w:pStyle w:val="TableContents"/>
              <w:bidi w:val="0"/>
              <w:spacing w:before="0" w:after="283"/>
              <w:jc w:val="left"/>
              <w:rPr/>
            </w:pPr>
            <w:r>
              <w:rPr/>
              <w:t>$</w:t>
            </w:r>
          </w:p>
        </w:tc>
        <w:tc>
          <w:tcPr>
            <w:tcW w:w="812" w:type="dxa"/>
            <w:tcBorders>
              <w:bottom w:val="double" w:sz="10" w:space="0" w:color="000000"/>
            </w:tcBorders>
            <w:shd w:fill="FFFFFF" w:val="clear"/>
            <w:vAlign w:val="center"/>
          </w:tcPr>
          <w:p>
            <w:pPr>
              <w:pStyle w:val="TableContents"/>
              <w:bidi w:val="0"/>
              <w:spacing w:before="0" w:after="283"/>
              <w:jc w:val="right"/>
              <w:rPr/>
            </w:pPr>
            <w:r>
              <w:rPr/>
              <w:t>50,814</w:t>
            </w:r>
          </w:p>
        </w:tc>
        <w:tc>
          <w:tcPr>
            <w:tcW w:w="75" w:type="dxa"/>
            <w:tcBorders/>
            <w:shd w:fill="FFFFFF" w:val="clear"/>
            <w:tcMar>
              <w:bottom w:w="0" w:type="dxa"/>
            </w:tcM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tbl>
      <w:tblPr>
        <w:tblW w:w="5378" w:type="dxa"/>
        <w:jc w:val="left"/>
        <w:tblInd w:w="0" w:type="dxa"/>
        <w:tblLayout w:type="fixed"/>
        <w:tblCellMar>
          <w:top w:w="0" w:type="dxa"/>
          <w:left w:w="0" w:type="dxa"/>
          <w:bottom w:w="28" w:type="dxa"/>
          <w:right w:w="0" w:type="dxa"/>
        </w:tblCellMar>
      </w:tblPr>
      <w:tblGrid>
        <w:gridCol w:w="2120"/>
        <w:gridCol w:w="60"/>
        <w:gridCol w:w="157"/>
        <w:gridCol w:w="747"/>
        <w:gridCol w:w="60"/>
        <w:gridCol w:w="60"/>
        <w:gridCol w:w="278"/>
        <w:gridCol w:w="882"/>
        <w:gridCol w:w="80"/>
        <w:gridCol w:w="60"/>
        <w:gridCol w:w="139"/>
        <w:gridCol w:w="660"/>
        <w:gridCol w:w="75"/>
      </w:tblGrid>
      <w:tr>
        <w:trPr/>
        <w:tc>
          <w:tcPr>
            <w:tcW w:w="2120" w:type="dxa"/>
            <w:tcBorders>
              <w:bottom w:val="single" w:sz="12" w:space="0" w:color="000000"/>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As of December 29, 2024</w:t>
            </w:r>
          </w:p>
        </w:tc>
        <w:tc>
          <w:tcPr>
            <w:tcW w:w="60" w:type="dxa"/>
            <w:tcBorders/>
            <w:tcMar>
              <w:bottom w:w="0" w:type="dxa"/>
            </w:tcMar>
            <w:vAlign w:val="center"/>
          </w:tcPr>
          <w:p>
            <w:pPr>
              <w:pStyle w:val="TableContents"/>
              <w:bidi w:val="0"/>
              <w:spacing w:before="0" w:after="283"/>
              <w:jc w:val="left"/>
              <w:rPr/>
            </w:pPr>
            <w:r>
              <w:rPr/>
              <w:t> </w:t>
            </w:r>
          </w:p>
        </w:tc>
        <w:tc>
          <w:tcPr>
            <w:tcW w:w="904" w:type="dxa"/>
            <w:gridSpan w:val="2"/>
            <w:tcBorders>
              <w:bottom w:val="single" w:sz="12"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Gross</w:t>
              <w:br/>
              <w:t>Carrying</w:t>
              <w:br/>
              <w:t>Amount</w:t>
            </w:r>
            <w:r>
              <w:rPr>
                <w:rFonts w:ascii="Times New Roman;Times;Serif" w:hAnsi="Times New Roman;Times;Serif"/>
                <w:b/>
                <w:position w:val="7"/>
                <w:sz w:val="16"/>
                <w:sz w:val="20"/>
              </w:rPr>
              <w:t>(1)</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160" w:type="dxa"/>
            <w:gridSpan w:val="2"/>
            <w:tcBorders>
              <w:bottom w:val="single" w:sz="12"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Accumulated</w:t>
              <w:br/>
              <w:t>Amortization</w:t>
            </w:r>
          </w:p>
        </w:tc>
        <w:tc>
          <w:tcPr>
            <w:tcW w:w="8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799" w:type="dxa"/>
            <w:gridSpan w:val="2"/>
            <w:tcBorders>
              <w:bottom w:val="single" w:sz="12"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Net Book</w:t>
              <w:br/>
              <w:t>Value</w:t>
            </w:r>
          </w:p>
        </w:tc>
        <w:tc>
          <w:tcPr>
            <w:tcW w:w="75" w:type="dxa"/>
            <w:tcBorders/>
            <w:tcMar>
              <w:bottom w:w="0" w:type="dxa"/>
            </w:tcMar>
            <w:vAlign w:val="center"/>
          </w:tcPr>
          <w:p>
            <w:pPr>
              <w:pStyle w:val="TableContents"/>
              <w:bidi w:val="0"/>
              <w:spacing w:before="0" w:after="283"/>
              <w:jc w:val="left"/>
              <w:rPr/>
            </w:pPr>
            <w:r>
              <w:rPr/>
              <w:t> </w:t>
            </w:r>
          </w:p>
        </w:tc>
      </w:tr>
      <w:tr>
        <w:trPr/>
        <w:tc>
          <w:tcPr>
            <w:tcW w:w="2120"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Trademarks</w:t>
            </w:r>
          </w:p>
        </w:tc>
        <w:tc>
          <w:tcPr>
            <w:tcW w:w="60" w:type="dxa"/>
            <w:tcBorders/>
            <w:shd w:fill="CCEEFF" w:val="clear"/>
            <w:tcMar>
              <w:bottom w:w="0" w:type="dxa"/>
            </w:tcMar>
            <w:vAlign w:val="center"/>
          </w:tcPr>
          <w:p>
            <w:pPr>
              <w:pStyle w:val="TableContents"/>
              <w:bidi w:val="0"/>
              <w:spacing w:before="0" w:after="283"/>
              <w:jc w:val="left"/>
              <w:rPr/>
            </w:pPr>
            <w:r>
              <w:rPr/>
              <w:t> </w:t>
            </w:r>
          </w:p>
        </w:tc>
        <w:tc>
          <w:tcPr>
            <w:tcW w:w="157"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747"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13,600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78"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882"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(340</w:t>
            </w:r>
          </w:p>
        </w:tc>
        <w:tc>
          <w:tcPr>
            <w:tcW w:w="80"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139"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60"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13,260</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2120"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Developed technology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57" w:type="dxa"/>
            <w:tcBorders>
              <w:bottom w:val="single" w:sz="12" w:space="0" w:color="000000"/>
            </w:tcBorders>
            <w:shd w:fill="FFFFFF" w:val="clear"/>
            <w:vAlign w:val="center"/>
          </w:tcPr>
          <w:p>
            <w:pPr>
              <w:pStyle w:val="TableContents"/>
              <w:bidi w:val="0"/>
              <w:spacing w:before="0" w:after="283"/>
              <w:jc w:val="left"/>
              <w:rPr/>
            </w:pPr>
            <w:r>
              <w:rPr/>
              <w:t> </w:t>
            </w:r>
          </w:p>
        </w:tc>
        <w:tc>
          <w:tcPr>
            <w:tcW w:w="747" w:type="dxa"/>
            <w:tcBorders>
              <w:bottom w:val="single" w:sz="12" w:space="0" w:color="000000"/>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4,500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78" w:type="dxa"/>
            <w:tcBorders>
              <w:bottom w:val="single" w:sz="12" w:space="0" w:color="000000"/>
            </w:tcBorders>
            <w:shd w:fill="FFFFFF" w:val="clear"/>
            <w:vAlign w:val="center"/>
          </w:tcPr>
          <w:p>
            <w:pPr>
              <w:pStyle w:val="TableContents"/>
              <w:bidi w:val="0"/>
              <w:spacing w:before="0" w:after="283"/>
              <w:jc w:val="left"/>
              <w:rPr/>
            </w:pPr>
            <w:r>
              <w:rPr/>
              <w:t> </w:t>
            </w:r>
          </w:p>
        </w:tc>
        <w:tc>
          <w:tcPr>
            <w:tcW w:w="882" w:type="dxa"/>
            <w:tcBorders>
              <w:bottom w:val="single" w:sz="12" w:space="0" w:color="000000"/>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(375</w:t>
            </w:r>
          </w:p>
        </w:tc>
        <w:tc>
          <w:tcPr>
            <w:tcW w:w="80"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139" w:type="dxa"/>
            <w:tcBorders>
              <w:bottom w:val="single" w:sz="12" w:space="0" w:color="000000"/>
            </w:tcBorders>
            <w:shd w:fill="FFFFFF" w:val="clear"/>
            <w:vAlign w:val="center"/>
          </w:tcPr>
          <w:p>
            <w:pPr>
              <w:pStyle w:val="TableContents"/>
              <w:bidi w:val="0"/>
              <w:spacing w:before="0" w:after="283"/>
              <w:jc w:val="left"/>
              <w:rPr/>
            </w:pPr>
            <w:r>
              <w:rPr/>
              <w:t> </w:t>
            </w:r>
          </w:p>
        </w:tc>
        <w:tc>
          <w:tcPr>
            <w:tcW w:w="660" w:type="dxa"/>
            <w:tcBorders>
              <w:bottom w:val="single" w:sz="12" w:space="0" w:color="000000"/>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4,125</w:t>
            </w:r>
          </w:p>
        </w:tc>
        <w:tc>
          <w:tcPr>
            <w:tcW w:w="75" w:type="dxa"/>
            <w:tcBorders/>
            <w:shd w:fill="FFFFFF" w:val="clear"/>
            <w:tcMar>
              <w:bottom w:w="0" w:type="dxa"/>
            </w:tcMar>
            <w:vAlign w:val="center"/>
          </w:tcPr>
          <w:p>
            <w:pPr>
              <w:pStyle w:val="TableContents"/>
              <w:bidi w:val="0"/>
              <w:spacing w:before="0" w:after="283"/>
              <w:jc w:val="left"/>
              <w:rPr/>
            </w:pPr>
            <w:r>
              <w:rPr/>
              <w:t> </w:t>
            </w:r>
          </w:p>
        </w:tc>
      </w:tr>
      <w:tr>
        <w:trPr/>
        <w:tc>
          <w:tcPr>
            <w:tcW w:w="2120"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Total</w:t>
            </w:r>
          </w:p>
        </w:tc>
        <w:tc>
          <w:tcPr>
            <w:tcW w:w="60" w:type="dxa"/>
            <w:tcBorders/>
            <w:shd w:fill="CCEEFF" w:val="clear"/>
            <w:tcMar>
              <w:bottom w:w="0" w:type="dxa"/>
            </w:tcMar>
            <w:vAlign w:val="center"/>
          </w:tcPr>
          <w:p>
            <w:pPr>
              <w:pStyle w:val="TableContents"/>
              <w:bidi w:val="0"/>
              <w:spacing w:before="0" w:after="283"/>
              <w:jc w:val="left"/>
              <w:rPr/>
            </w:pPr>
            <w:r>
              <w:rPr/>
              <w:t> </w:t>
            </w:r>
          </w:p>
        </w:tc>
        <w:tc>
          <w:tcPr>
            <w:tcW w:w="157" w:type="dxa"/>
            <w:tcBorders>
              <w:bottom w:val="double" w:sz="10" w:space="0" w:color="000000"/>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747" w:type="dxa"/>
            <w:tcBorders>
              <w:bottom w:val="double" w:sz="10" w:space="0" w:color="000000"/>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18,100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78" w:type="dxa"/>
            <w:tcBorders>
              <w:bottom w:val="double" w:sz="10" w:space="0" w:color="000000"/>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882" w:type="dxa"/>
            <w:tcBorders>
              <w:bottom w:val="double" w:sz="10" w:space="0" w:color="000000"/>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(715</w:t>
            </w:r>
          </w:p>
        </w:tc>
        <w:tc>
          <w:tcPr>
            <w:tcW w:w="80"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139" w:type="dxa"/>
            <w:tcBorders>
              <w:bottom w:val="double" w:sz="10" w:space="0" w:color="000000"/>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60" w:type="dxa"/>
            <w:tcBorders>
              <w:bottom w:val="double" w:sz="10" w:space="0" w:color="000000"/>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17,385</w:t>
            </w:r>
          </w:p>
        </w:tc>
        <w:tc>
          <w:tcPr>
            <w:tcW w:w="75" w:type="dxa"/>
            <w:tcBorders/>
            <w:shd w:fill="CCEEFF" w:val="clear"/>
            <w:tcMar>
              <w:bottom w:w="0" w:type="dxa"/>
            </w:tcM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00"/>
        <w:gridCol w:w="10005"/>
      </w:tblGrid>
      <w:tr>
        <w:trPr/>
        <w:tc>
          <w:tcPr>
            <w:tcW w:w="200" w:type="dxa"/>
            <w:tcBorders/>
            <w:vAlign w:val="center"/>
          </w:tcPr>
          <w:p>
            <w:pPr>
              <w:pStyle w:val="TableContents"/>
              <w:bidi w:val="0"/>
              <w:spacing w:before="0" w:after="283"/>
              <w:jc w:val="left"/>
              <w:rPr>
                <w:rFonts w:ascii="Times New Roman;Times;Serif" w:hAnsi="Times New Roman;Times;Serif"/>
                <w:position w:val="7"/>
                <w:sz w:val="16"/>
                <w:sz w:val="20"/>
              </w:rPr>
            </w:pPr>
            <w:r>
              <w:rPr>
                <w:rFonts w:ascii="Times New Roman;Times;Serif" w:hAnsi="Times New Roman;Times;Serif"/>
                <w:position w:val="7"/>
                <w:sz w:val="16"/>
                <w:sz w:val="20"/>
              </w:rPr>
              <w:t>(1)</w:t>
            </w:r>
          </w:p>
        </w:tc>
        <w:tc>
          <w:tcPr>
            <w:tcW w:w="1000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gross carrying amounts as of December 28, 2025 reflect the final allocation of the purchase consideration in connection with the SunPower Businesses. The gross carrying amounts as of December 29, 2024 were provisional amounts. As a result of the measurement period adjustment to the intangible assets of the SunPower Businesses, amortization expense was $1.4 million lower in the fiscal year ended December 28, 2025.</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Aggregate amortization expense for intangible assets was $6.2 million and $0.7 million for the fiscal years ended December 28, 2025, and December 29, 2024, respectively. Amortization expense for developed technology is classified in cost of revenues and all other amortization expense is classified in general and administrative expenses on the Company’s consolidated statements of operations and comprehensive loss.</w:t>
      </w:r>
    </w:p>
    <w:p>
      <w:pPr>
        <w:pStyle w:val="TextBody"/>
        <w:bidi w:val="0"/>
        <w:spacing w:before="0" w:after="0"/>
        <w:ind w:left="0" w:right="0" w:hanging="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tables present the weighted average remaining life of these intangible assets as of December 28, 2025 and December 29, 2024 (</w:t>
      </w:r>
      <w:r>
        <w:rPr>
          <w:rFonts w:ascii="Times New Roman;Times;Serif" w:hAnsi="Times New Roman;Times;Serif"/>
          <w:b w:val="false"/>
          <w:i/>
          <w:caps w:val="false"/>
          <w:smallCaps w:val="false"/>
          <w:sz w:val="20"/>
        </w:rPr>
        <w:t>in years</w:t>
      </w:r>
      <w:r>
        <w:rPr>
          <w:rFonts w:ascii="Times New Roman;Times;Serif" w:hAnsi="Times New Roman;Times;Serif"/>
          <w:b w:val="false"/>
          <w:i w:val="false"/>
          <w:caps w:val="false"/>
          <w:smallCaps w:val="false"/>
          <w:sz w:val="20"/>
        </w:rPr>
        <w:t>).</w:t>
      </w:r>
    </w:p>
    <w:p>
      <w:pPr>
        <w:pStyle w:val="TextBody"/>
        <w:bidi w:val="0"/>
        <w:spacing w:before="0" w:after="0"/>
        <w:ind w:left="0" w:right="0" w:firstLine="540"/>
        <w:jc w:val="left"/>
        <w:rPr>
          <w:caps w:val="false"/>
          <w:smallCaps w:val="false"/>
        </w:rPr>
      </w:pPr>
      <w:r>
        <w:rPr>
          <w:caps w:val="false"/>
          <w:smallCaps w:val="false"/>
        </w:rPr>
        <w:t> </w:t>
      </w:r>
    </w:p>
    <w:tbl>
      <w:tblPr>
        <w:tblW w:w="4513" w:type="dxa"/>
        <w:jc w:val="left"/>
        <w:tblInd w:w="0" w:type="dxa"/>
        <w:tblLayout w:type="fixed"/>
        <w:tblCellMar>
          <w:top w:w="0" w:type="dxa"/>
          <w:left w:w="0" w:type="dxa"/>
          <w:bottom w:w="0" w:type="dxa"/>
          <w:right w:w="0" w:type="dxa"/>
        </w:tblCellMar>
      </w:tblPr>
      <w:tblGrid>
        <w:gridCol w:w="1910"/>
        <w:gridCol w:w="60"/>
        <w:gridCol w:w="160"/>
        <w:gridCol w:w="1014"/>
        <w:gridCol w:w="60"/>
        <w:gridCol w:w="60"/>
        <w:gridCol w:w="210"/>
        <w:gridCol w:w="964"/>
        <w:gridCol w:w="75"/>
      </w:tblGrid>
      <w:tr>
        <w:trPr/>
        <w:tc>
          <w:tcPr>
            <w:tcW w:w="191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2468" w:type="dxa"/>
            <w:gridSpan w:val="6"/>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As of</w:t>
            </w:r>
          </w:p>
        </w:tc>
        <w:tc>
          <w:tcPr>
            <w:tcW w:w="75" w:type="dxa"/>
            <w:tcBorders/>
            <w:vAlign w:val="center"/>
          </w:tcPr>
          <w:p>
            <w:pPr>
              <w:pStyle w:val="TableContents"/>
              <w:bidi w:val="0"/>
              <w:spacing w:before="0" w:after="283"/>
              <w:jc w:val="left"/>
              <w:rPr/>
            </w:pPr>
            <w:r>
              <w:rPr/>
              <w:t> </w:t>
            </w:r>
          </w:p>
        </w:tc>
      </w:tr>
      <w:tr>
        <w:trPr/>
        <w:tc>
          <w:tcPr>
            <w:tcW w:w="191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174" w:type="dxa"/>
            <w:gridSpan w:val="2"/>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December 28,</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74" w:type="dxa"/>
            <w:gridSpan w:val="2"/>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December 29,</w:t>
            </w:r>
          </w:p>
        </w:tc>
        <w:tc>
          <w:tcPr>
            <w:tcW w:w="75" w:type="dxa"/>
            <w:tcBorders/>
            <w:vAlign w:val="center"/>
          </w:tcPr>
          <w:p>
            <w:pPr>
              <w:pStyle w:val="TableContents"/>
              <w:bidi w:val="0"/>
              <w:spacing w:before="0" w:after="283"/>
              <w:jc w:val="left"/>
              <w:rPr/>
            </w:pPr>
            <w:r>
              <w:rPr/>
              <w:t> </w:t>
            </w:r>
          </w:p>
        </w:tc>
      </w:tr>
      <w:tr>
        <w:trPr/>
        <w:tc>
          <w:tcPr>
            <w:tcW w:w="191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174"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2025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74"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2024</w:t>
            </w:r>
          </w:p>
        </w:tc>
        <w:tc>
          <w:tcPr>
            <w:tcW w:w="75" w:type="dxa"/>
            <w:tcBorders/>
            <w:vAlign w:val="center"/>
          </w:tcPr>
          <w:p>
            <w:pPr>
              <w:pStyle w:val="TableContents"/>
              <w:bidi w:val="0"/>
              <w:spacing w:before="0" w:after="283"/>
              <w:jc w:val="left"/>
              <w:rPr/>
            </w:pPr>
            <w:r>
              <w:rPr/>
              <w:t> </w:t>
            </w:r>
          </w:p>
        </w:tc>
      </w:tr>
      <w:tr>
        <w:trPr/>
        <w:tc>
          <w:tcPr>
            <w:tcW w:w="191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Customer relationships</w:t>
            </w:r>
          </w:p>
        </w:tc>
        <w:tc>
          <w:tcPr>
            <w:tcW w:w="60" w:type="dxa"/>
            <w:tcBorders/>
            <w:shd w:fill="CCEEFF" w:val="clear"/>
            <w:vAlign w:val="center"/>
          </w:tcPr>
          <w:p>
            <w:pPr>
              <w:pStyle w:val="TableContents"/>
              <w:bidi w:val="0"/>
              <w:spacing w:before="0" w:after="283"/>
              <w:jc w:val="left"/>
              <w:rPr/>
            </w:pPr>
            <w:r>
              <w:rPr/>
              <w:t> </w:t>
            </w:r>
          </w:p>
        </w:tc>
        <w:tc>
          <w:tcPr>
            <w:tcW w:w="160" w:type="dxa"/>
            <w:tcBorders/>
            <w:shd w:fill="CCEEFF" w:val="clear"/>
            <w:vAlign w:val="center"/>
          </w:tcPr>
          <w:p>
            <w:pPr>
              <w:pStyle w:val="TableContents"/>
              <w:bidi w:val="0"/>
              <w:spacing w:before="0" w:after="283"/>
              <w:jc w:val="left"/>
              <w:rPr/>
            </w:pPr>
            <w:r>
              <w:rPr/>
              <w:t> </w:t>
            </w:r>
          </w:p>
        </w:tc>
        <w:tc>
          <w:tcPr>
            <w:tcW w:w="1014" w:type="dxa"/>
            <w:tcBorders/>
            <w:shd w:fill="CCEEFF" w:val="clear"/>
            <w:vAlign w:val="center"/>
          </w:tcPr>
          <w:p>
            <w:pPr>
              <w:pStyle w:val="TableContents"/>
              <w:bidi w:val="0"/>
              <w:spacing w:before="0" w:after="0"/>
              <w:ind w:left="0" w:right="0"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0" w:type="dxa"/>
            <w:tcBorders/>
            <w:shd w:fill="CCEEFF" w:val="clear"/>
            <w:vAlign w:val="center"/>
          </w:tcPr>
          <w:p>
            <w:pPr>
              <w:pStyle w:val="TableContents"/>
              <w:bidi w:val="0"/>
              <w:spacing w:before="0" w:after="283"/>
              <w:jc w:val="left"/>
              <w:rPr/>
            </w:pPr>
            <w:r>
              <w:rPr/>
              <w:t> </w:t>
            </w:r>
          </w:p>
        </w:tc>
        <w:tc>
          <w:tcPr>
            <w:tcW w:w="964" w:type="dxa"/>
            <w:tcBorders/>
            <w:shd w:fill="CCEEFF" w:val="clear"/>
            <w:vAlign w:val="center"/>
          </w:tcPr>
          <w:p>
            <w:pPr>
              <w:pStyle w:val="TableContents"/>
              <w:bidi w:val="0"/>
              <w:spacing w:before="0" w:after="283"/>
              <w:jc w:val="right"/>
              <w:rPr/>
            </w:pPr>
            <w:r>
              <w:rPr/>
              <w:t>—</w:t>
            </w:r>
          </w:p>
        </w:tc>
        <w:tc>
          <w:tcPr>
            <w:tcW w:w="75" w:type="dxa"/>
            <w:tcBorders/>
            <w:shd w:fill="CCEEFF" w:val="clear"/>
            <w:vAlign w:val="center"/>
          </w:tcPr>
          <w:p>
            <w:pPr>
              <w:pStyle w:val="TableContents"/>
              <w:bidi w:val="0"/>
              <w:spacing w:before="0" w:after="283"/>
              <w:jc w:val="left"/>
              <w:rPr/>
            </w:pPr>
            <w:r>
              <w:rPr/>
              <w:t> </w:t>
            </w:r>
          </w:p>
        </w:tc>
      </w:tr>
      <w:tr>
        <w:trPr/>
        <w:tc>
          <w:tcPr>
            <w:tcW w:w="191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Trademarks</w:t>
            </w:r>
          </w:p>
        </w:tc>
        <w:tc>
          <w:tcPr>
            <w:tcW w:w="60" w:type="dxa"/>
            <w:tcBorders/>
            <w:shd w:fill="FFFFFF" w:val="clear"/>
            <w:vAlign w:val="center"/>
          </w:tcPr>
          <w:p>
            <w:pPr>
              <w:pStyle w:val="TableContents"/>
              <w:bidi w:val="0"/>
              <w:spacing w:before="0" w:after="283"/>
              <w:jc w:val="left"/>
              <w:rPr/>
            </w:pPr>
            <w:r>
              <w:rPr/>
              <w:t> </w:t>
            </w:r>
          </w:p>
        </w:tc>
        <w:tc>
          <w:tcPr>
            <w:tcW w:w="160" w:type="dxa"/>
            <w:tcBorders/>
            <w:shd w:fill="FFFFFF" w:val="clear"/>
            <w:vAlign w:val="center"/>
          </w:tcPr>
          <w:p>
            <w:pPr>
              <w:pStyle w:val="TableContents"/>
              <w:bidi w:val="0"/>
              <w:spacing w:before="0" w:after="283"/>
              <w:jc w:val="left"/>
              <w:rPr/>
            </w:pPr>
            <w:r>
              <w:rPr/>
              <w:t> </w:t>
            </w:r>
          </w:p>
        </w:tc>
        <w:tc>
          <w:tcPr>
            <w:tcW w:w="1014"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7.5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0" w:type="dxa"/>
            <w:tcBorders/>
            <w:shd w:fill="FFFFFF" w:val="clear"/>
            <w:vAlign w:val="center"/>
          </w:tcPr>
          <w:p>
            <w:pPr>
              <w:pStyle w:val="TableContents"/>
              <w:bidi w:val="0"/>
              <w:spacing w:before="0" w:after="283"/>
              <w:jc w:val="left"/>
              <w:rPr/>
            </w:pPr>
            <w:r>
              <w:rPr/>
              <w:t> </w:t>
            </w:r>
          </w:p>
        </w:tc>
        <w:tc>
          <w:tcPr>
            <w:tcW w:w="964"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7.8</w:t>
            </w:r>
          </w:p>
        </w:tc>
        <w:tc>
          <w:tcPr>
            <w:tcW w:w="75" w:type="dxa"/>
            <w:tcBorders/>
            <w:shd w:fill="FFFFFF" w:val="clear"/>
            <w:vAlign w:val="center"/>
          </w:tcPr>
          <w:p>
            <w:pPr>
              <w:pStyle w:val="TableContents"/>
              <w:bidi w:val="0"/>
              <w:spacing w:before="0" w:after="283"/>
              <w:jc w:val="left"/>
              <w:rPr/>
            </w:pPr>
            <w:r>
              <w:rPr/>
              <w:t> </w:t>
            </w:r>
          </w:p>
        </w:tc>
      </w:tr>
      <w:tr>
        <w:trPr/>
        <w:tc>
          <w:tcPr>
            <w:tcW w:w="191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Developed technology</w:t>
            </w:r>
          </w:p>
        </w:tc>
        <w:tc>
          <w:tcPr>
            <w:tcW w:w="60" w:type="dxa"/>
            <w:tcBorders/>
            <w:shd w:fill="CCEEFF" w:val="clear"/>
            <w:vAlign w:val="center"/>
          </w:tcPr>
          <w:p>
            <w:pPr>
              <w:pStyle w:val="TableContents"/>
              <w:bidi w:val="0"/>
              <w:spacing w:before="0" w:after="283"/>
              <w:jc w:val="left"/>
              <w:rPr/>
            </w:pPr>
            <w:r>
              <w:rPr/>
              <w:t> </w:t>
            </w:r>
          </w:p>
        </w:tc>
        <w:tc>
          <w:tcPr>
            <w:tcW w:w="160" w:type="dxa"/>
            <w:tcBorders/>
            <w:shd w:fill="CCEEFF" w:val="clear"/>
            <w:vAlign w:val="center"/>
          </w:tcPr>
          <w:p>
            <w:pPr>
              <w:pStyle w:val="TableContents"/>
              <w:bidi w:val="0"/>
              <w:spacing w:before="0" w:after="283"/>
              <w:jc w:val="left"/>
              <w:rPr/>
            </w:pPr>
            <w:r>
              <w:rPr/>
              <w:t> </w:t>
            </w:r>
          </w:p>
        </w:tc>
        <w:tc>
          <w:tcPr>
            <w:tcW w:w="1014"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0" w:type="dxa"/>
            <w:tcBorders/>
            <w:shd w:fill="CCEEFF" w:val="clear"/>
            <w:vAlign w:val="center"/>
          </w:tcPr>
          <w:p>
            <w:pPr>
              <w:pStyle w:val="TableContents"/>
              <w:bidi w:val="0"/>
              <w:spacing w:before="0" w:after="283"/>
              <w:jc w:val="left"/>
              <w:rPr/>
            </w:pPr>
            <w:r>
              <w:rPr/>
              <w:t> </w:t>
            </w:r>
          </w:p>
        </w:tc>
        <w:tc>
          <w:tcPr>
            <w:tcW w:w="964"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3.0</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firstLine="54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estimated remaining amortization expense of intangible assets with finite useful lives is as follows </w:t>
      </w:r>
      <w:r>
        <w:rPr>
          <w:rFonts w:ascii="Times New Roman;Times;Serif" w:hAnsi="Times New Roman;Times;Serif"/>
          <w:b w:val="false"/>
          <w:i/>
          <w:caps w:val="false"/>
          <w:smallCaps w:val="false"/>
          <w:sz w:val="20"/>
        </w:rPr>
        <w:t>(in thousands)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tbl>
      <w:tblPr>
        <w:tblW w:w="2754" w:type="dxa"/>
        <w:jc w:val="left"/>
        <w:tblInd w:w="0" w:type="dxa"/>
        <w:tblLayout w:type="fixed"/>
        <w:tblCellMar>
          <w:top w:w="0" w:type="dxa"/>
          <w:left w:w="0" w:type="dxa"/>
          <w:bottom w:w="28" w:type="dxa"/>
          <w:right w:w="0" w:type="dxa"/>
        </w:tblCellMar>
      </w:tblPr>
      <w:tblGrid>
        <w:gridCol w:w="1190"/>
        <w:gridCol w:w="60"/>
        <w:gridCol w:w="243"/>
        <w:gridCol w:w="1186"/>
        <w:gridCol w:w="75"/>
      </w:tblGrid>
      <w:tr>
        <w:trPr/>
        <w:tc>
          <w:tcPr>
            <w:tcW w:w="1190" w:type="dxa"/>
            <w:tcBorders>
              <w:bottom w:val="single" w:sz="12" w:space="0" w:color="000000"/>
            </w:tcBorders>
            <w:vAlign w:val="center"/>
          </w:tcPr>
          <w:p>
            <w:pPr>
              <w:pStyle w:val="TableContents"/>
              <w:bidi w:val="0"/>
              <w:spacing w:before="0" w:after="283"/>
              <w:jc w:val="left"/>
              <w:rPr>
                <w:b/>
              </w:rPr>
            </w:pPr>
            <w:r>
              <w:rPr>
                <w:b/>
              </w:rPr>
              <w:t>Fiscal Year</w:t>
            </w:r>
          </w:p>
        </w:tc>
        <w:tc>
          <w:tcPr>
            <w:tcW w:w="60" w:type="dxa"/>
            <w:tcBorders/>
            <w:tcMar>
              <w:bottom w:w="0" w:type="dxa"/>
            </w:tcMar>
            <w:vAlign w:val="center"/>
          </w:tcPr>
          <w:p>
            <w:pPr>
              <w:pStyle w:val="TableContents"/>
              <w:bidi w:val="0"/>
              <w:spacing w:before="0" w:after="283"/>
              <w:jc w:val="left"/>
              <w:rPr/>
            </w:pPr>
            <w:r>
              <w:rPr/>
              <w:t> </w:t>
            </w:r>
          </w:p>
        </w:tc>
        <w:tc>
          <w:tcPr>
            <w:tcW w:w="1429" w:type="dxa"/>
            <w:gridSpan w:val="2"/>
            <w:tcBorders>
              <w:bottom w:val="single" w:sz="12" w:space="0" w:color="000000"/>
            </w:tcBorders>
            <w:vAlign w:val="center"/>
          </w:tcPr>
          <w:p>
            <w:pPr>
              <w:pStyle w:val="TableContents"/>
              <w:bidi w:val="0"/>
              <w:spacing w:before="0" w:after="283"/>
              <w:jc w:val="center"/>
              <w:rPr>
                <w:b/>
              </w:rPr>
            </w:pPr>
            <w:r>
              <w:rPr>
                <w:b/>
              </w:rPr>
              <w:t>Estimated</w:t>
              <w:br/>
              <w:t xml:space="preserve">Amortization </w:t>
              <w:br/>
              <w:t>Expense</w:t>
            </w:r>
          </w:p>
        </w:tc>
        <w:tc>
          <w:tcPr>
            <w:tcW w:w="75" w:type="dxa"/>
            <w:tcBorders/>
            <w:tcMar>
              <w:bottom w:w="0" w:type="dxa"/>
            </w:tcMar>
            <w:vAlign w:val="center"/>
          </w:tcPr>
          <w:p>
            <w:pPr>
              <w:pStyle w:val="TableContents"/>
              <w:bidi w:val="0"/>
              <w:spacing w:before="0" w:after="283"/>
              <w:jc w:val="left"/>
              <w:rPr/>
            </w:pPr>
            <w:r>
              <w:rPr/>
              <w:t> </w:t>
            </w:r>
          </w:p>
        </w:tc>
      </w:tr>
      <w:tr>
        <w:trPr/>
        <w:tc>
          <w:tcPr>
            <w:tcW w:w="1190" w:type="dxa"/>
            <w:tcBorders/>
            <w:shd w:fill="CCEEFF" w:val="clear"/>
            <w:tcMar>
              <w:bottom w:w="0" w:type="dxa"/>
            </w:tcMar>
            <w:vAlign w:val="center"/>
          </w:tcPr>
          <w:p>
            <w:pPr>
              <w:pStyle w:val="TableContents"/>
              <w:bidi w:val="0"/>
              <w:spacing w:before="0" w:after="283"/>
              <w:jc w:val="left"/>
              <w:rPr/>
            </w:pPr>
            <w:r>
              <w:rPr/>
              <w:t>2026</w:t>
            </w:r>
          </w:p>
        </w:tc>
        <w:tc>
          <w:tcPr>
            <w:tcW w:w="60" w:type="dxa"/>
            <w:tcBorders/>
            <w:shd w:fill="CCEEFF" w:val="clear"/>
            <w:tcMar>
              <w:bottom w:w="0" w:type="dxa"/>
            </w:tcMar>
            <w:vAlign w:val="center"/>
          </w:tcPr>
          <w:p>
            <w:pPr>
              <w:pStyle w:val="TableContents"/>
              <w:bidi w:val="0"/>
              <w:spacing w:before="0" w:after="283"/>
              <w:jc w:val="left"/>
              <w:rPr/>
            </w:pPr>
            <w:r>
              <w:rPr/>
              <w:t> </w:t>
            </w:r>
          </w:p>
        </w:tc>
        <w:tc>
          <w:tcPr>
            <w:tcW w:w="243" w:type="dxa"/>
            <w:tcBorders/>
            <w:shd w:fill="CCEEFF" w:val="clear"/>
            <w:tcMar>
              <w:bottom w:w="0" w:type="dxa"/>
            </w:tcMar>
            <w:vAlign w:val="center"/>
          </w:tcPr>
          <w:p>
            <w:pPr>
              <w:pStyle w:val="TableContents"/>
              <w:bidi w:val="0"/>
              <w:spacing w:before="0" w:after="283"/>
              <w:jc w:val="left"/>
              <w:rPr/>
            </w:pPr>
            <w:r>
              <w:rPr/>
              <w:t>$</w:t>
            </w:r>
          </w:p>
        </w:tc>
        <w:tc>
          <w:tcPr>
            <w:tcW w:w="1186" w:type="dxa"/>
            <w:tcBorders/>
            <w:shd w:fill="CCEEFF" w:val="clear"/>
            <w:tcMar>
              <w:bottom w:w="0" w:type="dxa"/>
            </w:tcMar>
            <w:vAlign w:val="center"/>
          </w:tcPr>
          <w:p>
            <w:pPr>
              <w:pStyle w:val="TableContents"/>
              <w:bidi w:val="0"/>
              <w:spacing w:before="0" w:after="283"/>
              <w:jc w:val="right"/>
              <w:rPr/>
            </w:pPr>
            <w:r>
              <w:rPr/>
              <w:t>8,501</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1190" w:type="dxa"/>
            <w:tcBorders/>
            <w:shd w:fill="FFFFFF" w:val="clear"/>
            <w:tcMar>
              <w:bottom w:w="0" w:type="dxa"/>
            </w:tcMar>
            <w:vAlign w:val="center"/>
          </w:tcPr>
          <w:p>
            <w:pPr>
              <w:pStyle w:val="TableContents"/>
              <w:bidi w:val="0"/>
              <w:spacing w:before="0" w:after="283"/>
              <w:jc w:val="left"/>
              <w:rPr/>
            </w:pPr>
            <w:r>
              <w:rPr/>
              <w:t>2027</w:t>
            </w:r>
          </w:p>
        </w:tc>
        <w:tc>
          <w:tcPr>
            <w:tcW w:w="60" w:type="dxa"/>
            <w:tcBorders/>
            <w:shd w:fill="FFFFFF" w:val="clear"/>
            <w:tcMar>
              <w:bottom w:w="0" w:type="dxa"/>
            </w:tcMar>
            <w:vAlign w:val="center"/>
          </w:tcPr>
          <w:p>
            <w:pPr>
              <w:pStyle w:val="TableContents"/>
              <w:bidi w:val="0"/>
              <w:spacing w:before="0" w:after="283"/>
              <w:jc w:val="left"/>
              <w:rPr/>
            </w:pPr>
            <w:r>
              <w:rPr/>
              <w:t> </w:t>
            </w:r>
          </w:p>
        </w:tc>
        <w:tc>
          <w:tcPr>
            <w:tcW w:w="243" w:type="dxa"/>
            <w:tcBorders/>
            <w:shd w:fill="FFFFFF" w:val="clear"/>
            <w:tcMar>
              <w:bottom w:w="0" w:type="dxa"/>
            </w:tcMar>
            <w:vAlign w:val="center"/>
          </w:tcPr>
          <w:p>
            <w:pPr>
              <w:pStyle w:val="TableContents"/>
              <w:bidi w:val="0"/>
              <w:spacing w:before="0" w:after="283"/>
              <w:jc w:val="left"/>
              <w:rPr/>
            </w:pPr>
            <w:r>
              <w:rPr/>
              <w:t> </w:t>
            </w:r>
          </w:p>
        </w:tc>
        <w:tc>
          <w:tcPr>
            <w:tcW w:w="1186" w:type="dxa"/>
            <w:tcBorders/>
            <w:shd w:fill="FFFFFF" w:val="clear"/>
            <w:tcMar>
              <w:bottom w:w="0" w:type="dxa"/>
            </w:tcMar>
            <w:vAlign w:val="center"/>
          </w:tcPr>
          <w:p>
            <w:pPr>
              <w:pStyle w:val="TableContents"/>
              <w:bidi w:val="0"/>
              <w:spacing w:before="0" w:after="283"/>
              <w:jc w:val="right"/>
              <w:rPr/>
            </w:pPr>
            <w:r>
              <w:rPr/>
              <w:t>6,234</w:t>
            </w:r>
          </w:p>
        </w:tc>
        <w:tc>
          <w:tcPr>
            <w:tcW w:w="75" w:type="dxa"/>
            <w:tcBorders/>
            <w:shd w:fill="FFFFFF" w:val="clear"/>
            <w:tcMar>
              <w:bottom w:w="0" w:type="dxa"/>
            </w:tcMar>
            <w:vAlign w:val="center"/>
          </w:tcPr>
          <w:p>
            <w:pPr>
              <w:pStyle w:val="TableContents"/>
              <w:bidi w:val="0"/>
              <w:spacing w:before="0" w:after="283"/>
              <w:jc w:val="left"/>
              <w:rPr/>
            </w:pPr>
            <w:r>
              <w:rPr/>
              <w:t> </w:t>
            </w:r>
          </w:p>
        </w:tc>
      </w:tr>
      <w:tr>
        <w:trPr/>
        <w:tc>
          <w:tcPr>
            <w:tcW w:w="1190" w:type="dxa"/>
            <w:tcBorders/>
            <w:shd w:fill="CCEEFF" w:val="clear"/>
            <w:tcMar>
              <w:bottom w:w="0" w:type="dxa"/>
            </w:tcMar>
            <w:vAlign w:val="center"/>
          </w:tcPr>
          <w:p>
            <w:pPr>
              <w:pStyle w:val="TableContents"/>
              <w:bidi w:val="0"/>
              <w:spacing w:before="0" w:after="283"/>
              <w:jc w:val="left"/>
              <w:rPr/>
            </w:pPr>
            <w:r>
              <w:rPr/>
              <w:t>2028</w:t>
            </w:r>
          </w:p>
        </w:tc>
        <w:tc>
          <w:tcPr>
            <w:tcW w:w="60" w:type="dxa"/>
            <w:tcBorders/>
            <w:shd w:fill="CCEEFF" w:val="clear"/>
            <w:tcMar>
              <w:bottom w:w="0" w:type="dxa"/>
            </w:tcMar>
            <w:vAlign w:val="center"/>
          </w:tcPr>
          <w:p>
            <w:pPr>
              <w:pStyle w:val="TableContents"/>
              <w:bidi w:val="0"/>
              <w:spacing w:before="0" w:after="283"/>
              <w:jc w:val="left"/>
              <w:rPr/>
            </w:pPr>
            <w:r>
              <w:rPr/>
              <w:t> </w:t>
            </w:r>
          </w:p>
        </w:tc>
        <w:tc>
          <w:tcPr>
            <w:tcW w:w="243" w:type="dxa"/>
            <w:tcBorders/>
            <w:shd w:fill="CCEEFF" w:val="clear"/>
            <w:tcMar>
              <w:bottom w:w="0" w:type="dxa"/>
            </w:tcMar>
            <w:vAlign w:val="center"/>
          </w:tcPr>
          <w:p>
            <w:pPr>
              <w:pStyle w:val="TableContents"/>
              <w:bidi w:val="0"/>
              <w:spacing w:before="0" w:after="283"/>
              <w:jc w:val="left"/>
              <w:rPr/>
            </w:pPr>
            <w:r>
              <w:rPr/>
              <w:t> </w:t>
            </w:r>
          </w:p>
        </w:tc>
        <w:tc>
          <w:tcPr>
            <w:tcW w:w="1186" w:type="dxa"/>
            <w:tcBorders/>
            <w:shd w:fill="CCEEFF" w:val="clear"/>
            <w:tcMar>
              <w:bottom w:w="0" w:type="dxa"/>
            </w:tcMar>
            <w:vAlign w:val="center"/>
          </w:tcPr>
          <w:p>
            <w:pPr>
              <w:pStyle w:val="TableContents"/>
              <w:bidi w:val="0"/>
              <w:spacing w:before="0" w:after="283"/>
              <w:jc w:val="right"/>
              <w:rPr/>
            </w:pPr>
            <w:r>
              <w:rPr/>
              <w:t>4,809</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1190" w:type="dxa"/>
            <w:tcBorders/>
            <w:shd w:fill="FFFFFF" w:val="clear"/>
            <w:tcMar>
              <w:bottom w:w="0" w:type="dxa"/>
            </w:tcMar>
            <w:vAlign w:val="center"/>
          </w:tcPr>
          <w:p>
            <w:pPr>
              <w:pStyle w:val="TableContents"/>
              <w:bidi w:val="0"/>
              <w:spacing w:before="0" w:after="283"/>
              <w:jc w:val="left"/>
              <w:rPr/>
            </w:pPr>
            <w:r>
              <w:rPr/>
              <w:t>2029</w:t>
            </w:r>
          </w:p>
        </w:tc>
        <w:tc>
          <w:tcPr>
            <w:tcW w:w="60" w:type="dxa"/>
            <w:tcBorders/>
            <w:shd w:fill="FFFFFF" w:val="clear"/>
            <w:tcMar>
              <w:bottom w:w="0" w:type="dxa"/>
            </w:tcMar>
            <w:vAlign w:val="center"/>
          </w:tcPr>
          <w:p>
            <w:pPr>
              <w:pStyle w:val="TableContents"/>
              <w:bidi w:val="0"/>
              <w:spacing w:before="0" w:after="283"/>
              <w:jc w:val="left"/>
              <w:rPr/>
            </w:pPr>
            <w:r>
              <w:rPr/>
              <w:t> </w:t>
            </w:r>
          </w:p>
        </w:tc>
        <w:tc>
          <w:tcPr>
            <w:tcW w:w="243" w:type="dxa"/>
            <w:tcBorders/>
            <w:shd w:fill="FFFFFF" w:val="clear"/>
            <w:tcMar>
              <w:bottom w:w="0" w:type="dxa"/>
            </w:tcMar>
            <w:vAlign w:val="center"/>
          </w:tcPr>
          <w:p>
            <w:pPr>
              <w:pStyle w:val="TableContents"/>
              <w:bidi w:val="0"/>
              <w:spacing w:before="0" w:after="283"/>
              <w:jc w:val="left"/>
              <w:rPr/>
            </w:pPr>
            <w:r>
              <w:rPr/>
              <w:t> </w:t>
            </w:r>
          </w:p>
        </w:tc>
        <w:tc>
          <w:tcPr>
            <w:tcW w:w="1186" w:type="dxa"/>
            <w:tcBorders/>
            <w:shd w:fill="FFFFFF" w:val="clear"/>
            <w:tcMar>
              <w:bottom w:w="0" w:type="dxa"/>
            </w:tcMar>
            <w:vAlign w:val="center"/>
          </w:tcPr>
          <w:p>
            <w:pPr>
              <w:pStyle w:val="TableContents"/>
              <w:bidi w:val="0"/>
              <w:spacing w:before="0" w:after="283"/>
              <w:jc w:val="right"/>
              <w:rPr/>
            </w:pPr>
            <w:r>
              <w:rPr/>
              <w:t>4,809</w:t>
            </w:r>
          </w:p>
        </w:tc>
        <w:tc>
          <w:tcPr>
            <w:tcW w:w="75" w:type="dxa"/>
            <w:tcBorders/>
            <w:shd w:fill="FFFFFF" w:val="clear"/>
            <w:tcMar>
              <w:bottom w:w="0" w:type="dxa"/>
            </w:tcMar>
            <w:vAlign w:val="center"/>
          </w:tcPr>
          <w:p>
            <w:pPr>
              <w:pStyle w:val="TableContents"/>
              <w:bidi w:val="0"/>
              <w:spacing w:before="0" w:after="283"/>
              <w:jc w:val="left"/>
              <w:rPr/>
            </w:pPr>
            <w:r>
              <w:rPr/>
              <w:t> </w:t>
            </w:r>
          </w:p>
        </w:tc>
      </w:tr>
      <w:tr>
        <w:trPr/>
        <w:tc>
          <w:tcPr>
            <w:tcW w:w="1190" w:type="dxa"/>
            <w:tcBorders/>
            <w:shd w:fill="CCEEFF" w:val="clear"/>
            <w:tcMar>
              <w:bottom w:w="0" w:type="dxa"/>
            </w:tcMar>
            <w:vAlign w:val="center"/>
          </w:tcPr>
          <w:p>
            <w:pPr>
              <w:pStyle w:val="TableContents"/>
              <w:bidi w:val="0"/>
              <w:spacing w:before="0" w:after="283"/>
              <w:jc w:val="left"/>
              <w:rPr/>
            </w:pPr>
            <w:r>
              <w:rPr/>
              <w:t>2030</w:t>
            </w:r>
          </w:p>
        </w:tc>
        <w:tc>
          <w:tcPr>
            <w:tcW w:w="60" w:type="dxa"/>
            <w:tcBorders/>
            <w:shd w:fill="CCEEFF" w:val="clear"/>
            <w:tcMar>
              <w:bottom w:w="0" w:type="dxa"/>
            </w:tcMar>
            <w:vAlign w:val="center"/>
          </w:tcPr>
          <w:p>
            <w:pPr>
              <w:pStyle w:val="TableContents"/>
              <w:bidi w:val="0"/>
              <w:spacing w:before="0" w:after="283"/>
              <w:jc w:val="left"/>
              <w:rPr/>
            </w:pPr>
            <w:r>
              <w:rPr/>
              <w:t> </w:t>
            </w:r>
          </w:p>
        </w:tc>
        <w:tc>
          <w:tcPr>
            <w:tcW w:w="243" w:type="dxa"/>
            <w:tcBorders/>
            <w:shd w:fill="CCEEFF" w:val="clear"/>
            <w:tcMar>
              <w:bottom w:w="0" w:type="dxa"/>
            </w:tcMar>
            <w:vAlign w:val="center"/>
          </w:tcPr>
          <w:p>
            <w:pPr>
              <w:pStyle w:val="TableContents"/>
              <w:bidi w:val="0"/>
              <w:spacing w:before="0" w:after="283"/>
              <w:jc w:val="left"/>
              <w:rPr/>
            </w:pPr>
            <w:r>
              <w:rPr/>
              <w:t> </w:t>
            </w:r>
          </w:p>
        </w:tc>
        <w:tc>
          <w:tcPr>
            <w:tcW w:w="1186" w:type="dxa"/>
            <w:tcBorders/>
            <w:shd w:fill="CCEEFF" w:val="clear"/>
            <w:tcMar>
              <w:bottom w:w="0" w:type="dxa"/>
            </w:tcMar>
            <w:vAlign w:val="center"/>
          </w:tcPr>
          <w:p>
            <w:pPr>
              <w:pStyle w:val="TableContents"/>
              <w:bidi w:val="0"/>
              <w:spacing w:before="0" w:after="283"/>
              <w:jc w:val="right"/>
              <w:rPr/>
            </w:pPr>
            <w:r>
              <w:rPr/>
              <w:t>4,809</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1190" w:type="dxa"/>
            <w:tcBorders/>
            <w:shd w:fill="FFFFFF" w:val="clear"/>
            <w:tcMar>
              <w:bottom w:w="0" w:type="dxa"/>
            </w:tcMar>
            <w:vAlign w:val="center"/>
          </w:tcPr>
          <w:p>
            <w:pPr>
              <w:pStyle w:val="TableContents"/>
              <w:bidi w:val="0"/>
              <w:spacing w:before="0" w:after="283"/>
              <w:jc w:val="left"/>
              <w:rPr/>
            </w:pPr>
            <w:r>
              <w:rPr/>
              <w:t>Thereafter</w:t>
            </w:r>
          </w:p>
        </w:tc>
        <w:tc>
          <w:tcPr>
            <w:tcW w:w="60" w:type="dxa"/>
            <w:tcBorders/>
            <w:shd w:fill="FFFFFF" w:val="clear"/>
            <w:tcMar>
              <w:bottom w:w="0" w:type="dxa"/>
            </w:tcMar>
            <w:vAlign w:val="center"/>
          </w:tcPr>
          <w:p>
            <w:pPr>
              <w:pStyle w:val="TableContents"/>
              <w:bidi w:val="0"/>
              <w:spacing w:before="0" w:after="283"/>
              <w:jc w:val="left"/>
              <w:rPr/>
            </w:pPr>
            <w:r>
              <w:rPr/>
              <w:t> </w:t>
            </w:r>
          </w:p>
        </w:tc>
        <w:tc>
          <w:tcPr>
            <w:tcW w:w="243" w:type="dxa"/>
            <w:tcBorders>
              <w:bottom w:val="single" w:sz="12" w:space="0" w:color="000000"/>
            </w:tcBorders>
            <w:shd w:fill="FFFFFF" w:val="clear"/>
            <w:vAlign w:val="center"/>
          </w:tcPr>
          <w:p>
            <w:pPr>
              <w:pStyle w:val="TableContents"/>
              <w:bidi w:val="0"/>
              <w:spacing w:before="0" w:after="283"/>
              <w:jc w:val="left"/>
              <w:rPr/>
            </w:pPr>
            <w:r>
              <w:rPr/>
              <w:t> </w:t>
            </w:r>
          </w:p>
        </w:tc>
        <w:tc>
          <w:tcPr>
            <w:tcW w:w="1186" w:type="dxa"/>
            <w:tcBorders>
              <w:bottom w:val="single" w:sz="12" w:space="0" w:color="000000"/>
            </w:tcBorders>
            <w:shd w:fill="FFFFFF" w:val="clear"/>
            <w:vAlign w:val="center"/>
          </w:tcPr>
          <w:p>
            <w:pPr>
              <w:pStyle w:val="TableContents"/>
              <w:bidi w:val="0"/>
              <w:spacing w:before="0" w:after="283"/>
              <w:jc w:val="right"/>
              <w:rPr/>
            </w:pPr>
            <w:r>
              <w:rPr/>
              <w:t>21,652</w:t>
            </w:r>
          </w:p>
        </w:tc>
        <w:tc>
          <w:tcPr>
            <w:tcW w:w="75" w:type="dxa"/>
            <w:tcBorders/>
            <w:shd w:fill="FFFFFF" w:val="clear"/>
            <w:tcMar>
              <w:bottom w:w="0" w:type="dxa"/>
            </w:tcMar>
            <w:vAlign w:val="center"/>
          </w:tcPr>
          <w:p>
            <w:pPr>
              <w:pStyle w:val="TableContents"/>
              <w:bidi w:val="0"/>
              <w:spacing w:before="0" w:after="283"/>
              <w:jc w:val="left"/>
              <w:rPr/>
            </w:pPr>
            <w:r>
              <w:rPr/>
              <w:t> </w:t>
            </w:r>
          </w:p>
        </w:tc>
      </w:tr>
      <w:tr>
        <w:trPr/>
        <w:tc>
          <w:tcPr>
            <w:tcW w:w="1190" w:type="dxa"/>
            <w:tcBorders/>
            <w:shd w:fill="CCEEFF" w:val="clear"/>
            <w:tcMar>
              <w:bottom w:w="0" w:type="dxa"/>
            </w:tcMar>
            <w:vAlign w:val="center"/>
          </w:tcPr>
          <w:p>
            <w:pPr>
              <w:pStyle w:val="TableContents"/>
              <w:bidi w:val="0"/>
              <w:spacing w:before="0" w:after="283"/>
              <w:jc w:val="left"/>
              <w:rPr/>
            </w:pPr>
            <w:r>
              <w:rPr/>
              <w:t>Total</w:t>
            </w:r>
          </w:p>
        </w:tc>
        <w:tc>
          <w:tcPr>
            <w:tcW w:w="60" w:type="dxa"/>
            <w:tcBorders/>
            <w:shd w:fill="CCEEFF" w:val="clear"/>
            <w:tcMar>
              <w:bottom w:w="0" w:type="dxa"/>
            </w:tcMar>
            <w:vAlign w:val="center"/>
          </w:tcPr>
          <w:p>
            <w:pPr>
              <w:pStyle w:val="TableContents"/>
              <w:bidi w:val="0"/>
              <w:spacing w:before="0" w:after="283"/>
              <w:jc w:val="left"/>
              <w:rPr/>
            </w:pPr>
            <w:r>
              <w:rPr/>
              <w:t> </w:t>
            </w:r>
          </w:p>
        </w:tc>
        <w:tc>
          <w:tcPr>
            <w:tcW w:w="243" w:type="dxa"/>
            <w:tcBorders>
              <w:bottom w:val="double" w:sz="10" w:space="0" w:color="000000"/>
            </w:tcBorders>
            <w:shd w:fill="CCEEFF" w:val="clear"/>
            <w:vAlign w:val="center"/>
          </w:tcPr>
          <w:p>
            <w:pPr>
              <w:pStyle w:val="TableContents"/>
              <w:bidi w:val="0"/>
              <w:spacing w:before="0" w:after="283"/>
              <w:jc w:val="left"/>
              <w:rPr/>
            </w:pPr>
            <w:r>
              <w:rPr/>
              <w:t>$</w:t>
            </w:r>
          </w:p>
        </w:tc>
        <w:tc>
          <w:tcPr>
            <w:tcW w:w="1186" w:type="dxa"/>
            <w:tcBorders>
              <w:bottom w:val="double" w:sz="10" w:space="0" w:color="000000"/>
            </w:tcBorders>
            <w:shd w:fill="CCEEFF" w:val="clear"/>
            <w:vAlign w:val="center"/>
          </w:tcPr>
          <w:p>
            <w:pPr>
              <w:pStyle w:val="TableContents"/>
              <w:bidi w:val="0"/>
              <w:spacing w:before="0" w:after="283"/>
              <w:jc w:val="right"/>
              <w:rPr/>
            </w:pPr>
            <w:r>
              <w:rPr/>
              <w:t>50,814</w:t>
            </w:r>
          </w:p>
        </w:tc>
        <w:tc>
          <w:tcPr>
            <w:tcW w:w="75" w:type="dxa"/>
            <w:tcBorders/>
            <w:shd w:fill="CCEEFF" w:val="clear"/>
            <w:tcMar>
              <w:bottom w:w="0" w:type="dxa"/>
            </w:tcM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sz w:val="20"/>
          <w:bdr w:val="single" w:sz="12" w:space="1" w:color="000000"/>
        </w:rPr>
      </w:pPr>
      <w:r>
        <w:rPr>
          <w:sz w:val="20"/>
          <w:bdr w:val="single" w:sz="12" w:space="1" w:color="000000"/>
        </w:rPr>
        <w:t>F-84</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(8) Forward Purchase Agreements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and around July 13, 2023, FACT (now SunPower, formerly Complete Solaria, Inc. following the closing of the Business Combination) entered into separate Forward Purchase Agreements (“FPAs”) with (i) Meteora Special Opportunity Fund I, LP, Meteora Capital Partners, LP, and Meteora Select Trading Opportunities Master, LP (collectively, “Meteora”), (ii) Polar Multi-Strategy Master Fund (“Polar”), and (iii) Diametric True Alpha Market Neutral Master Fund, LP, Diametric True Alpha Enhanced Market Neutral Master Fund, LP, and Pinebridge Partners Master Fund, LP (collectively, “Sandia,” and together with Meteora and Polar, the “FPA Investors”). Under the FPAs, the Company agreed to purchase, subject to certain terms and limitations, up to 5,618,488 shares of common stock held by the FPA Investors on a date 24 months after execution of the FPAs (the “Maturity Date”). The FPA Investors agreed not to redeem their Class A ordinary shares in connection with the Business Combination, and the FPAs originally provided the FPA Investors with a minimum sale price of $5.00 per share at maturity.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December 18, 2023, the Company entered into amendments with each FPA Investor reducing the reset floor price from $5.00 to $3.00 and permitting the Company to raise up to $10.0 million of equity from existing stockholders without triggering anti-dilution protections, subject to specified per-share pricing requirements for insider investments. On May 7 and 8, 2024, the Company executed additional amendments with Sandia and Polar reducing the reset price to $1.00 per share and modifying the volume-weighted average price (“VWAP”) trigger event to occur if, after December 31, 2024, the Company’s VWAP is below $1.00 for 20 out of 30 consecutive trading days. On June 14, 2024, the Company and Sandia executed an additional amendment confirming a $1.00 reset price and the revised VWAP trigger and providing that Sandia will automatically receive any more favorable terms provided to Polar or Meteora, including with respect to the shares sold upon execution of its FPA. On July 17, 2024, the Company and Polar executed an amendment applying the “Most Favored Nation” provision of the Polar FPA to all of its shares covered by that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Between July 15 and August 1, 2025, the Company entered into further amendments with Meteora, Sandia, and Polar that extended the valuation date applicable to the FPAs to the earliest of (i) July 17, 2026, (ii) a date specified by Meteora or Sandia, as applicable, or (iii) 90 days after Company notice if the Company’s VWAP is below the applicable reset price for 20 out of 30 consecutive trading days occurring at least six months after the closing of the Business Combination, provided that a registration statement is effective throughout both the measurement and notice periods. These amendments also revised the settlement provisions to clarify that the Settlement Amount is used solely as a calculation mechanism to determine any liability owed by the Company to an FPA Investor. If the Settlement Amount Adjustment exceeds the Settlement Amount, the excess will be paid to the FPA Investor in cash or shares, at the Company’s election, and the FPA Investors are not required to remit the Settlement Amount or return any prepayment to the Company.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FPA Investors continue to hold some or all of the FPA shares on the Maturity Date and the trading price of the Company’s common stock is below the applicable FPA sale price, the Company expects the FPA Investors to exercise their repurchase rights.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these FPAs, the Company has recorded a liability on its consolidated balance sheets of $4.0 million and $3.5 million as of December 28, 2025 and December 29, 2024, respectively. The Company concluded that $1.3 million of the liability as of December 29, 2024 was with a related party.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(9) SAFE Agreements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First SAFE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January 31, 2024, the Company entered into a SAFE (the “First SAFE”) with the Rodgers Massey Freedom and Free Markets Charitable Trust (the “Purchaser”), a related party, affiliated with Thurman J. Rodgers, the Company’s Chief Executive Officer and a Director, in connection with the Purchaser investing $1.5 million in the Company. The First SAFE did not accrue interest. The First SAFE was initially convertible into shares of the Company’s common stock, par value $0.0001 per share, upon the closing of a bona fide transaction or series of transactions with the principal purpose of raising capital, pursuant to which the Company would have issued and sold shares of its common stock at a fixed valuation (an “Equity Financing”), at a per share conversion price which was equal to the lower of (i) (a) $53.54 million divided by (b) the Company’s capitalization immediately prior to such Equity Financing (such conversion price, the “SAFE Price”), and (ii) 80% of the price per share of its common stock sold in the Equity Financing. If the Company consummated a change of control prior to the termination of the First SAFE, the Purchaser would have been automatically entitled to receive a portion of the proceeds of such liquidity event equal to the greater of (i) $1.5 million and (ii) the amount payable on the number of shares of common stock equal to (a) $1.5 million divided by (b)(1) $53.54 million divided by (2) the Company’s capitalization immediately prior to such liquidity event (the “Liquidity Price”), subject to certain adjustments as set forth in the First SAFE. The First SAFE was convertible into a maximum of 1,431,297 shares of the Company’s common stock, assuming a per share conversion price of $1.05, which is the product of (i) $1.31, the closing price per share of the Company’s common stock on January 31, 2024, multiplied by (ii) 80%.</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sz w:val="20"/>
          <w:bdr w:val="single" w:sz="12" w:space="1" w:color="000000"/>
        </w:rPr>
      </w:pPr>
      <w:r>
        <w:rPr>
          <w:sz w:val="20"/>
          <w:bdr w:val="single" w:sz="12" w:space="1" w:color="000000"/>
        </w:rPr>
        <w:t>F-85</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April 21, 2024, the Company entered into an amendment (“First SAFE Amendment”) that converted the First SAFE investment of $1.5 million into 4.2 million shares of the Company’s common stock based on a conversion price of $0.36 per share, defined in the First SAFE Amendment as the product of (i) $0.45, the closing price of the Company’s common stock on April 19, 2024, multiplied by (ii) 80%. Upon conversion to shares of the Company’s common stock, the Company recognized $1.9 million of Additional paid-in capital, and a loss on conversion of the First SAFE of $0.4 million within Other non-operating income, net in its consolidated statement of operations for the fiscal year ended December 29, 2024.</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Second SAFE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February 15, 2024, the Company entered into a second SAFE (the “Second SAFE”) with the Purchaser, in connection with the Purchaser investing $3.5 million in the Company. The Second SAFE did not accrue interest. The Second SAFE was initially convertible into shares of the Company’s common stock upon the initial closing of an Equity Financing at a per share conversion price which was equal to the lower of (i) the Second SAFE Price, and (ii) 80% of the price per share of the Company’s common stock sold in the Equity Financing. If the Company consummated a change of control prior to the termination of the Second SAFE, the Purchaser would have been automatically entitled to receive an amount equal to the greater of (i) $3.5 million and (ii) the amount payable on the number of shares of the Company’s common stock equal to $3.5 million divided by the Liquidity Price, subject to certain adjustments as set forth in the Second SAFE. The Second SAFE was convertible into a maximum of 3,707,627 shares of the Company’s common stock, assuming a per share conversion price of $0.94, which is the product of (i) $1.18, the closing per share price of its common stock on February 15, 2024, and (ii) 80%.</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April 21, 2024, the Company entered into an amendment (“Second SAFE Amendment”) that converted the Second SAFE investment of $3.5 million into 9.7 million shares of the Company’s common stock based on a conversion price of $0.36 per share, defined in the Second SAFE Amendment as the product of (i) $0.45, the closing price of the Company’s common stock on April 19, 2024, multiplied by (ii) 80%. Upon conversion to shares of the Company’s common stock, the Company recognized $4.4 million of Additional paid-in capital, and a loss on conversion of the Second SAFE of $0.9 million within Other non-operating income, net in its consolidated statement of operations for the fiscal year ended December 29, 2024.</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 xml:space="preserve">Third SAFE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May 13, 2024, the Company entered into a third SAFE (the “Third SAFE”) with the Purchaser, in connection with the Purchaser investing $1.0 million in the Company. The Third SAFE is convertible into shares of the Company’s common stock upon the initial closing of a bona fide transaction or series of transactions with the principal purpose of raising capital, pursuant to which the Company issues and sells shares of its common stock in an Equity Financing, at a per share conversion price which is equal to 50% of the price per share of the Company’s common stock sold in the Equity Financing. If the Company consummates a change of control prior to the termination of the Third SAFE, the Purchaser will be automatically entitled to receive a portion of the proceeds of such liquidity event equal to $1.0 million, subject to certain adjustments as set forth in the Third SAFE. The Third SAFE is convertible into a maximum of 2,750,000 shares of the Company’s common stock, assuming a per share conversion price of $0.275, which is the product of (i) $0.55, the closing price of the Company’s common stock on May 13, 2024, multiplied by (ii) 50%. Given that the SAFE could be settled in cash or a variable number of shares, the Company has accounted for the instrument as a liability at its fair value.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SAFE liability represents the estimated fair value of the Company’s obligation to issue equity in the future. The fair value of the Third SAFE approximated $0.5 million and $0.4 million as of December 28, 2025 and December 29, 2024, respectively. Refer to </w:t>
      </w:r>
      <w:r>
        <w:rPr>
          <w:rFonts w:ascii="Times New Roman;Times;Serif" w:hAnsi="Times New Roman;Times;Serif"/>
          <w:b/>
          <w:i w:val="false"/>
          <w:caps w:val="false"/>
          <w:smallCaps w:val="false"/>
          <w:sz w:val="20"/>
        </w:rPr>
        <w:t>Note 5 – Fair Value Measurements for details.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sz w:val="20"/>
          <w:bdr w:val="single" w:sz="12" w:space="1" w:color="000000"/>
        </w:rPr>
      </w:pPr>
      <w:r>
        <w:rPr>
          <w:sz w:val="20"/>
          <w:bdr w:val="single" w:sz="12" w:space="1" w:color="000000"/>
        </w:rPr>
        <w:t>F-86</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(10) Borrowings and Derivative Liabilities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Company’s borrowings and derivative liabilities consisted of the following </w:t>
      </w:r>
      <w:r>
        <w:rPr>
          <w:rFonts w:ascii="Times New Roman;Times;Serif" w:hAnsi="Times New Roman;Times;Serif"/>
          <w:b w:val="false"/>
          <w:i/>
          <w:caps w:val="false"/>
          <w:smallCaps w:val="false"/>
          <w:sz w:val="20"/>
        </w:rPr>
        <w:t>(in thousands)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116"/>
        <w:gridCol w:w="60"/>
        <w:gridCol w:w="207"/>
        <w:gridCol w:w="1192"/>
        <w:gridCol w:w="95"/>
        <w:gridCol w:w="60"/>
        <w:gridCol w:w="207"/>
        <w:gridCol w:w="1192"/>
        <w:gridCol w:w="76"/>
      </w:tblGrid>
      <w:tr>
        <w:trPr/>
        <w:tc>
          <w:tcPr>
            <w:tcW w:w="7116"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2953"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As of</w:t>
            </w:r>
          </w:p>
        </w:tc>
        <w:tc>
          <w:tcPr>
            <w:tcW w:w="76" w:type="dxa"/>
            <w:tcBorders/>
            <w:vAlign w:val="center"/>
          </w:tcPr>
          <w:p>
            <w:pPr>
              <w:pStyle w:val="TableContents"/>
              <w:bidi w:val="0"/>
              <w:spacing w:before="0" w:after="283"/>
              <w:jc w:val="left"/>
              <w:rPr/>
            </w:pPr>
            <w:r>
              <w:rPr/>
              <w:t> </w:t>
            </w:r>
          </w:p>
        </w:tc>
      </w:tr>
      <w:tr>
        <w:trPr/>
        <w:tc>
          <w:tcPr>
            <w:tcW w:w="7116"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399" w:type="dxa"/>
            <w:gridSpan w:val="2"/>
            <w:tcBorders/>
            <w:vAlign w:val="center"/>
          </w:tcPr>
          <w:p>
            <w:pPr>
              <w:pStyle w:val="TableContents"/>
              <w:bidi w:val="0"/>
              <w:spacing w:before="0" w:after="283"/>
              <w:jc w:val="center"/>
              <w:rPr>
                <w:b/>
              </w:rPr>
            </w:pPr>
            <w:r>
              <w:rPr>
                <w:b/>
              </w:rPr>
              <w:t>December 28,</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99" w:type="dxa"/>
            <w:gridSpan w:val="2"/>
            <w:tcBorders/>
            <w:vAlign w:val="center"/>
          </w:tcPr>
          <w:p>
            <w:pPr>
              <w:pStyle w:val="TableContents"/>
              <w:bidi w:val="0"/>
              <w:spacing w:before="0" w:after="283"/>
              <w:jc w:val="center"/>
              <w:rPr>
                <w:b/>
              </w:rPr>
            </w:pPr>
            <w:r>
              <w:rPr>
                <w:b/>
              </w:rPr>
              <w:t>December 29,</w:t>
            </w:r>
          </w:p>
        </w:tc>
        <w:tc>
          <w:tcPr>
            <w:tcW w:w="76" w:type="dxa"/>
            <w:tcBorders/>
            <w:vAlign w:val="center"/>
          </w:tcPr>
          <w:p>
            <w:pPr>
              <w:pStyle w:val="TableContents"/>
              <w:bidi w:val="0"/>
              <w:spacing w:before="0" w:after="283"/>
              <w:jc w:val="left"/>
              <w:rPr/>
            </w:pPr>
            <w:r>
              <w:rPr/>
              <w:t> </w:t>
            </w:r>
          </w:p>
        </w:tc>
      </w:tr>
      <w:tr>
        <w:trPr/>
        <w:tc>
          <w:tcPr>
            <w:tcW w:w="7116"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399"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2025</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99"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2024</w:t>
            </w:r>
          </w:p>
        </w:tc>
        <w:tc>
          <w:tcPr>
            <w:tcW w:w="76" w:type="dxa"/>
            <w:tcBorders/>
            <w:vAlign w:val="center"/>
          </w:tcPr>
          <w:p>
            <w:pPr>
              <w:pStyle w:val="TableContents"/>
              <w:bidi w:val="0"/>
              <w:spacing w:before="0" w:after="283"/>
              <w:jc w:val="left"/>
              <w:rPr/>
            </w:pPr>
            <w:r>
              <w:rPr/>
              <w:t> </w:t>
            </w:r>
          </w:p>
        </w:tc>
      </w:tr>
      <w:tr>
        <w:trPr/>
        <w:tc>
          <w:tcPr>
            <w:tcW w:w="7116" w:type="dxa"/>
            <w:tcBorders/>
            <w:vAlign w:val="center"/>
          </w:tcPr>
          <w:p>
            <w:pPr>
              <w:pStyle w:val="TableContents"/>
              <w:bidi w:val="0"/>
              <w:spacing w:before="0" w:after="283"/>
              <w:jc w:val="both"/>
              <w:rPr>
                <w:b/>
              </w:rPr>
            </w:pPr>
            <w:r>
              <w:rPr>
                <w:b/>
              </w:rPr>
              <w:t>Short term:</w:t>
            </w:r>
          </w:p>
        </w:tc>
        <w:tc>
          <w:tcPr>
            <w:tcW w:w="60" w:type="dxa"/>
            <w:tcBorders/>
            <w:vAlign w:val="center"/>
          </w:tcPr>
          <w:p>
            <w:pPr>
              <w:pStyle w:val="TableContents"/>
              <w:bidi w:val="0"/>
              <w:spacing w:before="0" w:after="283"/>
              <w:jc w:val="left"/>
              <w:rPr/>
            </w:pPr>
            <w:r>
              <w:rPr/>
              <w:t> </w:t>
            </w:r>
          </w:p>
        </w:tc>
        <w:tc>
          <w:tcPr>
            <w:tcW w:w="1399" w:type="dxa"/>
            <w:gridSpan w:val="2"/>
            <w:tcBorders/>
            <w:vAlign w:val="center"/>
          </w:tcPr>
          <w:p>
            <w:pPr>
              <w:pStyle w:val="TableContents"/>
              <w:bidi w:val="0"/>
              <w:spacing w:before="0" w:after="283"/>
              <w:jc w:val="righ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99" w:type="dxa"/>
            <w:gridSpan w:val="2"/>
            <w:tcBorders/>
            <w:vAlign w:val="center"/>
          </w:tcPr>
          <w:p>
            <w:pPr>
              <w:pStyle w:val="TableContents"/>
              <w:bidi w:val="0"/>
              <w:spacing w:before="0" w:after="283"/>
              <w:jc w:val="right"/>
              <w:rPr/>
            </w:pPr>
            <w:r>
              <w:rPr/>
              <w:t> </w:t>
            </w:r>
          </w:p>
        </w:tc>
        <w:tc>
          <w:tcPr>
            <w:tcW w:w="76" w:type="dxa"/>
            <w:tcBorders/>
            <w:vAlign w:val="center"/>
          </w:tcPr>
          <w:p>
            <w:pPr>
              <w:pStyle w:val="TableContents"/>
              <w:bidi w:val="0"/>
              <w:spacing w:before="0" w:after="283"/>
              <w:jc w:val="left"/>
              <w:rPr/>
            </w:pPr>
            <w:r>
              <w:rPr/>
              <w:t> </w:t>
            </w:r>
          </w:p>
        </w:tc>
      </w:tr>
      <w:tr>
        <w:trPr/>
        <w:tc>
          <w:tcPr>
            <w:tcW w:w="7116" w:type="dxa"/>
            <w:tcBorders/>
            <w:shd w:fill="CCEEFF" w:val="clear"/>
            <w:vAlign w:val="center"/>
          </w:tcPr>
          <w:p>
            <w:pPr>
              <w:pStyle w:val="TableContents"/>
              <w:bidi w:val="0"/>
              <w:spacing w:before="0" w:after="283"/>
              <w:jc w:val="both"/>
              <w:rPr/>
            </w:pPr>
            <w:r>
              <w:rPr/>
              <w:t>Seller Note – related party</w:t>
            </w:r>
          </w:p>
        </w:tc>
        <w:tc>
          <w:tcPr>
            <w:tcW w:w="60" w:type="dxa"/>
            <w:tcBorders/>
            <w:shd w:fill="CCEEFF" w:val="clear"/>
            <w:vAlign w:val="center"/>
          </w:tcPr>
          <w:p>
            <w:pPr>
              <w:pStyle w:val="TableContents"/>
              <w:bidi w:val="0"/>
              <w:spacing w:before="0" w:after="283"/>
              <w:jc w:val="left"/>
              <w:rPr/>
            </w:pPr>
            <w:r>
              <w:rPr/>
              <w:t> </w:t>
            </w:r>
          </w:p>
        </w:tc>
        <w:tc>
          <w:tcPr>
            <w:tcW w:w="207" w:type="dxa"/>
            <w:tcBorders/>
            <w:shd w:fill="CCEEFF" w:val="clear"/>
            <w:vAlign w:val="center"/>
          </w:tcPr>
          <w:p>
            <w:pPr>
              <w:pStyle w:val="TableContents"/>
              <w:bidi w:val="0"/>
              <w:spacing w:before="0" w:after="283"/>
              <w:jc w:val="left"/>
              <w:rPr/>
            </w:pPr>
            <w:r>
              <w:rPr/>
              <w:t>$</w:t>
            </w:r>
          </w:p>
        </w:tc>
        <w:tc>
          <w:tcPr>
            <w:tcW w:w="1192" w:type="dxa"/>
            <w:tcBorders/>
            <w:shd w:fill="CCEEFF" w:val="clear"/>
            <w:vAlign w:val="center"/>
          </w:tcPr>
          <w:p>
            <w:pPr>
              <w:pStyle w:val="TableContents"/>
              <w:bidi w:val="0"/>
              <w:spacing w:before="0" w:after="283"/>
              <w:jc w:val="right"/>
              <w:rPr/>
            </w:pPr>
            <w:r>
              <w:rPr/>
              <w:t>20,000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7" w:type="dxa"/>
            <w:tcBorders/>
            <w:shd w:fill="CCEEFF" w:val="clear"/>
            <w:vAlign w:val="center"/>
          </w:tcPr>
          <w:p>
            <w:pPr>
              <w:pStyle w:val="TableContents"/>
              <w:bidi w:val="0"/>
              <w:spacing w:before="0" w:after="283"/>
              <w:jc w:val="left"/>
              <w:rPr/>
            </w:pPr>
            <w:r>
              <w:rPr/>
              <w:t>$</w:t>
            </w:r>
          </w:p>
        </w:tc>
        <w:tc>
          <w:tcPr>
            <w:tcW w:w="1192" w:type="dxa"/>
            <w:tcBorders/>
            <w:shd w:fill="CCEEFF" w:val="clear"/>
            <w:vAlign w:val="center"/>
          </w:tcPr>
          <w:p>
            <w:pPr>
              <w:pStyle w:val="TableContents"/>
              <w:bidi w:val="0"/>
              <w:spacing w:before="0" w:after="283"/>
              <w:jc w:val="right"/>
              <w:rPr/>
            </w:pPr>
            <w:r>
              <w:rPr/>
              <w:t>—</w:t>
            </w:r>
          </w:p>
        </w:tc>
        <w:tc>
          <w:tcPr>
            <w:tcW w:w="76" w:type="dxa"/>
            <w:tcBorders/>
            <w:shd w:fill="CCEEFF" w:val="clear"/>
            <w:vAlign w:val="center"/>
          </w:tcPr>
          <w:p>
            <w:pPr>
              <w:pStyle w:val="TableContents"/>
              <w:bidi w:val="0"/>
              <w:spacing w:before="0" w:after="283"/>
              <w:jc w:val="left"/>
              <w:rPr/>
            </w:pPr>
            <w:r>
              <w:rPr/>
              <w:t> </w:t>
            </w:r>
          </w:p>
        </w:tc>
      </w:tr>
      <w:tr>
        <w:trPr/>
        <w:tc>
          <w:tcPr>
            <w:tcW w:w="7116" w:type="dxa"/>
            <w:tcBorders/>
            <w:shd w:fill="FFFFFF" w:val="clear"/>
            <w:vAlign w:val="center"/>
          </w:tcPr>
          <w:p>
            <w:pPr>
              <w:pStyle w:val="TableContents"/>
              <w:bidi w:val="0"/>
              <w:spacing w:before="0" w:after="283"/>
              <w:jc w:val="both"/>
              <w:rPr/>
            </w:pPr>
            <w:r>
              <w:rPr/>
              <w:t>Loan with related party</w:t>
            </w:r>
          </w:p>
        </w:tc>
        <w:tc>
          <w:tcPr>
            <w:tcW w:w="60" w:type="dxa"/>
            <w:tcBorders/>
            <w:shd w:fill="FFFFFF" w:val="clear"/>
            <w:vAlign w:val="center"/>
          </w:tcPr>
          <w:p>
            <w:pPr>
              <w:pStyle w:val="TableContents"/>
              <w:bidi w:val="0"/>
              <w:spacing w:before="0" w:after="283"/>
              <w:jc w:val="left"/>
              <w:rPr/>
            </w:pPr>
            <w:r>
              <w:rPr/>
              <w:t> </w:t>
            </w:r>
          </w:p>
        </w:tc>
        <w:tc>
          <w:tcPr>
            <w:tcW w:w="207"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92" w:type="dxa"/>
            <w:tcBorders>
              <w:bottom w:val="single" w:sz="12" w:space="0" w:color="000000"/>
            </w:tcBorders>
            <w:shd w:fill="FFFFFF" w:val="clear"/>
            <w:tcMar>
              <w:bottom w:w="28" w:type="dxa"/>
            </w:tcMar>
            <w:vAlign w:val="center"/>
          </w:tcPr>
          <w:p>
            <w:pPr>
              <w:pStyle w:val="TableContents"/>
              <w:bidi w:val="0"/>
              <w:spacing w:before="0" w:after="283"/>
              <w:jc w:val="right"/>
              <w:rPr/>
            </w:pPr>
            <w:r>
              <w:rPr/>
              <w:t>1,500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7"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92" w:type="dxa"/>
            <w:tcBorders>
              <w:bottom w:val="single" w:sz="12" w:space="0" w:color="000000"/>
            </w:tcBorders>
            <w:shd w:fill="FFFFFF" w:val="clear"/>
            <w:tcMar>
              <w:bottom w:w="28" w:type="dxa"/>
            </w:tcMar>
            <w:vAlign w:val="center"/>
          </w:tcPr>
          <w:p>
            <w:pPr>
              <w:pStyle w:val="TableContents"/>
              <w:bidi w:val="0"/>
              <w:spacing w:before="0" w:after="283"/>
              <w:jc w:val="right"/>
              <w:rPr/>
            </w:pPr>
            <w:r>
              <w:rPr/>
              <w:t>1,500</w:t>
            </w:r>
          </w:p>
        </w:tc>
        <w:tc>
          <w:tcPr>
            <w:tcW w:w="76" w:type="dxa"/>
            <w:tcBorders/>
            <w:shd w:fill="FFFFFF" w:val="clear"/>
            <w:vAlign w:val="center"/>
          </w:tcPr>
          <w:p>
            <w:pPr>
              <w:pStyle w:val="TableContents"/>
              <w:bidi w:val="0"/>
              <w:spacing w:before="0" w:after="283"/>
              <w:jc w:val="left"/>
              <w:rPr/>
            </w:pPr>
            <w:r>
              <w:rPr/>
              <w:t> </w:t>
            </w:r>
          </w:p>
        </w:tc>
      </w:tr>
      <w:tr>
        <w:trPr/>
        <w:tc>
          <w:tcPr>
            <w:tcW w:w="7116" w:type="dxa"/>
            <w:tcBorders/>
            <w:shd w:fill="CCEEFF" w:val="clear"/>
            <w:vAlign w:val="center"/>
          </w:tcPr>
          <w:p>
            <w:pPr>
              <w:pStyle w:val="TableContents"/>
              <w:bidi w:val="0"/>
              <w:spacing w:before="0" w:after="283"/>
              <w:jc w:val="both"/>
              <w:rPr/>
            </w:pPr>
            <w:r>
              <w:rPr/>
              <w:t>Total short-term debt with related parties</w:t>
            </w:r>
          </w:p>
        </w:tc>
        <w:tc>
          <w:tcPr>
            <w:tcW w:w="60" w:type="dxa"/>
            <w:tcBorders/>
            <w:shd w:fill="CCEEFF" w:val="clear"/>
            <w:vAlign w:val="center"/>
          </w:tcPr>
          <w:p>
            <w:pPr>
              <w:pStyle w:val="TableContents"/>
              <w:bidi w:val="0"/>
              <w:spacing w:before="0" w:after="283"/>
              <w:jc w:val="left"/>
              <w:rPr/>
            </w:pPr>
            <w:r>
              <w:rPr/>
              <w:t> </w:t>
            </w:r>
          </w:p>
        </w:tc>
        <w:tc>
          <w:tcPr>
            <w:tcW w:w="207"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192" w:type="dxa"/>
            <w:tcBorders>
              <w:bottom w:val="double" w:sz="10" w:space="0" w:color="000000"/>
            </w:tcBorders>
            <w:shd w:fill="CCEEFF" w:val="clear"/>
            <w:tcMar>
              <w:bottom w:w="28" w:type="dxa"/>
            </w:tcMar>
            <w:vAlign w:val="center"/>
          </w:tcPr>
          <w:p>
            <w:pPr>
              <w:pStyle w:val="TableContents"/>
              <w:bidi w:val="0"/>
              <w:spacing w:before="0" w:after="283"/>
              <w:jc w:val="right"/>
              <w:rPr/>
            </w:pPr>
            <w:r>
              <w:rPr/>
              <w:t>21,500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7"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192" w:type="dxa"/>
            <w:tcBorders>
              <w:bottom w:val="double" w:sz="10" w:space="0" w:color="000000"/>
            </w:tcBorders>
            <w:shd w:fill="CCEEFF" w:val="clear"/>
            <w:tcMar>
              <w:bottom w:w="28" w:type="dxa"/>
            </w:tcMar>
            <w:vAlign w:val="center"/>
          </w:tcPr>
          <w:p>
            <w:pPr>
              <w:pStyle w:val="TableContents"/>
              <w:bidi w:val="0"/>
              <w:spacing w:before="0" w:after="283"/>
              <w:jc w:val="right"/>
              <w:rPr/>
            </w:pPr>
            <w:r>
              <w:rPr/>
              <w:t>1,500</w:t>
            </w:r>
          </w:p>
        </w:tc>
        <w:tc>
          <w:tcPr>
            <w:tcW w:w="76" w:type="dxa"/>
            <w:tcBorders/>
            <w:shd w:fill="CCEEFF" w:val="clear"/>
            <w:vAlign w:val="center"/>
          </w:tcPr>
          <w:p>
            <w:pPr>
              <w:pStyle w:val="TableContents"/>
              <w:bidi w:val="0"/>
              <w:spacing w:before="0" w:after="283"/>
              <w:jc w:val="left"/>
              <w:rPr/>
            </w:pPr>
            <w:r>
              <w:rPr/>
              <w:t> </w:t>
            </w:r>
          </w:p>
        </w:tc>
      </w:tr>
      <w:tr>
        <w:trPr/>
        <w:tc>
          <w:tcPr>
            <w:tcW w:w="7116" w:type="dxa"/>
            <w:tcBorders/>
            <w:shd w:fill="FFFFFF" w:val="clear"/>
            <w:vAlign w:val="center"/>
          </w:tcPr>
          <w:p>
            <w:pPr>
              <w:pStyle w:val="TableContents"/>
              <w:bidi w:val="0"/>
              <w:spacing w:before="0" w:after="283"/>
              <w:jc w:val="both"/>
              <w:rPr/>
            </w:pPr>
            <w:r>
              <w:rPr/>
              <w:t> </w:t>
            </w:r>
          </w:p>
        </w:tc>
        <w:tc>
          <w:tcPr>
            <w:tcW w:w="60" w:type="dxa"/>
            <w:tcBorders/>
            <w:shd w:fill="FFFFFF" w:val="clear"/>
            <w:vAlign w:val="center"/>
          </w:tcPr>
          <w:p>
            <w:pPr>
              <w:pStyle w:val="TableContents"/>
              <w:bidi w:val="0"/>
              <w:spacing w:before="0" w:after="283"/>
              <w:jc w:val="left"/>
              <w:rPr/>
            </w:pPr>
            <w:r>
              <w:rPr/>
              <w:t> </w:t>
            </w:r>
          </w:p>
        </w:tc>
        <w:tc>
          <w:tcPr>
            <w:tcW w:w="207" w:type="dxa"/>
            <w:tcBorders/>
            <w:shd w:fill="FFFFFF" w:val="clear"/>
            <w:vAlign w:val="center"/>
          </w:tcPr>
          <w:p>
            <w:pPr>
              <w:pStyle w:val="TableContents"/>
              <w:bidi w:val="0"/>
              <w:spacing w:before="0" w:after="283"/>
              <w:jc w:val="left"/>
              <w:rPr/>
            </w:pPr>
            <w:r>
              <w:rPr/>
              <w:t> </w:t>
            </w:r>
          </w:p>
        </w:tc>
        <w:tc>
          <w:tcPr>
            <w:tcW w:w="1192"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7" w:type="dxa"/>
            <w:tcBorders/>
            <w:shd w:fill="FFFFFF" w:val="clear"/>
            <w:vAlign w:val="center"/>
          </w:tcPr>
          <w:p>
            <w:pPr>
              <w:pStyle w:val="TableContents"/>
              <w:bidi w:val="0"/>
              <w:spacing w:before="0" w:after="283"/>
              <w:jc w:val="left"/>
              <w:rPr/>
            </w:pPr>
            <w:r>
              <w:rPr/>
              <w:t> </w:t>
            </w:r>
          </w:p>
        </w:tc>
        <w:tc>
          <w:tcPr>
            <w:tcW w:w="1192" w:type="dxa"/>
            <w:tcBorders/>
            <w:shd w:fill="FFFFFF" w:val="clear"/>
            <w:vAlign w:val="center"/>
          </w:tcPr>
          <w:p>
            <w:pPr>
              <w:pStyle w:val="TableContents"/>
              <w:bidi w:val="0"/>
              <w:spacing w:before="0" w:after="283"/>
              <w:jc w:val="right"/>
              <w:rPr/>
            </w:pPr>
            <w:r>
              <w:rPr/>
              <w:t> </w:t>
            </w:r>
          </w:p>
        </w:tc>
        <w:tc>
          <w:tcPr>
            <w:tcW w:w="76" w:type="dxa"/>
            <w:tcBorders/>
            <w:shd w:fill="FFFFFF" w:val="clear"/>
            <w:vAlign w:val="center"/>
          </w:tcPr>
          <w:p>
            <w:pPr>
              <w:pStyle w:val="TableContents"/>
              <w:bidi w:val="0"/>
              <w:spacing w:before="0" w:after="283"/>
              <w:jc w:val="left"/>
              <w:rPr/>
            </w:pPr>
            <w:r>
              <w:rPr/>
              <w:t> </w:t>
            </w:r>
          </w:p>
        </w:tc>
      </w:tr>
      <w:tr>
        <w:trPr/>
        <w:tc>
          <w:tcPr>
            <w:tcW w:w="7116" w:type="dxa"/>
            <w:tcBorders/>
            <w:shd w:fill="CCEEFF" w:val="clear"/>
            <w:vAlign w:val="center"/>
          </w:tcPr>
          <w:p>
            <w:pPr>
              <w:pStyle w:val="TableContents"/>
              <w:bidi w:val="0"/>
              <w:spacing w:before="0" w:after="283"/>
              <w:jc w:val="both"/>
              <w:rPr>
                <w:b/>
              </w:rPr>
            </w:pPr>
            <w:r>
              <w:rPr>
                <w:b/>
              </w:rPr>
              <w:t>Long-term:</w:t>
            </w:r>
          </w:p>
        </w:tc>
        <w:tc>
          <w:tcPr>
            <w:tcW w:w="60" w:type="dxa"/>
            <w:tcBorders/>
            <w:shd w:fill="CCEEFF" w:val="clear"/>
            <w:vAlign w:val="center"/>
          </w:tcPr>
          <w:p>
            <w:pPr>
              <w:pStyle w:val="TableContents"/>
              <w:bidi w:val="0"/>
              <w:spacing w:before="0" w:after="283"/>
              <w:jc w:val="left"/>
              <w:rPr/>
            </w:pPr>
            <w:r>
              <w:rPr/>
              <w:t> </w:t>
            </w:r>
          </w:p>
        </w:tc>
        <w:tc>
          <w:tcPr>
            <w:tcW w:w="207" w:type="dxa"/>
            <w:tcBorders/>
            <w:shd w:fill="CCEEFF" w:val="clear"/>
            <w:vAlign w:val="center"/>
          </w:tcPr>
          <w:p>
            <w:pPr>
              <w:pStyle w:val="TableContents"/>
              <w:bidi w:val="0"/>
              <w:spacing w:before="0" w:after="283"/>
              <w:jc w:val="left"/>
              <w:rPr/>
            </w:pPr>
            <w:r>
              <w:rPr/>
              <w:t> </w:t>
            </w:r>
          </w:p>
        </w:tc>
        <w:tc>
          <w:tcPr>
            <w:tcW w:w="1192"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7" w:type="dxa"/>
            <w:tcBorders/>
            <w:shd w:fill="CCEEFF" w:val="clear"/>
            <w:vAlign w:val="center"/>
          </w:tcPr>
          <w:p>
            <w:pPr>
              <w:pStyle w:val="TableContents"/>
              <w:bidi w:val="0"/>
              <w:spacing w:before="0" w:after="283"/>
              <w:jc w:val="left"/>
              <w:rPr/>
            </w:pPr>
            <w:r>
              <w:rPr/>
              <w:t> </w:t>
            </w:r>
          </w:p>
        </w:tc>
        <w:tc>
          <w:tcPr>
            <w:tcW w:w="1192" w:type="dxa"/>
            <w:tcBorders/>
            <w:shd w:fill="CCEEFF" w:val="clear"/>
            <w:vAlign w:val="center"/>
          </w:tcPr>
          <w:p>
            <w:pPr>
              <w:pStyle w:val="TableContents"/>
              <w:bidi w:val="0"/>
              <w:spacing w:before="0" w:after="283"/>
              <w:jc w:val="right"/>
              <w:rPr/>
            </w:pPr>
            <w:r>
              <w:rPr/>
              <w:t> </w:t>
            </w:r>
          </w:p>
        </w:tc>
        <w:tc>
          <w:tcPr>
            <w:tcW w:w="76" w:type="dxa"/>
            <w:tcBorders/>
            <w:shd w:fill="CCEEFF" w:val="clear"/>
            <w:vAlign w:val="center"/>
          </w:tcPr>
          <w:p>
            <w:pPr>
              <w:pStyle w:val="TableContents"/>
              <w:bidi w:val="0"/>
              <w:spacing w:before="0" w:after="283"/>
              <w:jc w:val="left"/>
              <w:rPr/>
            </w:pPr>
            <w:r>
              <w:rPr/>
              <w:t> </w:t>
            </w:r>
          </w:p>
        </w:tc>
      </w:tr>
      <w:tr>
        <w:trPr/>
        <w:tc>
          <w:tcPr>
            <w:tcW w:w="7116" w:type="dxa"/>
            <w:tcBorders/>
            <w:shd w:fill="FFFFFF" w:val="clear"/>
            <w:vAlign w:val="center"/>
          </w:tcPr>
          <w:p>
            <w:pPr>
              <w:pStyle w:val="TableContents"/>
              <w:bidi w:val="0"/>
              <w:spacing w:before="0" w:after="283"/>
              <w:jc w:val="both"/>
              <w:rPr>
                <w:b/>
                <w:i/>
              </w:rPr>
            </w:pPr>
            <w:r>
              <w:rPr>
                <w:b/>
                <w:i/>
              </w:rPr>
              <w:t>12.0% senior unsecured convertible notes and related derivative liabilities</w:t>
            </w:r>
          </w:p>
        </w:tc>
        <w:tc>
          <w:tcPr>
            <w:tcW w:w="60" w:type="dxa"/>
            <w:tcBorders/>
            <w:shd w:fill="FFFFFF" w:val="clear"/>
            <w:vAlign w:val="center"/>
          </w:tcPr>
          <w:p>
            <w:pPr>
              <w:pStyle w:val="TableContents"/>
              <w:bidi w:val="0"/>
              <w:spacing w:before="0" w:after="283"/>
              <w:jc w:val="left"/>
              <w:rPr/>
            </w:pPr>
            <w:r>
              <w:rPr/>
              <w:t> </w:t>
            </w:r>
          </w:p>
        </w:tc>
        <w:tc>
          <w:tcPr>
            <w:tcW w:w="207" w:type="dxa"/>
            <w:tcBorders/>
            <w:shd w:fill="FFFFFF" w:val="clear"/>
            <w:vAlign w:val="center"/>
          </w:tcPr>
          <w:p>
            <w:pPr>
              <w:pStyle w:val="TableContents"/>
              <w:bidi w:val="0"/>
              <w:spacing w:before="0" w:after="283"/>
              <w:jc w:val="left"/>
              <w:rPr/>
            </w:pPr>
            <w:r>
              <w:rPr/>
              <w:t> </w:t>
            </w:r>
          </w:p>
        </w:tc>
        <w:tc>
          <w:tcPr>
            <w:tcW w:w="1192"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7" w:type="dxa"/>
            <w:tcBorders/>
            <w:shd w:fill="FFFFFF" w:val="clear"/>
            <w:vAlign w:val="center"/>
          </w:tcPr>
          <w:p>
            <w:pPr>
              <w:pStyle w:val="TableContents"/>
              <w:bidi w:val="0"/>
              <w:spacing w:before="0" w:after="283"/>
              <w:jc w:val="left"/>
              <w:rPr/>
            </w:pPr>
            <w:r>
              <w:rPr/>
              <w:t> </w:t>
            </w:r>
          </w:p>
        </w:tc>
        <w:tc>
          <w:tcPr>
            <w:tcW w:w="1192" w:type="dxa"/>
            <w:tcBorders/>
            <w:shd w:fill="FFFFFF" w:val="clear"/>
            <w:vAlign w:val="center"/>
          </w:tcPr>
          <w:p>
            <w:pPr>
              <w:pStyle w:val="TableContents"/>
              <w:bidi w:val="0"/>
              <w:spacing w:before="0" w:after="283"/>
              <w:jc w:val="right"/>
              <w:rPr/>
            </w:pPr>
            <w:r>
              <w:rPr/>
              <w:t> </w:t>
            </w:r>
          </w:p>
        </w:tc>
        <w:tc>
          <w:tcPr>
            <w:tcW w:w="76" w:type="dxa"/>
            <w:tcBorders/>
            <w:shd w:fill="FFFFFF" w:val="clear"/>
            <w:vAlign w:val="center"/>
          </w:tcPr>
          <w:p>
            <w:pPr>
              <w:pStyle w:val="TableContents"/>
              <w:bidi w:val="0"/>
              <w:spacing w:before="0" w:after="283"/>
              <w:jc w:val="left"/>
              <w:rPr/>
            </w:pPr>
            <w:r>
              <w:rPr/>
              <w:t> </w:t>
            </w:r>
          </w:p>
        </w:tc>
      </w:tr>
      <w:tr>
        <w:trPr/>
        <w:tc>
          <w:tcPr>
            <w:tcW w:w="7116" w:type="dxa"/>
            <w:tcBorders/>
            <w:shd w:fill="CCEEFF" w:val="clear"/>
            <w:vAlign w:val="center"/>
          </w:tcPr>
          <w:p>
            <w:pPr>
              <w:pStyle w:val="TableContents"/>
              <w:bidi w:val="0"/>
              <w:spacing w:before="0" w:after="283"/>
              <w:jc w:val="both"/>
              <w:rPr/>
            </w:pPr>
            <w:r>
              <w:rPr/>
              <w:t>July 2024 Notes</w:t>
            </w:r>
          </w:p>
        </w:tc>
        <w:tc>
          <w:tcPr>
            <w:tcW w:w="60" w:type="dxa"/>
            <w:tcBorders/>
            <w:shd w:fill="CCEEFF" w:val="clear"/>
            <w:vAlign w:val="center"/>
          </w:tcPr>
          <w:p>
            <w:pPr>
              <w:pStyle w:val="TableContents"/>
              <w:bidi w:val="0"/>
              <w:spacing w:before="0" w:after="283"/>
              <w:jc w:val="left"/>
              <w:rPr/>
            </w:pPr>
            <w:r>
              <w:rPr/>
              <w:t> </w:t>
            </w:r>
          </w:p>
        </w:tc>
        <w:tc>
          <w:tcPr>
            <w:tcW w:w="207" w:type="dxa"/>
            <w:tcBorders/>
            <w:shd w:fill="CCEEFF" w:val="clear"/>
            <w:vAlign w:val="center"/>
          </w:tcPr>
          <w:p>
            <w:pPr>
              <w:pStyle w:val="TableContents"/>
              <w:bidi w:val="0"/>
              <w:spacing w:before="0" w:after="283"/>
              <w:jc w:val="left"/>
              <w:rPr/>
            </w:pPr>
            <w:r>
              <w:rPr/>
              <w:t>$</w:t>
            </w:r>
          </w:p>
        </w:tc>
        <w:tc>
          <w:tcPr>
            <w:tcW w:w="1192" w:type="dxa"/>
            <w:tcBorders/>
            <w:shd w:fill="CCEEFF" w:val="clear"/>
            <w:vAlign w:val="center"/>
          </w:tcPr>
          <w:p>
            <w:pPr>
              <w:pStyle w:val="TableContents"/>
              <w:bidi w:val="0"/>
              <w:spacing w:before="0" w:after="283"/>
              <w:jc w:val="right"/>
              <w:rPr/>
            </w:pPr>
            <w:r>
              <w:rPr/>
              <w:t>32,969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7" w:type="dxa"/>
            <w:tcBorders/>
            <w:shd w:fill="CCEEFF" w:val="clear"/>
            <w:vAlign w:val="center"/>
          </w:tcPr>
          <w:p>
            <w:pPr>
              <w:pStyle w:val="TableContents"/>
              <w:bidi w:val="0"/>
              <w:spacing w:before="0" w:after="283"/>
              <w:jc w:val="left"/>
              <w:rPr/>
            </w:pPr>
            <w:r>
              <w:rPr/>
              <w:t>$</w:t>
            </w:r>
          </w:p>
        </w:tc>
        <w:tc>
          <w:tcPr>
            <w:tcW w:w="1192" w:type="dxa"/>
            <w:tcBorders/>
            <w:shd w:fill="CCEEFF" w:val="clear"/>
            <w:vAlign w:val="center"/>
          </w:tcPr>
          <w:p>
            <w:pPr>
              <w:pStyle w:val="TableContents"/>
              <w:bidi w:val="0"/>
              <w:spacing w:before="0" w:after="283"/>
              <w:jc w:val="right"/>
              <w:rPr/>
            </w:pPr>
            <w:r>
              <w:rPr/>
              <w:t>17,965</w:t>
            </w:r>
          </w:p>
        </w:tc>
        <w:tc>
          <w:tcPr>
            <w:tcW w:w="76" w:type="dxa"/>
            <w:tcBorders/>
            <w:shd w:fill="CCEEFF" w:val="clear"/>
            <w:vAlign w:val="center"/>
          </w:tcPr>
          <w:p>
            <w:pPr>
              <w:pStyle w:val="TableContents"/>
              <w:bidi w:val="0"/>
              <w:spacing w:before="0" w:after="283"/>
              <w:jc w:val="left"/>
              <w:rPr/>
            </w:pPr>
            <w:r>
              <w:rPr/>
              <w:t> </w:t>
            </w:r>
          </w:p>
        </w:tc>
      </w:tr>
      <w:tr>
        <w:trPr/>
        <w:tc>
          <w:tcPr>
            <w:tcW w:w="7116" w:type="dxa"/>
            <w:tcBorders/>
            <w:shd w:fill="FFFFFF" w:val="clear"/>
            <w:vAlign w:val="center"/>
          </w:tcPr>
          <w:p>
            <w:pPr>
              <w:pStyle w:val="TableContents"/>
              <w:bidi w:val="0"/>
              <w:spacing w:before="0" w:after="283"/>
              <w:jc w:val="both"/>
              <w:rPr/>
            </w:pPr>
            <w:r>
              <w:rPr/>
              <w:t>July 2024 Notes – related parties</w:t>
            </w:r>
          </w:p>
        </w:tc>
        <w:tc>
          <w:tcPr>
            <w:tcW w:w="60" w:type="dxa"/>
            <w:tcBorders/>
            <w:shd w:fill="FFFFFF" w:val="clear"/>
            <w:vAlign w:val="center"/>
          </w:tcPr>
          <w:p>
            <w:pPr>
              <w:pStyle w:val="TableContents"/>
              <w:bidi w:val="0"/>
              <w:spacing w:before="0" w:after="283"/>
              <w:jc w:val="left"/>
              <w:rPr/>
            </w:pPr>
            <w:r>
              <w:rPr/>
              <w:t> </w:t>
            </w:r>
          </w:p>
        </w:tc>
        <w:tc>
          <w:tcPr>
            <w:tcW w:w="207"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92" w:type="dxa"/>
            <w:tcBorders>
              <w:bottom w:val="single" w:sz="12" w:space="0" w:color="000000"/>
            </w:tcBorders>
            <w:shd w:fill="FFFFFF" w:val="clear"/>
            <w:tcMar>
              <w:bottom w:w="28" w:type="dxa"/>
            </w:tcMar>
            <w:vAlign w:val="center"/>
          </w:tcPr>
          <w:p>
            <w:pPr>
              <w:pStyle w:val="TableContents"/>
              <w:bidi w:val="0"/>
              <w:spacing w:before="0" w:after="283"/>
              <w:jc w:val="right"/>
              <w:rPr/>
            </w:pPr>
            <w:r>
              <w:rPr/>
              <w:t>7,631</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7"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92" w:type="dxa"/>
            <w:tcBorders>
              <w:bottom w:val="single" w:sz="12" w:space="0" w:color="000000"/>
            </w:tcBorders>
            <w:shd w:fill="FFFFFF" w:val="clear"/>
            <w:tcMar>
              <w:bottom w:w="28" w:type="dxa"/>
            </w:tcMar>
            <w:vAlign w:val="center"/>
          </w:tcPr>
          <w:p>
            <w:pPr>
              <w:pStyle w:val="TableContents"/>
              <w:bidi w:val="0"/>
              <w:spacing w:before="0" w:after="283"/>
              <w:jc w:val="right"/>
              <w:rPr/>
            </w:pPr>
            <w:r>
              <w:rPr/>
              <w:t>24,632</w:t>
            </w:r>
          </w:p>
        </w:tc>
        <w:tc>
          <w:tcPr>
            <w:tcW w:w="76" w:type="dxa"/>
            <w:tcBorders/>
            <w:shd w:fill="FFFFFF" w:val="clear"/>
            <w:vAlign w:val="center"/>
          </w:tcPr>
          <w:p>
            <w:pPr>
              <w:pStyle w:val="TableContents"/>
              <w:bidi w:val="0"/>
              <w:spacing w:before="0" w:after="283"/>
              <w:jc w:val="left"/>
              <w:rPr/>
            </w:pPr>
            <w:r>
              <w:rPr/>
              <w:t> </w:t>
            </w:r>
          </w:p>
        </w:tc>
      </w:tr>
      <w:tr>
        <w:trPr/>
        <w:tc>
          <w:tcPr>
            <w:tcW w:w="7116" w:type="dxa"/>
            <w:tcBorders/>
            <w:shd w:fill="CCEEFF" w:val="clear"/>
            <w:vAlign w:val="center"/>
          </w:tcPr>
          <w:p>
            <w:pPr>
              <w:pStyle w:val="TableContents"/>
              <w:bidi w:val="0"/>
              <w:spacing w:before="0" w:after="283"/>
              <w:jc w:val="both"/>
              <w:rPr/>
            </w:pPr>
            <w:r>
              <w:rPr/>
              <w:t>Subtotal July 2024 Notes</w:t>
            </w:r>
          </w:p>
        </w:tc>
        <w:tc>
          <w:tcPr>
            <w:tcW w:w="60" w:type="dxa"/>
            <w:tcBorders/>
            <w:shd w:fill="CCEEFF" w:val="clear"/>
            <w:vAlign w:val="center"/>
          </w:tcPr>
          <w:p>
            <w:pPr>
              <w:pStyle w:val="TableContents"/>
              <w:bidi w:val="0"/>
              <w:spacing w:before="0" w:after="283"/>
              <w:jc w:val="left"/>
              <w:rPr/>
            </w:pPr>
            <w:r>
              <w:rPr/>
              <w:t> </w:t>
            </w:r>
          </w:p>
        </w:tc>
        <w:tc>
          <w:tcPr>
            <w:tcW w:w="207"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92" w:type="dxa"/>
            <w:tcBorders>
              <w:bottom w:val="single" w:sz="12" w:space="0" w:color="000000"/>
            </w:tcBorders>
            <w:shd w:fill="CCEEFF" w:val="clear"/>
            <w:tcMar>
              <w:bottom w:w="28" w:type="dxa"/>
            </w:tcMar>
            <w:vAlign w:val="center"/>
          </w:tcPr>
          <w:p>
            <w:pPr>
              <w:pStyle w:val="TableContents"/>
              <w:bidi w:val="0"/>
              <w:spacing w:before="0" w:after="283"/>
              <w:jc w:val="right"/>
              <w:rPr/>
            </w:pPr>
            <w:r>
              <w:rPr/>
              <w:t>40,600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7"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92" w:type="dxa"/>
            <w:tcBorders>
              <w:bottom w:val="single" w:sz="12" w:space="0" w:color="000000"/>
            </w:tcBorders>
            <w:shd w:fill="CCEEFF" w:val="clear"/>
            <w:tcMar>
              <w:bottom w:w="28" w:type="dxa"/>
            </w:tcMar>
            <w:vAlign w:val="center"/>
          </w:tcPr>
          <w:p>
            <w:pPr>
              <w:pStyle w:val="TableContents"/>
              <w:bidi w:val="0"/>
              <w:spacing w:before="0" w:after="283"/>
              <w:jc w:val="right"/>
              <w:rPr/>
            </w:pPr>
            <w:r>
              <w:rPr/>
              <w:t>42,597</w:t>
            </w:r>
          </w:p>
        </w:tc>
        <w:tc>
          <w:tcPr>
            <w:tcW w:w="76" w:type="dxa"/>
            <w:tcBorders/>
            <w:shd w:fill="CCEEFF" w:val="clear"/>
            <w:vAlign w:val="center"/>
          </w:tcPr>
          <w:p>
            <w:pPr>
              <w:pStyle w:val="TableContents"/>
              <w:bidi w:val="0"/>
              <w:spacing w:before="0" w:after="283"/>
              <w:jc w:val="left"/>
              <w:rPr/>
            </w:pPr>
            <w:r>
              <w:rPr/>
              <w:t> </w:t>
            </w:r>
          </w:p>
        </w:tc>
      </w:tr>
      <w:tr>
        <w:trPr/>
        <w:tc>
          <w:tcPr>
            <w:tcW w:w="7116" w:type="dxa"/>
            <w:tcBorders/>
            <w:shd w:fill="FFFFFF" w:val="clear"/>
            <w:vAlign w:val="center"/>
          </w:tcPr>
          <w:p>
            <w:pPr>
              <w:pStyle w:val="TableContents"/>
              <w:bidi w:val="0"/>
              <w:spacing w:before="0" w:after="283"/>
              <w:jc w:val="both"/>
              <w:rPr/>
            </w:pPr>
            <w:r>
              <w:rPr/>
              <w:t>July 2025 Note – related party</w:t>
            </w:r>
          </w:p>
        </w:tc>
        <w:tc>
          <w:tcPr>
            <w:tcW w:w="60" w:type="dxa"/>
            <w:tcBorders/>
            <w:shd w:fill="FFFFFF" w:val="clear"/>
            <w:vAlign w:val="center"/>
          </w:tcPr>
          <w:p>
            <w:pPr>
              <w:pStyle w:val="TableContents"/>
              <w:bidi w:val="0"/>
              <w:spacing w:before="0" w:after="283"/>
              <w:jc w:val="left"/>
              <w:rPr/>
            </w:pPr>
            <w:r>
              <w:rPr/>
              <w:t> </w:t>
            </w:r>
          </w:p>
        </w:tc>
        <w:tc>
          <w:tcPr>
            <w:tcW w:w="207" w:type="dxa"/>
            <w:tcBorders/>
            <w:shd w:fill="FFFFFF" w:val="clear"/>
            <w:vAlign w:val="center"/>
          </w:tcPr>
          <w:p>
            <w:pPr>
              <w:pStyle w:val="TableContents"/>
              <w:bidi w:val="0"/>
              <w:spacing w:before="0" w:after="283"/>
              <w:jc w:val="left"/>
              <w:rPr/>
            </w:pPr>
            <w:r>
              <w:rPr/>
              <w:t> </w:t>
            </w:r>
          </w:p>
        </w:tc>
        <w:tc>
          <w:tcPr>
            <w:tcW w:w="1192" w:type="dxa"/>
            <w:tcBorders/>
            <w:shd w:fill="FFFFFF" w:val="clear"/>
            <w:vAlign w:val="center"/>
          </w:tcPr>
          <w:p>
            <w:pPr>
              <w:pStyle w:val="TableContents"/>
              <w:bidi w:val="0"/>
              <w:spacing w:before="0" w:after="283"/>
              <w:jc w:val="right"/>
              <w:rPr/>
            </w:pPr>
            <w:r>
              <w:rPr/>
              <w:t>1,443</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7" w:type="dxa"/>
            <w:tcBorders/>
            <w:shd w:fill="FFFFFF" w:val="clear"/>
            <w:vAlign w:val="center"/>
          </w:tcPr>
          <w:p>
            <w:pPr>
              <w:pStyle w:val="TableContents"/>
              <w:bidi w:val="0"/>
              <w:spacing w:before="0" w:after="283"/>
              <w:jc w:val="left"/>
              <w:rPr/>
            </w:pPr>
            <w:r>
              <w:rPr/>
              <w:t> </w:t>
            </w:r>
          </w:p>
        </w:tc>
        <w:tc>
          <w:tcPr>
            <w:tcW w:w="1192" w:type="dxa"/>
            <w:tcBorders/>
            <w:shd w:fill="FFFFFF" w:val="clear"/>
            <w:vAlign w:val="center"/>
          </w:tcPr>
          <w:p>
            <w:pPr>
              <w:pStyle w:val="TableContents"/>
              <w:bidi w:val="0"/>
              <w:spacing w:before="0" w:after="283"/>
              <w:jc w:val="right"/>
              <w:rPr/>
            </w:pPr>
            <w:r>
              <w:rPr/>
              <w:t>—</w:t>
            </w:r>
          </w:p>
        </w:tc>
        <w:tc>
          <w:tcPr>
            <w:tcW w:w="76" w:type="dxa"/>
            <w:tcBorders/>
            <w:shd w:fill="FFFFFF" w:val="clear"/>
            <w:vAlign w:val="center"/>
          </w:tcPr>
          <w:p>
            <w:pPr>
              <w:pStyle w:val="TableContents"/>
              <w:bidi w:val="0"/>
              <w:spacing w:before="0" w:after="283"/>
              <w:jc w:val="left"/>
              <w:rPr/>
            </w:pPr>
            <w:r>
              <w:rPr/>
              <w:t> </w:t>
            </w:r>
          </w:p>
        </w:tc>
      </w:tr>
      <w:tr>
        <w:trPr/>
        <w:tc>
          <w:tcPr>
            <w:tcW w:w="7116" w:type="dxa"/>
            <w:tcBorders/>
            <w:shd w:fill="CCEEFF" w:val="clear"/>
            <w:vAlign w:val="center"/>
          </w:tcPr>
          <w:p>
            <w:pPr>
              <w:pStyle w:val="TableContents"/>
              <w:bidi w:val="0"/>
              <w:spacing w:before="0" w:after="283"/>
              <w:jc w:val="both"/>
              <w:rPr/>
            </w:pPr>
            <w:r>
              <w:rPr/>
              <w:t>November 2025 Note – related party</w:t>
            </w:r>
          </w:p>
        </w:tc>
        <w:tc>
          <w:tcPr>
            <w:tcW w:w="60" w:type="dxa"/>
            <w:tcBorders/>
            <w:shd w:fill="CCEEFF" w:val="clear"/>
            <w:vAlign w:val="center"/>
          </w:tcPr>
          <w:p>
            <w:pPr>
              <w:pStyle w:val="TableContents"/>
              <w:bidi w:val="0"/>
              <w:spacing w:before="0" w:after="283"/>
              <w:jc w:val="left"/>
              <w:rPr/>
            </w:pPr>
            <w:r>
              <w:rPr/>
              <w:t> </w:t>
            </w:r>
          </w:p>
        </w:tc>
        <w:tc>
          <w:tcPr>
            <w:tcW w:w="207" w:type="dxa"/>
            <w:tcBorders/>
            <w:shd w:fill="CCEEFF" w:val="clear"/>
            <w:vAlign w:val="center"/>
          </w:tcPr>
          <w:p>
            <w:pPr>
              <w:pStyle w:val="TableContents"/>
              <w:bidi w:val="0"/>
              <w:spacing w:before="0" w:after="283"/>
              <w:jc w:val="left"/>
              <w:rPr/>
            </w:pPr>
            <w:r>
              <w:rPr/>
              <w:t> </w:t>
            </w:r>
          </w:p>
        </w:tc>
        <w:tc>
          <w:tcPr>
            <w:tcW w:w="1192" w:type="dxa"/>
            <w:tcBorders/>
            <w:shd w:fill="CCEEFF" w:val="clear"/>
            <w:vAlign w:val="center"/>
          </w:tcPr>
          <w:p>
            <w:pPr>
              <w:pStyle w:val="TableContents"/>
              <w:bidi w:val="0"/>
              <w:spacing w:before="0" w:after="283"/>
              <w:jc w:val="right"/>
              <w:rPr/>
            </w:pPr>
            <w:r>
              <w:rPr/>
              <w:t>491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7" w:type="dxa"/>
            <w:tcBorders/>
            <w:shd w:fill="CCEEFF" w:val="clear"/>
            <w:vAlign w:val="center"/>
          </w:tcPr>
          <w:p>
            <w:pPr>
              <w:pStyle w:val="TableContents"/>
              <w:bidi w:val="0"/>
              <w:spacing w:before="0" w:after="283"/>
              <w:jc w:val="left"/>
              <w:rPr/>
            </w:pPr>
            <w:r>
              <w:rPr/>
              <w:t> </w:t>
            </w:r>
          </w:p>
        </w:tc>
        <w:tc>
          <w:tcPr>
            <w:tcW w:w="1192" w:type="dxa"/>
            <w:tcBorders/>
            <w:shd w:fill="CCEEFF" w:val="clear"/>
            <w:vAlign w:val="center"/>
          </w:tcPr>
          <w:p>
            <w:pPr>
              <w:pStyle w:val="TableContents"/>
              <w:bidi w:val="0"/>
              <w:spacing w:before="0" w:after="283"/>
              <w:jc w:val="right"/>
              <w:rPr/>
            </w:pPr>
            <w:r>
              <w:rPr/>
              <w:t>—</w:t>
            </w:r>
          </w:p>
        </w:tc>
        <w:tc>
          <w:tcPr>
            <w:tcW w:w="76" w:type="dxa"/>
            <w:tcBorders/>
            <w:shd w:fill="CCEEFF" w:val="clear"/>
            <w:vAlign w:val="center"/>
          </w:tcPr>
          <w:p>
            <w:pPr>
              <w:pStyle w:val="TableContents"/>
              <w:bidi w:val="0"/>
              <w:spacing w:before="0" w:after="283"/>
              <w:jc w:val="left"/>
              <w:rPr/>
            </w:pPr>
            <w:r>
              <w:rPr/>
              <w:t> </w:t>
            </w:r>
          </w:p>
        </w:tc>
      </w:tr>
      <w:tr>
        <w:trPr/>
        <w:tc>
          <w:tcPr>
            <w:tcW w:w="7116" w:type="dxa"/>
            <w:tcBorders/>
            <w:shd w:fill="FFFFFF" w:val="clear"/>
            <w:vAlign w:val="center"/>
          </w:tcPr>
          <w:p>
            <w:pPr>
              <w:pStyle w:val="TableContents"/>
              <w:bidi w:val="0"/>
              <w:spacing w:before="0" w:after="283"/>
              <w:jc w:val="both"/>
              <w:rPr/>
            </w:pPr>
            <w:r>
              <w:rPr/>
              <w:t> </w:t>
            </w:r>
          </w:p>
        </w:tc>
        <w:tc>
          <w:tcPr>
            <w:tcW w:w="60" w:type="dxa"/>
            <w:tcBorders/>
            <w:shd w:fill="FFFFFF" w:val="clear"/>
            <w:vAlign w:val="center"/>
          </w:tcPr>
          <w:p>
            <w:pPr>
              <w:pStyle w:val="TableContents"/>
              <w:bidi w:val="0"/>
              <w:spacing w:before="0" w:after="283"/>
              <w:jc w:val="left"/>
              <w:rPr/>
            </w:pPr>
            <w:r>
              <w:rPr/>
              <w:t> </w:t>
            </w:r>
          </w:p>
        </w:tc>
        <w:tc>
          <w:tcPr>
            <w:tcW w:w="207" w:type="dxa"/>
            <w:tcBorders/>
            <w:shd w:fill="FFFFFF" w:val="clear"/>
            <w:vAlign w:val="center"/>
          </w:tcPr>
          <w:p>
            <w:pPr>
              <w:pStyle w:val="TableContents"/>
              <w:bidi w:val="0"/>
              <w:spacing w:before="0" w:after="283"/>
              <w:jc w:val="left"/>
              <w:rPr/>
            </w:pPr>
            <w:r>
              <w:rPr/>
              <w:t> </w:t>
            </w:r>
          </w:p>
        </w:tc>
        <w:tc>
          <w:tcPr>
            <w:tcW w:w="1192"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7" w:type="dxa"/>
            <w:tcBorders/>
            <w:shd w:fill="FFFFFF" w:val="clear"/>
            <w:vAlign w:val="center"/>
          </w:tcPr>
          <w:p>
            <w:pPr>
              <w:pStyle w:val="TableContents"/>
              <w:bidi w:val="0"/>
              <w:spacing w:before="0" w:after="283"/>
              <w:jc w:val="left"/>
              <w:rPr/>
            </w:pPr>
            <w:r>
              <w:rPr/>
              <w:t> </w:t>
            </w:r>
          </w:p>
        </w:tc>
        <w:tc>
          <w:tcPr>
            <w:tcW w:w="1192" w:type="dxa"/>
            <w:tcBorders/>
            <w:shd w:fill="FFFFFF" w:val="clear"/>
            <w:vAlign w:val="center"/>
          </w:tcPr>
          <w:p>
            <w:pPr>
              <w:pStyle w:val="TableContents"/>
              <w:bidi w:val="0"/>
              <w:spacing w:before="0" w:after="283"/>
              <w:jc w:val="right"/>
              <w:rPr/>
            </w:pPr>
            <w:r>
              <w:rPr/>
              <w:t> </w:t>
            </w:r>
          </w:p>
        </w:tc>
        <w:tc>
          <w:tcPr>
            <w:tcW w:w="76" w:type="dxa"/>
            <w:tcBorders/>
            <w:shd w:fill="FFFFFF" w:val="clear"/>
            <w:vAlign w:val="center"/>
          </w:tcPr>
          <w:p>
            <w:pPr>
              <w:pStyle w:val="TableContents"/>
              <w:bidi w:val="0"/>
              <w:spacing w:before="0" w:after="283"/>
              <w:jc w:val="left"/>
              <w:rPr/>
            </w:pPr>
            <w:r>
              <w:rPr/>
              <w:t> </w:t>
            </w:r>
          </w:p>
        </w:tc>
      </w:tr>
      <w:tr>
        <w:trPr/>
        <w:tc>
          <w:tcPr>
            <w:tcW w:w="7116" w:type="dxa"/>
            <w:tcBorders/>
            <w:shd w:fill="CCEEFF" w:val="clear"/>
            <w:vAlign w:val="center"/>
          </w:tcPr>
          <w:p>
            <w:pPr>
              <w:pStyle w:val="TableContents"/>
              <w:bidi w:val="0"/>
              <w:spacing w:before="0" w:after="283"/>
              <w:jc w:val="both"/>
              <w:rPr/>
            </w:pPr>
            <w:r>
              <w:rPr/>
              <w:t>July 2024 Notes derivative liability</w:t>
            </w:r>
          </w:p>
        </w:tc>
        <w:tc>
          <w:tcPr>
            <w:tcW w:w="60" w:type="dxa"/>
            <w:tcBorders/>
            <w:shd w:fill="CCEEFF" w:val="clear"/>
            <w:vAlign w:val="center"/>
          </w:tcPr>
          <w:p>
            <w:pPr>
              <w:pStyle w:val="TableContents"/>
              <w:bidi w:val="0"/>
              <w:spacing w:before="0" w:after="283"/>
              <w:jc w:val="left"/>
              <w:rPr/>
            </w:pPr>
            <w:r>
              <w:rPr/>
              <w:t> </w:t>
            </w:r>
          </w:p>
        </w:tc>
        <w:tc>
          <w:tcPr>
            <w:tcW w:w="207" w:type="dxa"/>
            <w:tcBorders/>
            <w:shd w:fill="CCEEFF" w:val="clear"/>
            <w:vAlign w:val="center"/>
          </w:tcPr>
          <w:p>
            <w:pPr>
              <w:pStyle w:val="TableContents"/>
              <w:bidi w:val="0"/>
              <w:spacing w:before="0" w:after="283"/>
              <w:jc w:val="left"/>
              <w:rPr/>
            </w:pPr>
            <w:r>
              <w:rPr/>
              <w:t> </w:t>
            </w:r>
          </w:p>
        </w:tc>
        <w:tc>
          <w:tcPr>
            <w:tcW w:w="1192" w:type="dxa"/>
            <w:tcBorders/>
            <w:shd w:fill="CCEEFF" w:val="clear"/>
            <w:vAlign w:val="center"/>
          </w:tcPr>
          <w:p>
            <w:pPr>
              <w:pStyle w:val="TableContents"/>
              <w:bidi w:val="0"/>
              <w:spacing w:before="0" w:after="283"/>
              <w:jc w:val="right"/>
              <w:rPr/>
            </w:pPr>
            <w:r>
              <w:rPr/>
              <w:t>19,604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7" w:type="dxa"/>
            <w:tcBorders/>
            <w:shd w:fill="CCEEFF" w:val="clear"/>
            <w:vAlign w:val="center"/>
          </w:tcPr>
          <w:p>
            <w:pPr>
              <w:pStyle w:val="TableContents"/>
              <w:bidi w:val="0"/>
              <w:spacing w:before="0" w:after="283"/>
              <w:jc w:val="left"/>
              <w:rPr/>
            </w:pPr>
            <w:r>
              <w:rPr/>
              <w:t> </w:t>
            </w:r>
          </w:p>
        </w:tc>
        <w:tc>
          <w:tcPr>
            <w:tcW w:w="1192" w:type="dxa"/>
            <w:tcBorders/>
            <w:shd w:fill="CCEEFF" w:val="clear"/>
            <w:vAlign w:val="center"/>
          </w:tcPr>
          <w:p>
            <w:pPr>
              <w:pStyle w:val="TableContents"/>
              <w:bidi w:val="0"/>
              <w:spacing w:before="0" w:after="283"/>
              <w:jc w:val="right"/>
              <w:rPr/>
            </w:pPr>
            <w:r>
              <w:rPr/>
              <w:t>13,563</w:t>
            </w:r>
          </w:p>
        </w:tc>
        <w:tc>
          <w:tcPr>
            <w:tcW w:w="76" w:type="dxa"/>
            <w:tcBorders/>
            <w:shd w:fill="CCEEFF" w:val="clear"/>
            <w:vAlign w:val="center"/>
          </w:tcPr>
          <w:p>
            <w:pPr>
              <w:pStyle w:val="TableContents"/>
              <w:bidi w:val="0"/>
              <w:spacing w:before="0" w:after="283"/>
              <w:jc w:val="left"/>
              <w:rPr/>
            </w:pPr>
            <w:r>
              <w:rPr/>
              <w:t> </w:t>
            </w:r>
          </w:p>
        </w:tc>
      </w:tr>
      <w:tr>
        <w:trPr/>
        <w:tc>
          <w:tcPr>
            <w:tcW w:w="7116" w:type="dxa"/>
            <w:tcBorders/>
            <w:shd w:fill="FFFFFF" w:val="clear"/>
            <w:vAlign w:val="center"/>
          </w:tcPr>
          <w:p>
            <w:pPr>
              <w:pStyle w:val="TableContents"/>
              <w:bidi w:val="0"/>
              <w:spacing w:before="0" w:after="283"/>
              <w:jc w:val="both"/>
              <w:rPr/>
            </w:pPr>
            <w:r>
              <w:rPr/>
              <w:t>July 2024 Notes derivative liability – related party</w:t>
            </w:r>
          </w:p>
        </w:tc>
        <w:tc>
          <w:tcPr>
            <w:tcW w:w="60" w:type="dxa"/>
            <w:tcBorders/>
            <w:shd w:fill="FFFFFF" w:val="clear"/>
            <w:vAlign w:val="center"/>
          </w:tcPr>
          <w:p>
            <w:pPr>
              <w:pStyle w:val="TableContents"/>
              <w:bidi w:val="0"/>
              <w:spacing w:before="0" w:after="283"/>
              <w:jc w:val="left"/>
              <w:rPr/>
            </w:pPr>
            <w:r>
              <w:rPr/>
              <w:t> </w:t>
            </w:r>
          </w:p>
        </w:tc>
        <w:tc>
          <w:tcPr>
            <w:tcW w:w="207"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92" w:type="dxa"/>
            <w:tcBorders>
              <w:bottom w:val="single" w:sz="12" w:space="0" w:color="000000"/>
            </w:tcBorders>
            <w:shd w:fill="FFFFFF" w:val="clear"/>
            <w:tcMar>
              <w:bottom w:w="28" w:type="dxa"/>
            </w:tcMar>
            <w:vAlign w:val="center"/>
          </w:tcPr>
          <w:p>
            <w:pPr>
              <w:pStyle w:val="TableContents"/>
              <w:bidi w:val="0"/>
              <w:spacing w:before="0" w:after="283"/>
              <w:jc w:val="right"/>
              <w:rPr/>
            </w:pPr>
            <w:r>
              <w:rPr/>
              <w:t>12,615</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7"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92" w:type="dxa"/>
            <w:tcBorders>
              <w:bottom w:val="single" w:sz="12" w:space="0" w:color="000000"/>
            </w:tcBorders>
            <w:shd w:fill="FFFFFF" w:val="clear"/>
            <w:tcMar>
              <w:bottom w:w="28" w:type="dxa"/>
            </w:tcMar>
            <w:vAlign w:val="center"/>
          </w:tcPr>
          <w:p>
            <w:pPr>
              <w:pStyle w:val="TableContents"/>
              <w:bidi w:val="0"/>
              <w:spacing w:before="0" w:after="283"/>
              <w:jc w:val="right"/>
              <w:rPr/>
            </w:pPr>
            <w:r>
              <w:rPr/>
              <w:t>21,127</w:t>
            </w:r>
          </w:p>
        </w:tc>
        <w:tc>
          <w:tcPr>
            <w:tcW w:w="76" w:type="dxa"/>
            <w:tcBorders/>
            <w:shd w:fill="FFFFFF" w:val="clear"/>
            <w:vAlign w:val="center"/>
          </w:tcPr>
          <w:p>
            <w:pPr>
              <w:pStyle w:val="TableContents"/>
              <w:bidi w:val="0"/>
              <w:spacing w:before="0" w:after="283"/>
              <w:jc w:val="left"/>
              <w:rPr/>
            </w:pPr>
            <w:r>
              <w:rPr/>
              <w:t> </w:t>
            </w:r>
          </w:p>
        </w:tc>
      </w:tr>
      <w:tr>
        <w:trPr/>
        <w:tc>
          <w:tcPr>
            <w:tcW w:w="7116" w:type="dxa"/>
            <w:tcBorders/>
            <w:shd w:fill="CCEEFF" w:val="clear"/>
            <w:vAlign w:val="center"/>
          </w:tcPr>
          <w:p>
            <w:pPr>
              <w:pStyle w:val="TableContents"/>
              <w:bidi w:val="0"/>
              <w:spacing w:before="0" w:after="283"/>
              <w:jc w:val="both"/>
              <w:rPr/>
            </w:pPr>
            <w:r>
              <w:rPr/>
              <w:t>Subtotal July 2024 Notes derivative liability</w:t>
            </w:r>
          </w:p>
        </w:tc>
        <w:tc>
          <w:tcPr>
            <w:tcW w:w="60" w:type="dxa"/>
            <w:tcBorders/>
            <w:shd w:fill="CCEEFF" w:val="clear"/>
            <w:vAlign w:val="center"/>
          </w:tcPr>
          <w:p>
            <w:pPr>
              <w:pStyle w:val="TableContents"/>
              <w:bidi w:val="0"/>
              <w:spacing w:before="0" w:after="283"/>
              <w:jc w:val="left"/>
              <w:rPr/>
            </w:pPr>
            <w:r>
              <w:rPr/>
              <w:t> </w:t>
            </w:r>
          </w:p>
        </w:tc>
        <w:tc>
          <w:tcPr>
            <w:tcW w:w="207"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92" w:type="dxa"/>
            <w:tcBorders>
              <w:bottom w:val="single" w:sz="12" w:space="0" w:color="000000"/>
            </w:tcBorders>
            <w:shd w:fill="CCEEFF" w:val="clear"/>
            <w:tcMar>
              <w:bottom w:w="28" w:type="dxa"/>
            </w:tcMar>
            <w:vAlign w:val="center"/>
          </w:tcPr>
          <w:p>
            <w:pPr>
              <w:pStyle w:val="TableContents"/>
              <w:bidi w:val="0"/>
              <w:spacing w:before="0" w:after="283"/>
              <w:jc w:val="right"/>
              <w:rPr/>
            </w:pPr>
            <w:r>
              <w:rPr/>
              <w:t>32,219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7"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92" w:type="dxa"/>
            <w:tcBorders>
              <w:bottom w:val="single" w:sz="12" w:space="0" w:color="000000"/>
            </w:tcBorders>
            <w:shd w:fill="CCEEFF" w:val="clear"/>
            <w:tcMar>
              <w:bottom w:w="28" w:type="dxa"/>
            </w:tcMar>
            <w:vAlign w:val="center"/>
          </w:tcPr>
          <w:p>
            <w:pPr>
              <w:pStyle w:val="TableContents"/>
              <w:bidi w:val="0"/>
              <w:spacing w:before="0" w:after="283"/>
              <w:jc w:val="right"/>
              <w:rPr/>
            </w:pPr>
            <w:r>
              <w:rPr/>
              <w:t>34,690</w:t>
            </w:r>
          </w:p>
        </w:tc>
        <w:tc>
          <w:tcPr>
            <w:tcW w:w="76" w:type="dxa"/>
            <w:tcBorders/>
            <w:shd w:fill="CCEEFF" w:val="clear"/>
            <w:vAlign w:val="center"/>
          </w:tcPr>
          <w:p>
            <w:pPr>
              <w:pStyle w:val="TableContents"/>
              <w:bidi w:val="0"/>
              <w:spacing w:before="0" w:after="283"/>
              <w:jc w:val="left"/>
              <w:rPr/>
            </w:pPr>
            <w:r>
              <w:rPr/>
              <w:t> </w:t>
            </w:r>
          </w:p>
        </w:tc>
      </w:tr>
      <w:tr>
        <w:trPr/>
        <w:tc>
          <w:tcPr>
            <w:tcW w:w="7116" w:type="dxa"/>
            <w:tcBorders/>
            <w:shd w:fill="FFFFFF" w:val="clear"/>
            <w:vAlign w:val="center"/>
          </w:tcPr>
          <w:p>
            <w:pPr>
              <w:pStyle w:val="TableContents"/>
              <w:bidi w:val="0"/>
              <w:spacing w:before="0" w:after="283"/>
              <w:jc w:val="both"/>
              <w:rPr/>
            </w:pPr>
            <w:r>
              <w:rPr/>
              <w:t>July 2025 Note derivative liability – related party</w:t>
            </w:r>
          </w:p>
        </w:tc>
        <w:tc>
          <w:tcPr>
            <w:tcW w:w="60" w:type="dxa"/>
            <w:tcBorders/>
            <w:shd w:fill="FFFFFF" w:val="clear"/>
            <w:vAlign w:val="center"/>
          </w:tcPr>
          <w:p>
            <w:pPr>
              <w:pStyle w:val="TableContents"/>
              <w:bidi w:val="0"/>
              <w:spacing w:before="0" w:after="283"/>
              <w:jc w:val="left"/>
              <w:rPr/>
            </w:pPr>
            <w:r>
              <w:rPr/>
              <w:t> </w:t>
            </w:r>
          </w:p>
        </w:tc>
        <w:tc>
          <w:tcPr>
            <w:tcW w:w="207" w:type="dxa"/>
            <w:tcBorders/>
            <w:shd w:fill="FFFFFF" w:val="clear"/>
            <w:vAlign w:val="center"/>
          </w:tcPr>
          <w:p>
            <w:pPr>
              <w:pStyle w:val="TableContents"/>
              <w:bidi w:val="0"/>
              <w:spacing w:before="0" w:after="283"/>
              <w:jc w:val="left"/>
              <w:rPr/>
            </w:pPr>
            <w:r>
              <w:rPr/>
              <w:t> </w:t>
            </w:r>
          </w:p>
        </w:tc>
        <w:tc>
          <w:tcPr>
            <w:tcW w:w="1192" w:type="dxa"/>
            <w:tcBorders/>
            <w:shd w:fill="FFFFFF" w:val="clear"/>
            <w:vAlign w:val="center"/>
          </w:tcPr>
          <w:p>
            <w:pPr>
              <w:pStyle w:val="TableContents"/>
              <w:bidi w:val="0"/>
              <w:spacing w:before="0" w:after="283"/>
              <w:jc w:val="right"/>
              <w:rPr/>
            </w:pPr>
            <w:r>
              <w:rPr/>
              <w:t>3,246</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7" w:type="dxa"/>
            <w:tcBorders/>
            <w:shd w:fill="FFFFFF" w:val="clear"/>
            <w:vAlign w:val="center"/>
          </w:tcPr>
          <w:p>
            <w:pPr>
              <w:pStyle w:val="TableContents"/>
              <w:bidi w:val="0"/>
              <w:spacing w:before="0" w:after="283"/>
              <w:jc w:val="left"/>
              <w:rPr/>
            </w:pPr>
            <w:r>
              <w:rPr/>
              <w:t> </w:t>
            </w:r>
          </w:p>
        </w:tc>
        <w:tc>
          <w:tcPr>
            <w:tcW w:w="1192" w:type="dxa"/>
            <w:tcBorders/>
            <w:shd w:fill="FFFFFF" w:val="clear"/>
            <w:vAlign w:val="center"/>
          </w:tcPr>
          <w:p>
            <w:pPr>
              <w:pStyle w:val="TableContents"/>
              <w:bidi w:val="0"/>
              <w:spacing w:before="0" w:after="283"/>
              <w:jc w:val="right"/>
              <w:rPr/>
            </w:pPr>
            <w:r>
              <w:rPr/>
              <w:t>—</w:t>
            </w:r>
          </w:p>
        </w:tc>
        <w:tc>
          <w:tcPr>
            <w:tcW w:w="76" w:type="dxa"/>
            <w:tcBorders/>
            <w:shd w:fill="FFFFFF" w:val="clear"/>
            <w:vAlign w:val="center"/>
          </w:tcPr>
          <w:p>
            <w:pPr>
              <w:pStyle w:val="TableContents"/>
              <w:bidi w:val="0"/>
              <w:spacing w:before="0" w:after="283"/>
              <w:jc w:val="left"/>
              <w:rPr/>
            </w:pPr>
            <w:r>
              <w:rPr/>
              <w:t> </w:t>
            </w:r>
          </w:p>
        </w:tc>
      </w:tr>
      <w:tr>
        <w:trPr/>
        <w:tc>
          <w:tcPr>
            <w:tcW w:w="7116" w:type="dxa"/>
            <w:tcBorders/>
            <w:shd w:fill="CCEEFF" w:val="clear"/>
            <w:vAlign w:val="center"/>
          </w:tcPr>
          <w:p>
            <w:pPr>
              <w:pStyle w:val="TableContents"/>
              <w:bidi w:val="0"/>
              <w:spacing w:before="0" w:after="283"/>
              <w:jc w:val="both"/>
              <w:rPr/>
            </w:pPr>
            <w:r>
              <w:rPr/>
              <w:t>November 2025 Note derivative liability – related party</w:t>
            </w:r>
          </w:p>
        </w:tc>
        <w:tc>
          <w:tcPr>
            <w:tcW w:w="60" w:type="dxa"/>
            <w:tcBorders/>
            <w:shd w:fill="CCEEFF" w:val="clear"/>
            <w:vAlign w:val="center"/>
          </w:tcPr>
          <w:p>
            <w:pPr>
              <w:pStyle w:val="TableContents"/>
              <w:bidi w:val="0"/>
              <w:spacing w:before="0" w:after="283"/>
              <w:jc w:val="left"/>
              <w:rPr/>
            </w:pPr>
            <w:r>
              <w:rPr/>
              <w:t> </w:t>
            </w:r>
          </w:p>
        </w:tc>
        <w:tc>
          <w:tcPr>
            <w:tcW w:w="207"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92" w:type="dxa"/>
            <w:tcBorders>
              <w:bottom w:val="single" w:sz="12" w:space="0" w:color="000000"/>
            </w:tcBorders>
            <w:shd w:fill="CCEEFF" w:val="clear"/>
            <w:tcMar>
              <w:bottom w:w="28" w:type="dxa"/>
            </w:tcMar>
            <w:vAlign w:val="center"/>
          </w:tcPr>
          <w:p>
            <w:pPr>
              <w:pStyle w:val="TableContents"/>
              <w:bidi w:val="0"/>
              <w:spacing w:before="0" w:after="283"/>
              <w:jc w:val="right"/>
              <w:rPr/>
            </w:pPr>
            <w:r>
              <w:rPr/>
              <w:t>1,488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7"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92"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76" w:type="dxa"/>
            <w:tcBorders/>
            <w:shd w:fill="CCEEFF" w:val="clear"/>
            <w:vAlign w:val="center"/>
          </w:tcPr>
          <w:p>
            <w:pPr>
              <w:pStyle w:val="TableContents"/>
              <w:bidi w:val="0"/>
              <w:spacing w:before="0" w:after="283"/>
              <w:jc w:val="left"/>
              <w:rPr/>
            </w:pPr>
            <w:r>
              <w:rPr/>
              <w:t> </w:t>
            </w:r>
          </w:p>
        </w:tc>
      </w:tr>
      <w:tr>
        <w:trPr/>
        <w:tc>
          <w:tcPr>
            <w:tcW w:w="7116" w:type="dxa"/>
            <w:tcBorders/>
            <w:shd w:fill="FFFFFF" w:val="clear"/>
            <w:vAlign w:val="center"/>
          </w:tcPr>
          <w:p>
            <w:pPr>
              <w:pStyle w:val="TableContents"/>
              <w:bidi w:val="0"/>
              <w:spacing w:before="0" w:after="283"/>
              <w:jc w:val="both"/>
              <w:rPr/>
            </w:pPr>
            <w:r>
              <w:rPr/>
              <w:t>Total 12.0% senior unsecured convertible notes and derivative liabilities</w:t>
            </w:r>
          </w:p>
        </w:tc>
        <w:tc>
          <w:tcPr>
            <w:tcW w:w="60" w:type="dxa"/>
            <w:tcBorders/>
            <w:shd w:fill="FFFFFF" w:val="clear"/>
            <w:vAlign w:val="center"/>
          </w:tcPr>
          <w:p>
            <w:pPr>
              <w:pStyle w:val="TableContents"/>
              <w:bidi w:val="0"/>
              <w:spacing w:before="0" w:after="283"/>
              <w:jc w:val="left"/>
              <w:rPr/>
            </w:pPr>
            <w:r>
              <w:rPr/>
              <w:t> </w:t>
            </w:r>
          </w:p>
        </w:tc>
        <w:tc>
          <w:tcPr>
            <w:tcW w:w="207"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92" w:type="dxa"/>
            <w:tcBorders>
              <w:bottom w:val="single" w:sz="12" w:space="0" w:color="000000"/>
            </w:tcBorders>
            <w:shd w:fill="FFFFFF" w:val="clear"/>
            <w:tcMar>
              <w:bottom w:w="28" w:type="dxa"/>
            </w:tcMar>
            <w:vAlign w:val="center"/>
          </w:tcPr>
          <w:p>
            <w:pPr>
              <w:pStyle w:val="TableContents"/>
              <w:bidi w:val="0"/>
              <w:spacing w:before="0" w:after="283"/>
              <w:jc w:val="right"/>
              <w:rPr/>
            </w:pPr>
            <w:r>
              <w:rPr/>
              <w:t>79,487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7"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92" w:type="dxa"/>
            <w:tcBorders>
              <w:bottom w:val="single" w:sz="12" w:space="0" w:color="000000"/>
            </w:tcBorders>
            <w:shd w:fill="FFFFFF" w:val="clear"/>
            <w:tcMar>
              <w:bottom w:w="28" w:type="dxa"/>
            </w:tcMar>
            <w:vAlign w:val="center"/>
          </w:tcPr>
          <w:p>
            <w:pPr>
              <w:pStyle w:val="TableContents"/>
              <w:bidi w:val="0"/>
              <w:spacing w:before="0" w:after="283"/>
              <w:jc w:val="right"/>
              <w:rPr/>
            </w:pPr>
            <w:r>
              <w:rPr/>
              <w:t>77,287</w:t>
            </w:r>
          </w:p>
        </w:tc>
        <w:tc>
          <w:tcPr>
            <w:tcW w:w="76" w:type="dxa"/>
            <w:tcBorders/>
            <w:shd w:fill="FFFFFF" w:val="clear"/>
            <w:vAlign w:val="center"/>
          </w:tcPr>
          <w:p>
            <w:pPr>
              <w:pStyle w:val="TableContents"/>
              <w:bidi w:val="0"/>
              <w:spacing w:before="0" w:after="283"/>
              <w:jc w:val="left"/>
              <w:rPr/>
            </w:pPr>
            <w:r>
              <w:rPr/>
              <w:t> </w:t>
            </w:r>
          </w:p>
        </w:tc>
      </w:tr>
      <w:tr>
        <w:trPr/>
        <w:tc>
          <w:tcPr>
            <w:tcW w:w="7116" w:type="dxa"/>
            <w:tcBorders/>
            <w:shd w:fill="CCEEFF" w:val="clear"/>
            <w:vAlign w:val="center"/>
          </w:tcPr>
          <w:p>
            <w:pPr>
              <w:pStyle w:val="TableContents"/>
              <w:bidi w:val="0"/>
              <w:spacing w:before="0" w:after="283"/>
              <w:jc w:val="both"/>
              <w:rPr/>
            </w:pPr>
            <w:r>
              <w:rPr/>
              <w:t> </w:t>
            </w:r>
          </w:p>
        </w:tc>
        <w:tc>
          <w:tcPr>
            <w:tcW w:w="60" w:type="dxa"/>
            <w:tcBorders/>
            <w:shd w:fill="CCEEFF" w:val="clear"/>
            <w:vAlign w:val="center"/>
          </w:tcPr>
          <w:p>
            <w:pPr>
              <w:pStyle w:val="TableContents"/>
              <w:bidi w:val="0"/>
              <w:spacing w:before="0" w:after="283"/>
              <w:jc w:val="left"/>
              <w:rPr/>
            </w:pPr>
            <w:r>
              <w:rPr/>
              <w:t> </w:t>
            </w:r>
          </w:p>
        </w:tc>
        <w:tc>
          <w:tcPr>
            <w:tcW w:w="207" w:type="dxa"/>
            <w:tcBorders/>
            <w:shd w:fill="CCEEFF" w:val="clear"/>
            <w:vAlign w:val="center"/>
          </w:tcPr>
          <w:p>
            <w:pPr>
              <w:pStyle w:val="TableContents"/>
              <w:bidi w:val="0"/>
              <w:spacing w:before="0" w:after="283"/>
              <w:jc w:val="left"/>
              <w:rPr/>
            </w:pPr>
            <w:r>
              <w:rPr/>
              <w:t> </w:t>
            </w:r>
          </w:p>
        </w:tc>
        <w:tc>
          <w:tcPr>
            <w:tcW w:w="1192"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7" w:type="dxa"/>
            <w:tcBorders/>
            <w:shd w:fill="CCEEFF" w:val="clear"/>
            <w:vAlign w:val="center"/>
          </w:tcPr>
          <w:p>
            <w:pPr>
              <w:pStyle w:val="TableContents"/>
              <w:bidi w:val="0"/>
              <w:spacing w:before="0" w:after="283"/>
              <w:jc w:val="left"/>
              <w:rPr/>
            </w:pPr>
            <w:r>
              <w:rPr/>
              <w:t> </w:t>
            </w:r>
          </w:p>
        </w:tc>
        <w:tc>
          <w:tcPr>
            <w:tcW w:w="1192" w:type="dxa"/>
            <w:tcBorders/>
            <w:shd w:fill="CCEEFF" w:val="clear"/>
            <w:vAlign w:val="center"/>
          </w:tcPr>
          <w:p>
            <w:pPr>
              <w:pStyle w:val="TableContents"/>
              <w:bidi w:val="0"/>
              <w:spacing w:before="0" w:after="283"/>
              <w:jc w:val="right"/>
              <w:rPr/>
            </w:pPr>
            <w:r>
              <w:rPr/>
              <w:t> </w:t>
            </w:r>
          </w:p>
        </w:tc>
        <w:tc>
          <w:tcPr>
            <w:tcW w:w="76" w:type="dxa"/>
            <w:tcBorders/>
            <w:shd w:fill="CCEEFF" w:val="clear"/>
            <w:vAlign w:val="center"/>
          </w:tcPr>
          <w:p>
            <w:pPr>
              <w:pStyle w:val="TableContents"/>
              <w:bidi w:val="0"/>
              <w:spacing w:before="0" w:after="283"/>
              <w:jc w:val="left"/>
              <w:rPr/>
            </w:pPr>
            <w:r>
              <w:rPr/>
              <w:t> </w:t>
            </w:r>
          </w:p>
        </w:tc>
      </w:tr>
      <w:tr>
        <w:trPr/>
        <w:tc>
          <w:tcPr>
            <w:tcW w:w="7116" w:type="dxa"/>
            <w:tcBorders/>
            <w:shd w:fill="FFFFFF" w:val="clear"/>
            <w:vAlign w:val="center"/>
          </w:tcPr>
          <w:p>
            <w:pPr>
              <w:pStyle w:val="TableContents"/>
              <w:bidi w:val="0"/>
              <w:spacing w:before="0" w:after="283"/>
              <w:jc w:val="both"/>
              <w:rPr>
                <w:b/>
                <w:i/>
              </w:rPr>
            </w:pPr>
            <w:r>
              <w:rPr>
                <w:b/>
                <w:i/>
              </w:rPr>
              <w:t>7.0% senior unsecured convertible notes and derivative liabilities</w:t>
            </w:r>
          </w:p>
        </w:tc>
        <w:tc>
          <w:tcPr>
            <w:tcW w:w="60" w:type="dxa"/>
            <w:tcBorders/>
            <w:shd w:fill="FFFFFF" w:val="clear"/>
            <w:vAlign w:val="center"/>
          </w:tcPr>
          <w:p>
            <w:pPr>
              <w:pStyle w:val="TableContents"/>
              <w:bidi w:val="0"/>
              <w:spacing w:before="0" w:after="283"/>
              <w:jc w:val="left"/>
              <w:rPr/>
            </w:pPr>
            <w:r>
              <w:rPr/>
              <w:t> </w:t>
            </w:r>
          </w:p>
        </w:tc>
        <w:tc>
          <w:tcPr>
            <w:tcW w:w="207" w:type="dxa"/>
            <w:tcBorders/>
            <w:shd w:fill="FFFFFF" w:val="clear"/>
            <w:vAlign w:val="center"/>
          </w:tcPr>
          <w:p>
            <w:pPr>
              <w:pStyle w:val="TableContents"/>
              <w:bidi w:val="0"/>
              <w:spacing w:before="0" w:after="283"/>
              <w:jc w:val="left"/>
              <w:rPr/>
            </w:pPr>
            <w:r>
              <w:rPr/>
              <w:t> </w:t>
            </w:r>
          </w:p>
        </w:tc>
        <w:tc>
          <w:tcPr>
            <w:tcW w:w="1192"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7" w:type="dxa"/>
            <w:tcBorders/>
            <w:shd w:fill="FFFFFF" w:val="clear"/>
            <w:vAlign w:val="center"/>
          </w:tcPr>
          <w:p>
            <w:pPr>
              <w:pStyle w:val="TableContents"/>
              <w:bidi w:val="0"/>
              <w:spacing w:before="0" w:after="283"/>
              <w:jc w:val="left"/>
              <w:rPr/>
            </w:pPr>
            <w:r>
              <w:rPr/>
              <w:t> </w:t>
            </w:r>
          </w:p>
        </w:tc>
        <w:tc>
          <w:tcPr>
            <w:tcW w:w="1192" w:type="dxa"/>
            <w:tcBorders/>
            <w:shd w:fill="FFFFFF" w:val="clear"/>
            <w:vAlign w:val="center"/>
          </w:tcPr>
          <w:p>
            <w:pPr>
              <w:pStyle w:val="TableContents"/>
              <w:bidi w:val="0"/>
              <w:spacing w:before="0" w:after="283"/>
              <w:jc w:val="right"/>
              <w:rPr/>
            </w:pPr>
            <w:r>
              <w:rPr/>
              <w:t> </w:t>
            </w:r>
          </w:p>
        </w:tc>
        <w:tc>
          <w:tcPr>
            <w:tcW w:w="76" w:type="dxa"/>
            <w:tcBorders/>
            <w:shd w:fill="FFFFFF" w:val="clear"/>
            <w:vAlign w:val="center"/>
          </w:tcPr>
          <w:p>
            <w:pPr>
              <w:pStyle w:val="TableContents"/>
              <w:bidi w:val="0"/>
              <w:spacing w:before="0" w:after="283"/>
              <w:jc w:val="left"/>
              <w:rPr/>
            </w:pPr>
            <w:r>
              <w:rPr/>
              <w:t> </w:t>
            </w:r>
          </w:p>
        </w:tc>
      </w:tr>
      <w:tr>
        <w:trPr/>
        <w:tc>
          <w:tcPr>
            <w:tcW w:w="7116" w:type="dxa"/>
            <w:tcBorders/>
            <w:shd w:fill="CCEEFF" w:val="clear"/>
            <w:vAlign w:val="center"/>
          </w:tcPr>
          <w:p>
            <w:pPr>
              <w:pStyle w:val="TableContents"/>
              <w:bidi w:val="0"/>
              <w:spacing w:before="0" w:after="283"/>
              <w:jc w:val="both"/>
              <w:rPr/>
            </w:pPr>
            <w:r>
              <w:rPr/>
              <w:t>September 2024 Notes</w:t>
            </w:r>
          </w:p>
        </w:tc>
        <w:tc>
          <w:tcPr>
            <w:tcW w:w="60" w:type="dxa"/>
            <w:tcBorders/>
            <w:shd w:fill="CCEEFF" w:val="clear"/>
            <w:vAlign w:val="center"/>
          </w:tcPr>
          <w:p>
            <w:pPr>
              <w:pStyle w:val="TableContents"/>
              <w:bidi w:val="0"/>
              <w:spacing w:before="0" w:after="283"/>
              <w:jc w:val="left"/>
              <w:rPr/>
            </w:pPr>
            <w:r>
              <w:rPr/>
              <w:t> </w:t>
            </w:r>
          </w:p>
        </w:tc>
        <w:tc>
          <w:tcPr>
            <w:tcW w:w="207" w:type="dxa"/>
            <w:tcBorders/>
            <w:shd w:fill="CCEEFF" w:val="clear"/>
            <w:vAlign w:val="center"/>
          </w:tcPr>
          <w:p>
            <w:pPr>
              <w:pStyle w:val="TableContents"/>
              <w:bidi w:val="0"/>
              <w:spacing w:before="0" w:after="283"/>
              <w:jc w:val="left"/>
              <w:rPr/>
            </w:pPr>
            <w:r>
              <w:rPr/>
              <w:t> </w:t>
            </w:r>
          </w:p>
        </w:tc>
        <w:tc>
          <w:tcPr>
            <w:tcW w:w="1192" w:type="dxa"/>
            <w:tcBorders/>
            <w:shd w:fill="CCEEFF" w:val="clear"/>
            <w:vAlign w:val="center"/>
          </w:tcPr>
          <w:p>
            <w:pPr>
              <w:pStyle w:val="TableContents"/>
              <w:bidi w:val="0"/>
              <w:spacing w:before="0" w:after="283"/>
              <w:jc w:val="right"/>
              <w:rPr/>
            </w:pPr>
            <w:r>
              <w:rPr/>
              <w:t>14,332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7" w:type="dxa"/>
            <w:tcBorders/>
            <w:shd w:fill="CCEEFF" w:val="clear"/>
            <w:vAlign w:val="center"/>
          </w:tcPr>
          <w:p>
            <w:pPr>
              <w:pStyle w:val="TableContents"/>
              <w:bidi w:val="0"/>
              <w:spacing w:before="0" w:after="283"/>
              <w:jc w:val="left"/>
              <w:rPr/>
            </w:pPr>
            <w:r>
              <w:rPr/>
              <w:t> </w:t>
            </w:r>
          </w:p>
        </w:tc>
        <w:tc>
          <w:tcPr>
            <w:tcW w:w="1192" w:type="dxa"/>
            <w:tcBorders/>
            <w:shd w:fill="CCEEFF" w:val="clear"/>
            <w:vAlign w:val="center"/>
          </w:tcPr>
          <w:p>
            <w:pPr>
              <w:pStyle w:val="TableContents"/>
              <w:bidi w:val="0"/>
              <w:spacing w:before="0" w:after="283"/>
              <w:jc w:val="right"/>
              <w:rPr/>
            </w:pPr>
            <w:r>
              <w:rPr/>
              <w:t>5,636</w:t>
            </w:r>
          </w:p>
        </w:tc>
        <w:tc>
          <w:tcPr>
            <w:tcW w:w="76" w:type="dxa"/>
            <w:tcBorders/>
            <w:shd w:fill="CCEEFF" w:val="clear"/>
            <w:vAlign w:val="center"/>
          </w:tcPr>
          <w:p>
            <w:pPr>
              <w:pStyle w:val="TableContents"/>
              <w:bidi w:val="0"/>
              <w:spacing w:before="0" w:after="283"/>
              <w:jc w:val="left"/>
              <w:rPr/>
            </w:pPr>
            <w:r>
              <w:rPr/>
              <w:t> </w:t>
            </w:r>
          </w:p>
        </w:tc>
      </w:tr>
      <w:tr>
        <w:trPr/>
        <w:tc>
          <w:tcPr>
            <w:tcW w:w="7116" w:type="dxa"/>
            <w:tcBorders/>
            <w:shd w:fill="FFFFFF" w:val="clear"/>
            <w:vAlign w:val="center"/>
          </w:tcPr>
          <w:p>
            <w:pPr>
              <w:pStyle w:val="TableContents"/>
              <w:bidi w:val="0"/>
              <w:spacing w:before="0" w:after="283"/>
              <w:jc w:val="both"/>
              <w:rPr/>
            </w:pPr>
            <w:r>
              <w:rPr/>
              <w:t>September 2024 Notes – related parties</w:t>
            </w:r>
          </w:p>
        </w:tc>
        <w:tc>
          <w:tcPr>
            <w:tcW w:w="60" w:type="dxa"/>
            <w:tcBorders/>
            <w:shd w:fill="FFFFFF" w:val="clear"/>
            <w:vAlign w:val="center"/>
          </w:tcPr>
          <w:p>
            <w:pPr>
              <w:pStyle w:val="TableContents"/>
              <w:bidi w:val="0"/>
              <w:spacing w:before="0" w:after="283"/>
              <w:jc w:val="left"/>
              <w:rPr/>
            </w:pPr>
            <w:r>
              <w:rPr/>
              <w:t> </w:t>
            </w:r>
          </w:p>
        </w:tc>
        <w:tc>
          <w:tcPr>
            <w:tcW w:w="207"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92" w:type="dxa"/>
            <w:tcBorders>
              <w:bottom w:val="single" w:sz="12" w:space="0" w:color="000000"/>
            </w:tcBorders>
            <w:shd w:fill="FFFFFF" w:val="clear"/>
            <w:tcMar>
              <w:bottom w:w="28" w:type="dxa"/>
            </w:tcMar>
            <w:vAlign w:val="center"/>
          </w:tcPr>
          <w:p>
            <w:pPr>
              <w:pStyle w:val="TableContents"/>
              <w:bidi w:val="0"/>
              <w:spacing w:before="0" w:after="283"/>
              <w:jc w:val="right"/>
              <w:rPr/>
            </w:pPr>
            <w:r>
              <w:rPr/>
              <w:t>2,346</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7"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92" w:type="dxa"/>
            <w:tcBorders>
              <w:bottom w:val="single" w:sz="12" w:space="0" w:color="000000"/>
            </w:tcBorders>
            <w:shd w:fill="FFFFFF" w:val="clear"/>
            <w:tcMar>
              <w:bottom w:w="28" w:type="dxa"/>
            </w:tcMar>
            <w:vAlign w:val="center"/>
          </w:tcPr>
          <w:p>
            <w:pPr>
              <w:pStyle w:val="TableContents"/>
              <w:bidi w:val="0"/>
              <w:spacing w:before="0" w:after="283"/>
              <w:jc w:val="right"/>
              <w:rPr/>
            </w:pPr>
            <w:r>
              <w:rPr/>
              <w:t>476</w:t>
            </w:r>
          </w:p>
        </w:tc>
        <w:tc>
          <w:tcPr>
            <w:tcW w:w="76" w:type="dxa"/>
            <w:tcBorders/>
            <w:shd w:fill="FFFFFF" w:val="clear"/>
            <w:vAlign w:val="center"/>
          </w:tcPr>
          <w:p>
            <w:pPr>
              <w:pStyle w:val="TableContents"/>
              <w:bidi w:val="0"/>
              <w:spacing w:before="0" w:after="283"/>
              <w:jc w:val="left"/>
              <w:rPr/>
            </w:pPr>
            <w:r>
              <w:rPr/>
              <w:t> </w:t>
            </w:r>
          </w:p>
        </w:tc>
      </w:tr>
      <w:tr>
        <w:trPr/>
        <w:tc>
          <w:tcPr>
            <w:tcW w:w="7116" w:type="dxa"/>
            <w:tcBorders/>
            <w:shd w:fill="CCEEFF" w:val="clear"/>
            <w:vAlign w:val="center"/>
          </w:tcPr>
          <w:p>
            <w:pPr>
              <w:pStyle w:val="TableContents"/>
              <w:bidi w:val="0"/>
              <w:spacing w:before="0" w:after="283"/>
              <w:jc w:val="both"/>
              <w:rPr/>
            </w:pPr>
            <w:r>
              <w:rPr/>
              <w:t>Subtotal September 2024 Notes</w:t>
            </w:r>
          </w:p>
        </w:tc>
        <w:tc>
          <w:tcPr>
            <w:tcW w:w="60" w:type="dxa"/>
            <w:tcBorders/>
            <w:shd w:fill="CCEEFF" w:val="clear"/>
            <w:vAlign w:val="center"/>
          </w:tcPr>
          <w:p>
            <w:pPr>
              <w:pStyle w:val="TableContents"/>
              <w:bidi w:val="0"/>
              <w:spacing w:before="0" w:after="283"/>
              <w:jc w:val="left"/>
              <w:rPr/>
            </w:pPr>
            <w:r>
              <w:rPr/>
              <w:t> </w:t>
            </w:r>
          </w:p>
        </w:tc>
        <w:tc>
          <w:tcPr>
            <w:tcW w:w="207"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92" w:type="dxa"/>
            <w:tcBorders>
              <w:bottom w:val="single" w:sz="12" w:space="0" w:color="000000"/>
            </w:tcBorders>
            <w:shd w:fill="CCEEFF" w:val="clear"/>
            <w:tcMar>
              <w:bottom w:w="28" w:type="dxa"/>
            </w:tcMar>
            <w:vAlign w:val="center"/>
          </w:tcPr>
          <w:p>
            <w:pPr>
              <w:pStyle w:val="TableContents"/>
              <w:bidi w:val="0"/>
              <w:spacing w:before="0" w:after="283"/>
              <w:jc w:val="right"/>
              <w:rPr/>
            </w:pPr>
            <w:r>
              <w:rPr/>
              <w:t>16,678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7"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92" w:type="dxa"/>
            <w:tcBorders>
              <w:bottom w:val="single" w:sz="12" w:space="0" w:color="000000"/>
            </w:tcBorders>
            <w:shd w:fill="CCEEFF" w:val="clear"/>
            <w:tcMar>
              <w:bottom w:w="28" w:type="dxa"/>
            </w:tcMar>
            <w:vAlign w:val="center"/>
          </w:tcPr>
          <w:p>
            <w:pPr>
              <w:pStyle w:val="TableContents"/>
              <w:bidi w:val="0"/>
              <w:spacing w:before="0" w:after="283"/>
              <w:jc w:val="right"/>
              <w:rPr/>
            </w:pPr>
            <w:r>
              <w:rPr/>
              <w:t>6,112</w:t>
            </w:r>
          </w:p>
        </w:tc>
        <w:tc>
          <w:tcPr>
            <w:tcW w:w="76" w:type="dxa"/>
            <w:tcBorders/>
            <w:shd w:fill="CCEEFF" w:val="clear"/>
            <w:vAlign w:val="center"/>
          </w:tcPr>
          <w:p>
            <w:pPr>
              <w:pStyle w:val="TableContents"/>
              <w:bidi w:val="0"/>
              <w:spacing w:before="0" w:after="283"/>
              <w:jc w:val="left"/>
              <w:rPr/>
            </w:pPr>
            <w:r>
              <w:rPr/>
              <w:t> </w:t>
            </w:r>
          </w:p>
        </w:tc>
      </w:tr>
      <w:tr>
        <w:trPr/>
        <w:tc>
          <w:tcPr>
            <w:tcW w:w="7116" w:type="dxa"/>
            <w:tcBorders/>
            <w:shd w:fill="FFFFFF" w:val="clear"/>
            <w:vAlign w:val="center"/>
          </w:tcPr>
          <w:p>
            <w:pPr>
              <w:pStyle w:val="TableContents"/>
              <w:bidi w:val="0"/>
              <w:spacing w:before="0" w:after="283"/>
              <w:jc w:val="both"/>
              <w:rPr/>
            </w:pPr>
            <w:r>
              <w:rPr/>
              <w:t>September 2025 Notes</w:t>
            </w:r>
          </w:p>
        </w:tc>
        <w:tc>
          <w:tcPr>
            <w:tcW w:w="60" w:type="dxa"/>
            <w:tcBorders/>
            <w:shd w:fill="FFFFFF" w:val="clear"/>
            <w:vAlign w:val="center"/>
          </w:tcPr>
          <w:p>
            <w:pPr>
              <w:pStyle w:val="TableContents"/>
              <w:bidi w:val="0"/>
              <w:spacing w:before="0" w:after="283"/>
              <w:jc w:val="left"/>
              <w:rPr/>
            </w:pPr>
            <w:r>
              <w:rPr/>
              <w:t> </w:t>
            </w:r>
          </w:p>
        </w:tc>
        <w:tc>
          <w:tcPr>
            <w:tcW w:w="207" w:type="dxa"/>
            <w:tcBorders/>
            <w:shd w:fill="FFFFFF" w:val="clear"/>
            <w:vAlign w:val="center"/>
          </w:tcPr>
          <w:p>
            <w:pPr>
              <w:pStyle w:val="TableContents"/>
              <w:bidi w:val="0"/>
              <w:spacing w:before="0" w:after="283"/>
              <w:jc w:val="left"/>
              <w:rPr/>
            </w:pPr>
            <w:r>
              <w:rPr/>
              <w:t> </w:t>
            </w:r>
          </w:p>
        </w:tc>
        <w:tc>
          <w:tcPr>
            <w:tcW w:w="1192" w:type="dxa"/>
            <w:tcBorders/>
            <w:shd w:fill="FFFFFF" w:val="clear"/>
            <w:vAlign w:val="center"/>
          </w:tcPr>
          <w:p>
            <w:pPr>
              <w:pStyle w:val="TableContents"/>
              <w:bidi w:val="0"/>
              <w:spacing w:before="0" w:after="283"/>
              <w:jc w:val="right"/>
              <w:rPr/>
            </w:pPr>
            <w:r>
              <w:rPr/>
              <w:t>3,354</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7" w:type="dxa"/>
            <w:tcBorders/>
            <w:shd w:fill="FFFFFF" w:val="clear"/>
            <w:vAlign w:val="center"/>
          </w:tcPr>
          <w:p>
            <w:pPr>
              <w:pStyle w:val="TableContents"/>
              <w:bidi w:val="0"/>
              <w:spacing w:before="0" w:after="283"/>
              <w:jc w:val="left"/>
              <w:rPr/>
            </w:pPr>
            <w:r>
              <w:rPr/>
              <w:t> </w:t>
            </w:r>
          </w:p>
        </w:tc>
        <w:tc>
          <w:tcPr>
            <w:tcW w:w="1192" w:type="dxa"/>
            <w:tcBorders/>
            <w:shd w:fill="FFFFFF" w:val="clear"/>
            <w:vAlign w:val="center"/>
          </w:tcPr>
          <w:p>
            <w:pPr>
              <w:pStyle w:val="TableContents"/>
              <w:bidi w:val="0"/>
              <w:spacing w:before="0" w:after="283"/>
              <w:jc w:val="right"/>
              <w:rPr/>
            </w:pPr>
            <w:r>
              <w:rPr/>
              <w:t>—</w:t>
            </w:r>
          </w:p>
        </w:tc>
        <w:tc>
          <w:tcPr>
            <w:tcW w:w="76" w:type="dxa"/>
            <w:tcBorders/>
            <w:shd w:fill="FFFFFF" w:val="clear"/>
            <w:vAlign w:val="center"/>
          </w:tcPr>
          <w:p>
            <w:pPr>
              <w:pStyle w:val="TableContents"/>
              <w:bidi w:val="0"/>
              <w:spacing w:before="0" w:after="283"/>
              <w:jc w:val="left"/>
              <w:rPr/>
            </w:pPr>
            <w:r>
              <w:rPr/>
              <w:t> </w:t>
            </w:r>
          </w:p>
        </w:tc>
      </w:tr>
      <w:tr>
        <w:trPr/>
        <w:tc>
          <w:tcPr>
            <w:tcW w:w="7116" w:type="dxa"/>
            <w:tcBorders/>
            <w:shd w:fill="CCEEFF" w:val="clear"/>
            <w:vAlign w:val="center"/>
          </w:tcPr>
          <w:p>
            <w:pPr>
              <w:pStyle w:val="TableContents"/>
              <w:bidi w:val="0"/>
              <w:spacing w:before="0" w:after="283"/>
              <w:jc w:val="both"/>
              <w:rPr/>
            </w:pPr>
            <w:r>
              <w:rPr/>
              <w:t> </w:t>
            </w:r>
          </w:p>
        </w:tc>
        <w:tc>
          <w:tcPr>
            <w:tcW w:w="60" w:type="dxa"/>
            <w:tcBorders/>
            <w:shd w:fill="CCEEFF" w:val="clear"/>
            <w:vAlign w:val="center"/>
          </w:tcPr>
          <w:p>
            <w:pPr>
              <w:pStyle w:val="TableContents"/>
              <w:bidi w:val="0"/>
              <w:spacing w:before="0" w:after="283"/>
              <w:jc w:val="left"/>
              <w:rPr/>
            </w:pPr>
            <w:r>
              <w:rPr/>
              <w:t> </w:t>
            </w:r>
          </w:p>
        </w:tc>
        <w:tc>
          <w:tcPr>
            <w:tcW w:w="207" w:type="dxa"/>
            <w:tcBorders/>
            <w:shd w:fill="CCEEFF" w:val="clear"/>
            <w:vAlign w:val="center"/>
          </w:tcPr>
          <w:p>
            <w:pPr>
              <w:pStyle w:val="TableContents"/>
              <w:bidi w:val="0"/>
              <w:spacing w:before="0" w:after="283"/>
              <w:jc w:val="left"/>
              <w:rPr/>
            </w:pPr>
            <w:r>
              <w:rPr/>
              <w:t> </w:t>
            </w:r>
          </w:p>
        </w:tc>
        <w:tc>
          <w:tcPr>
            <w:tcW w:w="1192"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7" w:type="dxa"/>
            <w:tcBorders/>
            <w:shd w:fill="CCEEFF" w:val="clear"/>
            <w:vAlign w:val="center"/>
          </w:tcPr>
          <w:p>
            <w:pPr>
              <w:pStyle w:val="TableContents"/>
              <w:bidi w:val="0"/>
              <w:spacing w:before="0" w:after="283"/>
              <w:jc w:val="left"/>
              <w:rPr/>
            </w:pPr>
            <w:r>
              <w:rPr/>
              <w:t> </w:t>
            </w:r>
          </w:p>
        </w:tc>
        <w:tc>
          <w:tcPr>
            <w:tcW w:w="1192" w:type="dxa"/>
            <w:tcBorders/>
            <w:shd w:fill="CCEEFF" w:val="clear"/>
            <w:vAlign w:val="center"/>
          </w:tcPr>
          <w:p>
            <w:pPr>
              <w:pStyle w:val="TableContents"/>
              <w:bidi w:val="0"/>
              <w:spacing w:before="0" w:after="283"/>
              <w:jc w:val="right"/>
              <w:rPr/>
            </w:pPr>
            <w:r>
              <w:rPr/>
              <w:t> </w:t>
            </w:r>
          </w:p>
        </w:tc>
        <w:tc>
          <w:tcPr>
            <w:tcW w:w="76" w:type="dxa"/>
            <w:tcBorders/>
            <w:shd w:fill="CCEEFF" w:val="clear"/>
            <w:vAlign w:val="center"/>
          </w:tcPr>
          <w:p>
            <w:pPr>
              <w:pStyle w:val="TableContents"/>
              <w:bidi w:val="0"/>
              <w:spacing w:before="0" w:after="283"/>
              <w:jc w:val="left"/>
              <w:rPr/>
            </w:pPr>
            <w:r>
              <w:rPr/>
              <w:t> </w:t>
            </w:r>
          </w:p>
        </w:tc>
      </w:tr>
      <w:tr>
        <w:trPr/>
        <w:tc>
          <w:tcPr>
            <w:tcW w:w="7116" w:type="dxa"/>
            <w:tcBorders/>
            <w:shd w:fill="FFFFFF" w:val="clear"/>
            <w:vAlign w:val="center"/>
          </w:tcPr>
          <w:p>
            <w:pPr>
              <w:pStyle w:val="TableContents"/>
              <w:bidi w:val="0"/>
              <w:spacing w:before="0" w:after="283"/>
              <w:jc w:val="both"/>
              <w:rPr/>
            </w:pPr>
            <w:r>
              <w:rPr/>
              <w:t>September 2024 Notes derivative liability</w:t>
            </w:r>
          </w:p>
        </w:tc>
        <w:tc>
          <w:tcPr>
            <w:tcW w:w="60" w:type="dxa"/>
            <w:tcBorders/>
            <w:shd w:fill="FFFFFF" w:val="clear"/>
            <w:vAlign w:val="center"/>
          </w:tcPr>
          <w:p>
            <w:pPr>
              <w:pStyle w:val="TableContents"/>
              <w:bidi w:val="0"/>
              <w:spacing w:before="0" w:after="283"/>
              <w:jc w:val="left"/>
              <w:rPr/>
            </w:pPr>
            <w:r>
              <w:rPr/>
              <w:t> </w:t>
            </w:r>
          </w:p>
        </w:tc>
        <w:tc>
          <w:tcPr>
            <w:tcW w:w="207" w:type="dxa"/>
            <w:tcBorders/>
            <w:shd w:fill="FFFFFF" w:val="clear"/>
            <w:vAlign w:val="center"/>
          </w:tcPr>
          <w:p>
            <w:pPr>
              <w:pStyle w:val="TableContents"/>
              <w:bidi w:val="0"/>
              <w:spacing w:before="0" w:after="283"/>
              <w:jc w:val="left"/>
              <w:rPr/>
            </w:pPr>
            <w:r>
              <w:rPr/>
              <w:t> </w:t>
            </w:r>
          </w:p>
        </w:tc>
        <w:tc>
          <w:tcPr>
            <w:tcW w:w="1192" w:type="dxa"/>
            <w:tcBorders/>
            <w:shd w:fill="FFFFFF" w:val="clear"/>
            <w:vAlign w:val="center"/>
          </w:tcPr>
          <w:p>
            <w:pPr>
              <w:pStyle w:val="TableContents"/>
              <w:bidi w:val="0"/>
              <w:spacing w:before="0" w:after="283"/>
              <w:jc w:val="right"/>
              <w:rPr/>
            </w:pPr>
            <w:r>
              <w:rPr/>
              <w:t>37,930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7" w:type="dxa"/>
            <w:tcBorders/>
            <w:shd w:fill="FFFFFF" w:val="clear"/>
            <w:vAlign w:val="center"/>
          </w:tcPr>
          <w:p>
            <w:pPr>
              <w:pStyle w:val="TableContents"/>
              <w:bidi w:val="0"/>
              <w:spacing w:before="0" w:after="283"/>
              <w:jc w:val="left"/>
              <w:rPr/>
            </w:pPr>
            <w:r>
              <w:rPr/>
              <w:t> </w:t>
            </w:r>
          </w:p>
        </w:tc>
        <w:tc>
          <w:tcPr>
            <w:tcW w:w="1192" w:type="dxa"/>
            <w:tcBorders/>
            <w:shd w:fill="FFFFFF" w:val="clear"/>
            <w:vAlign w:val="center"/>
          </w:tcPr>
          <w:p>
            <w:pPr>
              <w:pStyle w:val="TableContents"/>
              <w:bidi w:val="0"/>
              <w:spacing w:before="0" w:after="283"/>
              <w:jc w:val="right"/>
              <w:rPr/>
            </w:pPr>
            <w:r>
              <w:rPr/>
              <w:t>55,474</w:t>
            </w:r>
          </w:p>
        </w:tc>
        <w:tc>
          <w:tcPr>
            <w:tcW w:w="76" w:type="dxa"/>
            <w:tcBorders/>
            <w:shd w:fill="FFFFFF" w:val="clear"/>
            <w:vAlign w:val="center"/>
          </w:tcPr>
          <w:p>
            <w:pPr>
              <w:pStyle w:val="TableContents"/>
              <w:bidi w:val="0"/>
              <w:spacing w:before="0" w:after="283"/>
              <w:jc w:val="left"/>
              <w:rPr/>
            </w:pPr>
            <w:r>
              <w:rPr/>
              <w:t> </w:t>
            </w:r>
          </w:p>
        </w:tc>
      </w:tr>
      <w:tr>
        <w:trPr/>
        <w:tc>
          <w:tcPr>
            <w:tcW w:w="7116" w:type="dxa"/>
            <w:tcBorders/>
            <w:shd w:fill="CCEEFF" w:val="clear"/>
            <w:vAlign w:val="center"/>
          </w:tcPr>
          <w:p>
            <w:pPr>
              <w:pStyle w:val="TableContents"/>
              <w:bidi w:val="0"/>
              <w:spacing w:before="0" w:after="283"/>
              <w:jc w:val="both"/>
              <w:rPr/>
            </w:pPr>
            <w:r>
              <w:rPr/>
              <w:t>September 2024 Notes derivative liability – related parties</w:t>
            </w:r>
          </w:p>
        </w:tc>
        <w:tc>
          <w:tcPr>
            <w:tcW w:w="60" w:type="dxa"/>
            <w:tcBorders/>
            <w:shd w:fill="CCEEFF" w:val="clear"/>
            <w:vAlign w:val="center"/>
          </w:tcPr>
          <w:p>
            <w:pPr>
              <w:pStyle w:val="TableContents"/>
              <w:bidi w:val="0"/>
              <w:spacing w:before="0" w:after="283"/>
              <w:jc w:val="left"/>
              <w:rPr/>
            </w:pPr>
            <w:r>
              <w:rPr/>
              <w:t> </w:t>
            </w:r>
          </w:p>
        </w:tc>
        <w:tc>
          <w:tcPr>
            <w:tcW w:w="207"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92" w:type="dxa"/>
            <w:tcBorders>
              <w:bottom w:val="single" w:sz="12" w:space="0" w:color="000000"/>
            </w:tcBorders>
            <w:shd w:fill="CCEEFF" w:val="clear"/>
            <w:tcMar>
              <w:bottom w:w="28" w:type="dxa"/>
            </w:tcMar>
            <w:vAlign w:val="center"/>
          </w:tcPr>
          <w:p>
            <w:pPr>
              <w:pStyle w:val="TableContents"/>
              <w:bidi w:val="0"/>
              <w:spacing w:before="0" w:after="283"/>
              <w:jc w:val="right"/>
              <w:rPr/>
            </w:pPr>
            <w:r>
              <w:rPr/>
              <w:t>5,870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7"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92" w:type="dxa"/>
            <w:tcBorders>
              <w:bottom w:val="single" w:sz="12" w:space="0" w:color="000000"/>
            </w:tcBorders>
            <w:shd w:fill="CCEEFF" w:val="clear"/>
            <w:tcMar>
              <w:bottom w:w="28" w:type="dxa"/>
            </w:tcMar>
            <w:vAlign w:val="center"/>
          </w:tcPr>
          <w:p>
            <w:pPr>
              <w:pStyle w:val="TableContents"/>
              <w:bidi w:val="0"/>
              <w:spacing w:before="0" w:after="283"/>
              <w:jc w:val="right"/>
              <w:rPr/>
            </w:pPr>
            <w:r>
              <w:rPr/>
              <w:t>6,958</w:t>
            </w:r>
          </w:p>
        </w:tc>
        <w:tc>
          <w:tcPr>
            <w:tcW w:w="76" w:type="dxa"/>
            <w:tcBorders/>
            <w:shd w:fill="CCEEFF" w:val="clear"/>
            <w:vAlign w:val="center"/>
          </w:tcPr>
          <w:p>
            <w:pPr>
              <w:pStyle w:val="TableContents"/>
              <w:bidi w:val="0"/>
              <w:spacing w:before="0" w:after="283"/>
              <w:jc w:val="left"/>
              <w:rPr/>
            </w:pPr>
            <w:r>
              <w:rPr/>
              <w:t> </w:t>
            </w:r>
          </w:p>
        </w:tc>
      </w:tr>
      <w:tr>
        <w:trPr/>
        <w:tc>
          <w:tcPr>
            <w:tcW w:w="7116" w:type="dxa"/>
            <w:tcBorders/>
            <w:shd w:fill="FFFFFF" w:val="clear"/>
            <w:vAlign w:val="center"/>
          </w:tcPr>
          <w:p>
            <w:pPr>
              <w:pStyle w:val="TableContents"/>
              <w:bidi w:val="0"/>
              <w:spacing w:before="0" w:after="283"/>
              <w:jc w:val="both"/>
              <w:rPr/>
            </w:pPr>
            <w:r>
              <w:rPr/>
              <w:t>Subtotal September 2024 Notes derivative liability</w:t>
            </w:r>
          </w:p>
        </w:tc>
        <w:tc>
          <w:tcPr>
            <w:tcW w:w="60" w:type="dxa"/>
            <w:tcBorders/>
            <w:shd w:fill="FFFFFF" w:val="clear"/>
            <w:vAlign w:val="center"/>
          </w:tcPr>
          <w:p>
            <w:pPr>
              <w:pStyle w:val="TableContents"/>
              <w:bidi w:val="0"/>
              <w:spacing w:before="0" w:after="283"/>
              <w:jc w:val="left"/>
              <w:rPr/>
            </w:pPr>
            <w:r>
              <w:rPr/>
              <w:t> </w:t>
            </w:r>
          </w:p>
        </w:tc>
        <w:tc>
          <w:tcPr>
            <w:tcW w:w="207"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92" w:type="dxa"/>
            <w:tcBorders>
              <w:bottom w:val="single" w:sz="12" w:space="0" w:color="000000"/>
            </w:tcBorders>
            <w:shd w:fill="FFFFFF" w:val="clear"/>
            <w:tcMar>
              <w:bottom w:w="28" w:type="dxa"/>
            </w:tcMar>
            <w:vAlign w:val="center"/>
          </w:tcPr>
          <w:p>
            <w:pPr>
              <w:pStyle w:val="TableContents"/>
              <w:bidi w:val="0"/>
              <w:spacing w:before="0" w:after="283"/>
              <w:jc w:val="right"/>
              <w:rPr/>
            </w:pPr>
            <w:r>
              <w:rPr/>
              <w:t>43,800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7"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92" w:type="dxa"/>
            <w:tcBorders>
              <w:bottom w:val="single" w:sz="12" w:space="0" w:color="000000"/>
            </w:tcBorders>
            <w:shd w:fill="FFFFFF" w:val="clear"/>
            <w:tcMar>
              <w:bottom w:w="28" w:type="dxa"/>
            </w:tcMar>
            <w:vAlign w:val="center"/>
          </w:tcPr>
          <w:p>
            <w:pPr>
              <w:pStyle w:val="TableContents"/>
              <w:bidi w:val="0"/>
              <w:spacing w:before="0" w:after="283"/>
              <w:jc w:val="right"/>
              <w:rPr/>
            </w:pPr>
            <w:r>
              <w:rPr/>
              <w:t>62,432</w:t>
            </w:r>
          </w:p>
        </w:tc>
        <w:tc>
          <w:tcPr>
            <w:tcW w:w="76" w:type="dxa"/>
            <w:tcBorders/>
            <w:shd w:fill="FFFFFF" w:val="clear"/>
            <w:vAlign w:val="center"/>
          </w:tcPr>
          <w:p>
            <w:pPr>
              <w:pStyle w:val="TableContents"/>
              <w:bidi w:val="0"/>
              <w:spacing w:before="0" w:after="283"/>
              <w:jc w:val="left"/>
              <w:rPr/>
            </w:pPr>
            <w:r>
              <w:rPr/>
              <w:t> </w:t>
            </w:r>
          </w:p>
        </w:tc>
      </w:tr>
      <w:tr>
        <w:trPr/>
        <w:tc>
          <w:tcPr>
            <w:tcW w:w="7116" w:type="dxa"/>
            <w:tcBorders/>
            <w:shd w:fill="CCEEFF" w:val="clear"/>
            <w:vAlign w:val="center"/>
          </w:tcPr>
          <w:p>
            <w:pPr>
              <w:pStyle w:val="TableContents"/>
              <w:bidi w:val="0"/>
              <w:spacing w:before="0" w:after="283"/>
              <w:jc w:val="both"/>
              <w:rPr/>
            </w:pPr>
            <w:r>
              <w:rPr/>
              <w:t>September 2025 Notes derivative liability</w:t>
            </w:r>
          </w:p>
        </w:tc>
        <w:tc>
          <w:tcPr>
            <w:tcW w:w="60" w:type="dxa"/>
            <w:tcBorders/>
            <w:shd w:fill="CCEEFF" w:val="clear"/>
            <w:vAlign w:val="center"/>
          </w:tcPr>
          <w:p>
            <w:pPr>
              <w:pStyle w:val="TableContents"/>
              <w:bidi w:val="0"/>
              <w:spacing w:before="0" w:after="283"/>
              <w:jc w:val="left"/>
              <w:rPr/>
            </w:pPr>
            <w:r>
              <w:rPr/>
              <w:t> </w:t>
            </w:r>
          </w:p>
        </w:tc>
        <w:tc>
          <w:tcPr>
            <w:tcW w:w="207"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92" w:type="dxa"/>
            <w:tcBorders>
              <w:bottom w:val="single" w:sz="12" w:space="0" w:color="000000"/>
            </w:tcBorders>
            <w:shd w:fill="CCEEFF" w:val="clear"/>
            <w:tcMar>
              <w:bottom w:w="28" w:type="dxa"/>
            </w:tcMar>
            <w:vAlign w:val="center"/>
          </w:tcPr>
          <w:p>
            <w:pPr>
              <w:pStyle w:val="TableContents"/>
              <w:bidi w:val="0"/>
              <w:spacing w:before="0" w:after="283"/>
              <w:jc w:val="right"/>
              <w:rPr/>
            </w:pPr>
            <w:r>
              <w:rPr/>
              <w:t>14,756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7"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92"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76" w:type="dxa"/>
            <w:tcBorders/>
            <w:shd w:fill="CCEEFF" w:val="clear"/>
            <w:vAlign w:val="center"/>
          </w:tcPr>
          <w:p>
            <w:pPr>
              <w:pStyle w:val="TableContents"/>
              <w:bidi w:val="0"/>
              <w:spacing w:before="0" w:after="283"/>
              <w:jc w:val="left"/>
              <w:rPr/>
            </w:pPr>
            <w:r>
              <w:rPr/>
              <w:t> </w:t>
            </w:r>
          </w:p>
        </w:tc>
      </w:tr>
      <w:tr>
        <w:trPr/>
        <w:tc>
          <w:tcPr>
            <w:tcW w:w="7116" w:type="dxa"/>
            <w:tcBorders/>
            <w:shd w:fill="FFFFFF" w:val="clear"/>
            <w:vAlign w:val="center"/>
          </w:tcPr>
          <w:p>
            <w:pPr>
              <w:pStyle w:val="TableContents"/>
              <w:bidi w:val="0"/>
              <w:spacing w:before="0" w:after="283"/>
              <w:jc w:val="both"/>
              <w:rPr/>
            </w:pPr>
            <w:r>
              <w:rPr/>
              <w:t>Total 7.0% senior unsecured convertible notes and derivative liabilities</w:t>
            </w:r>
          </w:p>
        </w:tc>
        <w:tc>
          <w:tcPr>
            <w:tcW w:w="60" w:type="dxa"/>
            <w:tcBorders/>
            <w:shd w:fill="FFFFFF" w:val="clear"/>
            <w:vAlign w:val="center"/>
          </w:tcPr>
          <w:p>
            <w:pPr>
              <w:pStyle w:val="TableContents"/>
              <w:bidi w:val="0"/>
              <w:spacing w:before="0" w:after="283"/>
              <w:jc w:val="left"/>
              <w:rPr/>
            </w:pPr>
            <w:r>
              <w:rPr/>
              <w:t> </w:t>
            </w:r>
          </w:p>
        </w:tc>
        <w:tc>
          <w:tcPr>
            <w:tcW w:w="207"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92" w:type="dxa"/>
            <w:tcBorders>
              <w:bottom w:val="single" w:sz="12" w:space="0" w:color="000000"/>
            </w:tcBorders>
            <w:shd w:fill="FFFFFF" w:val="clear"/>
            <w:tcMar>
              <w:bottom w:w="28" w:type="dxa"/>
            </w:tcMar>
            <w:vAlign w:val="center"/>
          </w:tcPr>
          <w:p>
            <w:pPr>
              <w:pStyle w:val="TableContents"/>
              <w:bidi w:val="0"/>
              <w:spacing w:before="0" w:after="283"/>
              <w:jc w:val="right"/>
              <w:rPr/>
            </w:pPr>
            <w:r>
              <w:rPr/>
              <w:t>78,588</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7"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92" w:type="dxa"/>
            <w:tcBorders>
              <w:bottom w:val="single" w:sz="12" w:space="0" w:color="000000"/>
            </w:tcBorders>
            <w:shd w:fill="FFFFFF" w:val="clear"/>
            <w:tcMar>
              <w:bottom w:w="28" w:type="dxa"/>
            </w:tcMar>
            <w:vAlign w:val="center"/>
          </w:tcPr>
          <w:p>
            <w:pPr>
              <w:pStyle w:val="TableContents"/>
              <w:bidi w:val="0"/>
              <w:spacing w:before="0" w:after="283"/>
              <w:jc w:val="right"/>
              <w:rPr/>
            </w:pPr>
            <w:r>
              <w:rPr/>
              <w:t>68,544</w:t>
            </w:r>
          </w:p>
        </w:tc>
        <w:tc>
          <w:tcPr>
            <w:tcW w:w="76" w:type="dxa"/>
            <w:tcBorders/>
            <w:shd w:fill="FFFFFF" w:val="clear"/>
            <w:vAlign w:val="center"/>
          </w:tcPr>
          <w:p>
            <w:pPr>
              <w:pStyle w:val="TableContents"/>
              <w:bidi w:val="0"/>
              <w:spacing w:before="0" w:after="283"/>
              <w:jc w:val="left"/>
              <w:rPr/>
            </w:pPr>
            <w:r>
              <w:rPr/>
              <w:t> </w:t>
            </w:r>
          </w:p>
        </w:tc>
      </w:tr>
      <w:tr>
        <w:trPr/>
        <w:tc>
          <w:tcPr>
            <w:tcW w:w="7116" w:type="dxa"/>
            <w:tcBorders/>
            <w:shd w:fill="CCEEFF" w:val="clear"/>
            <w:vAlign w:val="center"/>
          </w:tcPr>
          <w:p>
            <w:pPr>
              <w:pStyle w:val="TableContents"/>
              <w:bidi w:val="0"/>
              <w:spacing w:before="0" w:after="283"/>
              <w:jc w:val="both"/>
              <w:rPr/>
            </w:pPr>
            <w:r>
              <w:rPr/>
              <w:t>Total notes payable and derivative liabilities</w:t>
            </w:r>
          </w:p>
        </w:tc>
        <w:tc>
          <w:tcPr>
            <w:tcW w:w="60" w:type="dxa"/>
            <w:tcBorders/>
            <w:shd w:fill="CCEEFF" w:val="clear"/>
            <w:vAlign w:val="center"/>
          </w:tcPr>
          <w:p>
            <w:pPr>
              <w:pStyle w:val="TableContents"/>
              <w:bidi w:val="0"/>
              <w:spacing w:before="0" w:after="283"/>
              <w:jc w:val="left"/>
              <w:rPr/>
            </w:pPr>
            <w:r>
              <w:rPr/>
              <w:t> </w:t>
            </w:r>
          </w:p>
        </w:tc>
        <w:tc>
          <w:tcPr>
            <w:tcW w:w="207"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92" w:type="dxa"/>
            <w:tcBorders>
              <w:bottom w:val="single" w:sz="12" w:space="0" w:color="000000"/>
            </w:tcBorders>
            <w:shd w:fill="CCEEFF" w:val="clear"/>
            <w:tcMar>
              <w:bottom w:w="28" w:type="dxa"/>
            </w:tcMar>
            <w:vAlign w:val="center"/>
          </w:tcPr>
          <w:p>
            <w:pPr>
              <w:pStyle w:val="TableContents"/>
              <w:bidi w:val="0"/>
              <w:spacing w:before="0" w:after="283"/>
              <w:jc w:val="right"/>
              <w:rPr/>
            </w:pPr>
            <w:r>
              <w:rPr/>
              <w:t>158,075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7"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92" w:type="dxa"/>
            <w:tcBorders>
              <w:bottom w:val="single" w:sz="12" w:space="0" w:color="000000"/>
            </w:tcBorders>
            <w:shd w:fill="CCEEFF" w:val="clear"/>
            <w:tcMar>
              <w:bottom w:w="28" w:type="dxa"/>
            </w:tcMar>
            <w:vAlign w:val="center"/>
          </w:tcPr>
          <w:p>
            <w:pPr>
              <w:pStyle w:val="TableContents"/>
              <w:bidi w:val="0"/>
              <w:spacing w:before="0" w:after="283"/>
              <w:jc w:val="right"/>
              <w:rPr/>
            </w:pPr>
            <w:r>
              <w:rPr/>
              <w:t>145,831</w:t>
            </w:r>
          </w:p>
        </w:tc>
        <w:tc>
          <w:tcPr>
            <w:tcW w:w="76" w:type="dxa"/>
            <w:tcBorders/>
            <w:shd w:fill="CCEEFF" w:val="clear"/>
            <w:vAlign w:val="center"/>
          </w:tcPr>
          <w:p>
            <w:pPr>
              <w:pStyle w:val="TableContents"/>
              <w:bidi w:val="0"/>
              <w:spacing w:before="0" w:after="283"/>
              <w:jc w:val="left"/>
              <w:rPr/>
            </w:pPr>
            <w:r>
              <w:rPr/>
              <w:t> </w:t>
            </w:r>
          </w:p>
        </w:tc>
      </w:tr>
      <w:tr>
        <w:trPr/>
        <w:tc>
          <w:tcPr>
            <w:tcW w:w="7116" w:type="dxa"/>
            <w:tcBorders/>
            <w:shd w:fill="FFFFFF" w:val="clear"/>
            <w:vAlign w:val="center"/>
          </w:tcPr>
          <w:p>
            <w:pPr>
              <w:pStyle w:val="TableContents"/>
              <w:bidi w:val="0"/>
              <w:spacing w:before="0" w:after="283"/>
              <w:jc w:val="both"/>
              <w:rPr/>
            </w:pPr>
            <w:r>
              <w:rPr/>
              <w:t>Less current portion</w:t>
            </w:r>
          </w:p>
        </w:tc>
        <w:tc>
          <w:tcPr>
            <w:tcW w:w="60" w:type="dxa"/>
            <w:tcBorders/>
            <w:shd w:fill="FFFFFF" w:val="clear"/>
            <w:vAlign w:val="center"/>
          </w:tcPr>
          <w:p>
            <w:pPr>
              <w:pStyle w:val="TableContents"/>
              <w:bidi w:val="0"/>
              <w:spacing w:before="0" w:after="283"/>
              <w:jc w:val="left"/>
              <w:rPr/>
            </w:pPr>
            <w:r>
              <w:rPr/>
              <w:t> </w:t>
            </w:r>
          </w:p>
        </w:tc>
        <w:tc>
          <w:tcPr>
            <w:tcW w:w="207"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92" w:type="dxa"/>
            <w:tcBorders>
              <w:bottom w:val="single" w:sz="12" w:space="0" w:color="000000"/>
            </w:tcBorders>
            <w:shd w:fill="FFFFFF" w:val="clear"/>
            <w:tcMar>
              <w:bottom w:w="28" w:type="dxa"/>
            </w:tcMar>
            <w:vAlign w:val="center"/>
          </w:tcPr>
          <w:p>
            <w:pPr>
              <w:pStyle w:val="TableContents"/>
              <w:bidi w:val="0"/>
              <w:spacing w:before="0" w:after="283"/>
              <w:jc w:val="right"/>
              <w:rPr/>
            </w:pPr>
            <w:r>
              <w:rPr/>
              <w:t>(2,786</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207"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92"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76" w:type="dxa"/>
            <w:tcBorders/>
            <w:shd w:fill="FFFFFF" w:val="clear"/>
            <w:vAlign w:val="center"/>
          </w:tcPr>
          <w:p>
            <w:pPr>
              <w:pStyle w:val="TableContents"/>
              <w:bidi w:val="0"/>
              <w:spacing w:before="0" w:after="283"/>
              <w:jc w:val="left"/>
              <w:rPr/>
            </w:pPr>
            <w:r>
              <w:rPr/>
              <w:t> </w:t>
            </w:r>
          </w:p>
        </w:tc>
      </w:tr>
      <w:tr>
        <w:trPr/>
        <w:tc>
          <w:tcPr>
            <w:tcW w:w="7116" w:type="dxa"/>
            <w:tcBorders/>
            <w:shd w:fill="CCEEFF" w:val="clear"/>
            <w:vAlign w:val="center"/>
          </w:tcPr>
          <w:p>
            <w:pPr>
              <w:pStyle w:val="TableContents"/>
              <w:bidi w:val="0"/>
              <w:spacing w:before="0" w:after="283"/>
              <w:jc w:val="both"/>
              <w:rPr/>
            </w:pPr>
            <w:r>
              <w:rPr/>
              <w:t>Total senior unsecured convertible notes payable and derivative liabilities, net of current portion</w:t>
            </w:r>
          </w:p>
        </w:tc>
        <w:tc>
          <w:tcPr>
            <w:tcW w:w="60" w:type="dxa"/>
            <w:tcBorders/>
            <w:shd w:fill="CCEEFF" w:val="clear"/>
            <w:vAlign w:val="center"/>
          </w:tcPr>
          <w:p>
            <w:pPr>
              <w:pStyle w:val="TableContents"/>
              <w:bidi w:val="0"/>
              <w:spacing w:before="0" w:after="283"/>
              <w:jc w:val="left"/>
              <w:rPr/>
            </w:pPr>
            <w:r>
              <w:rPr/>
              <w:t> </w:t>
            </w:r>
          </w:p>
        </w:tc>
        <w:tc>
          <w:tcPr>
            <w:tcW w:w="207"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192" w:type="dxa"/>
            <w:tcBorders>
              <w:bottom w:val="double" w:sz="10" w:space="0" w:color="000000"/>
            </w:tcBorders>
            <w:shd w:fill="CCEEFF" w:val="clear"/>
            <w:tcMar>
              <w:bottom w:w="28" w:type="dxa"/>
            </w:tcMar>
            <w:vAlign w:val="center"/>
          </w:tcPr>
          <w:p>
            <w:pPr>
              <w:pStyle w:val="TableContents"/>
              <w:bidi w:val="0"/>
              <w:spacing w:before="0" w:after="283"/>
              <w:jc w:val="right"/>
              <w:rPr/>
            </w:pPr>
            <w:r>
              <w:rPr/>
              <w:t>155,289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7"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192" w:type="dxa"/>
            <w:tcBorders>
              <w:bottom w:val="double" w:sz="10" w:space="0" w:color="000000"/>
            </w:tcBorders>
            <w:shd w:fill="CCEEFF" w:val="clear"/>
            <w:tcMar>
              <w:bottom w:w="28" w:type="dxa"/>
            </w:tcMar>
            <w:vAlign w:val="center"/>
          </w:tcPr>
          <w:p>
            <w:pPr>
              <w:pStyle w:val="TableContents"/>
              <w:bidi w:val="0"/>
              <w:spacing w:before="0" w:after="283"/>
              <w:jc w:val="right"/>
              <w:rPr/>
            </w:pPr>
            <w:r>
              <w:rPr/>
              <w:t>145,831</w:t>
            </w:r>
          </w:p>
        </w:tc>
        <w:tc>
          <w:tcPr>
            <w:tcW w:w="76" w:type="dxa"/>
            <w:tcBorders/>
            <w:shd w:fill="CCEEFF" w:val="clear"/>
            <w:vAlign w:val="center"/>
          </w:tcPr>
          <w:p>
            <w:pPr>
              <w:pStyle w:val="TableContents"/>
              <w:bidi w:val="0"/>
              <w:spacing w:before="0" w:after="283"/>
              <w:jc w:val="left"/>
              <w:rPr/>
            </w:pPr>
            <w:r>
              <w:rPr/>
              <w:t> </w:t>
            </w:r>
          </w:p>
        </w:tc>
      </w:tr>
      <w:tr>
        <w:trPr/>
        <w:tc>
          <w:tcPr>
            <w:tcW w:w="7116" w:type="dxa"/>
            <w:tcBorders/>
            <w:shd w:fill="FFFFFF" w:val="clear"/>
            <w:vAlign w:val="center"/>
          </w:tcPr>
          <w:p>
            <w:pPr>
              <w:pStyle w:val="TableContents"/>
              <w:bidi w:val="0"/>
              <w:spacing w:before="0" w:after="283"/>
              <w:jc w:val="both"/>
              <w:rPr/>
            </w:pPr>
            <w:r>
              <w:rPr/>
              <w:t> </w:t>
            </w:r>
          </w:p>
        </w:tc>
        <w:tc>
          <w:tcPr>
            <w:tcW w:w="60" w:type="dxa"/>
            <w:tcBorders/>
            <w:shd w:fill="FFFFFF" w:val="clear"/>
            <w:vAlign w:val="center"/>
          </w:tcPr>
          <w:p>
            <w:pPr>
              <w:pStyle w:val="TableContents"/>
              <w:bidi w:val="0"/>
              <w:spacing w:before="0" w:after="283"/>
              <w:jc w:val="left"/>
              <w:rPr/>
            </w:pPr>
            <w:r>
              <w:rPr/>
              <w:t> </w:t>
            </w:r>
          </w:p>
        </w:tc>
        <w:tc>
          <w:tcPr>
            <w:tcW w:w="207" w:type="dxa"/>
            <w:tcBorders/>
            <w:shd w:fill="FFFFFF" w:val="clear"/>
            <w:vAlign w:val="center"/>
          </w:tcPr>
          <w:p>
            <w:pPr>
              <w:pStyle w:val="TableContents"/>
              <w:bidi w:val="0"/>
              <w:spacing w:before="0" w:after="283"/>
              <w:jc w:val="left"/>
              <w:rPr/>
            </w:pPr>
            <w:r>
              <w:rPr/>
              <w:t> </w:t>
            </w:r>
          </w:p>
        </w:tc>
        <w:tc>
          <w:tcPr>
            <w:tcW w:w="1192"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7" w:type="dxa"/>
            <w:tcBorders/>
            <w:shd w:fill="FFFFFF" w:val="clear"/>
            <w:vAlign w:val="center"/>
          </w:tcPr>
          <w:p>
            <w:pPr>
              <w:pStyle w:val="TableContents"/>
              <w:bidi w:val="0"/>
              <w:spacing w:before="0" w:after="283"/>
              <w:jc w:val="left"/>
              <w:rPr/>
            </w:pPr>
            <w:r>
              <w:rPr/>
              <w:t> </w:t>
            </w:r>
          </w:p>
        </w:tc>
        <w:tc>
          <w:tcPr>
            <w:tcW w:w="1192" w:type="dxa"/>
            <w:tcBorders/>
            <w:shd w:fill="FFFFFF" w:val="clear"/>
            <w:vAlign w:val="center"/>
          </w:tcPr>
          <w:p>
            <w:pPr>
              <w:pStyle w:val="TableContents"/>
              <w:bidi w:val="0"/>
              <w:spacing w:before="0" w:after="283"/>
              <w:jc w:val="right"/>
              <w:rPr/>
            </w:pPr>
            <w:r>
              <w:rPr/>
              <w:t> </w:t>
            </w:r>
          </w:p>
        </w:tc>
        <w:tc>
          <w:tcPr>
            <w:tcW w:w="76" w:type="dxa"/>
            <w:tcBorders/>
            <w:shd w:fill="FFFFFF" w:val="clear"/>
            <w:vAlign w:val="center"/>
          </w:tcPr>
          <w:p>
            <w:pPr>
              <w:pStyle w:val="TableContents"/>
              <w:bidi w:val="0"/>
              <w:spacing w:before="0" w:after="283"/>
              <w:jc w:val="left"/>
              <w:rPr/>
            </w:pPr>
            <w:r>
              <w:rPr/>
              <w:t> </w:t>
            </w:r>
          </w:p>
        </w:tc>
      </w:tr>
      <w:tr>
        <w:trPr/>
        <w:tc>
          <w:tcPr>
            <w:tcW w:w="7116" w:type="dxa"/>
            <w:tcBorders/>
            <w:shd w:fill="CCEEFF" w:val="clear"/>
            <w:vAlign w:val="center"/>
          </w:tcPr>
          <w:p>
            <w:pPr>
              <w:pStyle w:val="TableContents"/>
              <w:bidi w:val="0"/>
              <w:spacing w:before="0" w:after="283"/>
              <w:jc w:val="both"/>
              <w:rPr/>
            </w:pPr>
            <w:r>
              <w:rPr/>
              <w:t>Balance sheet classification</w:t>
            </w:r>
          </w:p>
        </w:tc>
        <w:tc>
          <w:tcPr>
            <w:tcW w:w="60" w:type="dxa"/>
            <w:tcBorders/>
            <w:shd w:fill="CCEEFF" w:val="clear"/>
            <w:vAlign w:val="center"/>
          </w:tcPr>
          <w:p>
            <w:pPr>
              <w:pStyle w:val="TableContents"/>
              <w:bidi w:val="0"/>
              <w:spacing w:before="0" w:after="283"/>
              <w:jc w:val="left"/>
              <w:rPr/>
            </w:pPr>
            <w:r>
              <w:rPr/>
              <w:t> </w:t>
            </w:r>
          </w:p>
        </w:tc>
        <w:tc>
          <w:tcPr>
            <w:tcW w:w="207" w:type="dxa"/>
            <w:tcBorders/>
            <w:shd w:fill="CCEEFF" w:val="clear"/>
            <w:vAlign w:val="center"/>
          </w:tcPr>
          <w:p>
            <w:pPr>
              <w:pStyle w:val="TableContents"/>
              <w:bidi w:val="0"/>
              <w:spacing w:before="0" w:after="283"/>
              <w:jc w:val="left"/>
              <w:rPr/>
            </w:pPr>
            <w:r>
              <w:rPr/>
              <w:t> </w:t>
            </w:r>
          </w:p>
        </w:tc>
        <w:tc>
          <w:tcPr>
            <w:tcW w:w="1192"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7" w:type="dxa"/>
            <w:tcBorders/>
            <w:shd w:fill="CCEEFF" w:val="clear"/>
            <w:vAlign w:val="center"/>
          </w:tcPr>
          <w:p>
            <w:pPr>
              <w:pStyle w:val="TableContents"/>
              <w:bidi w:val="0"/>
              <w:spacing w:before="0" w:after="283"/>
              <w:jc w:val="left"/>
              <w:rPr/>
            </w:pPr>
            <w:r>
              <w:rPr/>
              <w:t> </w:t>
            </w:r>
          </w:p>
        </w:tc>
        <w:tc>
          <w:tcPr>
            <w:tcW w:w="1192" w:type="dxa"/>
            <w:tcBorders/>
            <w:shd w:fill="CCEEFF" w:val="clear"/>
            <w:vAlign w:val="center"/>
          </w:tcPr>
          <w:p>
            <w:pPr>
              <w:pStyle w:val="TableContents"/>
              <w:bidi w:val="0"/>
              <w:spacing w:before="0" w:after="283"/>
              <w:jc w:val="right"/>
              <w:rPr/>
            </w:pPr>
            <w:r>
              <w:rPr/>
              <w:t> </w:t>
            </w:r>
          </w:p>
        </w:tc>
        <w:tc>
          <w:tcPr>
            <w:tcW w:w="76" w:type="dxa"/>
            <w:tcBorders/>
            <w:shd w:fill="CCEEFF" w:val="clear"/>
            <w:vAlign w:val="center"/>
          </w:tcPr>
          <w:p>
            <w:pPr>
              <w:pStyle w:val="TableContents"/>
              <w:bidi w:val="0"/>
              <w:spacing w:before="0" w:after="283"/>
              <w:jc w:val="left"/>
              <w:rPr/>
            </w:pPr>
            <w:r>
              <w:rPr/>
              <w:t> </w:t>
            </w:r>
          </w:p>
        </w:tc>
      </w:tr>
      <w:tr>
        <w:trPr/>
        <w:tc>
          <w:tcPr>
            <w:tcW w:w="7116" w:type="dxa"/>
            <w:tcBorders/>
            <w:shd w:fill="FFFFFF" w:val="clear"/>
            <w:vAlign w:val="center"/>
          </w:tcPr>
          <w:p>
            <w:pPr>
              <w:pStyle w:val="TableContents"/>
              <w:bidi w:val="0"/>
              <w:spacing w:before="0" w:after="283"/>
              <w:jc w:val="both"/>
              <w:rPr/>
            </w:pPr>
            <w:r>
              <w:rPr/>
              <w:t>Current liabilities</w:t>
            </w:r>
          </w:p>
        </w:tc>
        <w:tc>
          <w:tcPr>
            <w:tcW w:w="60" w:type="dxa"/>
            <w:tcBorders/>
            <w:shd w:fill="FFFFFF" w:val="clear"/>
            <w:vAlign w:val="center"/>
          </w:tcPr>
          <w:p>
            <w:pPr>
              <w:pStyle w:val="TableContents"/>
              <w:bidi w:val="0"/>
              <w:spacing w:before="0" w:after="283"/>
              <w:jc w:val="left"/>
              <w:rPr/>
            </w:pPr>
            <w:r>
              <w:rPr/>
              <w:t> </w:t>
            </w:r>
          </w:p>
        </w:tc>
        <w:tc>
          <w:tcPr>
            <w:tcW w:w="207" w:type="dxa"/>
            <w:tcBorders/>
            <w:shd w:fill="FFFFFF" w:val="clear"/>
            <w:vAlign w:val="center"/>
          </w:tcPr>
          <w:p>
            <w:pPr>
              <w:pStyle w:val="TableContents"/>
              <w:bidi w:val="0"/>
              <w:spacing w:before="0" w:after="283"/>
              <w:jc w:val="left"/>
              <w:rPr/>
            </w:pPr>
            <w:r>
              <w:rPr/>
              <w:t> </w:t>
            </w:r>
          </w:p>
        </w:tc>
        <w:tc>
          <w:tcPr>
            <w:tcW w:w="1192"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7" w:type="dxa"/>
            <w:tcBorders/>
            <w:shd w:fill="FFFFFF" w:val="clear"/>
            <w:vAlign w:val="center"/>
          </w:tcPr>
          <w:p>
            <w:pPr>
              <w:pStyle w:val="TableContents"/>
              <w:bidi w:val="0"/>
              <w:spacing w:before="0" w:after="283"/>
              <w:jc w:val="left"/>
              <w:rPr/>
            </w:pPr>
            <w:r>
              <w:rPr/>
              <w:t> </w:t>
            </w:r>
          </w:p>
        </w:tc>
        <w:tc>
          <w:tcPr>
            <w:tcW w:w="1192" w:type="dxa"/>
            <w:tcBorders/>
            <w:shd w:fill="FFFFFF" w:val="clear"/>
            <w:vAlign w:val="center"/>
          </w:tcPr>
          <w:p>
            <w:pPr>
              <w:pStyle w:val="TableContents"/>
              <w:bidi w:val="0"/>
              <w:spacing w:before="0" w:after="283"/>
              <w:jc w:val="right"/>
              <w:rPr/>
            </w:pPr>
            <w:r>
              <w:rPr/>
              <w:t> </w:t>
            </w:r>
          </w:p>
        </w:tc>
        <w:tc>
          <w:tcPr>
            <w:tcW w:w="76" w:type="dxa"/>
            <w:tcBorders/>
            <w:shd w:fill="FFFFFF" w:val="clear"/>
            <w:vAlign w:val="center"/>
          </w:tcPr>
          <w:p>
            <w:pPr>
              <w:pStyle w:val="TableContents"/>
              <w:bidi w:val="0"/>
              <w:spacing w:before="0" w:after="283"/>
              <w:jc w:val="left"/>
              <w:rPr/>
            </w:pPr>
            <w:r>
              <w:rPr/>
              <w:t> </w:t>
            </w:r>
          </w:p>
        </w:tc>
      </w:tr>
      <w:tr>
        <w:trPr/>
        <w:tc>
          <w:tcPr>
            <w:tcW w:w="7116" w:type="dxa"/>
            <w:tcBorders/>
            <w:shd w:fill="CCEEFF" w:val="clear"/>
            <w:vAlign w:val="center"/>
          </w:tcPr>
          <w:p>
            <w:pPr>
              <w:pStyle w:val="TableContents"/>
              <w:bidi w:val="0"/>
              <w:spacing w:before="0" w:after="283"/>
              <w:jc w:val="both"/>
              <w:rPr/>
            </w:pPr>
            <w:r>
              <w:rPr/>
              <w:t>Notes payable, current portion</w:t>
            </w:r>
          </w:p>
        </w:tc>
        <w:tc>
          <w:tcPr>
            <w:tcW w:w="60" w:type="dxa"/>
            <w:tcBorders/>
            <w:shd w:fill="CCEEFF" w:val="clear"/>
            <w:vAlign w:val="center"/>
          </w:tcPr>
          <w:p>
            <w:pPr>
              <w:pStyle w:val="TableContents"/>
              <w:bidi w:val="0"/>
              <w:spacing w:before="0" w:after="283"/>
              <w:jc w:val="left"/>
              <w:rPr/>
            </w:pPr>
            <w:r>
              <w:rPr/>
              <w:t> </w:t>
            </w:r>
          </w:p>
        </w:tc>
        <w:tc>
          <w:tcPr>
            <w:tcW w:w="207"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192" w:type="dxa"/>
            <w:tcBorders>
              <w:bottom w:val="double" w:sz="10" w:space="0" w:color="000000"/>
            </w:tcBorders>
            <w:shd w:fill="CCEEFF" w:val="clear"/>
            <w:tcMar>
              <w:bottom w:w="28" w:type="dxa"/>
            </w:tcMar>
            <w:vAlign w:val="center"/>
          </w:tcPr>
          <w:p>
            <w:pPr>
              <w:pStyle w:val="TableContents"/>
              <w:bidi w:val="0"/>
              <w:spacing w:before="0" w:after="283"/>
              <w:jc w:val="right"/>
              <w:rPr/>
            </w:pPr>
            <w:r>
              <w:rPr/>
              <w:t>2,786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7"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192" w:type="dxa"/>
            <w:tcBorders>
              <w:bottom w:val="double" w:sz="10" w:space="0" w:color="000000"/>
            </w:tcBorders>
            <w:shd w:fill="CCEEFF" w:val="clear"/>
            <w:tcMar>
              <w:bottom w:w="28" w:type="dxa"/>
            </w:tcMar>
            <w:vAlign w:val="center"/>
          </w:tcPr>
          <w:p>
            <w:pPr>
              <w:pStyle w:val="TableContents"/>
              <w:bidi w:val="0"/>
              <w:spacing w:before="0" w:after="283"/>
              <w:jc w:val="right"/>
              <w:rPr/>
            </w:pPr>
            <w:r>
              <w:rPr/>
              <w:t>—</w:t>
            </w:r>
          </w:p>
        </w:tc>
        <w:tc>
          <w:tcPr>
            <w:tcW w:w="76" w:type="dxa"/>
            <w:tcBorders/>
            <w:shd w:fill="CCEEFF" w:val="clear"/>
            <w:vAlign w:val="center"/>
          </w:tcPr>
          <w:p>
            <w:pPr>
              <w:pStyle w:val="TableContents"/>
              <w:bidi w:val="0"/>
              <w:spacing w:before="0" w:after="283"/>
              <w:jc w:val="left"/>
              <w:rPr/>
            </w:pPr>
            <w:r>
              <w:rPr/>
              <w:t> </w:t>
            </w:r>
          </w:p>
        </w:tc>
      </w:tr>
      <w:tr>
        <w:trPr/>
        <w:tc>
          <w:tcPr>
            <w:tcW w:w="7116" w:type="dxa"/>
            <w:tcBorders/>
            <w:shd w:fill="FFFFFF" w:val="clear"/>
            <w:vAlign w:val="center"/>
          </w:tcPr>
          <w:p>
            <w:pPr>
              <w:pStyle w:val="TableContents"/>
              <w:bidi w:val="0"/>
              <w:spacing w:before="0" w:after="283"/>
              <w:jc w:val="both"/>
              <w:rPr/>
            </w:pPr>
            <w:r>
              <w:rPr/>
              <w:t>Long-term liabilities</w:t>
            </w:r>
          </w:p>
        </w:tc>
        <w:tc>
          <w:tcPr>
            <w:tcW w:w="60" w:type="dxa"/>
            <w:tcBorders/>
            <w:shd w:fill="FFFFFF" w:val="clear"/>
            <w:vAlign w:val="center"/>
          </w:tcPr>
          <w:p>
            <w:pPr>
              <w:pStyle w:val="TableContents"/>
              <w:bidi w:val="0"/>
              <w:spacing w:before="0" w:after="283"/>
              <w:jc w:val="left"/>
              <w:rPr/>
            </w:pPr>
            <w:r>
              <w:rPr/>
              <w:t> </w:t>
            </w:r>
          </w:p>
        </w:tc>
        <w:tc>
          <w:tcPr>
            <w:tcW w:w="207" w:type="dxa"/>
            <w:tcBorders/>
            <w:shd w:fill="FFFFFF" w:val="clear"/>
            <w:vAlign w:val="center"/>
          </w:tcPr>
          <w:p>
            <w:pPr>
              <w:pStyle w:val="TableContents"/>
              <w:bidi w:val="0"/>
              <w:spacing w:before="0" w:after="283"/>
              <w:jc w:val="left"/>
              <w:rPr/>
            </w:pPr>
            <w:r>
              <w:rPr/>
              <w:t> </w:t>
            </w:r>
          </w:p>
        </w:tc>
        <w:tc>
          <w:tcPr>
            <w:tcW w:w="1192"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7" w:type="dxa"/>
            <w:tcBorders/>
            <w:shd w:fill="FFFFFF" w:val="clear"/>
            <w:vAlign w:val="center"/>
          </w:tcPr>
          <w:p>
            <w:pPr>
              <w:pStyle w:val="TableContents"/>
              <w:bidi w:val="0"/>
              <w:spacing w:before="0" w:after="283"/>
              <w:jc w:val="left"/>
              <w:rPr/>
            </w:pPr>
            <w:r>
              <w:rPr/>
              <w:t> </w:t>
            </w:r>
          </w:p>
        </w:tc>
        <w:tc>
          <w:tcPr>
            <w:tcW w:w="1192" w:type="dxa"/>
            <w:tcBorders/>
            <w:shd w:fill="FFFFFF" w:val="clear"/>
            <w:vAlign w:val="center"/>
          </w:tcPr>
          <w:p>
            <w:pPr>
              <w:pStyle w:val="TableContents"/>
              <w:bidi w:val="0"/>
              <w:spacing w:before="0" w:after="283"/>
              <w:jc w:val="right"/>
              <w:rPr/>
            </w:pPr>
            <w:r>
              <w:rPr/>
              <w:t> </w:t>
            </w:r>
          </w:p>
        </w:tc>
        <w:tc>
          <w:tcPr>
            <w:tcW w:w="76" w:type="dxa"/>
            <w:tcBorders/>
            <w:shd w:fill="FFFFFF" w:val="clear"/>
            <w:vAlign w:val="center"/>
          </w:tcPr>
          <w:p>
            <w:pPr>
              <w:pStyle w:val="TableContents"/>
              <w:bidi w:val="0"/>
              <w:spacing w:before="0" w:after="283"/>
              <w:jc w:val="left"/>
              <w:rPr/>
            </w:pPr>
            <w:r>
              <w:rPr/>
              <w:t> </w:t>
            </w:r>
          </w:p>
        </w:tc>
      </w:tr>
      <w:tr>
        <w:trPr/>
        <w:tc>
          <w:tcPr>
            <w:tcW w:w="7116" w:type="dxa"/>
            <w:tcBorders/>
            <w:shd w:fill="CCEEFF" w:val="clear"/>
            <w:vAlign w:val="center"/>
          </w:tcPr>
          <w:p>
            <w:pPr>
              <w:pStyle w:val="TableContents"/>
              <w:bidi w:val="0"/>
              <w:spacing w:before="0" w:after="283"/>
              <w:jc w:val="both"/>
              <w:rPr/>
            </w:pPr>
            <w:r>
              <w:rPr/>
              <w:t>Notes payable and derivative liabilities, net of current portion</w:t>
            </w:r>
          </w:p>
        </w:tc>
        <w:tc>
          <w:tcPr>
            <w:tcW w:w="60" w:type="dxa"/>
            <w:tcBorders/>
            <w:shd w:fill="CCEEFF" w:val="clear"/>
            <w:vAlign w:val="center"/>
          </w:tcPr>
          <w:p>
            <w:pPr>
              <w:pStyle w:val="TableContents"/>
              <w:bidi w:val="0"/>
              <w:spacing w:before="0" w:after="283"/>
              <w:jc w:val="left"/>
              <w:rPr/>
            </w:pPr>
            <w:r>
              <w:rPr/>
              <w:t> </w:t>
            </w:r>
          </w:p>
        </w:tc>
        <w:tc>
          <w:tcPr>
            <w:tcW w:w="207" w:type="dxa"/>
            <w:tcBorders/>
            <w:shd w:fill="CCEEFF" w:val="clear"/>
            <w:vAlign w:val="center"/>
          </w:tcPr>
          <w:p>
            <w:pPr>
              <w:pStyle w:val="TableContents"/>
              <w:bidi w:val="0"/>
              <w:spacing w:before="0" w:after="283"/>
              <w:jc w:val="left"/>
              <w:rPr/>
            </w:pPr>
            <w:r>
              <w:rPr/>
              <w:t>$</w:t>
            </w:r>
          </w:p>
        </w:tc>
        <w:tc>
          <w:tcPr>
            <w:tcW w:w="1192" w:type="dxa"/>
            <w:tcBorders/>
            <w:shd w:fill="CCEEFF" w:val="clear"/>
            <w:vAlign w:val="center"/>
          </w:tcPr>
          <w:p>
            <w:pPr>
              <w:pStyle w:val="TableContents"/>
              <w:bidi w:val="0"/>
              <w:spacing w:before="0" w:after="283"/>
              <w:jc w:val="right"/>
              <w:rPr/>
            </w:pPr>
            <w:r>
              <w:rPr/>
              <w:t>120,159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7" w:type="dxa"/>
            <w:tcBorders/>
            <w:shd w:fill="CCEEFF" w:val="clear"/>
            <w:vAlign w:val="center"/>
          </w:tcPr>
          <w:p>
            <w:pPr>
              <w:pStyle w:val="TableContents"/>
              <w:bidi w:val="0"/>
              <w:spacing w:before="0" w:after="283"/>
              <w:jc w:val="left"/>
              <w:rPr/>
            </w:pPr>
            <w:r>
              <w:rPr/>
              <w:t>$</w:t>
            </w:r>
          </w:p>
        </w:tc>
        <w:tc>
          <w:tcPr>
            <w:tcW w:w="1192" w:type="dxa"/>
            <w:tcBorders/>
            <w:shd w:fill="CCEEFF" w:val="clear"/>
            <w:vAlign w:val="center"/>
          </w:tcPr>
          <w:p>
            <w:pPr>
              <w:pStyle w:val="TableContents"/>
              <w:bidi w:val="0"/>
              <w:spacing w:before="0" w:after="283"/>
              <w:jc w:val="right"/>
              <w:rPr/>
            </w:pPr>
            <w:r>
              <w:rPr/>
              <w:t>92,638</w:t>
            </w:r>
          </w:p>
        </w:tc>
        <w:tc>
          <w:tcPr>
            <w:tcW w:w="76" w:type="dxa"/>
            <w:tcBorders/>
            <w:shd w:fill="CCEEFF" w:val="clear"/>
            <w:vAlign w:val="center"/>
          </w:tcPr>
          <w:p>
            <w:pPr>
              <w:pStyle w:val="TableContents"/>
              <w:bidi w:val="0"/>
              <w:spacing w:before="0" w:after="283"/>
              <w:jc w:val="left"/>
              <w:rPr/>
            </w:pPr>
            <w:r>
              <w:rPr/>
              <w:t> </w:t>
            </w:r>
          </w:p>
        </w:tc>
      </w:tr>
      <w:tr>
        <w:trPr/>
        <w:tc>
          <w:tcPr>
            <w:tcW w:w="7116" w:type="dxa"/>
            <w:tcBorders/>
            <w:shd w:fill="FFFFFF" w:val="clear"/>
            <w:vAlign w:val="center"/>
          </w:tcPr>
          <w:p>
            <w:pPr>
              <w:pStyle w:val="TableContents"/>
              <w:bidi w:val="0"/>
              <w:spacing w:before="0" w:after="283"/>
              <w:jc w:val="both"/>
              <w:rPr/>
            </w:pPr>
            <w:r>
              <w:rPr/>
              <w:t>Notes payable and derivative liabilities with related parties</w:t>
            </w:r>
          </w:p>
        </w:tc>
        <w:tc>
          <w:tcPr>
            <w:tcW w:w="60" w:type="dxa"/>
            <w:tcBorders/>
            <w:shd w:fill="FFFFFF" w:val="clear"/>
            <w:vAlign w:val="center"/>
          </w:tcPr>
          <w:p>
            <w:pPr>
              <w:pStyle w:val="TableContents"/>
              <w:bidi w:val="0"/>
              <w:spacing w:before="0" w:after="283"/>
              <w:jc w:val="left"/>
              <w:rPr/>
            </w:pPr>
            <w:r>
              <w:rPr/>
              <w:t> </w:t>
            </w:r>
          </w:p>
        </w:tc>
        <w:tc>
          <w:tcPr>
            <w:tcW w:w="207"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92" w:type="dxa"/>
            <w:tcBorders>
              <w:bottom w:val="single" w:sz="12" w:space="0" w:color="000000"/>
            </w:tcBorders>
            <w:shd w:fill="FFFFFF" w:val="clear"/>
            <w:tcMar>
              <w:bottom w:w="28" w:type="dxa"/>
            </w:tcMar>
            <w:vAlign w:val="center"/>
          </w:tcPr>
          <w:p>
            <w:pPr>
              <w:pStyle w:val="TableContents"/>
              <w:bidi w:val="0"/>
              <w:spacing w:before="0" w:after="283"/>
              <w:jc w:val="right"/>
              <w:rPr/>
            </w:pPr>
            <w:r>
              <w:rPr/>
              <w:t>35,130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7"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92" w:type="dxa"/>
            <w:tcBorders>
              <w:bottom w:val="single" w:sz="12" w:space="0" w:color="000000"/>
            </w:tcBorders>
            <w:shd w:fill="FFFFFF" w:val="clear"/>
            <w:tcMar>
              <w:bottom w:w="28" w:type="dxa"/>
            </w:tcMar>
            <w:vAlign w:val="center"/>
          </w:tcPr>
          <w:p>
            <w:pPr>
              <w:pStyle w:val="TableContents"/>
              <w:bidi w:val="0"/>
              <w:spacing w:before="0" w:after="283"/>
              <w:jc w:val="right"/>
              <w:rPr/>
            </w:pPr>
            <w:r>
              <w:rPr/>
              <w:t>53,193</w:t>
            </w:r>
          </w:p>
        </w:tc>
        <w:tc>
          <w:tcPr>
            <w:tcW w:w="76" w:type="dxa"/>
            <w:tcBorders/>
            <w:shd w:fill="FFFFFF" w:val="clear"/>
            <w:vAlign w:val="center"/>
          </w:tcPr>
          <w:p>
            <w:pPr>
              <w:pStyle w:val="TableContents"/>
              <w:bidi w:val="0"/>
              <w:spacing w:before="0" w:after="283"/>
              <w:jc w:val="left"/>
              <w:rPr/>
            </w:pPr>
            <w:r>
              <w:rPr/>
              <w:t> </w:t>
            </w:r>
          </w:p>
        </w:tc>
      </w:tr>
      <w:tr>
        <w:trPr/>
        <w:tc>
          <w:tcPr>
            <w:tcW w:w="7116" w:type="dxa"/>
            <w:tcBorders/>
            <w:shd w:fill="CCEEFF" w:val="clear"/>
            <w:vAlign w:val="center"/>
          </w:tcPr>
          <w:p>
            <w:pPr>
              <w:pStyle w:val="TableContents"/>
              <w:bidi w:val="0"/>
              <w:spacing w:before="0" w:after="283"/>
              <w:jc w:val="both"/>
              <w:rPr/>
            </w:pPr>
            <w:r>
              <w:rPr/>
              <w:t>Total</w:t>
            </w:r>
          </w:p>
        </w:tc>
        <w:tc>
          <w:tcPr>
            <w:tcW w:w="60" w:type="dxa"/>
            <w:tcBorders/>
            <w:shd w:fill="CCEEFF" w:val="clear"/>
            <w:vAlign w:val="center"/>
          </w:tcPr>
          <w:p>
            <w:pPr>
              <w:pStyle w:val="TableContents"/>
              <w:bidi w:val="0"/>
              <w:spacing w:before="0" w:after="283"/>
              <w:jc w:val="left"/>
              <w:rPr/>
            </w:pPr>
            <w:r>
              <w:rPr/>
              <w:t> </w:t>
            </w:r>
          </w:p>
        </w:tc>
        <w:tc>
          <w:tcPr>
            <w:tcW w:w="207"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192" w:type="dxa"/>
            <w:tcBorders>
              <w:bottom w:val="double" w:sz="10" w:space="0" w:color="000000"/>
            </w:tcBorders>
            <w:shd w:fill="CCEEFF" w:val="clear"/>
            <w:tcMar>
              <w:bottom w:w="28" w:type="dxa"/>
            </w:tcMar>
            <w:vAlign w:val="center"/>
          </w:tcPr>
          <w:p>
            <w:pPr>
              <w:pStyle w:val="TableContents"/>
              <w:bidi w:val="0"/>
              <w:spacing w:before="0" w:after="283"/>
              <w:jc w:val="right"/>
              <w:rPr/>
            </w:pPr>
            <w:r>
              <w:rPr/>
              <w:t>155,289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7"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192" w:type="dxa"/>
            <w:tcBorders>
              <w:bottom w:val="double" w:sz="10" w:space="0" w:color="000000"/>
            </w:tcBorders>
            <w:shd w:fill="CCEEFF" w:val="clear"/>
            <w:tcMar>
              <w:bottom w:w="28" w:type="dxa"/>
            </w:tcMar>
            <w:vAlign w:val="center"/>
          </w:tcPr>
          <w:p>
            <w:pPr>
              <w:pStyle w:val="TableContents"/>
              <w:bidi w:val="0"/>
              <w:spacing w:before="0" w:after="283"/>
              <w:jc w:val="right"/>
              <w:rPr/>
            </w:pPr>
            <w:r>
              <w:rPr/>
              <w:t>145,831</w:t>
            </w:r>
          </w:p>
        </w:tc>
        <w:tc>
          <w:tcPr>
            <w:tcW w:w="76"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sz w:val="20"/>
          <w:bdr w:val="single" w:sz="12" w:space="1" w:color="000000"/>
        </w:rPr>
      </w:pPr>
      <w:r>
        <w:rPr>
          <w:sz w:val="20"/>
          <w:bdr w:val="single" w:sz="12" w:space="1" w:color="000000"/>
        </w:rPr>
        <w:t>F-87</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12.0% Senior Unsecured Convertible Notes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 July 2024, the Company issued $46.0 million of senior unsecured convertible notes (“July 2024 Notes”) consisting of $28.0 million in cash proceeds and $18.0 million arising from an exchange of debt (“Debt Exchange”) as described below under </w:t>
      </w:r>
      <w:r>
        <w:rPr>
          <w:rFonts w:ascii="Times New Roman;Times;Serif" w:hAnsi="Times New Roman;Times;Serif"/>
          <w:b w:val="false"/>
          <w:i/>
          <w:caps w:val="false"/>
          <w:smallCaps w:val="false"/>
          <w:sz w:val="20"/>
        </w:rPr>
        <w:t>Exchange Agreement</w:t>
      </w:r>
      <w:r>
        <w:rPr>
          <w:rFonts w:ascii="Times New Roman;Times;Serif" w:hAnsi="Times New Roman;Times;Serif"/>
          <w:b w:val="false"/>
          <w:i w:val="false"/>
          <w:caps w:val="false"/>
          <w:smallCaps w:val="false"/>
          <w:sz w:val="20"/>
        </w:rPr>
        <w:t xml:space="preserve">. Cash proceeds of $28.0 million included $18.0 million from the Rodgers Revocable Trust, a related party. The $18.0 million exchange of debt included $10.0 million issued to Carlyle. Carlyle was deemed to be a related party in the fiscal year ended December 29, 2024. Carlyle was no longer deemed a related party to the Company during the fiscal year ended December 28, 2025. Refer to </w:t>
      </w:r>
      <w:r>
        <w:rPr>
          <w:rFonts w:ascii="Times New Roman;Times;Serif" w:hAnsi="Times New Roman;Times;Serif"/>
          <w:b/>
          <w:i w:val="false"/>
          <w:caps w:val="false"/>
          <w:smallCaps w:val="false"/>
          <w:sz w:val="20"/>
        </w:rPr>
        <w:t xml:space="preserve">Note 2 – Summary of Significant Accounting Policies – </w:t>
      </w:r>
      <w:r>
        <w:rPr>
          <w:rFonts w:ascii="Times New Roman;Times;Serif" w:hAnsi="Times New Roman;Times;Serif"/>
          <w:b/>
          <w:i/>
          <w:caps w:val="false"/>
          <w:smallCaps w:val="false"/>
          <w:sz w:val="20"/>
        </w:rPr>
        <w:t>Changes in Related Parties</w:t>
      </w:r>
      <w:r>
        <w:rPr>
          <w:rFonts w:ascii="Times New Roman;Times;Serif" w:hAnsi="Times New Roman;Times;Serif"/>
          <w:b w:val="false"/>
          <w:i w:val="false"/>
          <w:caps w:val="false"/>
          <w:smallCaps w:val="false"/>
          <w:sz w:val="20"/>
        </w:rPr>
        <w:t xml:space="preserve"> for details.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July 2024 Notes bear interest at 12.0% per annum, and the principal is payable in full at maturity on July 1, 2029. The interest is payable in cash on January 1 and July 1 of each year, beginning on July 1, 2025. The interest rate increases by 3% in the event of default. The conversion rate of the July 2024 Notes is initially equal to 595.2381 shares of common stock per $1,000 of principal amount due under the July 2024 Notes. Holders of July 2024 Notes may convert at any time. The July 2024 Notes may be declared due and payable at the option of the holder upon an event of default and upon a qualifying change of control event. The conversion option was required to be bifurcated as a derivative liability, and the Company recorded a derivative liability of $28.7 million on the issuance date. Of this amount $17.5 million was recognized as a debt discount to the $28.0 million cash proceeds and $11.2 million associated with the Debt Exchange was recognized as an expense in the calculation of the Company’s “Gain on the Troubled Debt Restructuring” on the Company’s consolidated statement of operations and comprehensive loss in the year ended December 29, 2024.</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 connection with the Debt Exchange, the Company issued the Cantor Warrant, as described in </w:t>
      </w:r>
      <w:r>
        <w:rPr>
          <w:rFonts w:ascii="Times New Roman;Times;Serif" w:hAnsi="Times New Roman;Times;Serif"/>
          <w:b/>
          <w:i w:val="false"/>
          <w:caps w:val="false"/>
          <w:smallCaps w:val="false"/>
          <w:sz w:val="20"/>
        </w:rPr>
        <w:t>Note 14 – Common Stock and Common Stock Warrants</w:t>
      </w:r>
      <w:r>
        <w:rPr>
          <w:rFonts w:ascii="Times New Roman;Times;Serif" w:hAnsi="Times New Roman;Times;Serif"/>
          <w:b w:val="false"/>
          <w:i w:val="false"/>
          <w:caps w:val="false"/>
          <w:smallCaps w:val="false"/>
          <w:sz w:val="20"/>
        </w:rPr>
        <w:t xml:space="preserve">, for shares of the Company’s common stock. At issuance, the Cantor Warrant had a fair value of $1.4 million, of which $0.9 million was recorded as a debt discount, and $0.5 million was included in the calculation of the Company’s “Gain on the Troubled Debt Restructuring” on the Company’s consolidated statement of operations and comprehensive loss in the year ended December 29, 2024, as discussed below in the </w:t>
      </w:r>
      <w:r>
        <w:rPr>
          <w:rFonts w:ascii="Times New Roman;Times;Serif" w:hAnsi="Times New Roman;Times;Serif"/>
          <w:b w:val="false"/>
          <w:i/>
          <w:caps w:val="false"/>
          <w:smallCaps w:val="false"/>
          <w:sz w:val="20"/>
        </w:rPr>
        <w:t>Exchange Agreement</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effective interest rate on the July 2024 Notes cash proceeds of $28.0 million approximates 45% as of December 28, 2025. Coupon interest, default interest and failure to file interest on the $18.0 million Debt Exchange were capitalized as part of the July 2024 Notes. Accordingly, the effective interest rate on the $18.0 million arising from the Debt Exchange is nil as of December 28, 2025.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are no financial covenants. The July 2024 Notes are not in default. However, due to the delayed filing of its Form 10-K for the year ended December 29, 2024, the Company was required to accrue incremental interest of 0.5% beginning April 16, 2025 through April 30, 2025, the date upon which the Form 10-K was filed. The interest accrued was not material. Due to the Company’s delayed filing of its Form 10Q for the third quarter ended September 28, 2025 (“Q3 2025 Form 10Q”), the Company was required to accrue incremental interest of 0.5% beginning November 17, 2025, through December 19, 2025, the date upon which the Q3 2025 Form 10Q was filed. The interest accrued was not material.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carrying amount of the July 2024 Notes was as follows </w:t>
      </w:r>
      <w:r>
        <w:rPr>
          <w:rFonts w:ascii="Times New Roman;Times;Serif" w:hAnsi="Times New Roman;Times;Serif"/>
          <w:b w:val="false"/>
          <w:i/>
          <w:caps w:val="false"/>
          <w:smallCaps w:val="false"/>
          <w:sz w:val="20"/>
        </w:rPr>
        <w:t>(in thousands)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tbl>
      <w:tblPr>
        <w:tblW w:w="5918" w:type="dxa"/>
        <w:jc w:val="left"/>
        <w:tblInd w:w="0" w:type="dxa"/>
        <w:tblLayout w:type="fixed"/>
        <w:tblCellMar>
          <w:top w:w="0" w:type="dxa"/>
          <w:left w:w="0" w:type="dxa"/>
          <w:bottom w:w="0" w:type="dxa"/>
          <w:right w:w="0" w:type="dxa"/>
        </w:tblCellMar>
      </w:tblPr>
      <w:tblGrid>
        <w:gridCol w:w="3275"/>
        <w:gridCol w:w="60"/>
        <w:gridCol w:w="189"/>
        <w:gridCol w:w="985"/>
        <w:gridCol w:w="80"/>
        <w:gridCol w:w="60"/>
        <w:gridCol w:w="189"/>
        <w:gridCol w:w="985"/>
        <w:gridCol w:w="95"/>
      </w:tblGrid>
      <w:tr>
        <w:trPr/>
        <w:tc>
          <w:tcPr>
            <w:tcW w:w="327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2488" w:type="dxa"/>
            <w:gridSpan w:val="6"/>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As of</w:t>
            </w:r>
          </w:p>
        </w:tc>
        <w:tc>
          <w:tcPr>
            <w:tcW w:w="95" w:type="dxa"/>
            <w:tcBorders/>
            <w:vAlign w:val="center"/>
          </w:tcPr>
          <w:p>
            <w:pPr>
              <w:pStyle w:val="TableContents"/>
              <w:bidi w:val="0"/>
              <w:spacing w:before="0" w:after="283"/>
              <w:jc w:val="left"/>
              <w:rPr/>
            </w:pPr>
            <w:r>
              <w:rPr/>
              <w:t> </w:t>
            </w:r>
          </w:p>
        </w:tc>
      </w:tr>
      <w:tr>
        <w:trPr/>
        <w:tc>
          <w:tcPr>
            <w:tcW w:w="327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174" w:type="dxa"/>
            <w:gridSpan w:val="2"/>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December 28,</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74" w:type="dxa"/>
            <w:gridSpan w:val="2"/>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December 29,</w:t>
            </w:r>
          </w:p>
        </w:tc>
        <w:tc>
          <w:tcPr>
            <w:tcW w:w="95" w:type="dxa"/>
            <w:tcBorders/>
            <w:vAlign w:val="center"/>
          </w:tcPr>
          <w:p>
            <w:pPr>
              <w:pStyle w:val="TableContents"/>
              <w:bidi w:val="0"/>
              <w:spacing w:before="0" w:after="283"/>
              <w:jc w:val="left"/>
              <w:rPr/>
            </w:pPr>
            <w:r>
              <w:rPr/>
              <w:t> </w:t>
            </w:r>
          </w:p>
        </w:tc>
      </w:tr>
      <w:tr>
        <w:trPr/>
        <w:tc>
          <w:tcPr>
            <w:tcW w:w="327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174"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2025</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74"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2024</w:t>
            </w:r>
          </w:p>
        </w:tc>
        <w:tc>
          <w:tcPr>
            <w:tcW w:w="95" w:type="dxa"/>
            <w:tcBorders/>
            <w:vAlign w:val="center"/>
          </w:tcPr>
          <w:p>
            <w:pPr>
              <w:pStyle w:val="TableContents"/>
              <w:bidi w:val="0"/>
              <w:spacing w:before="0" w:after="283"/>
              <w:jc w:val="left"/>
              <w:rPr/>
            </w:pPr>
            <w:r>
              <w:rPr/>
              <w:t> </w:t>
            </w:r>
          </w:p>
        </w:tc>
      </w:tr>
      <w:tr>
        <w:trPr/>
        <w:tc>
          <w:tcPr>
            <w:tcW w:w="3275" w:type="dxa"/>
            <w:tcBorders/>
            <w:shd w:fill="CCEEFF" w:val="cle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July 2024 Notes principal amount</w:t>
            </w:r>
          </w:p>
        </w:tc>
        <w:tc>
          <w:tcPr>
            <w:tcW w:w="60" w:type="dxa"/>
            <w:tcBorders/>
            <w:shd w:fill="CCEEFF" w:val="clear"/>
            <w:vAlign w:val="center"/>
          </w:tcPr>
          <w:p>
            <w:pPr>
              <w:pStyle w:val="TableContents"/>
              <w:bidi w:val="0"/>
              <w:spacing w:before="0" w:after="283"/>
              <w:jc w:val="left"/>
              <w:rPr/>
            </w:pPr>
            <w:r>
              <w:rPr/>
              <w:t> </w:t>
            </w:r>
          </w:p>
        </w:tc>
        <w:tc>
          <w:tcPr>
            <w:tcW w:w="189"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98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56,801</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9"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98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59,587</w:t>
            </w:r>
          </w:p>
        </w:tc>
        <w:tc>
          <w:tcPr>
            <w:tcW w:w="95" w:type="dxa"/>
            <w:tcBorders/>
            <w:shd w:fill="CCEEFF" w:val="clear"/>
            <w:vAlign w:val="center"/>
          </w:tcPr>
          <w:p>
            <w:pPr>
              <w:pStyle w:val="TableContents"/>
              <w:bidi w:val="0"/>
              <w:spacing w:before="0" w:after="283"/>
              <w:jc w:val="left"/>
              <w:rPr/>
            </w:pPr>
            <w:r>
              <w:rPr/>
              <w:t> </w:t>
            </w:r>
          </w:p>
        </w:tc>
      </w:tr>
      <w:tr>
        <w:trPr/>
        <w:tc>
          <w:tcPr>
            <w:tcW w:w="3275" w:type="dxa"/>
            <w:tcBorders/>
            <w:shd w:fill="FFFFFF" w:val="cle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Less Unamortized debt discount</w:t>
            </w:r>
          </w:p>
        </w:tc>
        <w:tc>
          <w:tcPr>
            <w:tcW w:w="60" w:type="dxa"/>
            <w:tcBorders/>
            <w:shd w:fill="FFFFFF" w:val="clear"/>
            <w:vAlign w:val="center"/>
          </w:tcPr>
          <w:p>
            <w:pPr>
              <w:pStyle w:val="TableContents"/>
              <w:bidi w:val="0"/>
              <w:spacing w:before="0" w:after="283"/>
              <w:jc w:val="left"/>
              <w:rPr/>
            </w:pPr>
            <w:r>
              <w:rPr/>
              <w:t> </w:t>
            </w:r>
          </w:p>
        </w:tc>
        <w:tc>
          <w:tcPr>
            <w:tcW w:w="189"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985"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(16,201</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89"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985"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(16,990</w:t>
            </w:r>
          </w:p>
        </w:tc>
        <w:tc>
          <w:tcPr>
            <w:tcW w:w="9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3275" w:type="dxa"/>
            <w:tcBorders/>
            <w:shd w:fill="CCEEFF" w:val="cle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Net carrying amount of July 2024 Notes</w:t>
            </w:r>
          </w:p>
        </w:tc>
        <w:tc>
          <w:tcPr>
            <w:tcW w:w="60" w:type="dxa"/>
            <w:tcBorders/>
            <w:shd w:fill="CCEEFF" w:val="clear"/>
            <w:vAlign w:val="center"/>
          </w:tcPr>
          <w:p>
            <w:pPr>
              <w:pStyle w:val="TableContents"/>
              <w:bidi w:val="0"/>
              <w:spacing w:before="0" w:after="283"/>
              <w:jc w:val="left"/>
              <w:rPr/>
            </w:pPr>
            <w:r>
              <w:rPr/>
              <w:t> </w:t>
            </w:r>
          </w:p>
        </w:tc>
        <w:tc>
          <w:tcPr>
            <w:tcW w:w="189" w:type="dxa"/>
            <w:tcBorders>
              <w:bottom w:val="double" w:sz="10"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985" w:type="dxa"/>
            <w:tcBorders>
              <w:bottom w:val="double" w:sz="10"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40,600</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9" w:type="dxa"/>
            <w:tcBorders>
              <w:bottom w:val="double" w:sz="10"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985" w:type="dxa"/>
            <w:tcBorders>
              <w:bottom w:val="double" w:sz="10"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42,597</w:t>
            </w:r>
          </w:p>
        </w:tc>
        <w:tc>
          <w:tcPr>
            <w:tcW w:w="9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fiscal years ended December 28, 2025 and December 29, 2024, the total interest expense was $3.0 million and $4.6 million, respectively, with coupon interest expense of $2.2 million and $2.8 million, respectively, and debt discount and issuance costs of $0.8 million and $1.8 million, respectively. Of the coupon interest expense, related party interest expense was $1.5 million and $1.7 million in the fiscal years ended December 28, 2025 and December 29, 2024, respectively. Related party amortization expense was $0.7 million and $1.1 million in the fiscal years ended December 28, 2025 and December 29, 2024, respectively.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sz w:val="20"/>
          <w:bdr w:val="single" w:sz="12" w:space="1" w:color="000000"/>
        </w:rPr>
      </w:pPr>
      <w:r>
        <w:rPr>
          <w:sz w:val="20"/>
          <w:bdr w:val="single" w:sz="12" w:space="1" w:color="000000"/>
        </w:rPr>
        <w:t>F-88</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Exchange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July 1, 2024, the Company entered into an Exchange Agreement (the “</w:t>
      </w:r>
      <w:r>
        <w:rPr>
          <w:rFonts w:ascii="Times New Roman;Times;Serif" w:hAnsi="Times New Roman;Times;Serif"/>
          <w:b w:val="false"/>
          <w:i/>
          <w:caps w:val="false"/>
          <w:smallCaps w:val="false"/>
          <w:sz w:val="20"/>
        </w:rPr>
        <w:t>Exchange Agreement</w:t>
      </w:r>
      <w:r>
        <w:rPr>
          <w:rFonts w:ascii="Times New Roman;Times;Serif" w:hAnsi="Times New Roman;Times;Serif"/>
          <w:b w:val="false"/>
          <w:i w:val="false"/>
          <w:caps w:val="false"/>
          <w:smallCaps w:val="false"/>
          <w:sz w:val="20"/>
        </w:rPr>
        <w:t>”) with Carlyle and Kline Hill (as defined below) resulting in the Debt Exchange and providing for:</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58"/>
        <w:gridCol w:w="9972"/>
      </w:tblGrid>
      <w:tr>
        <w:trPr/>
        <w:tc>
          <w:tcPr>
            <w:tcW w:w="75" w:type="dxa"/>
            <w:tcBorders/>
            <w:vAlign w:val="center"/>
          </w:tcPr>
          <w:p>
            <w:pPr>
              <w:pStyle w:val="TableContents"/>
              <w:bidi w:val="0"/>
              <w:spacing w:before="0" w:after="283"/>
              <w:jc w:val="left"/>
              <w:rPr/>
            </w:pPr>
            <w:r>
              <w:rPr/>
              <w:t> </w:t>
            </w:r>
          </w:p>
        </w:tc>
        <w:tc>
          <w:tcPr>
            <w:tcW w:w="158"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w:t>
            </w:r>
          </w:p>
        </w:tc>
        <w:tc>
          <w:tcPr>
            <w:tcW w:w="9972"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cancellation of all indebtedness, inclusive of the CS Solis Debt, owed to Carlyle by the Company, termination of all debt instruments by and between the Company and Carlyle (through the transfer of Carlyle’s interest in CS Solis, LLC, to the Company), and the satisfaction of all obligations owed to Carlyle by the Company under the terminated debt instruments;</w:t>
            </w:r>
          </w:p>
        </w:tc>
      </w:tr>
    </w:tbl>
    <w:p>
      <w:pPr>
        <w:pStyle w:val="TextBody"/>
        <w:bidi w:val="0"/>
        <w:spacing w:before="0" w:after="0"/>
        <w:ind w:left="0" w:right="0" w:hanging="0"/>
        <w:jc w:val="both"/>
        <w:rPr>
          <w:caps w:val="false"/>
          <w:smallCaps w:val="false"/>
        </w:rPr>
      </w:pPr>
      <w:r>
        <w:rPr>
          <w:caps w:val="false"/>
          <w:smallCaps w:val="false"/>
        </w:rPr>
        <w:t> </w:t>
      </w:r>
    </w:p>
    <w:tbl>
      <w:tblPr>
        <w:tblW w:w="8845" w:type="dxa"/>
        <w:jc w:val="left"/>
        <w:tblInd w:w="0" w:type="dxa"/>
        <w:tblLayout w:type="fixed"/>
        <w:tblCellMar>
          <w:top w:w="0" w:type="dxa"/>
          <w:left w:w="0" w:type="dxa"/>
          <w:bottom w:w="0" w:type="dxa"/>
          <w:right w:w="0" w:type="dxa"/>
        </w:tblCellMar>
      </w:tblPr>
      <w:tblGrid>
        <w:gridCol w:w="75"/>
        <w:gridCol w:w="260"/>
        <w:gridCol w:w="8510"/>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(ii)</w:t>
            </w:r>
          </w:p>
        </w:tc>
        <w:tc>
          <w:tcPr>
            <w:tcW w:w="851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issuance of a note for the principal amount of $10.0 million to Carlyle as part of the July 2024 Notes;</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67"/>
        <w:gridCol w:w="9863"/>
      </w:tblGrid>
      <w:tr>
        <w:trPr/>
        <w:tc>
          <w:tcPr>
            <w:tcW w:w="75" w:type="dxa"/>
            <w:tcBorders/>
            <w:vAlign w:val="center"/>
          </w:tcPr>
          <w:p>
            <w:pPr>
              <w:pStyle w:val="TableContents"/>
              <w:bidi w:val="0"/>
              <w:spacing w:before="0" w:after="283"/>
              <w:jc w:val="left"/>
              <w:rPr/>
            </w:pPr>
            <w:r>
              <w:rPr/>
              <w:t> </w:t>
            </w:r>
          </w:p>
        </w:tc>
        <w:tc>
          <w:tcPr>
            <w:tcW w:w="267"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(iii)</w:t>
            </w:r>
          </w:p>
        </w:tc>
        <w:tc>
          <w:tcPr>
            <w:tcW w:w="9863"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 previously issued warrant to Carlyle (“Carlyle Warrant”) for shares of the Company’s common stock was fixed at 4,936,483. At the July 1, 2024, modification date, the Carlyle Warrant had a fair value of $7.3 million compared to its fair value of $6.6 million on June 30, 2024. The Company recognized this $0.7 million of expense related to the remeasurement of the Carlyle Warrant liability to its fair value within “Gain on Troubled Debt Restructuring” on the Company’s consolidated statement of operations and comprehensive loss in the year ended December 29, 2024. The modification of the Carlyle Warrant also resulted in the reclassification of the Carlyle Warrant from liability to equity classification, resulting in an increase to additional paid-in capital of $7.3 million and a reduction in the warrant liability of $7.3 million. Carlyle exercised the warrant in full in the year ended December 29, 2024.</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57"/>
        <w:gridCol w:w="9873"/>
      </w:tblGrid>
      <w:tr>
        <w:trPr/>
        <w:tc>
          <w:tcPr>
            <w:tcW w:w="75" w:type="dxa"/>
            <w:tcBorders/>
            <w:vAlign w:val="center"/>
          </w:tcPr>
          <w:p>
            <w:pPr>
              <w:pStyle w:val="TableContents"/>
              <w:bidi w:val="0"/>
              <w:spacing w:before="0" w:after="283"/>
              <w:jc w:val="left"/>
              <w:rPr/>
            </w:pPr>
            <w:r>
              <w:rPr/>
              <w:t> </w:t>
            </w:r>
          </w:p>
        </w:tc>
        <w:tc>
          <w:tcPr>
            <w:tcW w:w="257"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(iv)</w:t>
            </w:r>
          </w:p>
        </w:tc>
        <w:tc>
          <w:tcPr>
            <w:tcW w:w="9873"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cancellation of all indebtedness owed to Kline Hill Partners Fund LP, Kline Hill Partners IV SPV LLC, and Kline Hill Partners Opportunity IV SPV, LLC (collectively “Kline Hill”) by the Company, termination of all debt instruments by and between the Company and Kline Hill, including 2018 bridge notes, a portion of a revolving loan (“Revolving Loan”) and a secured credit facility (“Secured Credit Facility”), and the satisfaction of all obligations owed to Kline Hill by the Company under the terminated debt instruments;</w:t>
            </w:r>
          </w:p>
        </w:tc>
      </w:tr>
    </w:tbl>
    <w:p>
      <w:pPr>
        <w:pStyle w:val="TextBody"/>
        <w:bidi w:val="0"/>
        <w:spacing w:before="0" w:after="0"/>
        <w:ind w:left="0" w:right="0" w:hanging="0"/>
        <w:jc w:val="both"/>
        <w:rPr>
          <w:caps w:val="false"/>
          <w:smallCaps w:val="false"/>
        </w:rPr>
      </w:pPr>
      <w:r>
        <w:rPr>
          <w:caps w:val="false"/>
          <w:smallCaps w:val="false"/>
        </w:rPr>
        <w:t> </w:t>
      </w:r>
    </w:p>
    <w:tbl>
      <w:tblPr>
        <w:tblW w:w="9280" w:type="dxa"/>
        <w:jc w:val="left"/>
        <w:tblInd w:w="0" w:type="dxa"/>
        <w:tblLayout w:type="fixed"/>
        <w:tblCellMar>
          <w:top w:w="0" w:type="dxa"/>
          <w:left w:w="0" w:type="dxa"/>
          <w:bottom w:w="0" w:type="dxa"/>
          <w:right w:w="0" w:type="dxa"/>
        </w:tblCellMar>
      </w:tblPr>
      <w:tblGrid>
        <w:gridCol w:w="75"/>
        <w:gridCol w:w="245"/>
        <w:gridCol w:w="8960"/>
      </w:tblGrid>
      <w:tr>
        <w:trPr/>
        <w:tc>
          <w:tcPr>
            <w:tcW w:w="75"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(v)</w:t>
            </w:r>
          </w:p>
        </w:tc>
        <w:tc>
          <w:tcPr>
            <w:tcW w:w="8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issuance of a note for the principal amount of $8.0 million to Kline Hill as part of the July 2024 Notes; and</w:t>
            </w:r>
          </w:p>
        </w:tc>
      </w:tr>
    </w:tbl>
    <w:p>
      <w:pPr>
        <w:pStyle w:val="TextBody"/>
        <w:bidi w:val="0"/>
        <w:spacing w:before="0" w:after="0"/>
        <w:ind w:left="0" w:right="0" w:hanging="0"/>
        <w:jc w:val="both"/>
        <w:rPr>
          <w:caps w:val="false"/>
          <w:smallCaps w:val="false"/>
        </w:rPr>
      </w:pPr>
      <w:r>
        <w:rPr>
          <w:caps w:val="false"/>
          <w:smallCaps w:val="false"/>
        </w:rPr>
        <w:t> </w:t>
      </w:r>
    </w:p>
    <w:tbl>
      <w:tblPr>
        <w:tblW w:w="6850" w:type="dxa"/>
        <w:jc w:val="left"/>
        <w:tblInd w:w="0" w:type="dxa"/>
        <w:tblLayout w:type="fixed"/>
        <w:tblCellMar>
          <w:top w:w="0" w:type="dxa"/>
          <w:left w:w="0" w:type="dxa"/>
          <w:bottom w:w="0" w:type="dxa"/>
          <w:right w:w="0" w:type="dxa"/>
        </w:tblCellMar>
      </w:tblPr>
      <w:tblGrid>
        <w:gridCol w:w="75"/>
        <w:gridCol w:w="305"/>
        <w:gridCol w:w="6470"/>
      </w:tblGrid>
      <w:tr>
        <w:trPr/>
        <w:tc>
          <w:tcPr>
            <w:tcW w:w="75" w:type="dxa"/>
            <w:tcBorders/>
            <w:vAlign w:val="center"/>
          </w:tcPr>
          <w:p>
            <w:pPr>
              <w:pStyle w:val="TableContents"/>
              <w:bidi w:val="0"/>
              <w:spacing w:before="0" w:after="283"/>
              <w:jc w:val="left"/>
              <w:rPr/>
            </w:pPr>
            <w:r>
              <w:rPr/>
              <w:t> </w:t>
            </w:r>
          </w:p>
        </w:tc>
        <w:tc>
          <w:tcPr>
            <w:tcW w:w="30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(vi)</w:t>
            </w:r>
          </w:p>
        </w:tc>
        <w:tc>
          <w:tcPr>
            <w:tcW w:w="647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issuance of 1,500,000 shares of the Company’s common stock to Kline Hill.</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At the date of the cancellation under the </w:t>
      </w:r>
      <w:r>
        <w:rPr>
          <w:rFonts w:ascii="Times New Roman;Times;Serif" w:hAnsi="Times New Roman;Times;Serif"/>
          <w:b w:val="false"/>
          <w:i/>
          <w:caps w:val="false"/>
          <w:smallCaps w:val="false"/>
          <w:sz w:val="20"/>
        </w:rPr>
        <w:t>Exchange Agreement</w:t>
      </w:r>
      <w:r>
        <w:rPr>
          <w:rFonts w:ascii="Times New Roman;Times;Serif" w:hAnsi="Times New Roman;Times;Serif"/>
          <w:b w:val="false"/>
          <w:i w:val="false"/>
          <w:caps w:val="false"/>
          <w:smallCaps w:val="false"/>
          <w:sz w:val="20"/>
        </w:rPr>
        <w:t>, the Company’s indebtedness to CS Solis was $37.2 million and the indebtedness to Kline Hill was comprised of 2018 bridge notes of $11.7 million, a revolving loan balance of $3.9 million, and the Secured Credit Facility balance of $13.1 million.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Company concluded that the transactions entered into in the </w:t>
      </w:r>
      <w:r>
        <w:rPr>
          <w:rFonts w:ascii="Times New Roman;Times;Serif" w:hAnsi="Times New Roman;Times;Serif"/>
          <w:b w:val="false"/>
          <w:i/>
          <w:caps w:val="false"/>
          <w:smallCaps w:val="false"/>
          <w:sz w:val="20"/>
        </w:rPr>
        <w:t>Exchange Agreement</w:t>
      </w:r>
      <w:r>
        <w:rPr>
          <w:rFonts w:ascii="Times New Roman;Times;Serif" w:hAnsi="Times New Roman;Times;Serif"/>
          <w:b w:val="false"/>
          <w:i w:val="false"/>
          <w:caps w:val="false"/>
          <w:smallCaps w:val="false"/>
          <w:sz w:val="20"/>
        </w:rPr>
        <w:t xml:space="preserve"> represented a troubled debt restructuring as the Company was experiencing financial difficulty, and the terms of the July 2024 Notes resulted in a concession to the Company. As the carrying amount of the debt exceeded the future undiscounted cash payments under the new terms on the date of the </w:t>
      </w:r>
      <w:r>
        <w:rPr>
          <w:rFonts w:ascii="Times New Roman;Times;Serif" w:hAnsi="Times New Roman;Times;Serif"/>
          <w:b w:val="false"/>
          <w:i/>
          <w:caps w:val="false"/>
          <w:smallCaps w:val="false"/>
          <w:sz w:val="20"/>
        </w:rPr>
        <w:t>Exchange Agreement</w:t>
      </w:r>
      <w:r>
        <w:rPr>
          <w:rFonts w:ascii="Times New Roman;Times;Serif" w:hAnsi="Times New Roman;Times;Serif"/>
          <w:b w:val="false"/>
          <w:i w:val="false"/>
          <w:caps w:val="false"/>
          <w:smallCaps w:val="false"/>
          <w:sz w:val="20"/>
        </w:rPr>
        <w:t>, the Company recorded a gain on the troubled debt restructuring of $22.3 million in the year ended December 29, 2024.</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 the year ended December 29, 2024, prior to entering into the </w:t>
      </w:r>
      <w:r>
        <w:rPr>
          <w:rFonts w:ascii="Times New Roman;Times;Serif" w:hAnsi="Times New Roman;Times;Serif"/>
          <w:b w:val="false"/>
          <w:i/>
          <w:caps w:val="false"/>
          <w:smallCaps w:val="false"/>
          <w:sz w:val="20"/>
        </w:rPr>
        <w:t>Exchange Agreement</w:t>
      </w:r>
      <w:r>
        <w:rPr>
          <w:rFonts w:ascii="Times New Roman;Times;Serif" w:hAnsi="Times New Roman;Times;Serif"/>
          <w:b w:val="false"/>
          <w:i w:val="false"/>
          <w:caps w:val="false"/>
          <w:smallCaps w:val="false"/>
          <w:sz w:val="20"/>
        </w:rPr>
        <w:t>, the Company recognized (i) accretion of the liability of the debt in CS Solis as related party interest expense of $3.9 million, (ii) $0.7 million of interest on the 2018 bridge notes, and (iii) $1.0 million of interest on the Secured Credit Facility.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July 2025 Note – related party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July 10, 2025, the Company issued a convertible promissory note (the “July 2025 Note”) to the Rodgers Revocable Trust, a related party, in exchange for $5.0 million of proceeds.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sz w:val="20"/>
          <w:bdr w:val="single" w:sz="12" w:space="1" w:color="000000"/>
        </w:rPr>
      </w:pPr>
      <w:r>
        <w:rPr>
          <w:sz w:val="20"/>
          <w:bdr w:val="single" w:sz="12" w:space="1" w:color="000000"/>
        </w:rPr>
        <w:t>F-89</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July 2025 Note is a general unsecured obligation of the Company and will mature on July 1, 2029, unless earlier converted, redeemed or repurchased. The July 2025 Note has an annual coupon interest rate of 12.0% which is payable semiannually in arrears on January 1 and July 1 of each year, beginning on January 1, 2026. The July 2025 Note is convertible at the option of the holder at any time prior to the payment of the principal amount of the July 2025 Note in full. Upon conversion of the July 2025 Note, the Company will satisfy its conversion obligation by delivering shares of the Company’s common stock and paying cash in respect of any fractional shares. The conversion rate of the July 2025 Note is initially equal to 558.6592 shares of common stock per $1,000 of principal amount due under the July 2025 Note. The conversion rate is subject to adjustment from time to time pursuant to the terms of the July 2025 Note. The conversion option related to the July 2025 Note was required to be bifurcated as a derivative liability. The Company recorded a derivative liability of $3.7 million with a corresponding offset to debt discount on the issuance date. The July 2025 Note has an effective interest rate of 62%.</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carrying amount of the July 2025 Note was as follows </w:t>
      </w:r>
      <w:r>
        <w:rPr>
          <w:rFonts w:ascii="Times New Roman;Times;Serif" w:hAnsi="Times New Roman;Times;Serif"/>
          <w:b w:val="false"/>
          <w:i/>
          <w:caps w:val="false"/>
          <w:smallCaps w:val="false"/>
          <w:sz w:val="20"/>
        </w:rPr>
        <w:t>(in thousands)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tbl>
      <w:tblPr>
        <w:tblW w:w="5744" w:type="dxa"/>
        <w:jc w:val="left"/>
        <w:tblInd w:w="0" w:type="dxa"/>
        <w:tblLayout w:type="fixed"/>
        <w:tblCellMar>
          <w:top w:w="0" w:type="dxa"/>
          <w:left w:w="0" w:type="dxa"/>
          <w:bottom w:w="0" w:type="dxa"/>
          <w:right w:w="0" w:type="dxa"/>
        </w:tblCellMar>
      </w:tblPr>
      <w:tblGrid>
        <w:gridCol w:w="4415"/>
        <w:gridCol w:w="60"/>
        <w:gridCol w:w="218"/>
        <w:gridCol w:w="956"/>
        <w:gridCol w:w="95"/>
      </w:tblGrid>
      <w:tr>
        <w:trPr/>
        <w:tc>
          <w:tcPr>
            <w:tcW w:w="441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174" w:type="dxa"/>
            <w:gridSpan w:val="2"/>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As of</w:t>
            </w:r>
          </w:p>
        </w:tc>
        <w:tc>
          <w:tcPr>
            <w:tcW w:w="95" w:type="dxa"/>
            <w:tcBorders/>
            <w:vAlign w:val="center"/>
          </w:tcPr>
          <w:p>
            <w:pPr>
              <w:pStyle w:val="TableContents"/>
              <w:bidi w:val="0"/>
              <w:spacing w:before="0" w:after="283"/>
              <w:jc w:val="left"/>
              <w:rPr/>
            </w:pPr>
            <w:r>
              <w:rPr/>
              <w:t> </w:t>
            </w:r>
          </w:p>
        </w:tc>
      </w:tr>
      <w:tr>
        <w:trPr/>
        <w:tc>
          <w:tcPr>
            <w:tcW w:w="441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174" w:type="dxa"/>
            <w:gridSpan w:val="2"/>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December 28,</w:t>
            </w:r>
          </w:p>
        </w:tc>
        <w:tc>
          <w:tcPr>
            <w:tcW w:w="95" w:type="dxa"/>
            <w:tcBorders/>
            <w:vAlign w:val="center"/>
          </w:tcPr>
          <w:p>
            <w:pPr>
              <w:pStyle w:val="TableContents"/>
              <w:bidi w:val="0"/>
              <w:spacing w:before="0" w:after="283"/>
              <w:jc w:val="left"/>
              <w:rPr/>
            </w:pPr>
            <w:r>
              <w:rPr/>
              <w:t> </w:t>
            </w:r>
          </w:p>
        </w:tc>
      </w:tr>
      <w:tr>
        <w:trPr/>
        <w:tc>
          <w:tcPr>
            <w:tcW w:w="441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174"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2025</w:t>
            </w:r>
          </w:p>
        </w:tc>
        <w:tc>
          <w:tcPr>
            <w:tcW w:w="95" w:type="dxa"/>
            <w:tcBorders/>
            <w:vAlign w:val="center"/>
          </w:tcPr>
          <w:p>
            <w:pPr>
              <w:pStyle w:val="TableContents"/>
              <w:bidi w:val="0"/>
              <w:spacing w:before="0" w:after="283"/>
              <w:jc w:val="left"/>
              <w:rPr/>
            </w:pPr>
            <w:r>
              <w:rPr/>
              <w:t> </w:t>
            </w:r>
          </w:p>
        </w:tc>
      </w:tr>
      <w:tr>
        <w:trPr/>
        <w:tc>
          <w:tcPr>
            <w:tcW w:w="4415" w:type="dxa"/>
            <w:tcBorders/>
            <w:shd w:fill="CCEEFF" w:val="cle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July 2025 Note – related party</w:t>
            </w:r>
          </w:p>
        </w:tc>
        <w:tc>
          <w:tcPr>
            <w:tcW w:w="60" w:type="dxa"/>
            <w:tcBorders/>
            <w:shd w:fill="CCEEFF" w:val="clear"/>
            <w:vAlign w:val="center"/>
          </w:tcPr>
          <w:p>
            <w:pPr>
              <w:pStyle w:val="TableContents"/>
              <w:bidi w:val="0"/>
              <w:spacing w:before="0" w:after="283"/>
              <w:jc w:val="left"/>
              <w:rPr/>
            </w:pPr>
            <w:r>
              <w:rPr/>
              <w:t> </w:t>
            </w:r>
          </w:p>
        </w:tc>
        <w:tc>
          <w:tcPr>
            <w:tcW w:w="218"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956"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5,000</w:t>
            </w:r>
          </w:p>
        </w:tc>
        <w:tc>
          <w:tcPr>
            <w:tcW w:w="95" w:type="dxa"/>
            <w:tcBorders/>
            <w:shd w:fill="CCEEFF" w:val="clear"/>
            <w:vAlign w:val="center"/>
          </w:tcPr>
          <w:p>
            <w:pPr>
              <w:pStyle w:val="TableContents"/>
              <w:bidi w:val="0"/>
              <w:spacing w:before="0" w:after="283"/>
              <w:jc w:val="left"/>
              <w:rPr/>
            </w:pPr>
            <w:r>
              <w:rPr/>
              <w:t> </w:t>
            </w:r>
          </w:p>
        </w:tc>
      </w:tr>
      <w:tr>
        <w:trPr/>
        <w:tc>
          <w:tcPr>
            <w:tcW w:w="4415" w:type="dxa"/>
            <w:tcBorders/>
            <w:shd w:fill="FFFFFF" w:val="cle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Less Unamortized debt discount – related party</w:t>
            </w:r>
          </w:p>
        </w:tc>
        <w:tc>
          <w:tcPr>
            <w:tcW w:w="60" w:type="dxa"/>
            <w:tcBorders/>
            <w:shd w:fill="FFFFFF" w:val="clear"/>
            <w:vAlign w:val="center"/>
          </w:tcPr>
          <w:p>
            <w:pPr>
              <w:pStyle w:val="TableContents"/>
              <w:bidi w:val="0"/>
              <w:spacing w:before="0" w:after="283"/>
              <w:jc w:val="left"/>
              <w:rPr/>
            </w:pPr>
            <w:r>
              <w:rPr/>
              <w:t> </w:t>
            </w:r>
          </w:p>
        </w:tc>
        <w:tc>
          <w:tcPr>
            <w:tcW w:w="218"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956"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(3,557</w:t>
            </w:r>
          </w:p>
        </w:tc>
        <w:tc>
          <w:tcPr>
            <w:tcW w:w="9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4415" w:type="dxa"/>
            <w:tcBorders/>
            <w:shd w:fill="CCEEFF" w:val="cle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Net carrying amount of July 2025 Note – related party</w:t>
            </w:r>
          </w:p>
        </w:tc>
        <w:tc>
          <w:tcPr>
            <w:tcW w:w="60" w:type="dxa"/>
            <w:tcBorders/>
            <w:shd w:fill="CCEEFF" w:val="clear"/>
            <w:vAlign w:val="center"/>
          </w:tcPr>
          <w:p>
            <w:pPr>
              <w:pStyle w:val="TableContents"/>
              <w:bidi w:val="0"/>
              <w:spacing w:before="0" w:after="283"/>
              <w:jc w:val="left"/>
              <w:rPr/>
            </w:pPr>
            <w:r>
              <w:rPr/>
              <w:t> </w:t>
            </w:r>
          </w:p>
        </w:tc>
        <w:tc>
          <w:tcPr>
            <w:tcW w:w="218" w:type="dxa"/>
            <w:tcBorders>
              <w:bottom w:val="double" w:sz="10"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956" w:type="dxa"/>
            <w:tcBorders>
              <w:bottom w:val="double" w:sz="10"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1,443</w:t>
            </w:r>
          </w:p>
        </w:tc>
        <w:tc>
          <w:tcPr>
            <w:tcW w:w="9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fiscal year ended December 28, 2025, the total interest expense was $0.4 million with coupon interest expense of $0.3 million and debt discount and issuance costs of $0.1 million, all of which was with a related party.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November 2025 Note – related party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November 20, 2025, the Company issued a convertible note (the “November 2025 Note”) to the Rodgers Massey Freedom and Free Markets Charitable Trust in exchange for $2.0 million of proceeds.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November 2025 Note is a general unsecured obligation of the Company and will mature on July 1, 2029, unless earlier converted, redeemed or repurchased. The November 2025 Note has an annual coupon interest rate of 12.0% which is payable semiannually in arrears on January 1 and July 1 of each year, beginning on January 1, 2026. The November 2025 Note is convertible at the option of the holder at any time prior to the payment of the principal amount of the November 2025 Note in full. The conversion rate of the November 2025 Note is initially equal to 626.9592 shares of the Company’s common stock per $1,000 principal amount due under the November 2025 Note. The conversion rate shall be subject to adjustment from time to time pursuant to the terms of the November 2025 Note. The Company may not redeem the November 2025 Note prior to July 5, 2026. The conversion option related to the November 2025 Note was required to be bifurcated as a derivative liability, and the Company recorded a derivative liability of $1.5 million on the issuance date with a corresponding offset to debt discount. The November 2025 Note has an effective interest rate of 71% as of December 28, 2025.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carrying amount of the convertible November 2025 Note was as follows </w:t>
      </w:r>
      <w:r>
        <w:rPr>
          <w:rFonts w:ascii="Times New Roman;Times;Serif" w:hAnsi="Times New Roman;Times;Serif"/>
          <w:b w:val="false"/>
          <w:i/>
          <w:caps w:val="false"/>
          <w:smallCaps w:val="false"/>
          <w:sz w:val="20"/>
        </w:rPr>
        <w:t>(in thousands)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tbl>
      <w:tblPr>
        <w:tblW w:w="6239" w:type="dxa"/>
        <w:jc w:val="left"/>
        <w:tblInd w:w="0" w:type="dxa"/>
        <w:tblLayout w:type="fixed"/>
        <w:tblCellMar>
          <w:top w:w="0" w:type="dxa"/>
          <w:left w:w="0" w:type="dxa"/>
          <w:bottom w:w="0" w:type="dxa"/>
          <w:right w:w="0" w:type="dxa"/>
        </w:tblCellMar>
      </w:tblPr>
      <w:tblGrid>
        <w:gridCol w:w="4910"/>
        <w:gridCol w:w="60"/>
        <w:gridCol w:w="218"/>
        <w:gridCol w:w="956"/>
        <w:gridCol w:w="95"/>
      </w:tblGrid>
      <w:tr>
        <w:trPr/>
        <w:tc>
          <w:tcPr>
            <w:tcW w:w="491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174" w:type="dxa"/>
            <w:gridSpan w:val="2"/>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As of</w:t>
            </w:r>
          </w:p>
        </w:tc>
        <w:tc>
          <w:tcPr>
            <w:tcW w:w="95" w:type="dxa"/>
            <w:tcBorders/>
            <w:vAlign w:val="center"/>
          </w:tcPr>
          <w:p>
            <w:pPr>
              <w:pStyle w:val="TableContents"/>
              <w:bidi w:val="0"/>
              <w:spacing w:before="0" w:after="283"/>
              <w:jc w:val="left"/>
              <w:rPr/>
            </w:pPr>
            <w:r>
              <w:rPr/>
              <w:t> </w:t>
            </w:r>
          </w:p>
        </w:tc>
      </w:tr>
      <w:tr>
        <w:trPr/>
        <w:tc>
          <w:tcPr>
            <w:tcW w:w="491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174" w:type="dxa"/>
            <w:gridSpan w:val="2"/>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December 28,</w:t>
            </w:r>
          </w:p>
        </w:tc>
        <w:tc>
          <w:tcPr>
            <w:tcW w:w="95" w:type="dxa"/>
            <w:tcBorders/>
            <w:vAlign w:val="center"/>
          </w:tcPr>
          <w:p>
            <w:pPr>
              <w:pStyle w:val="TableContents"/>
              <w:bidi w:val="0"/>
              <w:spacing w:before="0" w:after="283"/>
              <w:jc w:val="left"/>
              <w:rPr/>
            </w:pPr>
            <w:r>
              <w:rPr/>
              <w:t> </w:t>
            </w:r>
          </w:p>
        </w:tc>
      </w:tr>
      <w:tr>
        <w:trPr/>
        <w:tc>
          <w:tcPr>
            <w:tcW w:w="491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174"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2025</w:t>
            </w:r>
          </w:p>
        </w:tc>
        <w:tc>
          <w:tcPr>
            <w:tcW w:w="95" w:type="dxa"/>
            <w:tcBorders/>
            <w:vAlign w:val="center"/>
          </w:tcPr>
          <w:p>
            <w:pPr>
              <w:pStyle w:val="TableContents"/>
              <w:bidi w:val="0"/>
              <w:spacing w:before="0" w:after="283"/>
              <w:jc w:val="left"/>
              <w:rPr/>
            </w:pPr>
            <w:r>
              <w:rPr/>
              <w:t> </w:t>
            </w:r>
          </w:p>
        </w:tc>
      </w:tr>
      <w:tr>
        <w:trPr/>
        <w:tc>
          <w:tcPr>
            <w:tcW w:w="4910" w:type="dxa"/>
            <w:tcBorders/>
            <w:shd w:fill="CCEEFF" w:val="cle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November 2025 Note – related party</w:t>
            </w:r>
          </w:p>
        </w:tc>
        <w:tc>
          <w:tcPr>
            <w:tcW w:w="60" w:type="dxa"/>
            <w:tcBorders/>
            <w:shd w:fill="CCEEFF" w:val="clear"/>
            <w:vAlign w:val="center"/>
          </w:tcPr>
          <w:p>
            <w:pPr>
              <w:pStyle w:val="TableContents"/>
              <w:bidi w:val="0"/>
              <w:spacing w:before="0" w:after="283"/>
              <w:jc w:val="left"/>
              <w:rPr/>
            </w:pPr>
            <w:r>
              <w:rPr/>
              <w:t> </w:t>
            </w:r>
          </w:p>
        </w:tc>
        <w:tc>
          <w:tcPr>
            <w:tcW w:w="218"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956"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2,000</w:t>
            </w:r>
          </w:p>
        </w:tc>
        <w:tc>
          <w:tcPr>
            <w:tcW w:w="95" w:type="dxa"/>
            <w:tcBorders/>
            <w:shd w:fill="CCEEFF" w:val="clear"/>
            <w:vAlign w:val="center"/>
          </w:tcPr>
          <w:p>
            <w:pPr>
              <w:pStyle w:val="TableContents"/>
              <w:bidi w:val="0"/>
              <w:spacing w:before="0" w:after="283"/>
              <w:jc w:val="left"/>
              <w:rPr/>
            </w:pPr>
            <w:r>
              <w:rPr/>
              <w:t> </w:t>
            </w:r>
          </w:p>
        </w:tc>
      </w:tr>
      <w:tr>
        <w:trPr/>
        <w:tc>
          <w:tcPr>
            <w:tcW w:w="4910" w:type="dxa"/>
            <w:tcBorders/>
            <w:shd w:fill="FFFFFF" w:val="cle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Less Unamortized debt discount – related party</w:t>
            </w:r>
          </w:p>
        </w:tc>
        <w:tc>
          <w:tcPr>
            <w:tcW w:w="60" w:type="dxa"/>
            <w:tcBorders/>
            <w:shd w:fill="FFFFFF" w:val="clear"/>
            <w:vAlign w:val="center"/>
          </w:tcPr>
          <w:p>
            <w:pPr>
              <w:pStyle w:val="TableContents"/>
              <w:bidi w:val="0"/>
              <w:spacing w:before="0" w:after="283"/>
              <w:jc w:val="left"/>
              <w:rPr/>
            </w:pPr>
            <w:r>
              <w:rPr/>
              <w:t> </w:t>
            </w:r>
          </w:p>
        </w:tc>
        <w:tc>
          <w:tcPr>
            <w:tcW w:w="218"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956"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(1,509</w:t>
            </w:r>
          </w:p>
        </w:tc>
        <w:tc>
          <w:tcPr>
            <w:tcW w:w="9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4910" w:type="dxa"/>
            <w:tcBorders/>
            <w:shd w:fill="CCEEFF" w:val="cle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Net carrying amount of November 2025 Note – related party</w:t>
            </w:r>
          </w:p>
        </w:tc>
        <w:tc>
          <w:tcPr>
            <w:tcW w:w="60" w:type="dxa"/>
            <w:tcBorders/>
            <w:shd w:fill="CCEEFF" w:val="clear"/>
            <w:vAlign w:val="center"/>
          </w:tcPr>
          <w:p>
            <w:pPr>
              <w:pStyle w:val="TableContents"/>
              <w:bidi w:val="0"/>
              <w:spacing w:before="0" w:after="283"/>
              <w:jc w:val="left"/>
              <w:rPr/>
            </w:pPr>
            <w:r>
              <w:rPr/>
              <w:t> </w:t>
            </w:r>
          </w:p>
        </w:tc>
        <w:tc>
          <w:tcPr>
            <w:tcW w:w="218" w:type="dxa"/>
            <w:tcBorders>
              <w:bottom w:val="double" w:sz="10"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956" w:type="dxa"/>
            <w:tcBorders>
              <w:bottom w:val="double" w:sz="10"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491</w:t>
            </w:r>
          </w:p>
        </w:tc>
        <w:tc>
          <w:tcPr>
            <w:tcW w:w="9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fiscal year ended December 28, 2025, the total interest expense was less than $0.1 million with each of coupon interest and amortization of debt discount and issuance costs being less than $0.1 million.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sz w:val="20"/>
          <w:bdr w:val="single" w:sz="12" w:space="1" w:color="000000"/>
        </w:rPr>
      </w:pPr>
      <w:r>
        <w:rPr>
          <w:sz w:val="20"/>
          <w:bdr w:val="single" w:sz="12" w:space="1" w:color="000000"/>
        </w:rPr>
        <w:t>F-90</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7.0% Senior Unsecured Convertible Notes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September 16, 2024, the Company entered into an Indenture agreement with U.S. Bank Trust Company, National Association, as trustee (the “Indenture”), for the issuance of 7.0% senior unsecured convertible notes (“7.0% Notes”). The 7.0% Notes issued under the Indenture bear interest at 7.0% per annum, and the interest is payable semiannually in arrears on January 1 and July 1 of each year beginning on January 1, 2025. The principal is payable in full at maturity on July 1, 2029. Holders of the 7.0% Senior Notes may convert all or any portion of their 7% Notes at any time, in integral multiples of $1,000 principal amount, at the option of the holder. Upon conversion, the Company may satisfy its conversion obligation by paying or delivering, as the case may be, cash, shares of common stock or a combination of cash and shares of common stock, at the Company’s election, in the manner and subject to the terms, conditions and limitations provided in the Indenture. The 7.0% Senior Notes may be declared due and payable at the option of the holder upon an event of default and upon a qualifying change of control event. There are no financial covenants. As described below, the Company has issued multiple tranches under this Indenture.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conversion rate for the 7.0% Notes was initially 467.8363 shares of common stock per $1,000 principal amount of 7.0% Notes. The conversion rate for the 7.0% Notes is subject to adjustment from time to time in accordance with the terms of the Indenture, and as of December 28, 2025 the 7.0% Notes are convertible at the rate of 584.7953 shares of common stock per $1,000 principal amount of the notes. In addition, upon a conversion of the 7.0% Notes, following certain corporate events that occur prior to the maturity date of the 7.0% Notes or if the Company delivers a notice of redemption in respect of the 7.0% Notes, the Company will, under certain circumstances, increase the conversion rate of the 7.0% Notes for a holder who elects to convert its 7.0% Notes following September 16, 2025, in connection with such a corporate event that occurs prior to the maturity date, or if the Company delivers a notice of redemption in respect of the 7.0% Notes.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September 2024 Notes</w:t>
      </w:r>
    </w:p>
    <w:p>
      <w:pPr>
        <w:pStyle w:val="TextBody"/>
        <w:bidi w:val="0"/>
        <w:spacing w:before="0" w:after="0"/>
        <w:ind w:left="0" w:right="0" w:hanging="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issued an aggregate of $80.0 million of 7.0% Notes to various lenders (the “September 2024 Notes”), of which the Company received cash proceeds in two tranches of $66.8 million and $13.0 million in fiscal 2024. The remainder was received in fiscal 2025.</w:t>
      </w:r>
    </w:p>
    <w:p>
      <w:pPr>
        <w:pStyle w:val="TextBody"/>
        <w:bidi w:val="0"/>
        <w:spacing w:before="0" w:after="0"/>
        <w:ind w:left="0" w:right="0" w:hanging="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cash proceeds of $66.8 million included $4.0 million from the Rodgers Family Freedom and Free Markets Charitable Trust (“Massey Charitable Trust”), a related party, and $4.0 million from the Rodgers Revocable Trust (collectively with Massey Charitable Trust, “Massey Trusts”), also a related party. In fiscal 2025, a holder of $0.75 million of the September 2024 Notes became a member of the Company’s board of directors and this note is now deemed to be with a related party beginning in fiscal 2025. Refer to </w:t>
      </w:r>
      <w:r>
        <w:rPr>
          <w:rFonts w:ascii="Times New Roman;Times;Serif" w:hAnsi="Times New Roman;Times;Serif"/>
          <w:b/>
          <w:i w:val="false"/>
          <w:caps w:val="false"/>
          <w:smallCaps w:val="false"/>
          <w:sz w:val="20"/>
        </w:rPr>
        <w:t xml:space="preserve">Note 2 Summary of Significant Accounting Policies – </w:t>
      </w:r>
      <w:r>
        <w:rPr>
          <w:rFonts w:ascii="Times New Roman;Times;Serif" w:hAnsi="Times New Roman;Times;Serif"/>
          <w:b/>
          <w:i/>
          <w:caps w:val="false"/>
          <w:smallCaps w:val="false"/>
          <w:sz w:val="20"/>
        </w:rPr>
        <w:t>Changes in related parties</w:t>
      </w:r>
      <w:r>
        <w:rPr>
          <w:rFonts w:ascii="Times New Roman;Times;Serif" w:hAnsi="Times New Roman;Times;Serif"/>
          <w:b w:val="false"/>
          <w:i w:val="false"/>
          <w:caps w:val="false"/>
          <w:smallCaps w:val="false"/>
          <w:sz w:val="20"/>
        </w:rPr>
        <w:t>, for further detail. The conversion option of this first tranche was required to be bifurcated as a derivative, and the Company recorded a derivative liability of $91.5 million on the issuance date. In connection with the derivative liability, the Company recorded a debt discount of $66.8 million at the date of issuance. As the fair value of the derivative liability exceeded the proceeds received, the remaining portion of the derivative liability of $24.7 million was recorded as a financing loss, of which $3.0 million was with a related party. At the date of issuance, the $66.8 million of notes were issued with a debt discount equal to the entire principal amount, resulting in an initial net carrying amount of zero. The debt discount is being amortized on a straight-line basis over the term of the September 2024 Notes.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December 2024, the Company received proceeds of $13.0 million in a second tranche. The Company recognized a $10.9 million debt discount in connection with these additional proceeds. The effective interest rate on this tranche is 64% as of December 28, 2025.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Certain holders of the September 2024 Notes exercised their rights to convert this debt to shares of the Company’s common stock. In the fiscal year ended December 29, 2025, $14.7 million of the September 2024 Notes were converted into 8.6 million shares of the Company’s common stock.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carrying amount of the convertible September 2024 Notes was as follows </w:t>
      </w:r>
      <w:r>
        <w:rPr>
          <w:rFonts w:ascii="Times New Roman;Times;Serif" w:hAnsi="Times New Roman;Times;Serif"/>
          <w:b w:val="false"/>
          <w:i/>
          <w:caps w:val="false"/>
          <w:smallCaps w:val="false"/>
          <w:sz w:val="20"/>
        </w:rPr>
        <w:t>(in thousands)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tbl>
      <w:tblPr>
        <w:tblW w:w="6428" w:type="dxa"/>
        <w:jc w:val="left"/>
        <w:tblInd w:w="0" w:type="dxa"/>
        <w:tblLayout w:type="fixed"/>
        <w:tblCellMar>
          <w:top w:w="0" w:type="dxa"/>
          <w:left w:w="0" w:type="dxa"/>
          <w:bottom w:w="0" w:type="dxa"/>
          <w:right w:w="0" w:type="dxa"/>
        </w:tblCellMar>
      </w:tblPr>
      <w:tblGrid>
        <w:gridCol w:w="3785"/>
        <w:gridCol w:w="60"/>
        <w:gridCol w:w="189"/>
        <w:gridCol w:w="985"/>
        <w:gridCol w:w="80"/>
        <w:gridCol w:w="60"/>
        <w:gridCol w:w="189"/>
        <w:gridCol w:w="985"/>
        <w:gridCol w:w="95"/>
      </w:tblGrid>
      <w:tr>
        <w:trPr/>
        <w:tc>
          <w:tcPr>
            <w:tcW w:w="378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2488" w:type="dxa"/>
            <w:gridSpan w:val="6"/>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As of</w:t>
            </w:r>
          </w:p>
        </w:tc>
        <w:tc>
          <w:tcPr>
            <w:tcW w:w="95" w:type="dxa"/>
            <w:tcBorders/>
            <w:vAlign w:val="center"/>
          </w:tcPr>
          <w:p>
            <w:pPr>
              <w:pStyle w:val="TableContents"/>
              <w:bidi w:val="0"/>
              <w:spacing w:before="0" w:after="283"/>
              <w:jc w:val="left"/>
              <w:rPr/>
            </w:pPr>
            <w:r>
              <w:rPr/>
              <w:t> </w:t>
            </w:r>
          </w:p>
        </w:tc>
      </w:tr>
      <w:tr>
        <w:trPr/>
        <w:tc>
          <w:tcPr>
            <w:tcW w:w="378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174" w:type="dxa"/>
            <w:gridSpan w:val="2"/>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December 28,</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74" w:type="dxa"/>
            <w:gridSpan w:val="2"/>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December 29,</w:t>
            </w:r>
          </w:p>
        </w:tc>
        <w:tc>
          <w:tcPr>
            <w:tcW w:w="95" w:type="dxa"/>
            <w:tcBorders/>
            <w:vAlign w:val="center"/>
          </w:tcPr>
          <w:p>
            <w:pPr>
              <w:pStyle w:val="TableContents"/>
              <w:bidi w:val="0"/>
              <w:spacing w:before="0" w:after="283"/>
              <w:jc w:val="left"/>
              <w:rPr/>
            </w:pPr>
            <w:r>
              <w:rPr/>
              <w:t> </w:t>
            </w:r>
          </w:p>
        </w:tc>
      </w:tr>
      <w:tr>
        <w:trPr/>
        <w:tc>
          <w:tcPr>
            <w:tcW w:w="378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174"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2025</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74"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2024</w:t>
            </w:r>
          </w:p>
        </w:tc>
        <w:tc>
          <w:tcPr>
            <w:tcW w:w="95" w:type="dxa"/>
            <w:tcBorders/>
            <w:vAlign w:val="center"/>
          </w:tcPr>
          <w:p>
            <w:pPr>
              <w:pStyle w:val="TableContents"/>
              <w:bidi w:val="0"/>
              <w:spacing w:before="0" w:after="283"/>
              <w:jc w:val="left"/>
              <w:rPr/>
            </w:pPr>
            <w:r>
              <w:rPr/>
              <w:t> </w:t>
            </w:r>
          </w:p>
        </w:tc>
      </w:tr>
      <w:tr>
        <w:trPr/>
        <w:tc>
          <w:tcPr>
            <w:tcW w:w="3785" w:type="dxa"/>
            <w:tcBorders/>
            <w:shd w:fill="CCEEFF" w:val="cle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September 2024 Notes</w:t>
            </w:r>
          </w:p>
        </w:tc>
        <w:tc>
          <w:tcPr>
            <w:tcW w:w="60" w:type="dxa"/>
            <w:tcBorders/>
            <w:shd w:fill="CCEEFF" w:val="clear"/>
            <w:vAlign w:val="center"/>
          </w:tcPr>
          <w:p>
            <w:pPr>
              <w:pStyle w:val="TableContents"/>
              <w:bidi w:val="0"/>
              <w:spacing w:before="0" w:after="283"/>
              <w:jc w:val="left"/>
              <w:rPr/>
            </w:pPr>
            <w:r>
              <w:rPr/>
              <w:t> </w:t>
            </w:r>
          </w:p>
        </w:tc>
        <w:tc>
          <w:tcPr>
            <w:tcW w:w="189"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98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65,293</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9"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98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79,800</w:t>
            </w:r>
          </w:p>
        </w:tc>
        <w:tc>
          <w:tcPr>
            <w:tcW w:w="95" w:type="dxa"/>
            <w:tcBorders/>
            <w:shd w:fill="CCEEFF" w:val="clear"/>
            <w:vAlign w:val="center"/>
          </w:tcPr>
          <w:p>
            <w:pPr>
              <w:pStyle w:val="TableContents"/>
              <w:bidi w:val="0"/>
              <w:spacing w:before="0" w:after="283"/>
              <w:jc w:val="left"/>
              <w:rPr/>
            </w:pPr>
            <w:r>
              <w:rPr/>
              <w:t> </w:t>
            </w:r>
          </w:p>
        </w:tc>
      </w:tr>
      <w:tr>
        <w:trPr/>
        <w:tc>
          <w:tcPr>
            <w:tcW w:w="3785" w:type="dxa"/>
            <w:tcBorders/>
            <w:shd w:fill="FFFFFF" w:val="cle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Less Unamortized debt discount</w:t>
            </w:r>
          </w:p>
        </w:tc>
        <w:tc>
          <w:tcPr>
            <w:tcW w:w="60" w:type="dxa"/>
            <w:tcBorders/>
            <w:shd w:fill="FFFFFF" w:val="clear"/>
            <w:vAlign w:val="center"/>
          </w:tcPr>
          <w:p>
            <w:pPr>
              <w:pStyle w:val="TableContents"/>
              <w:bidi w:val="0"/>
              <w:spacing w:before="0" w:after="283"/>
              <w:jc w:val="left"/>
              <w:rPr/>
            </w:pPr>
            <w:r>
              <w:rPr/>
              <w:t> </w:t>
            </w:r>
          </w:p>
        </w:tc>
        <w:tc>
          <w:tcPr>
            <w:tcW w:w="189"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985"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(48,615</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89"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985"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(73,688</w:t>
            </w:r>
          </w:p>
        </w:tc>
        <w:tc>
          <w:tcPr>
            <w:tcW w:w="9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3785" w:type="dxa"/>
            <w:tcBorders/>
            <w:shd w:fill="CCEEFF" w:val="cle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Net carrying amount of September 2024 Notes</w:t>
            </w:r>
          </w:p>
        </w:tc>
        <w:tc>
          <w:tcPr>
            <w:tcW w:w="60" w:type="dxa"/>
            <w:tcBorders/>
            <w:shd w:fill="CCEEFF" w:val="clear"/>
            <w:vAlign w:val="center"/>
          </w:tcPr>
          <w:p>
            <w:pPr>
              <w:pStyle w:val="TableContents"/>
              <w:bidi w:val="0"/>
              <w:spacing w:before="0" w:after="283"/>
              <w:jc w:val="left"/>
              <w:rPr/>
            </w:pPr>
            <w:r>
              <w:rPr/>
              <w:t> </w:t>
            </w:r>
          </w:p>
        </w:tc>
        <w:tc>
          <w:tcPr>
            <w:tcW w:w="189" w:type="dxa"/>
            <w:tcBorders>
              <w:bottom w:val="double" w:sz="10"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985" w:type="dxa"/>
            <w:tcBorders>
              <w:bottom w:val="double" w:sz="10"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16,678</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9" w:type="dxa"/>
            <w:tcBorders>
              <w:bottom w:val="double" w:sz="10"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985" w:type="dxa"/>
            <w:tcBorders>
              <w:bottom w:val="double" w:sz="10"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6,112</w:t>
            </w:r>
          </w:p>
        </w:tc>
        <w:tc>
          <w:tcPr>
            <w:tcW w:w="9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fiscal years ended December 28, 2025 and December 29, 2024, the total interest expense was $19.6 million and $5.4 million with coupon interest expense of $5.5 million and $1.4 million, respectively, and debt discount and issuance costs of $14.1 million and $4.0 million, respectively. Of the coupon interest expense, related party interest expense was $0.6 million and $0.2 million in the fiscal years ended December 28, 2025 and December 29, 2024, respectively. Related party amortization expense was $1.8 million and $0.5 million in the fiscal years ended December 28, 2025 and December 29, 2024, respectively.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sz w:val="20"/>
          <w:bdr w:val="single" w:sz="12" w:space="1" w:color="000000"/>
        </w:rPr>
      </w:pPr>
      <w:r>
        <w:rPr>
          <w:sz w:val="20"/>
          <w:bdr w:val="single" w:sz="12" w:space="1" w:color="000000"/>
        </w:rPr>
        <w:t>F-91</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September 2025 Notes</w:t>
      </w:r>
    </w:p>
    <w:p>
      <w:pPr>
        <w:pStyle w:val="TextBody"/>
        <w:bidi w:val="0"/>
        <w:spacing w:before="0" w:after="0"/>
        <w:ind w:left="0" w:right="0" w:hanging="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September 21, 2025, the Company issued an additional $22.0 million of the 7.0% Notes (the “September 2025 Notes”) pursuant to the Indenture to various parties. The September 2025 Notes contain a conversion option which required bifurcation and recognition of a derivative, and the Company recorded a derivative liability of $15.4 million on the issuance date. The Company also recognized a $2.2 million debt discount and $1.4 million of debt issuance costs in connection with the September 2025 Notes. The debt issuance costs include an estimate of the value of a warrant that will be issued in the subsequent fiscal year to the entity that arranged the financing. The effective interest rate on the September 2025 Notes approximated 67% as of December 28, 2025. The net proceeds from the issuance of the September 2025 Notes were principally used to pay a portion of the cash consideration for the Company’s acquisition of Sunder.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carrying amount of the September 2025 Notes, inclusive of the fair value of the derivative liabilities was as follows </w:t>
      </w:r>
      <w:r>
        <w:rPr>
          <w:rFonts w:ascii="Times New Roman;Times;Serif" w:hAnsi="Times New Roman;Times;Serif"/>
          <w:b w:val="false"/>
          <w:i/>
          <w:caps w:val="false"/>
          <w:smallCaps w:val="false"/>
          <w:sz w:val="20"/>
        </w:rPr>
        <w:t>(in thousands)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tbl>
      <w:tblPr>
        <w:tblW w:w="6044" w:type="dxa"/>
        <w:jc w:val="left"/>
        <w:tblInd w:w="0" w:type="dxa"/>
        <w:tblLayout w:type="fixed"/>
        <w:tblCellMar>
          <w:top w:w="0" w:type="dxa"/>
          <w:left w:w="0" w:type="dxa"/>
          <w:bottom w:w="0" w:type="dxa"/>
          <w:right w:w="0" w:type="dxa"/>
        </w:tblCellMar>
      </w:tblPr>
      <w:tblGrid>
        <w:gridCol w:w="4460"/>
        <w:gridCol w:w="60"/>
        <w:gridCol w:w="220"/>
        <w:gridCol w:w="1194"/>
        <w:gridCol w:w="110"/>
      </w:tblGrid>
      <w:tr>
        <w:trPr/>
        <w:tc>
          <w:tcPr>
            <w:tcW w:w="44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414" w:type="dxa"/>
            <w:gridSpan w:val="2"/>
            <w:tcBorders/>
            <w:vAlign w:val="center"/>
          </w:tcPr>
          <w:p>
            <w:pPr>
              <w:pStyle w:val="TableContents"/>
              <w:bidi w:val="0"/>
              <w:spacing w:before="0" w:after="283"/>
              <w:jc w:val="center"/>
              <w:rPr>
                <w:b/>
              </w:rPr>
            </w:pPr>
            <w:r>
              <w:rPr>
                <w:b/>
              </w:rPr>
              <w:t>As of</w:t>
            </w:r>
          </w:p>
        </w:tc>
        <w:tc>
          <w:tcPr>
            <w:tcW w:w="110" w:type="dxa"/>
            <w:tcBorders/>
            <w:vAlign w:val="center"/>
          </w:tcPr>
          <w:p>
            <w:pPr>
              <w:pStyle w:val="TableContents"/>
              <w:bidi w:val="0"/>
              <w:spacing w:before="0" w:after="283"/>
              <w:jc w:val="left"/>
              <w:rPr/>
            </w:pPr>
            <w:r>
              <w:rPr/>
              <w:t> </w:t>
            </w:r>
          </w:p>
        </w:tc>
      </w:tr>
      <w:tr>
        <w:trPr/>
        <w:tc>
          <w:tcPr>
            <w:tcW w:w="44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414" w:type="dxa"/>
            <w:gridSpan w:val="2"/>
            <w:tcBorders/>
            <w:vAlign w:val="center"/>
          </w:tcPr>
          <w:p>
            <w:pPr>
              <w:pStyle w:val="TableContents"/>
              <w:bidi w:val="0"/>
              <w:spacing w:before="0" w:after="283"/>
              <w:jc w:val="center"/>
              <w:rPr>
                <w:b/>
              </w:rPr>
            </w:pPr>
            <w:r>
              <w:rPr>
                <w:b/>
              </w:rPr>
              <w:t>December 28,</w:t>
            </w:r>
          </w:p>
        </w:tc>
        <w:tc>
          <w:tcPr>
            <w:tcW w:w="110" w:type="dxa"/>
            <w:tcBorders/>
            <w:vAlign w:val="center"/>
          </w:tcPr>
          <w:p>
            <w:pPr>
              <w:pStyle w:val="TableContents"/>
              <w:bidi w:val="0"/>
              <w:spacing w:before="0" w:after="283"/>
              <w:jc w:val="left"/>
              <w:rPr/>
            </w:pPr>
            <w:r>
              <w:rPr/>
              <w:t> </w:t>
            </w:r>
          </w:p>
        </w:tc>
      </w:tr>
      <w:tr>
        <w:trPr/>
        <w:tc>
          <w:tcPr>
            <w:tcW w:w="44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414"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2025</w:t>
            </w:r>
          </w:p>
        </w:tc>
        <w:tc>
          <w:tcPr>
            <w:tcW w:w="110" w:type="dxa"/>
            <w:tcBorders/>
            <w:vAlign w:val="center"/>
          </w:tcPr>
          <w:p>
            <w:pPr>
              <w:pStyle w:val="TableContents"/>
              <w:bidi w:val="0"/>
              <w:spacing w:before="0" w:after="283"/>
              <w:jc w:val="left"/>
              <w:rPr/>
            </w:pPr>
            <w:r>
              <w:rPr/>
              <w:t> </w:t>
            </w:r>
          </w:p>
        </w:tc>
      </w:tr>
      <w:tr>
        <w:trPr/>
        <w:tc>
          <w:tcPr>
            <w:tcW w:w="4460" w:type="dxa"/>
            <w:tcBorders/>
            <w:shd w:fill="CCEEFF" w:val="clear"/>
            <w:vAlign w:val="center"/>
          </w:tcPr>
          <w:p>
            <w:pPr>
              <w:pStyle w:val="TableContents"/>
              <w:bidi w:val="0"/>
              <w:spacing w:before="0" w:after="283"/>
              <w:jc w:val="both"/>
              <w:rPr/>
            </w:pPr>
            <w:r>
              <w:rPr/>
              <w:t>September 2025 Notes</w:t>
            </w:r>
          </w:p>
        </w:tc>
        <w:tc>
          <w:tcPr>
            <w:tcW w:w="60" w:type="dxa"/>
            <w:tcBorders/>
            <w:shd w:fill="CCEEFF" w:val="clear"/>
            <w:vAlign w:val="center"/>
          </w:tcPr>
          <w:p>
            <w:pPr>
              <w:pStyle w:val="TableContents"/>
              <w:bidi w:val="0"/>
              <w:spacing w:before="0" w:after="283"/>
              <w:jc w:val="left"/>
              <w:rPr/>
            </w:pPr>
            <w:r>
              <w:rPr/>
              <w:t> </w:t>
            </w:r>
          </w:p>
        </w:tc>
        <w:tc>
          <w:tcPr>
            <w:tcW w:w="220" w:type="dxa"/>
            <w:tcBorders/>
            <w:shd w:fill="CCEEFF" w:val="clear"/>
            <w:vAlign w:val="center"/>
          </w:tcPr>
          <w:p>
            <w:pPr>
              <w:pStyle w:val="TableContents"/>
              <w:bidi w:val="0"/>
              <w:spacing w:before="0" w:after="283"/>
              <w:jc w:val="left"/>
              <w:rPr/>
            </w:pPr>
            <w:r>
              <w:rPr/>
              <w:t>$</w:t>
            </w:r>
          </w:p>
        </w:tc>
        <w:tc>
          <w:tcPr>
            <w:tcW w:w="1194" w:type="dxa"/>
            <w:tcBorders/>
            <w:shd w:fill="CCEEFF" w:val="clear"/>
            <w:vAlign w:val="center"/>
          </w:tcPr>
          <w:p>
            <w:pPr>
              <w:pStyle w:val="TableContents"/>
              <w:bidi w:val="0"/>
              <w:spacing w:before="0" w:after="283"/>
              <w:jc w:val="right"/>
              <w:rPr/>
            </w:pPr>
            <w:r>
              <w:rPr/>
              <w:t>22,000</w:t>
            </w:r>
          </w:p>
        </w:tc>
        <w:tc>
          <w:tcPr>
            <w:tcW w:w="110" w:type="dxa"/>
            <w:tcBorders/>
            <w:shd w:fill="CCEEFF" w:val="clear"/>
            <w:vAlign w:val="center"/>
          </w:tcPr>
          <w:p>
            <w:pPr>
              <w:pStyle w:val="TableContents"/>
              <w:bidi w:val="0"/>
              <w:spacing w:before="0" w:after="283"/>
              <w:jc w:val="left"/>
              <w:rPr/>
            </w:pPr>
            <w:r>
              <w:rPr/>
              <w:t> </w:t>
            </w:r>
          </w:p>
        </w:tc>
      </w:tr>
      <w:tr>
        <w:trPr/>
        <w:tc>
          <w:tcPr>
            <w:tcW w:w="4460" w:type="dxa"/>
            <w:tcBorders/>
            <w:shd w:fill="FFFFFF" w:val="clear"/>
            <w:vAlign w:val="center"/>
          </w:tcPr>
          <w:p>
            <w:pPr>
              <w:pStyle w:val="TableContents"/>
              <w:bidi w:val="0"/>
              <w:spacing w:before="0" w:after="283"/>
              <w:jc w:val="both"/>
              <w:rPr/>
            </w:pPr>
            <w:r>
              <w:rPr/>
              <w:t>Less Unamortized debt discount</w:t>
            </w:r>
          </w:p>
        </w:tc>
        <w:tc>
          <w:tcPr>
            <w:tcW w:w="60" w:type="dxa"/>
            <w:tcBorders/>
            <w:shd w:fill="FFFFFF" w:val="clear"/>
            <w:vAlign w:val="center"/>
          </w:tcPr>
          <w:p>
            <w:pPr>
              <w:pStyle w:val="TableContents"/>
              <w:bidi w:val="0"/>
              <w:spacing w:before="0" w:after="283"/>
              <w:jc w:val="left"/>
              <w:rPr/>
            </w:pPr>
            <w:r>
              <w:rPr/>
              <w:t> </w:t>
            </w:r>
          </w:p>
        </w:tc>
        <w:tc>
          <w:tcPr>
            <w:tcW w:w="22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94" w:type="dxa"/>
            <w:tcBorders>
              <w:bottom w:val="single" w:sz="12" w:space="0" w:color="000000"/>
            </w:tcBorders>
            <w:shd w:fill="FFFFFF" w:val="clear"/>
            <w:tcMar>
              <w:bottom w:w="28" w:type="dxa"/>
            </w:tcMar>
            <w:vAlign w:val="center"/>
          </w:tcPr>
          <w:p>
            <w:pPr>
              <w:pStyle w:val="TableContents"/>
              <w:bidi w:val="0"/>
              <w:spacing w:before="0" w:after="283"/>
              <w:jc w:val="right"/>
              <w:rPr/>
            </w:pPr>
            <w:r>
              <w:rPr/>
              <w:t>(18,646</w:t>
            </w:r>
          </w:p>
        </w:tc>
        <w:tc>
          <w:tcPr>
            <w:tcW w:w="110" w:type="dxa"/>
            <w:tcBorders/>
            <w:shd w:fill="FFFFFF" w:val="clear"/>
            <w:vAlign w:val="center"/>
          </w:tcPr>
          <w:p>
            <w:pPr>
              <w:pStyle w:val="TableContents"/>
              <w:bidi w:val="0"/>
              <w:spacing w:before="0" w:after="283"/>
              <w:jc w:val="left"/>
              <w:rPr/>
            </w:pPr>
            <w:r>
              <w:rPr/>
              <w:t>)</w:t>
            </w:r>
          </w:p>
        </w:tc>
      </w:tr>
      <w:tr>
        <w:trPr/>
        <w:tc>
          <w:tcPr>
            <w:tcW w:w="4460" w:type="dxa"/>
            <w:tcBorders/>
            <w:shd w:fill="CCEEFF" w:val="clear"/>
            <w:vAlign w:val="center"/>
          </w:tcPr>
          <w:p>
            <w:pPr>
              <w:pStyle w:val="TableContents"/>
              <w:bidi w:val="0"/>
              <w:spacing w:before="0" w:after="283"/>
              <w:jc w:val="both"/>
              <w:rPr/>
            </w:pPr>
            <w:r>
              <w:rPr/>
              <w:t>Net carrying amount of September 2025 Notes</w:t>
            </w:r>
          </w:p>
        </w:tc>
        <w:tc>
          <w:tcPr>
            <w:tcW w:w="60" w:type="dxa"/>
            <w:tcBorders/>
            <w:shd w:fill="CCEEFF" w:val="clear"/>
            <w:vAlign w:val="center"/>
          </w:tcPr>
          <w:p>
            <w:pPr>
              <w:pStyle w:val="TableContents"/>
              <w:bidi w:val="0"/>
              <w:spacing w:before="0" w:after="283"/>
              <w:jc w:val="left"/>
              <w:rPr/>
            </w:pPr>
            <w:r>
              <w:rPr/>
              <w:t> </w:t>
            </w:r>
          </w:p>
        </w:tc>
        <w:tc>
          <w:tcPr>
            <w:tcW w:w="220"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194" w:type="dxa"/>
            <w:tcBorders>
              <w:bottom w:val="double" w:sz="10" w:space="0" w:color="000000"/>
            </w:tcBorders>
            <w:shd w:fill="CCEEFF" w:val="clear"/>
            <w:tcMar>
              <w:bottom w:w="28" w:type="dxa"/>
            </w:tcMar>
            <w:vAlign w:val="center"/>
          </w:tcPr>
          <w:p>
            <w:pPr>
              <w:pStyle w:val="TableContents"/>
              <w:bidi w:val="0"/>
              <w:spacing w:before="0" w:after="283"/>
              <w:jc w:val="right"/>
              <w:rPr/>
            </w:pPr>
            <w:r>
              <w:rPr/>
              <w:t>3,354</w:t>
            </w:r>
          </w:p>
        </w:tc>
        <w:tc>
          <w:tcPr>
            <w:tcW w:w="11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fiscal year ended December 28, 2025 the total interest expense was $0.7 million with coupon interest of $0.4 million and amortization of debt discount and issuance costs $0.3 million.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Seller Note – related party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On September 24, 2025, the Company issued a note payable to the sellers of Sunder (“Seller Note”) in connection with the acquisition of 100% of the membership interests in Sunder and concluded that the Seller Note is a related party obligation (see </w:t>
      </w:r>
      <w:r>
        <w:rPr>
          <w:rFonts w:ascii="Times New Roman;Times;Serif" w:hAnsi="Times New Roman;Times;Serif"/>
          <w:b/>
          <w:i w:val="false"/>
          <w:caps w:val="false"/>
          <w:smallCaps w:val="false"/>
          <w:sz w:val="20"/>
        </w:rPr>
        <w:t>Note 3 – Business Combinations</w:t>
      </w:r>
      <w:r>
        <w:rPr>
          <w:rFonts w:ascii="Times New Roman;Times;Serif" w:hAnsi="Times New Roman;Times;Serif"/>
          <w:b w:val="false"/>
          <w:i w:val="false"/>
          <w:caps w:val="false"/>
          <w:smallCaps w:val="false"/>
          <w:sz w:val="20"/>
        </w:rPr>
        <w:t>). The Seller Note has an original principal amount of $20.0 million. The Seller Note bears interest at 7.0% per annum, compounded at the end of each calendar quarter. Interest is due and payable concurrent with the payment of the principal balance. The maturity date of the Seller Note is the earlier of (i) May 15, 2026 and (ii) the date on which all amounts under the Seller Note otherwise become due and payable following an event of default. The Seller Note must also be repaid in the event of a change of control of the Company or the sale of all or substantially all of the consolidated assets of the Company and its subsidiaries. The Seller Note includes customary events of default, including: (a) the Company’s failure to pay the Seller Note when due, (b) the Company’s voluntary or involuntary bankruptcy, (c) the Company’s liquidation or dissolution, (d) a change of control of the Company, (e) the Company’s material breach of the covenants applicable to the Company under the Seller Note, subject to applicable cure periods, and (f) if any of the Company’s representations or warranties made in the Seller Note were untrue in any material respect when made. Management concluded that the carrying value of the Seller Note approximates its fair value due to the short-term nature of the obligation. Interest expense recognized on the Seller Note was $0.4 million in the fiscal year ended December 28, 2025.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Loan with related party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Prior to entering into the </w:t>
      </w:r>
      <w:r>
        <w:rPr>
          <w:rFonts w:ascii="Times New Roman;Times;Serif" w:hAnsi="Times New Roman;Times;Serif"/>
          <w:b w:val="false"/>
          <w:i/>
          <w:caps w:val="false"/>
          <w:smallCaps w:val="false"/>
          <w:sz w:val="20"/>
        </w:rPr>
        <w:t>Exchange Agreement</w:t>
      </w:r>
      <w:r>
        <w:rPr>
          <w:rFonts w:ascii="Times New Roman;Times;Serif" w:hAnsi="Times New Roman;Times;Serif"/>
          <w:b w:val="false"/>
          <w:i w:val="false"/>
          <w:caps w:val="false"/>
          <w:smallCaps w:val="false"/>
          <w:sz w:val="20"/>
        </w:rPr>
        <w:t xml:space="preserve">, the Company had a Revolving Loan due to Kline Hill and Rodgers Revocable Trust which is a related party. The Revolving Loan arrangement was entered into in 2020 and in 2023, the Rodgers Revocable Trust became a party to the Revolving Loan. The Revolving Loan has an annual interest rate equal to the greater of 7.75% or Prime plus 4.5%. In connection with the </w:t>
      </w:r>
      <w:r>
        <w:rPr>
          <w:rFonts w:ascii="Times New Roman;Times;Serif" w:hAnsi="Times New Roman;Times;Serif"/>
          <w:b w:val="false"/>
          <w:i/>
          <w:caps w:val="false"/>
          <w:smallCaps w:val="false"/>
          <w:sz w:val="20"/>
        </w:rPr>
        <w:t>Exchange Agreement</w:t>
      </w:r>
      <w:r>
        <w:rPr>
          <w:rFonts w:ascii="Times New Roman;Times;Serif" w:hAnsi="Times New Roman;Times;Serif"/>
          <w:b w:val="false"/>
          <w:i w:val="false"/>
          <w:caps w:val="false"/>
          <w:smallCaps w:val="false"/>
          <w:sz w:val="20"/>
        </w:rPr>
        <w:t xml:space="preserve"> in July 2024, $3.5 million of the Revolving Loan, plus accrued interest owed to Kline Hill, was exchanged for a portion of the July 2024 Notes. The remaining principal balance of $1.5 million is payable to the Rodgers Revocable Trust and remains outstanding as of December 28, 2025. There are no financial covenants.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Aggregate interest expense recognized on this obligation in the fiscal years ended December 28, 2025 and December 29, 2024 was $0.2 million and $0.5 million, respectively. Of the interest expense recognized, related party interest expense was $0.2 million and $0.2 million in the fiscal years ended December 28, 2025 and December 29, 2024, respectively.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sz w:val="20"/>
          <w:bdr w:val="single" w:sz="12" w:space="1" w:color="000000"/>
        </w:rPr>
      </w:pPr>
      <w:r>
        <w:rPr>
          <w:sz w:val="20"/>
          <w:bdr w:val="single" w:sz="12" w:space="1" w:color="000000"/>
        </w:rPr>
        <w:t>F-92</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Principal payments due in the next five fiscal years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principal amount of all short and long-term debt, excluding capitalized interest in connection with the exchanged notes, is as follows:</w:t>
      </w:r>
    </w:p>
    <w:p>
      <w:pPr>
        <w:pStyle w:val="TextBody"/>
        <w:bidi w:val="0"/>
        <w:spacing w:before="0" w:after="0"/>
        <w:ind w:left="0" w:right="0" w:hanging="0"/>
        <w:jc w:val="left"/>
        <w:rPr>
          <w:caps w:val="false"/>
          <w:smallCaps w:val="false"/>
        </w:rPr>
      </w:pPr>
      <w:r>
        <w:rPr>
          <w:caps w:val="false"/>
          <w:smallCaps w:val="false"/>
        </w:rPr>
        <w:t> </w:t>
      </w:r>
    </w:p>
    <w:tbl>
      <w:tblPr>
        <w:tblW w:w="3249" w:type="dxa"/>
        <w:jc w:val="left"/>
        <w:tblInd w:w="0" w:type="dxa"/>
        <w:tblLayout w:type="fixed"/>
        <w:tblCellMar>
          <w:top w:w="0" w:type="dxa"/>
          <w:left w:w="0" w:type="dxa"/>
          <w:bottom w:w="0" w:type="dxa"/>
          <w:right w:w="0" w:type="dxa"/>
        </w:tblCellMar>
      </w:tblPr>
      <w:tblGrid>
        <w:gridCol w:w="1520"/>
        <w:gridCol w:w="60"/>
        <w:gridCol w:w="243"/>
        <w:gridCol w:w="1351"/>
        <w:gridCol w:w="75"/>
      </w:tblGrid>
      <w:tr>
        <w:trPr/>
        <w:tc>
          <w:tcPr>
            <w:tcW w:w="15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94"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Principal payment</w:t>
            </w:r>
          </w:p>
        </w:tc>
        <w:tc>
          <w:tcPr>
            <w:tcW w:w="75" w:type="dxa"/>
            <w:tcBorders/>
            <w:vAlign w:val="center"/>
          </w:tcPr>
          <w:p>
            <w:pPr>
              <w:pStyle w:val="TableContents"/>
              <w:bidi w:val="0"/>
              <w:spacing w:before="0" w:after="283"/>
              <w:jc w:val="left"/>
              <w:rPr/>
            </w:pPr>
            <w:r>
              <w:rPr/>
              <w:t> </w:t>
            </w:r>
          </w:p>
        </w:tc>
      </w:tr>
      <w:tr>
        <w:trPr/>
        <w:tc>
          <w:tcPr>
            <w:tcW w:w="152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Fiscal year ending</w:t>
            </w:r>
          </w:p>
        </w:tc>
        <w:tc>
          <w:tcPr>
            <w:tcW w:w="60" w:type="dxa"/>
            <w:tcBorders/>
            <w:vAlign w:val="center"/>
          </w:tcPr>
          <w:p>
            <w:pPr>
              <w:pStyle w:val="TableContents"/>
              <w:bidi w:val="0"/>
              <w:spacing w:before="0" w:after="283"/>
              <w:jc w:val="left"/>
              <w:rPr/>
            </w:pPr>
            <w:r>
              <w:rPr/>
              <w:t> </w:t>
            </w:r>
          </w:p>
        </w:tc>
        <w:tc>
          <w:tcPr>
            <w:tcW w:w="1594" w:type="dxa"/>
            <w:gridSpan w:val="2"/>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152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2026</w:t>
            </w:r>
          </w:p>
        </w:tc>
        <w:tc>
          <w:tcPr>
            <w:tcW w:w="60" w:type="dxa"/>
            <w:tcBorders/>
            <w:shd w:fill="CCEEFF" w:val="clear"/>
            <w:vAlign w:val="center"/>
          </w:tcPr>
          <w:p>
            <w:pPr>
              <w:pStyle w:val="TableContents"/>
              <w:bidi w:val="0"/>
              <w:spacing w:before="0" w:after="283"/>
              <w:jc w:val="left"/>
              <w:rPr/>
            </w:pPr>
            <w:r>
              <w:rPr/>
              <w:t> </w:t>
            </w:r>
          </w:p>
        </w:tc>
        <w:tc>
          <w:tcPr>
            <w:tcW w:w="243"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351"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21,500</w:t>
            </w:r>
          </w:p>
        </w:tc>
        <w:tc>
          <w:tcPr>
            <w:tcW w:w="75" w:type="dxa"/>
            <w:tcBorders/>
            <w:shd w:fill="CCEEFF" w:val="clear"/>
            <w:vAlign w:val="center"/>
          </w:tcPr>
          <w:p>
            <w:pPr>
              <w:pStyle w:val="TableContents"/>
              <w:bidi w:val="0"/>
              <w:spacing w:before="0" w:after="283"/>
              <w:jc w:val="left"/>
              <w:rPr/>
            </w:pPr>
            <w:r>
              <w:rPr/>
              <w:t> </w:t>
            </w:r>
          </w:p>
        </w:tc>
      </w:tr>
      <w:tr>
        <w:trPr/>
        <w:tc>
          <w:tcPr>
            <w:tcW w:w="152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2027</w:t>
            </w:r>
          </w:p>
        </w:tc>
        <w:tc>
          <w:tcPr>
            <w:tcW w:w="60" w:type="dxa"/>
            <w:tcBorders/>
            <w:shd w:fill="FFFFFF" w:val="clear"/>
            <w:vAlign w:val="center"/>
          </w:tcPr>
          <w:p>
            <w:pPr>
              <w:pStyle w:val="TableContents"/>
              <w:bidi w:val="0"/>
              <w:spacing w:before="0" w:after="283"/>
              <w:jc w:val="left"/>
              <w:rPr/>
            </w:pPr>
            <w:r>
              <w:rPr/>
              <w:t> </w:t>
            </w:r>
          </w:p>
        </w:tc>
        <w:tc>
          <w:tcPr>
            <w:tcW w:w="243" w:type="dxa"/>
            <w:tcBorders/>
            <w:shd w:fill="FFFFFF" w:val="clear"/>
            <w:vAlign w:val="center"/>
          </w:tcPr>
          <w:p>
            <w:pPr>
              <w:pStyle w:val="TableContents"/>
              <w:bidi w:val="0"/>
              <w:spacing w:before="0" w:after="283"/>
              <w:jc w:val="left"/>
              <w:rPr/>
            </w:pPr>
            <w:r>
              <w:rPr/>
              <w:t> </w:t>
            </w:r>
          </w:p>
        </w:tc>
        <w:tc>
          <w:tcPr>
            <w:tcW w:w="1351" w:type="dxa"/>
            <w:tcBorders/>
            <w:shd w:fill="FFFFFF" w:val="clear"/>
            <w:vAlign w:val="center"/>
          </w:tcPr>
          <w:p>
            <w:pPr>
              <w:pStyle w:val="TableContents"/>
              <w:bidi w:val="0"/>
              <w:spacing w:before="0" w:after="283"/>
              <w:jc w:val="right"/>
              <w:rPr/>
            </w:pPr>
            <w:r>
              <w:rPr/>
              <w:t>—</w:t>
            </w:r>
          </w:p>
        </w:tc>
        <w:tc>
          <w:tcPr>
            <w:tcW w:w="75" w:type="dxa"/>
            <w:tcBorders/>
            <w:shd w:fill="FFFFFF" w:val="clear"/>
            <w:vAlign w:val="center"/>
          </w:tcPr>
          <w:p>
            <w:pPr>
              <w:pStyle w:val="TableContents"/>
              <w:bidi w:val="0"/>
              <w:spacing w:before="0" w:after="283"/>
              <w:jc w:val="left"/>
              <w:rPr/>
            </w:pPr>
            <w:r>
              <w:rPr/>
              <w:t> </w:t>
            </w:r>
          </w:p>
        </w:tc>
      </w:tr>
      <w:tr>
        <w:trPr/>
        <w:tc>
          <w:tcPr>
            <w:tcW w:w="152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2028</w:t>
            </w:r>
          </w:p>
        </w:tc>
        <w:tc>
          <w:tcPr>
            <w:tcW w:w="60" w:type="dxa"/>
            <w:tcBorders/>
            <w:shd w:fill="CCEEFF" w:val="clear"/>
            <w:vAlign w:val="center"/>
          </w:tcPr>
          <w:p>
            <w:pPr>
              <w:pStyle w:val="TableContents"/>
              <w:bidi w:val="0"/>
              <w:spacing w:before="0" w:after="283"/>
              <w:jc w:val="left"/>
              <w:rPr/>
            </w:pPr>
            <w:r>
              <w:rPr/>
              <w:t> </w:t>
            </w:r>
          </w:p>
        </w:tc>
        <w:tc>
          <w:tcPr>
            <w:tcW w:w="243" w:type="dxa"/>
            <w:tcBorders/>
            <w:shd w:fill="CCEEFF" w:val="clear"/>
            <w:vAlign w:val="center"/>
          </w:tcPr>
          <w:p>
            <w:pPr>
              <w:pStyle w:val="TableContents"/>
              <w:bidi w:val="0"/>
              <w:spacing w:before="0" w:after="283"/>
              <w:jc w:val="left"/>
              <w:rPr/>
            </w:pPr>
            <w:r>
              <w:rPr/>
              <w:t> </w:t>
            </w:r>
          </w:p>
        </w:tc>
        <w:tc>
          <w:tcPr>
            <w:tcW w:w="1351" w:type="dxa"/>
            <w:tcBorders/>
            <w:shd w:fill="CCEEFF" w:val="clear"/>
            <w:vAlign w:val="center"/>
          </w:tcPr>
          <w:p>
            <w:pPr>
              <w:pStyle w:val="TableContents"/>
              <w:bidi w:val="0"/>
              <w:spacing w:before="0" w:after="283"/>
              <w:jc w:val="right"/>
              <w:rPr/>
            </w:pPr>
            <w:r>
              <w:rPr/>
              <w:t>—</w:t>
            </w:r>
          </w:p>
        </w:tc>
        <w:tc>
          <w:tcPr>
            <w:tcW w:w="75" w:type="dxa"/>
            <w:tcBorders/>
            <w:shd w:fill="CCEEFF" w:val="clear"/>
            <w:vAlign w:val="center"/>
          </w:tcPr>
          <w:p>
            <w:pPr>
              <w:pStyle w:val="TableContents"/>
              <w:bidi w:val="0"/>
              <w:spacing w:before="0" w:after="283"/>
              <w:jc w:val="left"/>
              <w:rPr/>
            </w:pPr>
            <w:r>
              <w:rPr/>
              <w:t> </w:t>
            </w:r>
          </w:p>
        </w:tc>
      </w:tr>
      <w:tr>
        <w:trPr/>
        <w:tc>
          <w:tcPr>
            <w:tcW w:w="152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2029</w:t>
            </w:r>
          </w:p>
        </w:tc>
        <w:tc>
          <w:tcPr>
            <w:tcW w:w="60" w:type="dxa"/>
            <w:tcBorders/>
            <w:shd w:fill="FFFFFF" w:val="clear"/>
            <w:vAlign w:val="center"/>
          </w:tcPr>
          <w:p>
            <w:pPr>
              <w:pStyle w:val="TableContents"/>
              <w:bidi w:val="0"/>
              <w:spacing w:before="0" w:after="283"/>
              <w:jc w:val="left"/>
              <w:rPr/>
            </w:pPr>
            <w:r>
              <w:rPr/>
              <w:t> </w:t>
            </w:r>
          </w:p>
        </w:tc>
        <w:tc>
          <w:tcPr>
            <w:tcW w:w="243"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351"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143,266</w:t>
            </w:r>
          </w:p>
        </w:tc>
        <w:tc>
          <w:tcPr>
            <w:tcW w:w="75" w:type="dxa"/>
            <w:tcBorders/>
            <w:shd w:fill="FFFFFF" w:val="clear"/>
            <w:vAlign w:val="center"/>
          </w:tcPr>
          <w:p>
            <w:pPr>
              <w:pStyle w:val="TableContents"/>
              <w:bidi w:val="0"/>
              <w:spacing w:before="0" w:after="283"/>
              <w:jc w:val="left"/>
              <w:rPr/>
            </w:pPr>
            <w:r>
              <w:rPr/>
              <w:t> </w:t>
            </w:r>
          </w:p>
        </w:tc>
      </w:tr>
      <w:tr>
        <w:trPr/>
        <w:tc>
          <w:tcPr>
            <w:tcW w:w="152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Total</w:t>
            </w:r>
          </w:p>
        </w:tc>
        <w:tc>
          <w:tcPr>
            <w:tcW w:w="60" w:type="dxa"/>
            <w:tcBorders/>
            <w:shd w:fill="CCEEFF" w:val="clear"/>
            <w:vAlign w:val="center"/>
          </w:tcPr>
          <w:p>
            <w:pPr>
              <w:pStyle w:val="TableContents"/>
              <w:bidi w:val="0"/>
              <w:spacing w:before="0" w:after="283"/>
              <w:jc w:val="left"/>
              <w:rPr/>
            </w:pPr>
            <w:r>
              <w:rPr/>
              <w:t> </w:t>
            </w:r>
          </w:p>
        </w:tc>
        <w:tc>
          <w:tcPr>
            <w:tcW w:w="243"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1351" w:type="dxa"/>
            <w:tcBorders>
              <w:bottom w:val="double" w:sz="10"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164,766</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(11) Other Non-Operating Income, Net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Other non-operating income, net consists of the following </w:t>
      </w:r>
      <w:r>
        <w:rPr>
          <w:rFonts w:ascii="Times New Roman;Times;Serif" w:hAnsi="Times New Roman;Times;Serif"/>
          <w:b w:val="false"/>
          <w:i/>
          <w:caps w:val="false"/>
          <w:smallCaps w:val="false"/>
          <w:sz w:val="20"/>
        </w:rPr>
        <w:t>(in thousands)</w:t>
      </w:r>
      <w:r>
        <w:rPr>
          <w:rFonts w:ascii="Times New Roman;Times;Serif" w:hAnsi="Times New Roman;Times;Serif"/>
          <w:b w:val="false"/>
          <w:i w:val="false"/>
          <w:caps w:val="false"/>
          <w:smallCaps w:val="false"/>
          <w:sz w:val="20"/>
        </w:rPr>
        <w:t>:</w:t>
      </w:r>
    </w:p>
    <w:p>
      <w:pPr>
        <w:pStyle w:val="TextBody"/>
        <w:bidi w:val="0"/>
        <w:spacing w:before="0" w:after="0"/>
        <w:ind w:left="360" w:right="0" w:hanging="0"/>
        <w:jc w:val="both"/>
        <w:rPr>
          <w:caps w:val="false"/>
          <w:smallCaps w:val="false"/>
        </w:rPr>
      </w:pPr>
      <w:r>
        <w:rPr>
          <w:caps w:val="false"/>
          <w:smallCaps w:val="false"/>
        </w:rPr>
        <w:t> </w:t>
      </w:r>
    </w:p>
    <w:tbl>
      <w:tblPr>
        <w:tblW w:w="9578" w:type="dxa"/>
        <w:jc w:val="left"/>
        <w:tblInd w:w="0" w:type="dxa"/>
        <w:tblLayout w:type="fixed"/>
        <w:tblCellMar>
          <w:top w:w="0" w:type="dxa"/>
          <w:left w:w="0" w:type="dxa"/>
          <w:bottom w:w="0" w:type="dxa"/>
          <w:right w:w="0" w:type="dxa"/>
        </w:tblCellMar>
      </w:tblPr>
      <w:tblGrid>
        <w:gridCol w:w="6935"/>
        <w:gridCol w:w="60"/>
        <w:gridCol w:w="204"/>
        <w:gridCol w:w="970"/>
        <w:gridCol w:w="80"/>
        <w:gridCol w:w="60"/>
        <w:gridCol w:w="189"/>
        <w:gridCol w:w="985"/>
        <w:gridCol w:w="95"/>
      </w:tblGrid>
      <w:tr>
        <w:trPr/>
        <w:tc>
          <w:tcPr>
            <w:tcW w:w="693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2488" w:type="dxa"/>
            <w:gridSpan w:val="6"/>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Fiscal Year Ended</w:t>
            </w:r>
          </w:p>
        </w:tc>
        <w:tc>
          <w:tcPr>
            <w:tcW w:w="95" w:type="dxa"/>
            <w:tcBorders/>
            <w:vAlign w:val="center"/>
          </w:tcPr>
          <w:p>
            <w:pPr>
              <w:pStyle w:val="TableContents"/>
              <w:bidi w:val="0"/>
              <w:spacing w:before="0" w:after="283"/>
              <w:jc w:val="left"/>
              <w:rPr/>
            </w:pPr>
            <w:r>
              <w:rPr/>
              <w:t> </w:t>
            </w:r>
          </w:p>
        </w:tc>
      </w:tr>
      <w:tr>
        <w:trPr/>
        <w:tc>
          <w:tcPr>
            <w:tcW w:w="693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174" w:type="dxa"/>
            <w:gridSpan w:val="2"/>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December 28,</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74" w:type="dxa"/>
            <w:gridSpan w:val="2"/>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December 29,</w:t>
            </w:r>
          </w:p>
        </w:tc>
        <w:tc>
          <w:tcPr>
            <w:tcW w:w="95" w:type="dxa"/>
            <w:tcBorders/>
            <w:vAlign w:val="center"/>
          </w:tcPr>
          <w:p>
            <w:pPr>
              <w:pStyle w:val="TableContents"/>
              <w:bidi w:val="0"/>
              <w:spacing w:before="0" w:after="283"/>
              <w:jc w:val="left"/>
              <w:rPr/>
            </w:pPr>
            <w:r>
              <w:rPr/>
              <w:t> </w:t>
            </w:r>
          </w:p>
        </w:tc>
      </w:tr>
      <w:tr>
        <w:trPr/>
        <w:tc>
          <w:tcPr>
            <w:tcW w:w="693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174"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2025</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74"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2024</w:t>
            </w:r>
          </w:p>
        </w:tc>
        <w:tc>
          <w:tcPr>
            <w:tcW w:w="95" w:type="dxa"/>
            <w:tcBorders/>
            <w:vAlign w:val="center"/>
          </w:tcPr>
          <w:p>
            <w:pPr>
              <w:pStyle w:val="TableContents"/>
              <w:bidi w:val="0"/>
              <w:spacing w:before="0" w:after="283"/>
              <w:jc w:val="left"/>
              <w:rPr/>
            </w:pPr>
            <w:r>
              <w:rPr/>
              <w:t> </w:t>
            </w:r>
          </w:p>
        </w:tc>
      </w:tr>
      <w:tr>
        <w:trPr/>
        <w:tc>
          <w:tcPr>
            <w:tcW w:w="693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Change in fair value of derivative liabilities </w:t>
            </w:r>
            <w:r>
              <w:rPr>
                <w:rFonts w:ascii="Times New Roman;Times;Serif" w:hAnsi="Times New Roman;Times;Serif"/>
                <w:position w:val="7"/>
                <w:sz w:val="16"/>
                <w:sz w:val="20"/>
              </w:rPr>
              <w:t>(1)</w:t>
            </w:r>
          </w:p>
        </w:tc>
        <w:tc>
          <w:tcPr>
            <w:tcW w:w="60" w:type="dxa"/>
            <w:tcBorders/>
            <w:shd w:fill="CCEEFF" w:val="clear"/>
            <w:vAlign w:val="center"/>
          </w:tcPr>
          <w:p>
            <w:pPr>
              <w:pStyle w:val="TableContents"/>
              <w:bidi w:val="0"/>
              <w:spacing w:before="0" w:after="283"/>
              <w:jc w:val="left"/>
              <w:rPr/>
            </w:pPr>
            <w:r>
              <w:rPr/>
              <w:t> </w:t>
            </w:r>
          </w:p>
        </w:tc>
        <w:tc>
          <w:tcPr>
            <w:tcW w:w="204"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97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11,490</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9"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98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33,986</w:t>
            </w:r>
          </w:p>
        </w:tc>
        <w:tc>
          <w:tcPr>
            <w:tcW w:w="95" w:type="dxa"/>
            <w:tcBorders/>
            <w:shd w:fill="CCEEFF" w:val="clear"/>
            <w:vAlign w:val="center"/>
          </w:tcPr>
          <w:p>
            <w:pPr>
              <w:pStyle w:val="TableContents"/>
              <w:bidi w:val="0"/>
              <w:spacing w:before="0" w:after="283"/>
              <w:jc w:val="left"/>
              <w:rPr/>
            </w:pPr>
            <w:r>
              <w:rPr/>
              <w:t> </w:t>
            </w:r>
          </w:p>
        </w:tc>
      </w:tr>
      <w:tr>
        <w:trPr/>
        <w:tc>
          <w:tcPr>
            <w:tcW w:w="693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Change in fair value of FACT public, private placement and working capital warrants</w:t>
            </w:r>
          </w:p>
        </w:tc>
        <w:tc>
          <w:tcPr>
            <w:tcW w:w="60" w:type="dxa"/>
            <w:tcBorders/>
            <w:shd w:fill="FFFFFF" w:val="clear"/>
            <w:vAlign w:val="center"/>
          </w:tcPr>
          <w:p>
            <w:pPr>
              <w:pStyle w:val="TableContents"/>
              <w:bidi w:val="0"/>
              <w:spacing w:before="0" w:after="283"/>
              <w:jc w:val="left"/>
              <w:rPr/>
            </w:pPr>
            <w:r>
              <w:rPr/>
              <w:t> </w:t>
            </w:r>
          </w:p>
        </w:tc>
        <w:tc>
          <w:tcPr>
            <w:tcW w:w="204" w:type="dxa"/>
            <w:tcBorders/>
            <w:shd w:fill="FFFFFF" w:val="clear"/>
            <w:vAlign w:val="center"/>
          </w:tcPr>
          <w:p>
            <w:pPr>
              <w:pStyle w:val="TableContents"/>
              <w:bidi w:val="0"/>
              <w:spacing w:before="0" w:after="283"/>
              <w:jc w:val="left"/>
              <w:rPr/>
            </w:pPr>
            <w:r>
              <w:rPr/>
              <w:t> </w:t>
            </w:r>
          </w:p>
        </w:tc>
        <w:tc>
          <w:tcPr>
            <w:tcW w:w="970"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(2,800</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89" w:type="dxa"/>
            <w:tcBorders/>
            <w:shd w:fill="FFFFFF" w:val="clear"/>
            <w:vAlign w:val="center"/>
          </w:tcPr>
          <w:p>
            <w:pPr>
              <w:pStyle w:val="TableContents"/>
              <w:bidi w:val="0"/>
              <w:spacing w:before="0" w:after="283"/>
              <w:jc w:val="left"/>
              <w:rPr/>
            </w:pPr>
            <w:r>
              <w:rPr/>
              <w:t> </w:t>
            </w:r>
          </w:p>
        </w:tc>
        <w:tc>
          <w:tcPr>
            <w:tcW w:w="98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(1,258</w:t>
            </w:r>
          </w:p>
        </w:tc>
        <w:tc>
          <w:tcPr>
            <w:tcW w:w="9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693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Loss on conversion of SAFE agreements to common stock with related party</w:t>
            </w:r>
          </w:p>
        </w:tc>
        <w:tc>
          <w:tcPr>
            <w:tcW w:w="60" w:type="dxa"/>
            <w:tcBorders/>
            <w:shd w:fill="CCEEFF" w:val="clear"/>
            <w:vAlign w:val="center"/>
          </w:tcPr>
          <w:p>
            <w:pPr>
              <w:pStyle w:val="TableContents"/>
              <w:bidi w:val="0"/>
              <w:spacing w:before="0" w:after="283"/>
              <w:jc w:val="left"/>
              <w:rPr/>
            </w:pPr>
            <w:r>
              <w:rPr/>
              <w:t> </w:t>
            </w:r>
          </w:p>
        </w:tc>
        <w:tc>
          <w:tcPr>
            <w:tcW w:w="204" w:type="dxa"/>
            <w:tcBorders/>
            <w:shd w:fill="CCEEFF" w:val="clear"/>
            <w:vAlign w:val="center"/>
          </w:tcPr>
          <w:p>
            <w:pPr>
              <w:pStyle w:val="TableContents"/>
              <w:bidi w:val="0"/>
              <w:spacing w:before="0" w:after="283"/>
              <w:jc w:val="left"/>
              <w:rPr/>
            </w:pPr>
            <w:r>
              <w:rPr/>
              <w:t> </w:t>
            </w:r>
          </w:p>
        </w:tc>
        <w:tc>
          <w:tcPr>
            <w:tcW w:w="970" w:type="dxa"/>
            <w:tcBorders/>
            <w:shd w:fill="CCEEFF" w:val="clear"/>
            <w:vAlign w:val="center"/>
          </w:tcPr>
          <w:p>
            <w:pPr>
              <w:pStyle w:val="TableContents"/>
              <w:bidi w:val="0"/>
              <w:spacing w:before="0" w:after="283"/>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9" w:type="dxa"/>
            <w:tcBorders/>
            <w:shd w:fill="CCEEFF" w:val="clear"/>
            <w:vAlign w:val="center"/>
          </w:tcPr>
          <w:p>
            <w:pPr>
              <w:pStyle w:val="TableContents"/>
              <w:bidi w:val="0"/>
              <w:spacing w:before="0" w:after="283"/>
              <w:jc w:val="left"/>
              <w:rPr/>
            </w:pPr>
            <w:r>
              <w:rPr/>
              <w:t> </w:t>
            </w:r>
          </w:p>
        </w:tc>
        <w:tc>
          <w:tcPr>
            <w:tcW w:w="98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(1,250</w:t>
            </w:r>
          </w:p>
        </w:tc>
        <w:tc>
          <w:tcPr>
            <w:tcW w:w="9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693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Change in fair value of SAFE Agreement with related party</w:t>
            </w:r>
          </w:p>
        </w:tc>
        <w:tc>
          <w:tcPr>
            <w:tcW w:w="60" w:type="dxa"/>
            <w:tcBorders/>
            <w:shd w:fill="FFFFFF" w:val="clear"/>
            <w:vAlign w:val="center"/>
          </w:tcPr>
          <w:p>
            <w:pPr>
              <w:pStyle w:val="TableContents"/>
              <w:bidi w:val="0"/>
              <w:spacing w:before="0" w:after="283"/>
              <w:jc w:val="left"/>
              <w:rPr/>
            </w:pPr>
            <w:r>
              <w:rPr/>
              <w:t> </w:t>
            </w:r>
          </w:p>
        </w:tc>
        <w:tc>
          <w:tcPr>
            <w:tcW w:w="204" w:type="dxa"/>
            <w:tcBorders/>
            <w:shd w:fill="FFFFFF" w:val="clear"/>
            <w:vAlign w:val="center"/>
          </w:tcPr>
          <w:p>
            <w:pPr>
              <w:pStyle w:val="TableContents"/>
              <w:bidi w:val="0"/>
              <w:spacing w:before="0" w:after="283"/>
              <w:jc w:val="left"/>
              <w:rPr/>
            </w:pPr>
            <w:r>
              <w:rPr/>
              <w:t> </w:t>
            </w:r>
          </w:p>
        </w:tc>
        <w:tc>
          <w:tcPr>
            <w:tcW w:w="970"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(151</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89" w:type="dxa"/>
            <w:tcBorders/>
            <w:shd w:fill="FFFFFF" w:val="clear"/>
            <w:vAlign w:val="center"/>
          </w:tcPr>
          <w:p>
            <w:pPr>
              <w:pStyle w:val="TableContents"/>
              <w:bidi w:val="0"/>
              <w:spacing w:before="0" w:after="283"/>
              <w:jc w:val="left"/>
              <w:rPr/>
            </w:pPr>
            <w:r>
              <w:rPr/>
              <w:t> </w:t>
            </w:r>
          </w:p>
        </w:tc>
        <w:tc>
          <w:tcPr>
            <w:tcW w:w="98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616</w:t>
            </w:r>
          </w:p>
        </w:tc>
        <w:tc>
          <w:tcPr>
            <w:tcW w:w="95" w:type="dxa"/>
            <w:tcBorders/>
            <w:shd w:fill="FFFFFF" w:val="clear"/>
            <w:vAlign w:val="center"/>
          </w:tcPr>
          <w:p>
            <w:pPr>
              <w:pStyle w:val="TableContents"/>
              <w:bidi w:val="0"/>
              <w:spacing w:before="0" w:after="283"/>
              <w:jc w:val="left"/>
              <w:rPr/>
            </w:pPr>
            <w:r>
              <w:rPr/>
              <w:t> </w:t>
            </w:r>
          </w:p>
        </w:tc>
      </w:tr>
      <w:tr>
        <w:trPr/>
        <w:tc>
          <w:tcPr>
            <w:tcW w:w="693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Change in fair value of forward purchase agreement liabilities </w:t>
            </w:r>
            <w:r>
              <w:rPr>
                <w:rFonts w:ascii="Times New Roman;Times;Serif" w:hAnsi="Times New Roman;Times;Serif"/>
                <w:position w:val="7"/>
                <w:sz w:val="16"/>
                <w:sz w:val="20"/>
              </w:rPr>
              <w:t>(2)</w:t>
            </w:r>
          </w:p>
        </w:tc>
        <w:tc>
          <w:tcPr>
            <w:tcW w:w="60" w:type="dxa"/>
            <w:tcBorders/>
            <w:shd w:fill="CCEEFF" w:val="clear"/>
            <w:vAlign w:val="center"/>
          </w:tcPr>
          <w:p>
            <w:pPr>
              <w:pStyle w:val="TableContents"/>
              <w:bidi w:val="0"/>
              <w:spacing w:before="0" w:after="283"/>
              <w:jc w:val="left"/>
              <w:rPr/>
            </w:pPr>
            <w:r>
              <w:rPr/>
              <w:t> </w:t>
            </w:r>
          </w:p>
        </w:tc>
        <w:tc>
          <w:tcPr>
            <w:tcW w:w="204" w:type="dxa"/>
            <w:tcBorders/>
            <w:shd w:fill="CCEEFF" w:val="clear"/>
            <w:vAlign w:val="center"/>
          </w:tcPr>
          <w:p>
            <w:pPr>
              <w:pStyle w:val="TableContents"/>
              <w:bidi w:val="0"/>
              <w:spacing w:before="0" w:after="283"/>
              <w:jc w:val="left"/>
              <w:rPr/>
            </w:pPr>
            <w:r>
              <w:rPr/>
              <w:t> </w:t>
            </w:r>
          </w:p>
        </w:tc>
        <w:tc>
          <w:tcPr>
            <w:tcW w:w="97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(471</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89" w:type="dxa"/>
            <w:tcBorders/>
            <w:shd w:fill="CCEEFF" w:val="clear"/>
            <w:vAlign w:val="center"/>
          </w:tcPr>
          <w:p>
            <w:pPr>
              <w:pStyle w:val="TableContents"/>
              <w:bidi w:val="0"/>
              <w:spacing w:before="0" w:after="283"/>
              <w:jc w:val="left"/>
              <w:rPr/>
            </w:pPr>
            <w:r>
              <w:rPr/>
              <w:t> </w:t>
            </w:r>
          </w:p>
        </w:tc>
        <w:tc>
          <w:tcPr>
            <w:tcW w:w="98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337</w:t>
            </w:r>
          </w:p>
        </w:tc>
        <w:tc>
          <w:tcPr>
            <w:tcW w:w="95" w:type="dxa"/>
            <w:tcBorders/>
            <w:shd w:fill="CCEEFF" w:val="clear"/>
            <w:vAlign w:val="center"/>
          </w:tcPr>
          <w:p>
            <w:pPr>
              <w:pStyle w:val="TableContents"/>
              <w:bidi w:val="0"/>
              <w:spacing w:before="0" w:after="283"/>
              <w:jc w:val="left"/>
              <w:rPr/>
            </w:pPr>
            <w:r>
              <w:rPr/>
              <w:t> </w:t>
            </w:r>
          </w:p>
        </w:tc>
      </w:tr>
      <w:tr>
        <w:trPr/>
        <w:tc>
          <w:tcPr>
            <w:tcW w:w="693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Loss on issuance of derivative liabilities </w:t>
            </w:r>
            <w:r>
              <w:rPr>
                <w:rFonts w:ascii="Times New Roman;Times;Serif" w:hAnsi="Times New Roman;Times;Serif"/>
                <w:position w:val="7"/>
                <w:sz w:val="16"/>
                <w:sz w:val="20"/>
              </w:rPr>
              <w:t>(3)</w:t>
            </w:r>
          </w:p>
        </w:tc>
        <w:tc>
          <w:tcPr>
            <w:tcW w:w="60" w:type="dxa"/>
            <w:tcBorders/>
            <w:shd w:fill="FFFFFF" w:val="clear"/>
            <w:vAlign w:val="center"/>
          </w:tcPr>
          <w:p>
            <w:pPr>
              <w:pStyle w:val="TableContents"/>
              <w:bidi w:val="0"/>
              <w:spacing w:before="0" w:after="283"/>
              <w:jc w:val="left"/>
              <w:rPr/>
            </w:pPr>
            <w:r>
              <w:rPr/>
              <w:t> </w:t>
            </w:r>
          </w:p>
        </w:tc>
        <w:tc>
          <w:tcPr>
            <w:tcW w:w="204" w:type="dxa"/>
            <w:tcBorders/>
            <w:shd w:fill="FFFFFF" w:val="clear"/>
            <w:vAlign w:val="center"/>
          </w:tcPr>
          <w:p>
            <w:pPr>
              <w:pStyle w:val="TableContents"/>
              <w:bidi w:val="0"/>
              <w:spacing w:before="0" w:after="283"/>
              <w:jc w:val="left"/>
              <w:rPr/>
            </w:pPr>
            <w:r>
              <w:rPr/>
              <w:t> </w:t>
            </w:r>
          </w:p>
        </w:tc>
        <w:tc>
          <w:tcPr>
            <w:tcW w:w="970" w:type="dxa"/>
            <w:tcBorders/>
            <w:shd w:fill="FFFFFF" w:val="clear"/>
            <w:vAlign w:val="center"/>
          </w:tcPr>
          <w:p>
            <w:pPr>
              <w:pStyle w:val="TableContents"/>
              <w:bidi w:val="0"/>
              <w:spacing w:before="0" w:after="283"/>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9" w:type="dxa"/>
            <w:tcBorders/>
            <w:shd w:fill="FFFFFF" w:val="clear"/>
            <w:vAlign w:val="center"/>
          </w:tcPr>
          <w:p>
            <w:pPr>
              <w:pStyle w:val="TableContents"/>
              <w:bidi w:val="0"/>
              <w:spacing w:before="0" w:after="283"/>
              <w:jc w:val="left"/>
              <w:rPr/>
            </w:pPr>
            <w:r>
              <w:rPr/>
              <w:t> </w:t>
            </w:r>
          </w:p>
        </w:tc>
        <w:tc>
          <w:tcPr>
            <w:tcW w:w="98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(24,688</w:t>
            </w:r>
          </w:p>
        </w:tc>
        <w:tc>
          <w:tcPr>
            <w:tcW w:w="9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693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Change in fair value of Carlyle Warrants with related party</w:t>
            </w:r>
          </w:p>
        </w:tc>
        <w:tc>
          <w:tcPr>
            <w:tcW w:w="60" w:type="dxa"/>
            <w:tcBorders/>
            <w:shd w:fill="CCEEFF" w:val="clear"/>
            <w:vAlign w:val="center"/>
          </w:tcPr>
          <w:p>
            <w:pPr>
              <w:pStyle w:val="TableContents"/>
              <w:bidi w:val="0"/>
              <w:spacing w:before="0" w:after="283"/>
              <w:jc w:val="left"/>
              <w:rPr/>
            </w:pPr>
            <w:r>
              <w:rPr/>
              <w:t> </w:t>
            </w:r>
          </w:p>
        </w:tc>
        <w:tc>
          <w:tcPr>
            <w:tcW w:w="204" w:type="dxa"/>
            <w:tcBorders/>
            <w:shd w:fill="CCEEFF" w:val="clear"/>
            <w:vAlign w:val="center"/>
          </w:tcPr>
          <w:p>
            <w:pPr>
              <w:pStyle w:val="TableContents"/>
              <w:bidi w:val="0"/>
              <w:spacing w:before="0" w:after="283"/>
              <w:jc w:val="left"/>
              <w:rPr/>
            </w:pPr>
            <w:r>
              <w:rPr/>
              <w:t> </w:t>
            </w:r>
          </w:p>
        </w:tc>
        <w:tc>
          <w:tcPr>
            <w:tcW w:w="970" w:type="dxa"/>
            <w:tcBorders/>
            <w:shd w:fill="CCEEFF" w:val="clear"/>
            <w:vAlign w:val="center"/>
          </w:tcPr>
          <w:p>
            <w:pPr>
              <w:pStyle w:val="TableContents"/>
              <w:bidi w:val="0"/>
              <w:spacing w:before="0" w:after="283"/>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9" w:type="dxa"/>
            <w:tcBorders/>
            <w:shd w:fill="CCEEFF" w:val="clear"/>
            <w:vAlign w:val="center"/>
          </w:tcPr>
          <w:p>
            <w:pPr>
              <w:pStyle w:val="TableContents"/>
              <w:bidi w:val="0"/>
              <w:spacing w:before="0" w:after="283"/>
              <w:jc w:val="left"/>
              <w:rPr/>
            </w:pPr>
            <w:r>
              <w:rPr/>
              <w:t> </w:t>
            </w:r>
          </w:p>
        </w:tc>
        <w:tc>
          <w:tcPr>
            <w:tcW w:w="98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2,869</w:t>
            </w:r>
          </w:p>
        </w:tc>
        <w:tc>
          <w:tcPr>
            <w:tcW w:w="95" w:type="dxa"/>
            <w:tcBorders/>
            <w:shd w:fill="CCEEFF" w:val="clear"/>
            <w:vAlign w:val="center"/>
          </w:tcPr>
          <w:p>
            <w:pPr>
              <w:pStyle w:val="TableContents"/>
              <w:bidi w:val="0"/>
              <w:spacing w:before="0" w:after="283"/>
              <w:jc w:val="left"/>
              <w:rPr/>
            </w:pPr>
            <w:r>
              <w:rPr/>
              <w:t> </w:t>
            </w:r>
          </w:p>
        </w:tc>
      </w:tr>
      <w:tr>
        <w:trPr/>
        <w:tc>
          <w:tcPr>
            <w:tcW w:w="693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Change in fair value of redeemable convertible preferred stock warrant liability</w:t>
            </w:r>
          </w:p>
        </w:tc>
        <w:tc>
          <w:tcPr>
            <w:tcW w:w="60" w:type="dxa"/>
            <w:tcBorders/>
            <w:shd w:fill="FFFFFF" w:val="clear"/>
            <w:vAlign w:val="center"/>
          </w:tcPr>
          <w:p>
            <w:pPr>
              <w:pStyle w:val="TableContents"/>
              <w:bidi w:val="0"/>
              <w:spacing w:before="0" w:after="283"/>
              <w:jc w:val="left"/>
              <w:rPr/>
            </w:pPr>
            <w:r>
              <w:rPr/>
              <w:t> </w:t>
            </w:r>
          </w:p>
        </w:tc>
        <w:tc>
          <w:tcPr>
            <w:tcW w:w="204" w:type="dxa"/>
            <w:tcBorders/>
            <w:shd w:fill="FFFFFF" w:val="clear"/>
            <w:vAlign w:val="center"/>
          </w:tcPr>
          <w:p>
            <w:pPr>
              <w:pStyle w:val="TableContents"/>
              <w:bidi w:val="0"/>
              <w:spacing w:before="0" w:after="283"/>
              <w:jc w:val="left"/>
              <w:rPr/>
            </w:pPr>
            <w:r>
              <w:rPr/>
              <w:t> </w:t>
            </w:r>
          </w:p>
        </w:tc>
        <w:tc>
          <w:tcPr>
            <w:tcW w:w="970" w:type="dxa"/>
            <w:tcBorders/>
            <w:shd w:fill="FFFFFF" w:val="clear"/>
            <w:vAlign w:val="center"/>
          </w:tcPr>
          <w:p>
            <w:pPr>
              <w:pStyle w:val="TableContents"/>
              <w:bidi w:val="0"/>
              <w:spacing w:before="0" w:after="283"/>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9" w:type="dxa"/>
            <w:tcBorders/>
            <w:shd w:fill="FFFFFF" w:val="clear"/>
            <w:vAlign w:val="center"/>
          </w:tcPr>
          <w:p>
            <w:pPr>
              <w:pStyle w:val="TableContents"/>
              <w:bidi w:val="0"/>
              <w:spacing w:before="0" w:after="283"/>
              <w:jc w:val="left"/>
              <w:rPr/>
            </w:pPr>
            <w:r>
              <w:rPr/>
              <w:t> </w:t>
            </w:r>
          </w:p>
        </w:tc>
        <w:tc>
          <w:tcPr>
            <w:tcW w:w="98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1,310</w:t>
            </w:r>
          </w:p>
        </w:tc>
        <w:tc>
          <w:tcPr>
            <w:tcW w:w="95" w:type="dxa"/>
            <w:tcBorders/>
            <w:shd w:fill="FFFFFF" w:val="clear"/>
            <w:vAlign w:val="center"/>
          </w:tcPr>
          <w:p>
            <w:pPr>
              <w:pStyle w:val="TableContents"/>
              <w:bidi w:val="0"/>
              <w:spacing w:before="0" w:after="283"/>
              <w:jc w:val="left"/>
              <w:rPr/>
            </w:pPr>
            <w:r>
              <w:rPr/>
              <w:t> </w:t>
            </w:r>
          </w:p>
        </w:tc>
      </w:tr>
      <w:tr>
        <w:trPr/>
        <w:tc>
          <w:tcPr>
            <w:tcW w:w="693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Other financing costs</w:t>
            </w:r>
          </w:p>
        </w:tc>
        <w:tc>
          <w:tcPr>
            <w:tcW w:w="60" w:type="dxa"/>
            <w:tcBorders/>
            <w:shd w:fill="CCEEFF" w:val="clear"/>
            <w:vAlign w:val="center"/>
          </w:tcPr>
          <w:p>
            <w:pPr>
              <w:pStyle w:val="TableContents"/>
              <w:bidi w:val="0"/>
              <w:spacing w:before="0" w:after="283"/>
              <w:jc w:val="left"/>
              <w:rPr/>
            </w:pPr>
            <w:r>
              <w:rPr/>
              <w:t> </w:t>
            </w:r>
          </w:p>
        </w:tc>
        <w:tc>
          <w:tcPr>
            <w:tcW w:w="204" w:type="dxa"/>
            <w:tcBorders/>
            <w:shd w:fill="CCEEFF" w:val="clear"/>
            <w:vAlign w:val="center"/>
          </w:tcPr>
          <w:p>
            <w:pPr>
              <w:pStyle w:val="TableContents"/>
              <w:bidi w:val="0"/>
              <w:spacing w:before="0" w:after="283"/>
              <w:jc w:val="left"/>
              <w:rPr/>
            </w:pPr>
            <w:r>
              <w:rPr/>
              <w:t> </w:t>
            </w:r>
          </w:p>
        </w:tc>
        <w:tc>
          <w:tcPr>
            <w:tcW w:w="970" w:type="dxa"/>
            <w:tcBorders/>
            <w:shd w:fill="CCEEFF" w:val="clear"/>
            <w:vAlign w:val="center"/>
          </w:tcPr>
          <w:p>
            <w:pPr>
              <w:pStyle w:val="TableContents"/>
              <w:bidi w:val="0"/>
              <w:spacing w:before="0" w:after="283"/>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9" w:type="dxa"/>
            <w:tcBorders/>
            <w:shd w:fill="CCEEFF" w:val="clear"/>
            <w:vAlign w:val="center"/>
          </w:tcPr>
          <w:p>
            <w:pPr>
              <w:pStyle w:val="TableContents"/>
              <w:bidi w:val="0"/>
              <w:spacing w:before="0" w:after="283"/>
              <w:jc w:val="left"/>
              <w:rPr/>
            </w:pPr>
            <w:r>
              <w:rPr/>
              <w:t> </w:t>
            </w:r>
          </w:p>
        </w:tc>
        <w:tc>
          <w:tcPr>
            <w:tcW w:w="98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(3,769</w:t>
            </w:r>
          </w:p>
        </w:tc>
        <w:tc>
          <w:tcPr>
            <w:tcW w:w="9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693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Other, net </w:t>
            </w:r>
            <w:r>
              <w:rPr>
                <w:rFonts w:ascii="Times New Roman;Times;Serif" w:hAnsi="Times New Roman;Times;Serif"/>
                <w:position w:val="7"/>
                <w:sz w:val="16"/>
                <w:sz w:val="20"/>
              </w:rPr>
              <w:t>(4)</w:t>
            </w:r>
          </w:p>
        </w:tc>
        <w:tc>
          <w:tcPr>
            <w:tcW w:w="60" w:type="dxa"/>
            <w:tcBorders/>
            <w:shd w:fill="FFFFFF" w:val="clear"/>
            <w:vAlign w:val="center"/>
          </w:tcPr>
          <w:p>
            <w:pPr>
              <w:pStyle w:val="TableContents"/>
              <w:bidi w:val="0"/>
              <w:spacing w:before="0" w:after="283"/>
              <w:jc w:val="left"/>
              <w:rPr/>
            </w:pPr>
            <w:r>
              <w:rPr/>
              <w:t> </w:t>
            </w:r>
          </w:p>
        </w:tc>
        <w:tc>
          <w:tcPr>
            <w:tcW w:w="204"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970"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1,279</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9"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985"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(221</w:t>
            </w:r>
          </w:p>
        </w:tc>
        <w:tc>
          <w:tcPr>
            <w:tcW w:w="9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693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Total Other non-operating income, net</w:t>
            </w:r>
          </w:p>
        </w:tc>
        <w:tc>
          <w:tcPr>
            <w:tcW w:w="60" w:type="dxa"/>
            <w:tcBorders/>
            <w:shd w:fill="CCEEFF" w:val="clear"/>
            <w:vAlign w:val="center"/>
          </w:tcPr>
          <w:p>
            <w:pPr>
              <w:pStyle w:val="TableContents"/>
              <w:bidi w:val="0"/>
              <w:spacing w:before="0" w:after="283"/>
              <w:jc w:val="left"/>
              <w:rPr/>
            </w:pPr>
            <w:r>
              <w:rPr/>
              <w:t> </w:t>
            </w:r>
          </w:p>
        </w:tc>
        <w:tc>
          <w:tcPr>
            <w:tcW w:w="204" w:type="dxa"/>
            <w:tcBorders>
              <w:bottom w:val="double" w:sz="10"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970" w:type="dxa"/>
            <w:tcBorders>
              <w:bottom w:val="double" w:sz="10"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9,347</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9" w:type="dxa"/>
            <w:tcBorders>
              <w:bottom w:val="double" w:sz="10"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985" w:type="dxa"/>
            <w:tcBorders>
              <w:bottom w:val="double" w:sz="10"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7,932</w:t>
            </w:r>
          </w:p>
        </w:tc>
        <w:tc>
          <w:tcPr>
            <w:tcW w:w="9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36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24"/>
        <w:gridCol w:w="9981"/>
      </w:tblGrid>
      <w:tr>
        <w:trPr/>
        <w:tc>
          <w:tcPr>
            <w:tcW w:w="22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w:t>
            </w:r>
          </w:p>
        </w:tc>
        <w:tc>
          <w:tcPr>
            <w:tcW w:w="9981"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 xml:space="preserve">Includes a gain of $3.5 million and $0.3 million on the change in the fair value of derivative liabilities with related parties in the fiscal years ended December 28, 2025 and December 29, 2024, respectively. Refer to </w:t>
            </w:r>
            <w:r>
              <w:rPr>
                <w:rFonts w:ascii="Times New Roman;Times;Serif" w:hAnsi="Times New Roman;Times;Serif"/>
                <w:b/>
                <w:sz w:val="20"/>
              </w:rPr>
              <w:t>Note 10 – Borrowings and Derivative Liabilities</w:t>
            </w:r>
            <w:r>
              <w:rPr>
                <w:rFonts w:ascii="Times New Roman;Times;Serif" w:hAnsi="Times New Roman;Times;Serif"/>
                <w:sz w:val="20"/>
              </w:rPr>
              <w:t xml:space="preserve"> for details.</w:t>
            </w:r>
          </w:p>
        </w:tc>
      </w:tr>
    </w:tbl>
    <w:p>
      <w:pPr>
        <w:pStyle w:val="TextBody"/>
        <w:bidi w:val="0"/>
        <w:spacing w:before="0" w:after="0"/>
        <w:ind w:left="0" w:right="0" w:hanging="0"/>
        <w:jc w:val="both"/>
        <w:rPr>
          <w:caps w:val="false"/>
          <w:smallCaps w:val="false"/>
        </w:rPr>
      </w:pPr>
      <w:r>
        <w:rPr>
          <w:caps w:val="false"/>
          <w:smallCaps w:val="false"/>
        </w:rPr>
        <w:t> </w:t>
      </w:r>
    </w:p>
    <w:tbl>
      <w:tblPr>
        <w:tblW w:w="9730" w:type="dxa"/>
        <w:jc w:val="left"/>
        <w:tblInd w:w="0" w:type="dxa"/>
        <w:tblLayout w:type="fixed"/>
        <w:tblCellMar>
          <w:top w:w="0" w:type="dxa"/>
          <w:left w:w="0" w:type="dxa"/>
          <w:bottom w:w="0" w:type="dxa"/>
          <w:right w:w="0" w:type="dxa"/>
        </w:tblCellMar>
      </w:tblPr>
      <w:tblGrid>
        <w:gridCol w:w="260"/>
        <w:gridCol w:w="9470"/>
      </w:tblGrid>
      <w:tr>
        <w:trPr/>
        <w:tc>
          <w:tcPr>
            <w:tcW w:w="2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w:t>
            </w:r>
          </w:p>
        </w:tc>
        <w:tc>
          <w:tcPr>
            <w:tcW w:w="947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Includes related party income of $0.1 million in each of the years ended December 28, 2025 and December 29, 2024.</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34"/>
        <w:gridCol w:w="9971"/>
      </w:tblGrid>
      <w:tr>
        <w:trPr/>
        <w:tc>
          <w:tcPr>
            <w:tcW w:w="23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(3)</w:t>
            </w:r>
          </w:p>
        </w:tc>
        <w:tc>
          <w:tcPr>
            <w:tcW w:w="9971"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 xml:space="preserve">Includes a loss of $3.0 million on the issuance of a derivative liability with a related party in the fiscal year ended December 29, 2024. Refer to </w:t>
            </w:r>
            <w:r>
              <w:rPr>
                <w:rFonts w:ascii="Times New Roman;Times;Serif" w:hAnsi="Times New Roman;Times;Serif"/>
                <w:b/>
                <w:sz w:val="20"/>
              </w:rPr>
              <w:t>Note 10 – Borrowings and Derivative Liabilities</w:t>
            </w:r>
            <w:r>
              <w:rPr>
                <w:rFonts w:ascii="Times New Roman;Times;Serif" w:hAnsi="Times New Roman;Times;Serif"/>
                <w:sz w:val="20"/>
              </w:rPr>
              <w:t xml:space="preserve"> for details.</w:t>
            </w:r>
          </w:p>
        </w:tc>
      </w:tr>
    </w:tbl>
    <w:p>
      <w:pPr>
        <w:pStyle w:val="TextBody"/>
        <w:bidi w:val="0"/>
        <w:spacing w:before="0" w:after="0"/>
        <w:ind w:left="0" w:right="0" w:hanging="0"/>
        <w:jc w:val="both"/>
        <w:rPr>
          <w:caps w:val="false"/>
          <w:smallCaps w:val="false"/>
        </w:rPr>
      </w:pPr>
      <w:r>
        <w:rPr>
          <w:caps w:val="false"/>
          <w:smallCaps w:val="false"/>
        </w:rPr>
        <w:t> </w:t>
      </w:r>
    </w:p>
    <w:tbl>
      <w:tblPr>
        <w:tblW w:w="8725" w:type="dxa"/>
        <w:jc w:val="left"/>
        <w:tblInd w:w="0" w:type="dxa"/>
        <w:tblLayout w:type="fixed"/>
        <w:tblCellMar>
          <w:top w:w="0" w:type="dxa"/>
          <w:left w:w="0" w:type="dxa"/>
          <w:bottom w:w="0" w:type="dxa"/>
          <w:right w:w="0" w:type="dxa"/>
        </w:tblCellMar>
      </w:tblPr>
      <w:tblGrid>
        <w:gridCol w:w="260"/>
        <w:gridCol w:w="8465"/>
      </w:tblGrid>
      <w:tr>
        <w:trPr/>
        <w:tc>
          <w:tcPr>
            <w:tcW w:w="2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(4)</w:t>
            </w:r>
          </w:p>
        </w:tc>
        <w:tc>
          <w:tcPr>
            <w:tcW w:w="846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Includes non-cash income with related party of $0.1 million in the fiscal year ended December 28, 2025.</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sz w:val="20"/>
          <w:bdr w:val="single" w:sz="12" w:space="1" w:color="000000"/>
        </w:rPr>
      </w:pPr>
      <w:r>
        <w:rPr>
          <w:sz w:val="20"/>
          <w:bdr w:val="single" w:sz="12" w:space="1" w:color="000000"/>
        </w:rPr>
        <w:t>F-93</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(12) Commitments and Contingencies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Leases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leases its facilities under non-cancelable operating lease agreements. The Company leases vehicles under finance lease agreements. Operating and financing lease activity was as follows (dollars in thousands):</w:t>
      </w:r>
    </w:p>
    <w:p>
      <w:pPr>
        <w:pStyle w:val="TextBody"/>
        <w:bidi w:val="0"/>
        <w:spacing w:before="0" w:after="0"/>
        <w:ind w:left="0" w:right="0" w:hanging="0"/>
        <w:jc w:val="both"/>
        <w:rPr>
          <w:caps w:val="false"/>
          <w:smallCaps w:val="false"/>
        </w:rPr>
      </w:pPr>
      <w:r>
        <w:rPr>
          <w:caps w:val="false"/>
          <w:smallCaps w:val="false"/>
        </w:rPr>
        <w:t> </w:t>
      </w:r>
    </w:p>
    <w:tbl>
      <w:tblPr>
        <w:tblW w:w="8591" w:type="dxa"/>
        <w:jc w:val="left"/>
        <w:tblInd w:w="0" w:type="dxa"/>
        <w:tblLayout w:type="fixed"/>
        <w:tblCellMar>
          <w:top w:w="0" w:type="dxa"/>
          <w:left w:w="0" w:type="dxa"/>
          <w:bottom w:w="0" w:type="dxa"/>
          <w:right w:w="0" w:type="dxa"/>
        </w:tblCellMar>
      </w:tblPr>
      <w:tblGrid>
        <w:gridCol w:w="5720"/>
        <w:gridCol w:w="60"/>
        <w:gridCol w:w="240"/>
        <w:gridCol w:w="934"/>
        <w:gridCol w:w="199"/>
        <w:gridCol w:w="64"/>
        <w:gridCol w:w="240"/>
        <w:gridCol w:w="934"/>
        <w:gridCol w:w="200"/>
      </w:tblGrid>
      <w:tr>
        <w:trPr/>
        <w:tc>
          <w:tcPr>
            <w:tcW w:w="57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11" w:type="dxa"/>
            <w:gridSpan w:val="6"/>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Fiscal Year Ended</w:t>
            </w:r>
          </w:p>
        </w:tc>
        <w:tc>
          <w:tcPr>
            <w:tcW w:w="200" w:type="dxa"/>
            <w:tcBorders/>
            <w:vAlign w:val="center"/>
          </w:tcPr>
          <w:p>
            <w:pPr>
              <w:pStyle w:val="TableContents"/>
              <w:bidi w:val="0"/>
              <w:spacing w:before="0" w:after="283"/>
              <w:jc w:val="left"/>
              <w:rPr/>
            </w:pPr>
            <w:r>
              <w:rPr/>
              <w:t> </w:t>
            </w:r>
          </w:p>
        </w:tc>
      </w:tr>
      <w:tr>
        <w:trPr/>
        <w:tc>
          <w:tcPr>
            <w:tcW w:w="57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74" w:type="dxa"/>
            <w:gridSpan w:val="2"/>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December 28,</w:t>
            </w:r>
          </w:p>
        </w:tc>
        <w:tc>
          <w:tcPr>
            <w:tcW w:w="199" w:type="dxa"/>
            <w:tcBorders/>
            <w:vAlign w:val="center"/>
          </w:tcPr>
          <w:p>
            <w:pPr>
              <w:pStyle w:val="TableContents"/>
              <w:bidi w:val="0"/>
              <w:spacing w:before="0" w:after="283"/>
              <w:jc w:val="left"/>
              <w:rPr/>
            </w:pPr>
            <w:r>
              <w:rPr/>
              <w:t> </w:t>
            </w:r>
          </w:p>
        </w:tc>
        <w:tc>
          <w:tcPr>
            <w:tcW w:w="64" w:type="dxa"/>
            <w:tcBorders/>
            <w:vAlign w:val="center"/>
          </w:tcPr>
          <w:p>
            <w:pPr>
              <w:pStyle w:val="TableContents"/>
              <w:bidi w:val="0"/>
              <w:spacing w:before="0" w:after="283"/>
              <w:jc w:val="left"/>
              <w:rPr/>
            </w:pPr>
            <w:r>
              <w:rPr/>
              <w:t> </w:t>
            </w:r>
          </w:p>
        </w:tc>
        <w:tc>
          <w:tcPr>
            <w:tcW w:w="1174" w:type="dxa"/>
            <w:gridSpan w:val="2"/>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December 29,</w:t>
            </w:r>
          </w:p>
        </w:tc>
        <w:tc>
          <w:tcPr>
            <w:tcW w:w="200" w:type="dxa"/>
            <w:tcBorders/>
            <w:vAlign w:val="center"/>
          </w:tcPr>
          <w:p>
            <w:pPr>
              <w:pStyle w:val="TableContents"/>
              <w:bidi w:val="0"/>
              <w:spacing w:before="0" w:after="283"/>
              <w:jc w:val="left"/>
              <w:rPr/>
            </w:pPr>
            <w:r>
              <w:rPr/>
              <w:t> </w:t>
            </w:r>
          </w:p>
        </w:tc>
      </w:tr>
      <w:tr>
        <w:trPr/>
        <w:tc>
          <w:tcPr>
            <w:tcW w:w="57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74"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2025</w:t>
            </w:r>
          </w:p>
        </w:tc>
        <w:tc>
          <w:tcPr>
            <w:tcW w:w="199" w:type="dxa"/>
            <w:tcBorders/>
            <w:vAlign w:val="center"/>
          </w:tcPr>
          <w:p>
            <w:pPr>
              <w:pStyle w:val="TableContents"/>
              <w:bidi w:val="0"/>
              <w:spacing w:before="0" w:after="283"/>
              <w:jc w:val="left"/>
              <w:rPr/>
            </w:pPr>
            <w:r>
              <w:rPr/>
              <w:t> </w:t>
            </w:r>
          </w:p>
        </w:tc>
        <w:tc>
          <w:tcPr>
            <w:tcW w:w="64" w:type="dxa"/>
            <w:tcBorders/>
            <w:vAlign w:val="center"/>
          </w:tcPr>
          <w:p>
            <w:pPr>
              <w:pStyle w:val="TableContents"/>
              <w:bidi w:val="0"/>
              <w:spacing w:before="0" w:after="283"/>
              <w:jc w:val="left"/>
              <w:rPr/>
            </w:pPr>
            <w:r>
              <w:rPr/>
              <w:t> </w:t>
            </w:r>
          </w:p>
        </w:tc>
        <w:tc>
          <w:tcPr>
            <w:tcW w:w="1174"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2024</w:t>
            </w:r>
          </w:p>
        </w:tc>
        <w:tc>
          <w:tcPr>
            <w:tcW w:w="200" w:type="dxa"/>
            <w:tcBorders/>
            <w:vAlign w:val="center"/>
          </w:tcPr>
          <w:p>
            <w:pPr>
              <w:pStyle w:val="TableContents"/>
              <w:bidi w:val="0"/>
              <w:spacing w:before="0" w:after="283"/>
              <w:jc w:val="left"/>
              <w:rPr/>
            </w:pPr>
            <w:r>
              <w:rPr/>
              <w:t> </w:t>
            </w:r>
          </w:p>
        </w:tc>
      </w:tr>
      <w:tr>
        <w:trPr/>
        <w:tc>
          <w:tcPr>
            <w:tcW w:w="572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Lease cost</w:t>
            </w:r>
          </w:p>
        </w:tc>
        <w:tc>
          <w:tcPr>
            <w:tcW w:w="60" w:type="dxa"/>
            <w:tcBorders/>
            <w:vAlign w:val="center"/>
          </w:tcPr>
          <w:p>
            <w:pPr>
              <w:pStyle w:val="TableContents"/>
              <w:bidi w:val="0"/>
              <w:spacing w:before="0" w:after="283"/>
              <w:jc w:val="left"/>
              <w:rPr/>
            </w:pPr>
            <w:r>
              <w:rPr/>
              <w:t> </w:t>
            </w:r>
          </w:p>
        </w:tc>
        <w:tc>
          <w:tcPr>
            <w:tcW w:w="1174" w:type="dxa"/>
            <w:gridSpan w:val="2"/>
            <w:tcBorders/>
            <w:vAlign w:val="center"/>
          </w:tcPr>
          <w:p>
            <w:pPr>
              <w:pStyle w:val="TableContents"/>
              <w:bidi w:val="0"/>
              <w:spacing w:before="0" w:after="283"/>
              <w:jc w:val="right"/>
              <w:rPr/>
            </w:pPr>
            <w:r>
              <w:rPr/>
              <w:t> </w:t>
            </w:r>
          </w:p>
        </w:tc>
        <w:tc>
          <w:tcPr>
            <w:tcW w:w="199" w:type="dxa"/>
            <w:tcBorders/>
            <w:vAlign w:val="center"/>
          </w:tcPr>
          <w:p>
            <w:pPr>
              <w:pStyle w:val="TableContents"/>
              <w:bidi w:val="0"/>
              <w:spacing w:before="0" w:after="283"/>
              <w:jc w:val="left"/>
              <w:rPr/>
            </w:pPr>
            <w:r>
              <w:rPr/>
              <w:t> </w:t>
            </w:r>
          </w:p>
        </w:tc>
        <w:tc>
          <w:tcPr>
            <w:tcW w:w="64" w:type="dxa"/>
            <w:tcBorders/>
            <w:vAlign w:val="center"/>
          </w:tcPr>
          <w:p>
            <w:pPr>
              <w:pStyle w:val="TableContents"/>
              <w:bidi w:val="0"/>
              <w:spacing w:before="0" w:after="283"/>
              <w:jc w:val="left"/>
              <w:rPr/>
            </w:pPr>
            <w:r>
              <w:rPr/>
              <w:t> </w:t>
            </w:r>
          </w:p>
        </w:tc>
        <w:tc>
          <w:tcPr>
            <w:tcW w:w="1174" w:type="dxa"/>
            <w:gridSpan w:val="2"/>
            <w:tcBorders/>
            <w:vAlign w:val="center"/>
          </w:tcPr>
          <w:p>
            <w:pPr>
              <w:pStyle w:val="TableContents"/>
              <w:bidi w:val="0"/>
              <w:spacing w:before="0" w:after="283"/>
              <w:jc w:val="right"/>
              <w:rPr/>
            </w:pPr>
            <w:r>
              <w:rPr/>
              <w:t> </w:t>
            </w:r>
          </w:p>
        </w:tc>
        <w:tc>
          <w:tcPr>
            <w:tcW w:w="200" w:type="dxa"/>
            <w:tcBorders/>
            <w:vAlign w:val="center"/>
          </w:tcPr>
          <w:p>
            <w:pPr>
              <w:pStyle w:val="TableContents"/>
              <w:bidi w:val="0"/>
              <w:spacing w:before="0" w:after="283"/>
              <w:jc w:val="left"/>
              <w:rPr/>
            </w:pPr>
            <w:r>
              <w:rPr/>
              <w:t> </w:t>
            </w:r>
          </w:p>
        </w:tc>
      </w:tr>
      <w:tr>
        <w:trPr/>
        <w:tc>
          <w:tcPr>
            <w:tcW w:w="572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Finance lease cost:</w:t>
            </w:r>
          </w:p>
        </w:tc>
        <w:tc>
          <w:tcPr>
            <w:tcW w:w="60" w:type="dxa"/>
            <w:tcBorders/>
            <w:vAlign w:val="center"/>
          </w:tcPr>
          <w:p>
            <w:pPr>
              <w:pStyle w:val="TableContents"/>
              <w:bidi w:val="0"/>
              <w:spacing w:before="0" w:after="283"/>
              <w:jc w:val="left"/>
              <w:rPr/>
            </w:pPr>
            <w:r>
              <w:rPr/>
              <w:t> </w:t>
            </w:r>
          </w:p>
        </w:tc>
        <w:tc>
          <w:tcPr>
            <w:tcW w:w="1174" w:type="dxa"/>
            <w:gridSpan w:val="2"/>
            <w:tcBorders/>
            <w:vAlign w:val="center"/>
          </w:tcPr>
          <w:p>
            <w:pPr>
              <w:pStyle w:val="TableContents"/>
              <w:bidi w:val="0"/>
              <w:spacing w:before="0" w:after="283"/>
              <w:jc w:val="right"/>
              <w:rPr/>
            </w:pPr>
            <w:r>
              <w:rPr/>
              <w:t> </w:t>
            </w:r>
          </w:p>
        </w:tc>
        <w:tc>
          <w:tcPr>
            <w:tcW w:w="199" w:type="dxa"/>
            <w:tcBorders/>
            <w:vAlign w:val="center"/>
          </w:tcPr>
          <w:p>
            <w:pPr>
              <w:pStyle w:val="TableContents"/>
              <w:bidi w:val="0"/>
              <w:spacing w:before="0" w:after="283"/>
              <w:jc w:val="left"/>
              <w:rPr/>
            </w:pPr>
            <w:r>
              <w:rPr/>
              <w:t> </w:t>
            </w:r>
          </w:p>
        </w:tc>
        <w:tc>
          <w:tcPr>
            <w:tcW w:w="64" w:type="dxa"/>
            <w:tcBorders/>
            <w:vAlign w:val="center"/>
          </w:tcPr>
          <w:p>
            <w:pPr>
              <w:pStyle w:val="TableContents"/>
              <w:bidi w:val="0"/>
              <w:spacing w:before="0" w:after="283"/>
              <w:jc w:val="left"/>
              <w:rPr/>
            </w:pPr>
            <w:r>
              <w:rPr/>
              <w:t> </w:t>
            </w:r>
          </w:p>
        </w:tc>
        <w:tc>
          <w:tcPr>
            <w:tcW w:w="1174" w:type="dxa"/>
            <w:gridSpan w:val="2"/>
            <w:tcBorders/>
            <w:vAlign w:val="center"/>
          </w:tcPr>
          <w:p>
            <w:pPr>
              <w:pStyle w:val="TableContents"/>
              <w:bidi w:val="0"/>
              <w:spacing w:before="0" w:after="283"/>
              <w:jc w:val="right"/>
              <w:rPr/>
            </w:pPr>
            <w:r>
              <w:rPr/>
              <w:t> </w:t>
            </w:r>
          </w:p>
        </w:tc>
        <w:tc>
          <w:tcPr>
            <w:tcW w:w="200" w:type="dxa"/>
            <w:tcBorders/>
            <w:vAlign w:val="center"/>
          </w:tcPr>
          <w:p>
            <w:pPr>
              <w:pStyle w:val="TableContents"/>
              <w:bidi w:val="0"/>
              <w:spacing w:before="0" w:after="283"/>
              <w:jc w:val="left"/>
              <w:rPr/>
            </w:pPr>
            <w:r>
              <w:rPr/>
              <w:t> </w:t>
            </w:r>
          </w:p>
        </w:tc>
      </w:tr>
      <w:tr>
        <w:trPr/>
        <w:tc>
          <w:tcPr>
            <w:tcW w:w="572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Amortization of right-of-use assets</w:t>
            </w:r>
          </w:p>
        </w:tc>
        <w:tc>
          <w:tcPr>
            <w:tcW w:w="60" w:type="dxa"/>
            <w:tcBorders/>
            <w:shd w:fill="CCEEFF" w:val="clear"/>
            <w:vAlign w:val="center"/>
          </w:tcPr>
          <w:p>
            <w:pPr>
              <w:pStyle w:val="TableContents"/>
              <w:bidi w:val="0"/>
              <w:spacing w:before="0" w:after="283"/>
              <w:jc w:val="left"/>
              <w:rPr/>
            </w:pPr>
            <w:r>
              <w:rPr/>
              <w:t> </w:t>
            </w:r>
          </w:p>
        </w:tc>
        <w:tc>
          <w:tcPr>
            <w:tcW w:w="24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934"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2,008</w:t>
            </w:r>
          </w:p>
        </w:tc>
        <w:tc>
          <w:tcPr>
            <w:tcW w:w="199"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24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934"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553</w:t>
            </w:r>
          </w:p>
        </w:tc>
        <w:tc>
          <w:tcPr>
            <w:tcW w:w="200" w:type="dxa"/>
            <w:tcBorders/>
            <w:shd w:fill="CCEEFF" w:val="clear"/>
            <w:vAlign w:val="center"/>
          </w:tcPr>
          <w:p>
            <w:pPr>
              <w:pStyle w:val="TableContents"/>
              <w:bidi w:val="0"/>
              <w:spacing w:before="0" w:after="283"/>
              <w:jc w:val="left"/>
              <w:rPr/>
            </w:pPr>
            <w:r>
              <w:rPr/>
              <w:t> </w:t>
            </w:r>
          </w:p>
        </w:tc>
      </w:tr>
      <w:tr>
        <w:trPr/>
        <w:tc>
          <w:tcPr>
            <w:tcW w:w="572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Interest on lease liabilities</w:t>
            </w:r>
          </w:p>
        </w:tc>
        <w:tc>
          <w:tcPr>
            <w:tcW w:w="60" w:type="dxa"/>
            <w:tcBorders/>
            <w:shd w:fill="FFFFFF" w:val="clear"/>
            <w:vAlign w:val="center"/>
          </w:tcPr>
          <w:p>
            <w:pPr>
              <w:pStyle w:val="TableContents"/>
              <w:bidi w:val="0"/>
              <w:spacing w:before="0" w:after="283"/>
              <w:jc w:val="left"/>
              <w:rPr/>
            </w:pPr>
            <w:r>
              <w:rPr/>
              <w:t> </w:t>
            </w:r>
          </w:p>
        </w:tc>
        <w:tc>
          <w:tcPr>
            <w:tcW w:w="2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934"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213</w:t>
            </w:r>
          </w:p>
        </w:tc>
        <w:tc>
          <w:tcPr>
            <w:tcW w:w="199" w:type="dxa"/>
            <w:tcBorders/>
            <w:shd w:fill="FFFFFF" w:val="clear"/>
            <w:vAlign w:val="center"/>
          </w:tcPr>
          <w:p>
            <w:pPr>
              <w:pStyle w:val="TableContents"/>
              <w:bidi w:val="0"/>
              <w:spacing w:before="0" w:after="283"/>
              <w:jc w:val="left"/>
              <w:rPr/>
            </w:pPr>
            <w:r>
              <w:rPr/>
              <w:t> </w:t>
            </w:r>
          </w:p>
        </w:tc>
        <w:tc>
          <w:tcPr>
            <w:tcW w:w="64" w:type="dxa"/>
            <w:tcBorders/>
            <w:shd w:fill="FFFFFF" w:val="clear"/>
            <w:vAlign w:val="center"/>
          </w:tcPr>
          <w:p>
            <w:pPr>
              <w:pStyle w:val="TableContents"/>
              <w:bidi w:val="0"/>
              <w:spacing w:before="0" w:after="283"/>
              <w:jc w:val="left"/>
              <w:rPr/>
            </w:pPr>
            <w:r>
              <w:rPr/>
              <w:t> </w:t>
            </w:r>
          </w:p>
        </w:tc>
        <w:tc>
          <w:tcPr>
            <w:tcW w:w="2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934"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77</w:t>
            </w:r>
          </w:p>
        </w:tc>
        <w:tc>
          <w:tcPr>
            <w:tcW w:w="200" w:type="dxa"/>
            <w:tcBorders/>
            <w:shd w:fill="FFFFFF" w:val="clear"/>
            <w:vAlign w:val="center"/>
          </w:tcPr>
          <w:p>
            <w:pPr>
              <w:pStyle w:val="TableContents"/>
              <w:bidi w:val="0"/>
              <w:spacing w:before="0" w:after="283"/>
              <w:jc w:val="left"/>
              <w:rPr/>
            </w:pPr>
            <w:r>
              <w:rPr/>
              <w:t> </w:t>
            </w:r>
          </w:p>
        </w:tc>
      </w:tr>
      <w:tr>
        <w:trPr/>
        <w:tc>
          <w:tcPr>
            <w:tcW w:w="572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Total finance lease cost</w:t>
            </w:r>
          </w:p>
        </w:tc>
        <w:tc>
          <w:tcPr>
            <w:tcW w:w="60" w:type="dxa"/>
            <w:tcBorders/>
            <w:shd w:fill="CCEEFF" w:val="clear"/>
            <w:vAlign w:val="center"/>
          </w:tcPr>
          <w:p>
            <w:pPr>
              <w:pStyle w:val="TableContents"/>
              <w:bidi w:val="0"/>
              <w:spacing w:before="0" w:after="283"/>
              <w:jc w:val="left"/>
              <w:rPr/>
            </w:pPr>
            <w:r>
              <w:rPr/>
              <w:t> </w:t>
            </w:r>
          </w:p>
        </w:tc>
        <w:tc>
          <w:tcPr>
            <w:tcW w:w="2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34"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2,221</w:t>
            </w:r>
          </w:p>
        </w:tc>
        <w:tc>
          <w:tcPr>
            <w:tcW w:w="199"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2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34"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630</w:t>
            </w:r>
          </w:p>
        </w:tc>
        <w:tc>
          <w:tcPr>
            <w:tcW w:w="200" w:type="dxa"/>
            <w:tcBorders/>
            <w:shd w:fill="CCEEFF" w:val="clear"/>
            <w:vAlign w:val="center"/>
          </w:tcPr>
          <w:p>
            <w:pPr>
              <w:pStyle w:val="TableContents"/>
              <w:bidi w:val="0"/>
              <w:spacing w:before="0" w:after="283"/>
              <w:jc w:val="left"/>
              <w:rPr/>
            </w:pPr>
            <w:r>
              <w:rPr/>
              <w:t> </w:t>
            </w:r>
          </w:p>
        </w:tc>
      </w:tr>
      <w:tr>
        <w:trPr/>
        <w:tc>
          <w:tcPr>
            <w:tcW w:w="572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Operating lease cost</w:t>
            </w:r>
          </w:p>
        </w:tc>
        <w:tc>
          <w:tcPr>
            <w:tcW w:w="60" w:type="dxa"/>
            <w:tcBorders/>
            <w:shd w:fill="FFFFFF" w:val="clear"/>
            <w:vAlign w:val="center"/>
          </w:tcPr>
          <w:p>
            <w:pPr>
              <w:pStyle w:val="TableContents"/>
              <w:bidi w:val="0"/>
              <w:spacing w:before="0" w:after="283"/>
              <w:jc w:val="left"/>
              <w:rPr/>
            </w:pPr>
            <w:r>
              <w:rPr/>
              <w:t> </w:t>
            </w:r>
          </w:p>
        </w:tc>
        <w:tc>
          <w:tcPr>
            <w:tcW w:w="240" w:type="dxa"/>
            <w:tcBorders/>
            <w:shd w:fill="FFFFFF" w:val="clear"/>
            <w:vAlign w:val="center"/>
          </w:tcPr>
          <w:p>
            <w:pPr>
              <w:pStyle w:val="TableContents"/>
              <w:bidi w:val="0"/>
              <w:spacing w:before="0" w:after="283"/>
              <w:jc w:val="left"/>
              <w:rPr/>
            </w:pPr>
            <w:r>
              <w:rPr/>
              <w:t> </w:t>
            </w:r>
          </w:p>
        </w:tc>
        <w:tc>
          <w:tcPr>
            <w:tcW w:w="934" w:type="dxa"/>
            <w:tcBorders/>
            <w:shd w:fill="FFFFFF" w:val="clear"/>
            <w:vAlign w:val="center"/>
          </w:tcPr>
          <w:p>
            <w:pPr>
              <w:pStyle w:val="TableContents"/>
              <w:bidi w:val="0"/>
              <w:spacing w:before="0" w:after="283"/>
              <w:jc w:val="right"/>
              <w:rPr/>
            </w:pPr>
            <w:r>
              <w:rPr/>
              <w:t> </w:t>
            </w:r>
          </w:p>
        </w:tc>
        <w:tc>
          <w:tcPr>
            <w:tcW w:w="199" w:type="dxa"/>
            <w:tcBorders/>
            <w:shd w:fill="FFFFFF" w:val="clear"/>
            <w:vAlign w:val="center"/>
          </w:tcPr>
          <w:p>
            <w:pPr>
              <w:pStyle w:val="TableContents"/>
              <w:bidi w:val="0"/>
              <w:spacing w:before="0" w:after="283"/>
              <w:jc w:val="left"/>
              <w:rPr/>
            </w:pPr>
            <w:r>
              <w:rPr/>
              <w:t> </w:t>
            </w:r>
          </w:p>
        </w:tc>
        <w:tc>
          <w:tcPr>
            <w:tcW w:w="64" w:type="dxa"/>
            <w:tcBorders/>
            <w:shd w:fill="FFFFFF" w:val="clear"/>
            <w:vAlign w:val="center"/>
          </w:tcPr>
          <w:p>
            <w:pPr>
              <w:pStyle w:val="TableContents"/>
              <w:bidi w:val="0"/>
              <w:spacing w:before="0" w:after="283"/>
              <w:jc w:val="left"/>
              <w:rPr/>
            </w:pPr>
            <w:r>
              <w:rPr/>
              <w:t> </w:t>
            </w:r>
          </w:p>
        </w:tc>
        <w:tc>
          <w:tcPr>
            <w:tcW w:w="240" w:type="dxa"/>
            <w:tcBorders/>
            <w:shd w:fill="FFFFFF" w:val="clear"/>
            <w:vAlign w:val="center"/>
          </w:tcPr>
          <w:p>
            <w:pPr>
              <w:pStyle w:val="TableContents"/>
              <w:bidi w:val="0"/>
              <w:spacing w:before="0" w:after="283"/>
              <w:jc w:val="left"/>
              <w:rPr/>
            </w:pPr>
            <w:r>
              <w:rPr/>
              <w:t> </w:t>
            </w:r>
          </w:p>
        </w:tc>
        <w:tc>
          <w:tcPr>
            <w:tcW w:w="934" w:type="dxa"/>
            <w:tcBorders/>
            <w:shd w:fill="FFFFFF" w:val="clear"/>
            <w:vAlign w:val="center"/>
          </w:tcPr>
          <w:p>
            <w:pPr>
              <w:pStyle w:val="TableContents"/>
              <w:bidi w:val="0"/>
              <w:spacing w:before="0" w:after="283"/>
              <w:jc w:val="right"/>
              <w:rPr/>
            </w:pPr>
            <w:r>
              <w:rPr/>
              <w:t> </w:t>
            </w:r>
          </w:p>
        </w:tc>
        <w:tc>
          <w:tcPr>
            <w:tcW w:w="200" w:type="dxa"/>
            <w:tcBorders/>
            <w:shd w:fill="FFFFFF" w:val="clear"/>
            <w:vAlign w:val="center"/>
          </w:tcPr>
          <w:p>
            <w:pPr>
              <w:pStyle w:val="TableContents"/>
              <w:bidi w:val="0"/>
              <w:spacing w:before="0" w:after="283"/>
              <w:jc w:val="left"/>
              <w:rPr/>
            </w:pPr>
            <w:r>
              <w:rPr/>
              <w:t> </w:t>
            </w:r>
          </w:p>
        </w:tc>
      </w:tr>
      <w:tr>
        <w:trPr/>
        <w:tc>
          <w:tcPr>
            <w:tcW w:w="572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Operating leases</w:t>
            </w:r>
          </w:p>
        </w:tc>
        <w:tc>
          <w:tcPr>
            <w:tcW w:w="60" w:type="dxa"/>
            <w:tcBorders/>
            <w:shd w:fill="CCEEFF" w:val="clear"/>
            <w:vAlign w:val="center"/>
          </w:tcPr>
          <w:p>
            <w:pPr>
              <w:pStyle w:val="TableContents"/>
              <w:bidi w:val="0"/>
              <w:spacing w:before="0" w:after="283"/>
              <w:jc w:val="left"/>
              <w:rPr/>
            </w:pPr>
            <w:r>
              <w:rPr/>
              <w:t> </w:t>
            </w:r>
          </w:p>
        </w:tc>
        <w:tc>
          <w:tcPr>
            <w:tcW w:w="2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34"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1,754</w:t>
            </w:r>
          </w:p>
        </w:tc>
        <w:tc>
          <w:tcPr>
            <w:tcW w:w="199"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2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34"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1,003</w:t>
            </w:r>
          </w:p>
        </w:tc>
        <w:tc>
          <w:tcPr>
            <w:tcW w:w="200" w:type="dxa"/>
            <w:tcBorders/>
            <w:shd w:fill="CCEEFF" w:val="clear"/>
            <w:vAlign w:val="center"/>
          </w:tcPr>
          <w:p>
            <w:pPr>
              <w:pStyle w:val="TableContents"/>
              <w:bidi w:val="0"/>
              <w:spacing w:before="0" w:after="283"/>
              <w:jc w:val="left"/>
              <w:rPr/>
            </w:pPr>
            <w:r>
              <w:rPr/>
              <w:t> </w:t>
            </w:r>
          </w:p>
        </w:tc>
      </w:tr>
      <w:tr>
        <w:trPr/>
        <w:tc>
          <w:tcPr>
            <w:tcW w:w="572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Total operating lease cost</w:t>
            </w:r>
          </w:p>
        </w:tc>
        <w:tc>
          <w:tcPr>
            <w:tcW w:w="60" w:type="dxa"/>
            <w:tcBorders/>
            <w:shd w:fill="FFFFFF" w:val="clear"/>
            <w:vAlign w:val="center"/>
          </w:tcPr>
          <w:p>
            <w:pPr>
              <w:pStyle w:val="TableContents"/>
              <w:bidi w:val="0"/>
              <w:spacing w:before="0" w:after="283"/>
              <w:jc w:val="left"/>
              <w:rPr/>
            </w:pPr>
            <w:r>
              <w:rPr/>
              <w:t> </w:t>
            </w:r>
          </w:p>
        </w:tc>
        <w:tc>
          <w:tcPr>
            <w:tcW w:w="2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934"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1,754</w:t>
            </w:r>
          </w:p>
        </w:tc>
        <w:tc>
          <w:tcPr>
            <w:tcW w:w="199" w:type="dxa"/>
            <w:tcBorders/>
            <w:shd w:fill="FFFFFF" w:val="clear"/>
            <w:vAlign w:val="center"/>
          </w:tcPr>
          <w:p>
            <w:pPr>
              <w:pStyle w:val="TableContents"/>
              <w:bidi w:val="0"/>
              <w:spacing w:before="0" w:after="283"/>
              <w:jc w:val="left"/>
              <w:rPr/>
            </w:pPr>
            <w:r>
              <w:rPr/>
              <w:t> </w:t>
            </w:r>
          </w:p>
        </w:tc>
        <w:tc>
          <w:tcPr>
            <w:tcW w:w="64" w:type="dxa"/>
            <w:tcBorders/>
            <w:shd w:fill="FFFFFF" w:val="clear"/>
            <w:vAlign w:val="center"/>
          </w:tcPr>
          <w:p>
            <w:pPr>
              <w:pStyle w:val="TableContents"/>
              <w:bidi w:val="0"/>
              <w:spacing w:before="0" w:after="283"/>
              <w:jc w:val="left"/>
              <w:rPr/>
            </w:pPr>
            <w:r>
              <w:rPr/>
              <w:t> </w:t>
            </w:r>
          </w:p>
        </w:tc>
        <w:tc>
          <w:tcPr>
            <w:tcW w:w="2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934"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1,003</w:t>
            </w:r>
          </w:p>
        </w:tc>
        <w:tc>
          <w:tcPr>
            <w:tcW w:w="200" w:type="dxa"/>
            <w:tcBorders/>
            <w:shd w:fill="FFFFFF" w:val="clear"/>
            <w:vAlign w:val="center"/>
          </w:tcPr>
          <w:p>
            <w:pPr>
              <w:pStyle w:val="TableContents"/>
              <w:bidi w:val="0"/>
              <w:spacing w:before="0" w:after="283"/>
              <w:jc w:val="left"/>
              <w:rPr/>
            </w:pPr>
            <w:r>
              <w:rPr/>
              <w:t> </w:t>
            </w:r>
          </w:p>
        </w:tc>
      </w:tr>
      <w:tr>
        <w:trPr/>
        <w:tc>
          <w:tcPr>
            <w:tcW w:w="572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Total lease cost</w:t>
            </w:r>
          </w:p>
        </w:tc>
        <w:tc>
          <w:tcPr>
            <w:tcW w:w="60" w:type="dxa"/>
            <w:tcBorders/>
            <w:shd w:fill="CCEEFF" w:val="clear"/>
            <w:vAlign w:val="center"/>
          </w:tcPr>
          <w:p>
            <w:pPr>
              <w:pStyle w:val="TableContents"/>
              <w:bidi w:val="0"/>
              <w:spacing w:before="0" w:after="283"/>
              <w:jc w:val="left"/>
              <w:rPr/>
            </w:pPr>
            <w:r>
              <w:rPr/>
              <w:t> </w:t>
            </w:r>
          </w:p>
        </w:tc>
        <w:tc>
          <w:tcPr>
            <w:tcW w:w="240" w:type="dxa"/>
            <w:tcBorders>
              <w:bottom w:val="double" w:sz="12"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934" w:type="dxa"/>
            <w:tcBorders>
              <w:bottom w:val="doub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3,975</w:t>
            </w:r>
          </w:p>
        </w:tc>
        <w:tc>
          <w:tcPr>
            <w:tcW w:w="199"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240" w:type="dxa"/>
            <w:tcBorders>
              <w:bottom w:val="double" w:sz="12"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934" w:type="dxa"/>
            <w:tcBorders>
              <w:bottom w:val="doub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1,633</w:t>
            </w:r>
          </w:p>
        </w:tc>
        <w:tc>
          <w:tcPr>
            <w:tcW w:w="200" w:type="dxa"/>
            <w:tcBorders/>
            <w:shd w:fill="CCEEFF" w:val="clear"/>
            <w:vAlign w:val="center"/>
          </w:tcPr>
          <w:p>
            <w:pPr>
              <w:pStyle w:val="TableContents"/>
              <w:bidi w:val="0"/>
              <w:spacing w:before="0" w:after="283"/>
              <w:jc w:val="left"/>
              <w:rPr/>
            </w:pPr>
            <w:r>
              <w:rPr/>
              <w:t> </w:t>
            </w:r>
          </w:p>
        </w:tc>
      </w:tr>
      <w:tr>
        <w:trPr/>
        <w:tc>
          <w:tcPr>
            <w:tcW w:w="572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Other information</w:t>
            </w:r>
          </w:p>
        </w:tc>
        <w:tc>
          <w:tcPr>
            <w:tcW w:w="60" w:type="dxa"/>
            <w:tcBorders/>
            <w:shd w:fill="FFFFFF" w:val="clear"/>
            <w:vAlign w:val="center"/>
          </w:tcPr>
          <w:p>
            <w:pPr>
              <w:pStyle w:val="TableContents"/>
              <w:bidi w:val="0"/>
              <w:spacing w:before="0" w:after="283"/>
              <w:jc w:val="left"/>
              <w:rPr/>
            </w:pPr>
            <w:r>
              <w:rPr/>
              <w:t> </w:t>
            </w:r>
          </w:p>
        </w:tc>
        <w:tc>
          <w:tcPr>
            <w:tcW w:w="240" w:type="dxa"/>
            <w:tcBorders/>
            <w:shd w:fill="FFFFFF" w:val="clear"/>
            <w:vAlign w:val="center"/>
          </w:tcPr>
          <w:p>
            <w:pPr>
              <w:pStyle w:val="TableContents"/>
              <w:bidi w:val="0"/>
              <w:spacing w:before="0" w:after="283"/>
              <w:jc w:val="left"/>
              <w:rPr/>
            </w:pPr>
            <w:r>
              <w:rPr/>
              <w:t> </w:t>
            </w:r>
          </w:p>
        </w:tc>
        <w:tc>
          <w:tcPr>
            <w:tcW w:w="934" w:type="dxa"/>
            <w:tcBorders/>
            <w:shd w:fill="FFFFFF" w:val="clear"/>
            <w:vAlign w:val="center"/>
          </w:tcPr>
          <w:p>
            <w:pPr>
              <w:pStyle w:val="TableContents"/>
              <w:bidi w:val="0"/>
              <w:spacing w:before="0" w:after="283"/>
              <w:jc w:val="right"/>
              <w:rPr/>
            </w:pPr>
            <w:r>
              <w:rPr/>
              <w:t> </w:t>
            </w:r>
          </w:p>
        </w:tc>
        <w:tc>
          <w:tcPr>
            <w:tcW w:w="199" w:type="dxa"/>
            <w:tcBorders/>
            <w:shd w:fill="FFFFFF" w:val="clear"/>
            <w:vAlign w:val="center"/>
          </w:tcPr>
          <w:p>
            <w:pPr>
              <w:pStyle w:val="TableContents"/>
              <w:bidi w:val="0"/>
              <w:spacing w:before="0" w:after="283"/>
              <w:jc w:val="left"/>
              <w:rPr/>
            </w:pPr>
            <w:r>
              <w:rPr/>
              <w:t> </w:t>
            </w:r>
          </w:p>
        </w:tc>
        <w:tc>
          <w:tcPr>
            <w:tcW w:w="64" w:type="dxa"/>
            <w:tcBorders/>
            <w:shd w:fill="FFFFFF" w:val="clear"/>
            <w:vAlign w:val="center"/>
          </w:tcPr>
          <w:p>
            <w:pPr>
              <w:pStyle w:val="TableContents"/>
              <w:bidi w:val="0"/>
              <w:spacing w:before="0" w:after="283"/>
              <w:jc w:val="left"/>
              <w:rPr/>
            </w:pPr>
            <w:r>
              <w:rPr/>
              <w:t> </w:t>
            </w:r>
          </w:p>
        </w:tc>
        <w:tc>
          <w:tcPr>
            <w:tcW w:w="240" w:type="dxa"/>
            <w:tcBorders/>
            <w:shd w:fill="FFFFFF" w:val="clear"/>
            <w:vAlign w:val="center"/>
          </w:tcPr>
          <w:p>
            <w:pPr>
              <w:pStyle w:val="TableContents"/>
              <w:bidi w:val="0"/>
              <w:spacing w:before="0" w:after="283"/>
              <w:jc w:val="left"/>
              <w:rPr/>
            </w:pPr>
            <w:r>
              <w:rPr/>
              <w:t> </w:t>
            </w:r>
          </w:p>
        </w:tc>
        <w:tc>
          <w:tcPr>
            <w:tcW w:w="934" w:type="dxa"/>
            <w:tcBorders/>
            <w:shd w:fill="FFFFFF" w:val="clear"/>
            <w:vAlign w:val="center"/>
          </w:tcPr>
          <w:p>
            <w:pPr>
              <w:pStyle w:val="TableContents"/>
              <w:bidi w:val="0"/>
              <w:spacing w:before="0" w:after="283"/>
              <w:jc w:val="right"/>
              <w:rPr/>
            </w:pPr>
            <w:r>
              <w:rPr/>
              <w:t> </w:t>
            </w:r>
          </w:p>
        </w:tc>
        <w:tc>
          <w:tcPr>
            <w:tcW w:w="200" w:type="dxa"/>
            <w:tcBorders/>
            <w:shd w:fill="FFFFFF" w:val="clear"/>
            <w:vAlign w:val="center"/>
          </w:tcPr>
          <w:p>
            <w:pPr>
              <w:pStyle w:val="TableContents"/>
              <w:bidi w:val="0"/>
              <w:spacing w:before="0" w:after="283"/>
              <w:jc w:val="left"/>
              <w:rPr/>
            </w:pPr>
            <w:r>
              <w:rPr/>
              <w:t> </w:t>
            </w:r>
          </w:p>
        </w:tc>
      </w:tr>
      <w:tr>
        <w:trPr/>
        <w:tc>
          <w:tcPr>
            <w:tcW w:w="572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Cash paid for amounts included in the measurement of lease liabilities</w:t>
            </w:r>
          </w:p>
        </w:tc>
        <w:tc>
          <w:tcPr>
            <w:tcW w:w="60" w:type="dxa"/>
            <w:tcBorders/>
            <w:shd w:fill="CCEEFF" w:val="clear"/>
            <w:vAlign w:val="center"/>
          </w:tcPr>
          <w:p>
            <w:pPr>
              <w:pStyle w:val="TableContents"/>
              <w:bidi w:val="0"/>
              <w:spacing w:before="0" w:after="283"/>
              <w:jc w:val="left"/>
              <w:rPr/>
            </w:pPr>
            <w:r>
              <w:rPr/>
              <w:t> </w:t>
            </w:r>
          </w:p>
        </w:tc>
        <w:tc>
          <w:tcPr>
            <w:tcW w:w="240" w:type="dxa"/>
            <w:tcBorders/>
            <w:shd w:fill="CCEEFF" w:val="clear"/>
            <w:vAlign w:val="center"/>
          </w:tcPr>
          <w:p>
            <w:pPr>
              <w:pStyle w:val="TableContents"/>
              <w:bidi w:val="0"/>
              <w:spacing w:before="0" w:after="283"/>
              <w:jc w:val="left"/>
              <w:rPr/>
            </w:pPr>
            <w:r>
              <w:rPr/>
              <w:t> </w:t>
            </w:r>
          </w:p>
        </w:tc>
        <w:tc>
          <w:tcPr>
            <w:tcW w:w="934" w:type="dxa"/>
            <w:tcBorders/>
            <w:shd w:fill="CCEEFF" w:val="clear"/>
            <w:vAlign w:val="center"/>
          </w:tcPr>
          <w:p>
            <w:pPr>
              <w:pStyle w:val="TableContents"/>
              <w:bidi w:val="0"/>
              <w:spacing w:before="0" w:after="283"/>
              <w:jc w:val="right"/>
              <w:rPr/>
            </w:pPr>
            <w:r>
              <w:rPr/>
              <w:t> </w:t>
            </w:r>
          </w:p>
        </w:tc>
        <w:tc>
          <w:tcPr>
            <w:tcW w:w="199"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240" w:type="dxa"/>
            <w:tcBorders/>
            <w:shd w:fill="CCEEFF" w:val="clear"/>
            <w:vAlign w:val="center"/>
          </w:tcPr>
          <w:p>
            <w:pPr>
              <w:pStyle w:val="TableContents"/>
              <w:bidi w:val="0"/>
              <w:spacing w:before="0" w:after="283"/>
              <w:jc w:val="left"/>
              <w:rPr/>
            </w:pPr>
            <w:r>
              <w:rPr/>
              <w:t> </w:t>
            </w:r>
          </w:p>
        </w:tc>
        <w:tc>
          <w:tcPr>
            <w:tcW w:w="934" w:type="dxa"/>
            <w:tcBorders/>
            <w:shd w:fill="CCEEFF" w:val="clear"/>
            <w:vAlign w:val="center"/>
          </w:tcPr>
          <w:p>
            <w:pPr>
              <w:pStyle w:val="TableContents"/>
              <w:bidi w:val="0"/>
              <w:spacing w:before="0" w:after="283"/>
              <w:jc w:val="right"/>
              <w:rPr/>
            </w:pPr>
            <w:r>
              <w:rPr/>
              <w:t> </w:t>
            </w:r>
          </w:p>
        </w:tc>
        <w:tc>
          <w:tcPr>
            <w:tcW w:w="200" w:type="dxa"/>
            <w:tcBorders/>
            <w:shd w:fill="CCEEFF" w:val="clear"/>
            <w:vAlign w:val="center"/>
          </w:tcPr>
          <w:p>
            <w:pPr>
              <w:pStyle w:val="TableContents"/>
              <w:bidi w:val="0"/>
              <w:spacing w:before="0" w:after="283"/>
              <w:jc w:val="left"/>
              <w:rPr/>
            </w:pPr>
            <w:r>
              <w:rPr/>
              <w:t> </w:t>
            </w:r>
          </w:p>
        </w:tc>
      </w:tr>
      <w:tr>
        <w:trPr/>
        <w:tc>
          <w:tcPr>
            <w:tcW w:w="572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Finance leases</w:t>
            </w:r>
          </w:p>
        </w:tc>
        <w:tc>
          <w:tcPr>
            <w:tcW w:w="60" w:type="dxa"/>
            <w:tcBorders/>
            <w:shd w:fill="FFFFFF" w:val="clear"/>
            <w:vAlign w:val="center"/>
          </w:tcPr>
          <w:p>
            <w:pPr>
              <w:pStyle w:val="TableContents"/>
              <w:bidi w:val="0"/>
              <w:spacing w:before="0" w:after="283"/>
              <w:jc w:val="left"/>
              <w:rPr/>
            </w:pPr>
            <w:r>
              <w:rPr/>
              <w:t> </w:t>
            </w:r>
          </w:p>
        </w:tc>
        <w:tc>
          <w:tcPr>
            <w:tcW w:w="24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934"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2,292</w:t>
            </w:r>
          </w:p>
        </w:tc>
        <w:tc>
          <w:tcPr>
            <w:tcW w:w="199" w:type="dxa"/>
            <w:tcBorders/>
            <w:shd w:fill="FFFFFF" w:val="clear"/>
            <w:vAlign w:val="center"/>
          </w:tcPr>
          <w:p>
            <w:pPr>
              <w:pStyle w:val="TableContents"/>
              <w:bidi w:val="0"/>
              <w:spacing w:before="0" w:after="283"/>
              <w:jc w:val="left"/>
              <w:rPr/>
            </w:pPr>
            <w:r>
              <w:rPr/>
              <w:t> </w:t>
            </w:r>
          </w:p>
        </w:tc>
        <w:tc>
          <w:tcPr>
            <w:tcW w:w="64" w:type="dxa"/>
            <w:tcBorders/>
            <w:shd w:fill="FFFFFF" w:val="clear"/>
            <w:vAlign w:val="center"/>
          </w:tcPr>
          <w:p>
            <w:pPr>
              <w:pStyle w:val="TableContents"/>
              <w:bidi w:val="0"/>
              <w:spacing w:before="0" w:after="283"/>
              <w:jc w:val="left"/>
              <w:rPr/>
            </w:pPr>
            <w:r>
              <w:rPr/>
              <w:t> </w:t>
            </w:r>
          </w:p>
        </w:tc>
        <w:tc>
          <w:tcPr>
            <w:tcW w:w="24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934"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551</w:t>
            </w:r>
          </w:p>
        </w:tc>
        <w:tc>
          <w:tcPr>
            <w:tcW w:w="200" w:type="dxa"/>
            <w:tcBorders/>
            <w:shd w:fill="FFFFFF" w:val="clear"/>
            <w:vAlign w:val="center"/>
          </w:tcPr>
          <w:p>
            <w:pPr>
              <w:pStyle w:val="TableContents"/>
              <w:bidi w:val="0"/>
              <w:spacing w:before="0" w:after="283"/>
              <w:jc w:val="left"/>
              <w:rPr/>
            </w:pPr>
            <w:r>
              <w:rPr/>
              <w:t> </w:t>
            </w:r>
          </w:p>
        </w:tc>
      </w:tr>
      <w:tr>
        <w:trPr/>
        <w:tc>
          <w:tcPr>
            <w:tcW w:w="572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Operating leases</w:t>
            </w:r>
          </w:p>
        </w:tc>
        <w:tc>
          <w:tcPr>
            <w:tcW w:w="60" w:type="dxa"/>
            <w:tcBorders/>
            <w:shd w:fill="CCEEFF" w:val="clear"/>
            <w:vAlign w:val="center"/>
          </w:tcPr>
          <w:p>
            <w:pPr>
              <w:pStyle w:val="TableContents"/>
              <w:bidi w:val="0"/>
              <w:spacing w:before="0" w:after="283"/>
              <w:jc w:val="left"/>
              <w:rPr/>
            </w:pPr>
            <w:r>
              <w:rPr/>
              <w:t> </w:t>
            </w:r>
          </w:p>
        </w:tc>
        <w:tc>
          <w:tcPr>
            <w:tcW w:w="240" w:type="dxa"/>
            <w:tcBorders/>
            <w:shd w:fill="CCEEFF" w:val="clear"/>
            <w:vAlign w:val="center"/>
          </w:tcPr>
          <w:p>
            <w:pPr>
              <w:pStyle w:val="TableContents"/>
              <w:bidi w:val="0"/>
              <w:spacing w:before="0" w:after="283"/>
              <w:jc w:val="left"/>
              <w:rPr/>
            </w:pPr>
            <w:r>
              <w:rPr/>
              <w:t> </w:t>
            </w:r>
          </w:p>
        </w:tc>
        <w:tc>
          <w:tcPr>
            <w:tcW w:w="934"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1,886</w:t>
            </w:r>
          </w:p>
        </w:tc>
        <w:tc>
          <w:tcPr>
            <w:tcW w:w="199"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240" w:type="dxa"/>
            <w:tcBorders/>
            <w:shd w:fill="CCEEFF" w:val="clear"/>
            <w:vAlign w:val="center"/>
          </w:tcPr>
          <w:p>
            <w:pPr>
              <w:pStyle w:val="TableContents"/>
              <w:bidi w:val="0"/>
              <w:spacing w:before="0" w:after="283"/>
              <w:jc w:val="left"/>
              <w:rPr/>
            </w:pPr>
            <w:r>
              <w:rPr/>
              <w:t> </w:t>
            </w:r>
          </w:p>
        </w:tc>
        <w:tc>
          <w:tcPr>
            <w:tcW w:w="934"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1,039</w:t>
            </w:r>
          </w:p>
        </w:tc>
        <w:tc>
          <w:tcPr>
            <w:tcW w:w="200" w:type="dxa"/>
            <w:tcBorders/>
            <w:shd w:fill="CCEEFF" w:val="clear"/>
            <w:vAlign w:val="center"/>
          </w:tcPr>
          <w:p>
            <w:pPr>
              <w:pStyle w:val="TableContents"/>
              <w:bidi w:val="0"/>
              <w:spacing w:before="0" w:after="283"/>
              <w:jc w:val="left"/>
              <w:rPr/>
            </w:pPr>
            <w:r>
              <w:rPr/>
              <w:t> </w:t>
            </w:r>
          </w:p>
        </w:tc>
      </w:tr>
      <w:tr>
        <w:trPr/>
        <w:tc>
          <w:tcPr>
            <w:tcW w:w="572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Weighted-average remaining lease term (in years):</w:t>
            </w:r>
          </w:p>
        </w:tc>
        <w:tc>
          <w:tcPr>
            <w:tcW w:w="60" w:type="dxa"/>
            <w:tcBorders/>
            <w:shd w:fill="FFFFFF" w:val="clear"/>
            <w:vAlign w:val="center"/>
          </w:tcPr>
          <w:p>
            <w:pPr>
              <w:pStyle w:val="TableContents"/>
              <w:bidi w:val="0"/>
              <w:spacing w:before="0" w:after="283"/>
              <w:jc w:val="left"/>
              <w:rPr/>
            </w:pPr>
            <w:r>
              <w:rPr/>
              <w:t> </w:t>
            </w:r>
          </w:p>
        </w:tc>
        <w:tc>
          <w:tcPr>
            <w:tcW w:w="240" w:type="dxa"/>
            <w:tcBorders/>
            <w:shd w:fill="FFFFFF" w:val="clear"/>
            <w:vAlign w:val="center"/>
          </w:tcPr>
          <w:p>
            <w:pPr>
              <w:pStyle w:val="TableContents"/>
              <w:bidi w:val="0"/>
              <w:spacing w:before="0" w:after="283"/>
              <w:jc w:val="left"/>
              <w:rPr/>
            </w:pPr>
            <w:r>
              <w:rPr/>
              <w:t> </w:t>
            </w:r>
          </w:p>
        </w:tc>
        <w:tc>
          <w:tcPr>
            <w:tcW w:w="934" w:type="dxa"/>
            <w:tcBorders/>
            <w:shd w:fill="FFFFFF" w:val="clear"/>
            <w:vAlign w:val="center"/>
          </w:tcPr>
          <w:p>
            <w:pPr>
              <w:pStyle w:val="TableContents"/>
              <w:bidi w:val="0"/>
              <w:spacing w:before="0" w:after="283"/>
              <w:jc w:val="right"/>
              <w:rPr/>
            </w:pPr>
            <w:r>
              <w:rPr/>
              <w:t> </w:t>
            </w:r>
          </w:p>
        </w:tc>
        <w:tc>
          <w:tcPr>
            <w:tcW w:w="199" w:type="dxa"/>
            <w:tcBorders/>
            <w:shd w:fill="FFFFFF" w:val="clear"/>
            <w:vAlign w:val="center"/>
          </w:tcPr>
          <w:p>
            <w:pPr>
              <w:pStyle w:val="TableContents"/>
              <w:bidi w:val="0"/>
              <w:spacing w:before="0" w:after="283"/>
              <w:jc w:val="left"/>
              <w:rPr/>
            </w:pPr>
            <w:r>
              <w:rPr/>
              <w:t> </w:t>
            </w:r>
          </w:p>
        </w:tc>
        <w:tc>
          <w:tcPr>
            <w:tcW w:w="64" w:type="dxa"/>
            <w:tcBorders/>
            <w:shd w:fill="FFFFFF" w:val="clear"/>
            <w:vAlign w:val="center"/>
          </w:tcPr>
          <w:p>
            <w:pPr>
              <w:pStyle w:val="TableContents"/>
              <w:bidi w:val="0"/>
              <w:spacing w:before="0" w:after="283"/>
              <w:jc w:val="left"/>
              <w:rPr/>
            </w:pPr>
            <w:r>
              <w:rPr/>
              <w:t> </w:t>
            </w:r>
          </w:p>
        </w:tc>
        <w:tc>
          <w:tcPr>
            <w:tcW w:w="240" w:type="dxa"/>
            <w:tcBorders/>
            <w:shd w:fill="FFFFFF" w:val="clear"/>
            <w:vAlign w:val="center"/>
          </w:tcPr>
          <w:p>
            <w:pPr>
              <w:pStyle w:val="TableContents"/>
              <w:bidi w:val="0"/>
              <w:spacing w:before="0" w:after="283"/>
              <w:jc w:val="left"/>
              <w:rPr/>
            </w:pPr>
            <w:r>
              <w:rPr/>
              <w:t> </w:t>
            </w:r>
          </w:p>
        </w:tc>
        <w:tc>
          <w:tcPr>
            <w:tcW w:w="934" w:type="dxa"/>
            <w:tcBorders/>
            <w:shd w:fill="FFFFFF" w:val="clear"/>
            <w:vAlign w:val="center"/>
          </w:tcPr>
          <w:p>
            <w:pPr>
              <w:pStyle w:val="TableContents"/>
              <w:bidi w:val="0"/>
              <w:spacing w:before="0" w:after="283"/>
              <w:jc w:val="right"/>
              <w:rPr/>
            </w:pPr>
            <w:r>
              <w:rPr/>
              <w:t> </w:t>
            </w:r>
          </w:p>
        </w:tc>
        <w:tc>
          <w:tcPr>
            <w:tcW w:w="200" w:type="dxa"/>
            <w:tcBorders/>
            <w:shd w:fill="FFFFFF" w:val="clear"/>
            <w:vAlign w:val="center"/>
          </w:tcPr>
          <w:p>
            <w:pPr>
              <w:pStyle w:val="TableContents"/>
              <w:bidi w:val="0"/>
              <w:spacing w:before="0" w:after="283"/>
              <w:jc w:val="left"/>
              <w:rPr/>
            </w:pPr>
            <w:r>
              <w:rPr/>
              <w:t> </w:t>
            </w:r>
          </w:p>
        </w:tc>
      </w:tr>
      <w:tr>
        <w:trPr/>
        <w:tc>
          <w:tcPr>
            <w:tcW w:w="572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Finance leases</w:t>
            </w:r>
          </w:p>
        </w:tc>
        <w:tc>
          <w:tcPr>
            <w:tcW w:w="60" w:type="dxa"/>
            <w:tcBorders/>
            <w:shd w:fill="CCEEFF" w:val="clear"/>
            <w:vAlign w:val="center"/>
          </w:tcPr>
          <w:p>
            <w:pPr>
              <w:pStyle w:val="TableContents"/>
              <w:bidi w:val="0"/>
              <w:spacing w:before="0" w:after="283"/>
              <w:jc w:val="left"/>
              <w:rPr/>
            </w:pPr>
            <w:r>
              <w:rPr/>
              <w:t> </w:t>
            </w:r>
          </w:p>
        </w:tc>
        <w:tc>
          <w:tcPr>
            <w:tcW w:w="240" w:type="dxa"/>
            <w:tcBorders/>
            <w:shd w:fill="CCEEFF" w:val="clear"/>
            <w:vAlign w:val="center"/>
          </w:tcPr>
          <w:p>
            <w:pPr>
              <w:pStyle w:val="TableContents"/>
              <w:bidi w:val="0"/>
              <w:spacing w:before="0" w:after="283"/>
              <w:jc w:val="left"/>
              <w:rPr/>
            </w:pPr>
            <w:r>
              <w:rPr/>
              <w:t> </w:t>
            </w:r>
          </w:p>
        </w:tc>
        <w:tc>
          <w:tcPr>
            <w:tcW w:w="934"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2.0</w:t>
            </w:r>
          </w:p>
        </w:tc>
        <w:tc>
          <w:tcPr>
            <w:tcW w:w="199"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240" w:type="dxa"/>
            <w:tcBorders/>
            <w:shd w:fill="CCEEFF" w:val="clear"/>
            <w:vAlign w:val="center"/>
          </w:tcPr>
          <w:p>
            <w:pPr>
              <w:pStyle w:val="TableContents"/>
              <w:bidi w:val="0"/>
              <w:spacing w:before="0" w:after="283"/>
              <w:jc w:val="left"/>
              <w:rPr/>
            </w:pPr>
            <w:r>
              <w:rPr/>
              <w:t> </w:t>
            </w:r>
          </w:p>
        </w:tc>
        <w:tc>
          <w:tcPr>
            <w:tcW w:w="934"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2.0</w:t>
            </w:r>
          </w:p>
        </w:tc>
        <w:tc>
          <w:tcPr>
            <w:tcW w:w="200" w:type="dxa"/>
            <w:tcBorders/>
            <w:shd w:fill="CCEEFF" w:val="clear"/>
            <w:vAlign w:val="center"/>
          </w:tcPr>
          <w:p>
            <w:pPr>
              <w:pStyle w:val="TableContents"/>
              <w:bidi w:val="0"/>
              <w:spacing w:before="0" w:after="283"/>
              <w:jc w:val="left"/>
              <w:rPr/>
            </w:pPr>
            <w:r>
              <w:rPr/>
              <w:t> </w:t>
            </w:r>
          </w:p>
        </w:tc>
      </w:tr>
      <w:tr>
        <w:trPr/>
        <w:tc>
          <w:tcPr>
            <w:tcW w:w="572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Operating leases</w:t>
            </w:r>
          </w:p>
        </w:tc>
        <w:tc>
          <w:tcPr>
            <w:tcW w:w="60" w:type="dxa"/>
            <w:tcBorders/>
            <w:shd w:fill="FFFFFF" w:val="clear"/>
            <w:vAlign w:val="center"/>
          </w:tcPr>
          <w:p>
            <w:pPr>
              <w:pStyle w:val="TableContents"/>
              <w:bidi w:val="0"/>
              <w:spacing w:before="0" w:after="283"/>
              <w:jc w:val="left"/>
              <w:rPr/>
            </w:pPr>
            <w:r>
              <w:rPr/>
              <w:t> </w:t>
            </w:r>
          </w:p>
        </w:tc>
        <w:tc>
          <w:tcPr>
            <w:tcW w:w="240" w:type="dxa"/>
            <w:tcBorders/>
            <w:shd w:fill="FFFFFF" w:val="clear"/>
            <w:vAlign w:val="center"/>
          </w:tcPr>
          <w:p>
            <w:pPr>
              <w:pStyle w:val="TableContents"/>
              <w:bidi w:val="0"/>
              <w:spacing w:before="0" w:after="283"/>
              <w:jc w:val="left"/>
              <w:rPr/>
            </w:pPr>
            <w:r>
              <w:rPr/>
              <w:t> </w:t>
            </w:r>
          </w:p>
        </w:tc>
        <w:tc>
          <w:tcPr>
            <w:tcW w:w="934"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1.9</w:t>
            </w:r>
          </w:p>
        </w:tc>
        <w:tc>
          <w:tcPr>
            <w:tcW w:w="199" w:type="dxa"/>
            <w:tcBorders/>
            <w:shd w:fill="FFFFFF" w:val="clear"/>
            <w:vAlign w:val="center"/>
          </w:tcPr>
          <w:p>
            <w:pPr>
              <w:pStyle w:val="TableContents"/>
              <w:bidi w:val="0"/>
              <w:spacing w:before="0" w:after="283"/>
              <w:jc w:val="left"/>
              <w:rPr/>
            </w:pPr>
            <w:r>
              <w:rPr/>
              <w:t> </w:t>
            </w:r>
          </w:p>
        </w:tc>
        <w:tc>
          <w:tcPr>
            <w:tcW w:w="64" w:type="dxa"/>
            <w:tcBorders/>
            <w:shd w:fill="FFFFFF" w:val="clear"/>
            <w:vAlign w:val="center"/>
          </w:tcPr>
          <w:p>
            <w:pPr>
              <w:pStyle w:val="TableContents"/>
              <w:bidi w:val="0"/>
              <w:spacing w:before="0" w:after="283"/>
              <w:jc w:val="left"/>
              <w:rPr/>
            </w:pPr>
            <w:r>
              <w:rPr/>
              <w:t> </w:t>
            </w:r>
          </w:p>
        </w:tc>
        <w:tc>
          <w:tcPr>
            <w:tcW w:w="240" w:type="dxa"/>
            <w:tcBorders/>
            <w:shd w:fill="FFFFFF" w:val="clear"/>
            <w:vAlign w:val="center"/>
          </w:tcPr>
          <w:p>
            <w:pPr>
              <w:pStyle w:val="TableContents"/>
              <w:bidi w:val="0"/>
              <w:spacing w:before="0" w:after="283"/>
              <w:jc w:val="left"/>
              <w:rPr/>
            </w:pPr>
            <w:r>
              <w:rPr/>
              <w:t> </w:t>
            </w:r>
          </w:p>
        </w:tc>
        <w:tc>
          <w:tcPr>
            <w:tcW w:w="934"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2.5</w:t>
            </w:r>
          </w:p>
        </w:tc>
        <w:tc>
          <w:tcPr>
            <w:tcW w:w="200" w:type="dxa"/>
            <w:tcBorders/>
            <w:shd w:fill="FFFFFF" w:val="clear"/>
            <w:vAlign w:val="center"/>
          </w:tcPr>
          <w:p>
            <w:pPr>
              <w:pStyle w:val="TableContents"/>
              <w:bidi w:val="0"/>
              <w:spacing w:before="0" w:after="283"/>
              <w:jc w:val="left"/>
              <w:rPr/>
            </w:pPr>
            <w:r>
              <w:rPr/>
              <w:t> </w:t>
            </w:r>
          </w:p>
        </w:tc>
      </w:tr>
      <w:tr>
        <w:trPr/>
        <w:tc>
          <w:tcPr>
            <w:tcW w:w="572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Weighted-average discount rate:</w:t>
            </w:r>
          </w:p>
        </w:tc>
        <w:tc>
          <w:tcPr>
            <w:tcW w:w="60" w:type="dxa"/>
            <w:tcBorders/>
            <w:shd w:fill="CCEEFF" w:val="clear"/>
            <w:vAlign w:val="center"/>
          </w:tcPr>
          <w:p>
            <w:pPr>
              <w:pStyle w:val="TableContents"/>
              <w:bidi w:val="0"/>
              <w:spacing w:before="0" w:after="283"/>
              <w:jc w:val="left"/>
              <w:rPr/>
            </w:pPr>
            <w:r>
              <w:rPr/>
              <w:t> </w:t>
            </w:r>
          </w:p>
        </w:tc>
        <w:tc>
          <w:tcPr>
            <w:tcW w:w="240" w:type="dxa"/>
            <w:tcBorders/>
            <w:shd w:fill="CCEEFF" w:val="clear"/>
            <w:vAlign w:val="center"/>
          </w:tcPr>
          <w:p>
            <w:pPr>
              <w:pStyle w:val="TableContents"/>
              <w:bidi w:val="0"/>
              <w:spacing w:before="0" w:after="283"/>
              <w:jc w:val="left"/>
              <w:rPr/>
            </w:pPr>
            <w:r>
              <w:rPr/>
              <w:t> </w:t>
            </w:r>
          </w:p>
        </w:tc>
        <w:tc>
          <w:tcPr>
            <w:tcW w:w="934" w:type="dxa"/>
            <w:tcBorders/>
            <w:shd w:fill="CCEEFF" w:val="clear"/>
            <w:vAlign w:val="center"/>
          </w:tcPr>
          <w:p>
            <w:pPr>
              <w:pStyle w:val="TableContents"/>
              <w:bidi w:val="0"/>
              <w:spacing w:before="0" w:after="283"/>
              <w:jc w:val="right"/>
              <w:rPr/>
            </w:pPr>
            <w:r>
              <w:rPr/>
              <w:t> </w:t>
            </w:r>
          </w:p>
        </w:tc>
        <w:tc>
          <w:tcPr>
            <w:tcW w:w="199"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240" w:type="dxa"/>
            <w:tcBorders/>
            <w:shd w:fill="CCEEFF" w:val="clear"/>
            <w:vAlign w:val="center"/>
          </w:tcPr>
          <w:p>
            <w:pPr>
              <w:pStyle w:val="TableContents"/>
              <w:bidi w:val="0"/>
              <w:spacing w:before="0" w:after="283"/>
              <w:jc w:val="left"/>
              <w:rPr/>
            </w:pPr>
            <w:r>
              <w:rPr/>
              <w:t> </w:t>
            </w:r>
          </w:p>
        </w:tc>
        <w:tc>
          <w:tcPr>
            <w:tcW w:w="934" w:type="dxa"/>
            <w:tcBorders/>
            <w:shd w:fill="CCEEFF" w:val="clear"/>
            <w:vAlign w:val="center"/>
          </w:tcPr>
          <w:p>
            <w:pPr>
              <w:pStyle w:val="TableContents"/>
              <w:bidi w:val="0"/>
              <w:spacing w:before="0" w:after="283"/>
              <w:jc w:val="right"/>
              <w:rPr/>
            </w:pPr>
            <w:r>
              <w:rPr/>
              <w:t> </w:t>
            </w:r>
          </w:p>
        </w:tc>
        <w:tc>
          <w:tcPr>
            <w:tcW w:w="200" w:type="dxa"/>
            <w:tcBorders/>
            <w:shd w:fill="CCEEFF" w:val="clear"/>
            <w:vAlign w:val="center"/>
          </w:tcPr>
          <w:p>
            <w:pPr>
              <w:pStyle w:val="TableContents"/>
              <w:bidi w:val="0"/>
              <w:spacing w:before="0" w:after="283"/>
              <w:jc w:val="left"/>
              <w:rPr/>
            </w:pPr>
            <w:r>
              <w:rPr/>
              <w:t> </w:t>
            </w:r>
          </w:p>
        </w:tc>
      </w:tr>
      <w:tr>
        <w:trPr/>
        <w:tc>
          <w:tcPr>
            <w:tcW w:w="572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Finance Leases</w:t>
            </w:r>
          </w:p>
        </w:tc>
        <w:tc>
          <w:tcPr>
            <w:tcW w:w="60" w:type="dxa"/>
            <w:tcBorders/>
            <w:shd w:fill="FFFFFF" w:val="clear"/>
            <w:vAlign w:val="center"/>
          </w:tcPr>
          <w:p>
            <w:pPr>
              <w:pStyle w:val="TableContents"/>
              <w:bidi w:val="0"/>
              <w:spacing w:before="0" w:after="283"/>
              <w:jc w:val="left"/>
              <w:rPr/>
            </w:pPr>
            <w:r>
              <w:rPr/>
              <w:t> </w:t>
            </w:r>
          </w:p>
        </w:tc>
        <w:tc>
          <w:tcPr>
            <w:tcW w:w="240" w:type="dxa"/>
            <w:tcBorders/>
            <w:shd w:fill="FFFFFF" w:val="clear"/>
            <w:vAlign w:val="center"/>
          </w:tcPr>
          <w:p>
            <w:pPr>
              <w:pStyle w:val="TableContents"/>
              <w:bidi w:val="0"/>
              <w:spacing w:before="0" w:after="283"/>
              <w:jc w:val="left"/>
              <w:rPr/>
            </w:pPr>
            <w:r>
              <w:rPr/>
              <w:t> </w:t>
            </w:r>
          </w:p>
        </w:tc>
        <w:tc>
          <w:tcPr>
            <w:tcW w:w="934"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7</w:t>
            </w:r>
          </w:p>
        </w:tc>
        <w:tc>
          <w:tcPr>
            <w:tcW w:w="199"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4" w:type="dxa"/>
            <w:tcBorders/>
            <w:shd w:fill="FFFFFF" w:val="clear"/>
            <w:vAlign w:val="center"/>
          </w:tcPr>
          <w:p>
            <w:pPr>
              <w:pStyle w:val="TableContents"/>
              <w:bidi w:val="0"/>
              <w:spacing w:before="0" w:after="283"/>
              <w:jc w:val="left"/>
              <w:rPr/>
            </w:pPr>
            <w:r>
              <w:rPr/>
              <w:t> </w:t>
            </w:r>
          </w:p>
        </w:tc>
        <w:tc>
          <w:tcPr>
            <w:tcW w:w="240" w:type="dxa"/>
            <w:tcBorders/>
            <w:shd w:fill="FFFFFF" w:val="clear"/>
            <w:vAlign w:val="center"/>
          </w:tcPr>
          <w:p>
            <w:pPr>
              <w:pStyle w:val="TableContents"/>
              <w:bidi w:val="0"/>
              <w:spacing w:before="0" w:after="283"/>
              <w:jc w:val="left"/>
              <w:rPr/>
            </w:pPr>
            <w:r>
              <w:rPr/>
              <w:t> </w:t>
            </w:r>
          </w:p>
        </w:tc>
        <w:tc>
          <w:tcPr>
            <w:tcW w:w="934"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7</w:t>
            </w:r>
          </w:p>
        </w:tc>
        <w:tc>
          <w:tcPr>
            <w:tcW w:w="20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572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Operating leases</w:t>
            </w:r>
          </w:p>
        </w:tc>
        <w:tc>
          <w:tcPr>
            <w:tcW w:w="60" w:type="dxa"/>
            <w:tcBorders/>
            <w:shd w:fill="CCEEFF" w:val="clear"/>
            <w:vAlign w:val="center"/>
          </w:tcPr>
          <w:p>
            <w:pPr>
              <w:pStyle w:val="TableContents"/>
              <w:bidi w:val="0"/>
              <w:spacing w:before="0" w:after="283"/>
              <w:jc w:val="left"/>
              <w:rPr/>
            </w:pPr>
            <w:r>
              <w:rPr/>
              <w:t> </w:t>
            </w:r>
          </w:p>
        </w:tc>
        <w:tc>
          <w:tcPr>
            <w:tcW w:w="240" w:type="dxa"/>
            <w:tcBorders/>
            <w:shd w:fill="CCEEFF" w:val="clear"/>
            <w:vAlign w:val="center"/>
          </w:tcPr>
          <w:p>
            <w:pPr>
              <w:pStyle w:val="TableContents"/>
              <w:bidi w:val="0"/>
              <w:spacing w:before="0" w:after="283"/>
              <w:jc w:val="left"/>
              <w:rPr/>
            </w:pPr>
            <w:r>
              <w:rPr/>
              <w:t> </w:t>
            </w:r>
          </w:p>
        </w:tc>
        <w:tc>
          <w:tcPr>
            <w:tcW w:w="934"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9.1</w:t>
            </w:r>
          </w:p>
        </w:tc>
        <w:tc>
          <w:tcPr>
            <w:tcW w:w="199"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4" w:type="dxa"/>
            <w:tcBorders/>
            <w:shd w:fill="CCEEFF" w:val="clear"/>
            <w:vAlign w:val="center"/>
          </w:tcPr>
          <w:p>
            <w:pPr>
              <w:pStyle w:val="TableContents"/>
              <w:bidi w:val="0"/>
              <w:spacing w:before="0" w:after="283"/>
              <w:jc w:val="left"/>
              <w:rPr/>
            </w:pPr>
            <w:r>
              <w:rPr/>
              <w:t> </w:t>
            </w:r>
          </w:p>
        </w:tc>
        <w:tc>
          <w:tcPr>
            <w:tcW w:w="240" w:type="dxa"/>
            <w:tcBorders/>
            <w:shd w:fill="CCEEFF" w:val="clear"/>
            <w:vAlign w:val="center"/>
          </w:tcPr>
          <w:p>
            <w:pPr>
              <w:pStyle w:val="TableContents"/>
              <w:bidi w:val="0"/>
              <w:spacing w:before="0" w:after="283"/>
              <w:jc w:val="left"/>
              <w:rPr/>
            </w:pPr>
            <w:r>
              <w:rPr/>
              <w:t> </w:t>
            </w:r>
          </w:p>
        </w:tc>
        <w:tc>
          <w:tcPr>
            <w:tcW w:w="934"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9.5</w:t>
            </w:r>
          </w:p>
        </w:tc>
        <w:tc>
          <w:tcPr>
            <w:tcW w:w="20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Future minimum lease payments under non-cancellable leases are as follows as of December 28, 2025 </w:t>
      </w:r>
      <w:r>
        <w:rPr>
          <w:rFonts w:ascii="Times New Roman;Times;Serif" w:hAnsi="Times New Roman;Times;Serif"/>
          <w:b w:val="false"/>
          <w:i/>
          <w:caps w:val="false"/>
          <w:smallCaps w:val="false"/>
          <w:sz w:val="20"/>
        </w:rPr>
        <w:t>(in thousands)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tbl>
      <w:tblPr>
        <w:tblW w:w="4330" w:type="dxa"/>
        <w:jc w:val="left"/>
        <w:tblInd w:w="0" w:type="dxa"/>
        <w:tblLayout w:type="fixed"/>
        <w:tblCellMar>
          <w:top w:w="0" w:type="dxa"/>
          <w:left w:w="0" w:type="dxa"/>
          <w:bottom w:w="0" w:type="dxa"/>
          <w:right w:w="0" w:type="dxa"/>
        </w:tblCellMar>
      </w:tblPr>
      <w:tblGrid>
        <w:gridCol w:w="2450"/>
        <w:gridCol w:w="60"/>
        <w:gridCol w:w="142"/>
        <w:gridCol w:w="553"/>
        <w:gridCol w:w="80"/>
        <w:gridCol w:w="60"/>
        <w:gridCol w:w="182"/>
        <w:gridCol w:w="708"/>
        <w:gridCol w:w="95"/>
      </w:tblGrid>
      <w:tr>
        <w:trPr/>
        <w:tc>
          <w:tcPr>
            <w:tcW w:w="245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695"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Finance</w:t>
              <w:br/>
              <w:t>Leases</w:t>
            </w:r>
          </w:p>
        </w:tc>
        <w:tc>
          <w:tcPr>
            <w:tcW w:w="8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890"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Operating</w:t>
              <w:br/>
              <w:t>Leases</w:t>
            </w:r>
          </w:p>
        </w:tc>
        <w:tc>
          <w:tcPr>
            <w:tcW w:w="95" w:type="dxa"/>
            <w:tcBorders/>
            <w:vAlign w:val="center"/>
          </w:tcPr>
          <w:p>
            <w:pPr>
              <w:pStyle w:val="TableContents"/>
              <w:bidi w:val="0"/>
              <w:spacing w:before="0" w:after="283"/>
              <w:jc w:val="center"/>
              <w:rPr/>
            </w:pPr>
            <w:r>
              <w:rPr/>
              <w:t> </w:t>
            </w:r>
          </w:p>
        </w:tc>
      </w:tr>
      <w:tr>
        <w:trPr/>
        <w:tc>
          <w:tcPr>
            <w:tcW w:w="245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Fiscal year ending</w:t>
            </w:r>
          </w:p>
        </w:tc>
        <w:tc>
          <w:tcPr>
            <w:tcW w:w="60" w:type="dxa"/>
            <w:tcBorders/>
            <w:vAlign w:val="center"/>
          </w:tcPr>
          <w:p>
            <w:pPr>
              <w:pStyle w:val="TableContents"/>
              <w:bidi w:val="0"/>
              <w:spacing w:before="0" w:after="283"/>
              <w:jc w:val="left"/>
              <w:rPr/>
            </w:pPr>
            <w:r>
              <w:rPr/>
              <w:t> </w:t>
            </w:r>
          </w:p>
        </w:tc>
        <w:tc>
          <w:tcPr>
            <w:tcW w:w="695" w:type="dxa"/>
            <w:gridSpan w:val="2"/>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90" w:type="dxa"/>
            <w:gridSpan w:val="2"/>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pPr>
            <w:r>
              <w:rPr/>
              <w:t> </w:t>
            </w:r>
          </w:p>
        </w:tc>
      </w:tr>
      <w:tr>
        <w:trPr/>
        <w:tc>
          <w:tcPr>
            <w:tcW w:w="245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2026</w:t>
            </w:r>
          </w:p>
        </w:tc>
        <w:tc>
          <w:tcPr>
            <w:tcW w:w="60" w:type="dxa"/>
            <w:tcBorders/>
            <w:shd w:fill="CCEEFF" w:val="clear"/>
            <w:vAlign w:val="center"/>
          </w:tcPr>
          <w:p>
            <w:pPr>
              <w:pStyle w:val="TableContents"/>
              <w:bidi w:val="0"/>
              <w:spacing w:before="0" w:after="283"/>
              <w:jc w:val="left"/>
              <w:rPr/>
            </w:pPr>
            <w:r>
              <w:rPr/>
              <w:t> </w:t>
            </w:r>
          </w:p>
        </w:tc>
        <w:tc>
          <w:tcPr>
            <w:tcW w:w="142"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553"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2,090</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2"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708"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2,330</w:t>
            </w:r>
          </w:p>
        </w:tc>
        <w:tc>
          <w:tcPr>
            <w:tcW w:w="95" w:type="dxa"/>
            <w:tcBorders/>
            <w:shd w:fill="CCEEFF" w:val="clear"/>
            <w:vAlign w:val="center"/>
          </w:tcPr>
          <w:p>
            <w:pPr>
              <w:pStyle w:val="TableContents"/>
              <w:bidi w:val="0"/>
              <w:spacing w:before="0" w:after="283"/>
              <w:jc w:val="left"/>
              <w:rPr/>
            </w:pPr>
            <w:r>
              <w:rPr/>
              <w:t> </w:t>
            </w:r>
          </w:p>
        </w:tc>
      </w:tr>
      <w:tr>
        <w:trPr/>
        <w:tc>
          <w:tcPr>
            <w:tcW w:w="245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2027</w:t>
            </w:r>
          </w:p>
        </w:tc>
        <w:tc>
          <w:tcPr>
            <w:tcW w:w="60" w:type="dxa"/>
            <w:tcBorders/>
            <w:shd w:fill="FFFFFF" w:val="clear"/>
            <w:vAlign w:val="center"/>
          </w:tcPr>
          <w:p>
            <w:pPr>
              <w:pStyle w:val="TableContents"/>
              <w:bidi w:val="0"/>
              <w:spacing w:before="0" w:after="283"/>
              <w:jc w:val="left"/>
              <w:rPr/>
            </w:pPr>
            <w:r>
              <w:rPr/>
              <w:t> </w:t>
            </w:r>
          </w:p>
        </w:tc>
        <w:tc>
          <w:tcPr>
            <w:tcW w:w="142" w:type="dxa"/>
            <w:tcBorders/>
            <w:shd w:fill="FFFFFF" w:val="clear"/>
            <w:vAlign w:val="center"/>
          </w:tcPr>
          <w:p>
            <w:pPr>
              <w:pStyle w:val="TableContents"/>
              <w:bidi w:val="0"/>
              <w:spacing w:before="0" w:after="283"/>
              <w:jc w:val="left"/>
              <w:rPr/>
            </w:pPr>
            <w:r>
              <w:rPr/>
              <w:t> </w:t>
            </w:r>
          </w:p>
        </w:tc>
        <w:tc>
          <w:tcPr>
            <w:tcW w:w="553"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609</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2" w:type="dxa"/>
            <w:tcBorders/>
            <w:shd w:fill="FFFFFF" w:val="clear"/>
            <w:vAlign w:val="center"/>
          </w:tcPr>
          <w:p>
            <w:pPr>
              <w:pStyle w:val="TableContents"/>
              <w:bidi w:val="0"/>
              <w:spacing w:before="0" w:after="283"/>
              <w:jc w:val="left"/>
              <w:rPr/>
            </w:pPr>
            <w:r>
              <w:rPr/>
              <w:t> </w:t>
            </w:r>
          </w:p>
        </w:tc>
        <w:tc>
          <w:tcPr>
            <w:tcW w:w="708"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1,642</w:t>
            </w:r>
          </w:p>
        </w:tc>
        <w:tc>
          <w:tcPr>
            <w:tcW w:w="95" w:type="dxa"/>
            <w:tcBorders/>
            <w:shd w:fill="FFFFFF" w:val="clear"/>
            <w:vAlign w:val="center"/>
          </w:tcPr>
          <w:p>
            <w:pPr>
              <w:pStyle w:val="TableContents"/>
              <w:bidi w:val="0"/>
              <w:spacing w:before="0" w:after="283"/>
              <w:jc w:val="left"/>
              <w:rPr/>
            </w:pPr>
            <w:r>
              <w:rPr/>
              <w:t> </w:t>
            </w:r>
          </w:p>
        </w:tc>
      </w:tr>
      <w:tr>
        <w:trPr/>
        <w:tc>
          <w:tcPr>
            <w:tcW w:w="245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2028</w:t>
            </w:r>
          </w:p>
        </w:tc>
        <w:tc>
          <w:tcPr>
            <w:tcW w:w="60" w:type="dxa"/>
            <w:tcBorders/>
            <w:shd w:fill="CCEEFF" w:val="clear"/>
            <w:vAlign w:val="center"/>
          </w:tcPr>
          <w:p>
            <w:pPr>
              <w:pStyle w:val="TableContents"/>
              <w:bidi w:val="0"/>
              <w:spacing w:before="0" w:after="283"/>
              <w:jc w:val="left"/>
              <w:rPr/>
            </w:pPr>
            <w:r>
              <w:rPr/>
              <w:t> </w:t>
            </w:r>
          </w:p>
        </w:tc>
        <w:tc>
          <w:tcPr>
            <w:tcW w:w="142" w:type="dxa"/>
            <w:tcBorders/>
            <w:shd w:fill="CCEEFF" w:val="clear"/>
            <w:vAlign w:val="center"/>
          </w:tcPr>
          <w:p>
            <w:pPr>
              <w:pStyle w:val="TableContents"/>
              <w:bidi w:val="0"/>
              <w:spacing w:before="0" w:after="283"/>
              <w:jc w:val="left"/>
              <w:rPr/>
            </w:pPr>
            <w:r>
              <w:rPr/>
              <w:t> </w:t>
            </w:r>
          </w:p>
        </w:tc>
        <w:tc>
          <w:tcPr>
            <w:tcW w:w="553"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382</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2" w:type="dxa"/>
            <w:tcBorders/>
            <w:shd w:fill="CCEEFF" w:val="clear"/>
            <w:vAlign w:val="center"/>
          </w:tcPr>
          <w:p>
            <w:pPr>
              <w:pStyle w:val="TableContents"/>
              <w:bidi w:val="0"/>
              <w:spacing w:before="0" w:after="283"/>
              <w:jc w:val="left"/>
              <w:rPr/>
            </w:pPr>
            <w:r>
              <w:rPr/>
              <w:t> </w:t>
            </w:r>
          </w:p>
        </w:tc>
        <w:tc>
          <w:tcPr>
            <w:tcW w:w="708"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785</w:t>
            </w:r>
          </w:p>
        </w:tc>
        <w:tc>
          <w:tcPr>
            <w:tcW w:w="95" w:type="dxa"/>
            <w:tcBorders/>
            <w:shd w:fill="CCEEFF" w:val="clear"/>
            <w:vAlign w:val="center"/>
          </w:tcPr>
          <w:p>
            <w:pPr>
              <w:pStyle w:val="TableContents"/>
              <w:bidi w:val="0"/>
              <w:spacing w:before="0" w:after="283"/>
              <w:jc w:val="left"/>
              <w:rPr/>
            </w:pPr>
            <w:r>
              <w:rPr/>
              <w:t> </w:t>
            </w:r>
          </w:p>
        </w:tc>
      </w:tr>
      <w:tr>
        <w:trPr/>
        <w:tc>
          <w:tcPr>
            <w:tcW w:w="245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2029</w:t>
            </w:r>
          </w:p>
        </w:tc>
        <w:tc>
          <w:tcPr>
            <w:tcW w:w="60" w:type="dxa"/>
            <w:tcBorders/>
            <w:shd w:fill="FFFFFF" w:val="clear"/>
            <w:vAlign w:val="center"/>
          </w:tcPr>
          <w:p>
            <w:pPr>
              <w:pStyle w:val="TableContents"/>
              <w:bidi w:val="0"/>
              <w:spacing w:before="0" w:after="283"/>
              <w:jc w:val="left"/>
              <w:rPr/>
            </w:pPr>
            <w:r>
              <w:rPr/>
              <w:t> </w:t>
            </w:r>
          </w:p>
        </w:tc>
        <w:tc>
          <w:tcPr>
            <w:tcW w:w="142" w:type="dxa"/>
            <w:tcBorders/>
            <w:shd w:fill="FFFFFF" w:val="clear"/>
            <w:vAlign w:val="center"/>
          </w:tcPr>
          <w:p>
            <w:pPr>
              <w:pStyle w:val="TableContents"/>
              <w:bidi w:val="0"/>
              <w:spacing w:before="0" w:after="283"/>
              <w:jc w:val="left"/>
              <w:rPr/>
            </w:pPr>
            <w:r>
              <w:rPr/>
              <w:t> </w:t>
            </w:r>
          </w:p>
        </w:tc>
        <w:tc>
          <w:tcPr>
            <w:tcW w:w="553"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222</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2" w:type="dxa"/>
            <w:tcBorders/>
            <w:shd w:fill="FFFFFF" w:val="clear"/>
            <w:vAlign w:val="center"/>
          </w:tcPr>
          <w:p>
            <w:pPr>
              <w:pStyle w:val="TableContents"/>
              <w:bidi w:val="0"/>
              <w:spacing w:before="0" w:after="283"/>
              <w:jc w:val="left"/>
              <w:rPr/>
            </w:pPr>
            <w:r>
              <w:rPr/>
              <w:t> </w:t>
            </w:r>
          </w:p>
        </w:tc>
        <w:tc>
          <w:tcPr>
            <w:tcW w:w="708"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741</w:t>
            </w:r>
          </w:p>
        </w:tc>
        <w:tc>
          <w:tcPr>
            <w:tcW w:w="95" w:type="dxa"/>
            <w:tcBorders/>
            <w:shd w:fill="FFFFFF" w:val="clear"/>
            <w:vAlign w:val="center"/>
          </w:tcPr>
          <w:p>
            <w:pPr>
              <w:pStyle w:val="TableContents"/>
              <w:bidi w:val="0"/>
              <w:spacing w:before="0" w:after="283"/>
              <w:jc w:val="left"/>
              <w:rPr/>
            </w:pPr>
            <w:r>
              <w:rPr/>
              <w:t> </w:t>
            </w:r>
          </w:p>
        </w:tc>
      </w:tr>
      <w:tr>
        <w:trPr/>
        <w:tc>
          <w:tcPr>
            <w:tcW w:w="245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2030 and thereafter</w:t>
            </w:r>
          </w:p>
        </w:tc>
        <w:tc>
          <w:tcPr>
            <w:tcW w:w="60" w:type="dxa"/>
            <w:tcBorders/>
            <w:shd w:fill="CCEEFF" w:val="clear"/>
            <w:vAlign w:val="center"/>
          </w:tcPr>
          <w:p>
            <w:pPr>
              <w:pStyle w:val="TableContents"/>
              <w:bidi w:val="0"/>
              <w:spacing w:before="0" w:after="283"/>
              <w:jc w:val="left"/>
              <w:rPr/>
            </w:pPr>
            <w:r>
              <w:rPr/>
              <w:t> </w:t>
            </w:r>
          </w:p>
        </w:tc>
        <w:tc>
          <w:tcPr>
            <w:tcW w:w="142"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553"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2"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708"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312</w:t>
            </w:r>
          </w:p>
        </w:tc>
        <w:tc>
          <w:tcPr>
            <w:tcW w:w="95" w:type="dxa"/>
            <w:tcBorders/>
            <w:shd w:fill="CCEEFF" w:val="clear"/>
            <w:vAlign w:val="center"/>
          </w:tcPr>
          <w:p>
            <w:pPr>
              <w:pStyle w:val="TableContents"/>
              <w:bidi w:val="0"/>
              <w:spacing w:before="0" w:after="283"/>
              <w:jc w:val="left"/>
              <w:rPr/>
            </w:pPr>
            <w:r>
              <w:rPr/>
              <w:t> </w:t>
            </w:r>
          </w:p>
        </w:tc>
      </w:tr>
      <w:tr>
        <w:trPr/>
        <w:tc>
          <w:tcPr>
            <w:tcW w:w="245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Total undiscounted liabilities</w:t>
            </w:r>
          </w:p>
        </w:tc>
        <w:tc>
          <w:tcPr>
            <w:tcW w:w="60" w:type="dxa"/>
            <w:tcBorders/>
            <w:shd w:fill="FFFFFF" w:val="clear"/>
            <w:vAlign w:val="center"/>
          </w:tcPr>
          <w:p>
            <w:pPr>
              <w:pStyle w:val="TableContents"/>
              <w:bidi w:val="0"/>
              <w:spacing w:before="0" w:after="283"/>
              <w:jc w:val="left"/>
              <w:rPr/>
            </w:pPr>
            <w:r>
              <w:rPr/>
              <w:t> </w:t>
            </w:r>
          </w:p>
        </w:tc>
        <w:tc>
          <w:tcPr>
            <w:tcW w:w="142" w:type="dxa"/>
            <w:tcBorders/>
            <w:shd w:fill="FFFFFF" w:val="clear"/>
            <w:vAlign w:val="center"/>
          </w:tcPr>
          <w:p>
            <w:pPr>
              <w:pStyle w:val="TableContents"/>
              <w:bidi w:val="0"/>
              <w:spacing w:before="0" w:after="283"/>
              <w:jc w:val="left"/>
              <w:rPr/>
            </w:pPr>
            <w:r>
              <w:rPr/>
              <w:t> </w:t>
            </w:r>
          </w:p>
        </w:tc>
        <w:tc>
          <w:tcPr>
            <w:tcW w:w="553"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3,303</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2" w:type="dxa"/>
            <w:tcBorders/>
            <w:shd w:fill="FFFFFF" w:val="clear"/>
            <w:vAlign w:val="center"/>
          </w:tcPr>
          <w:p>
            <w:pPr>
              <w:pStyle w:val="TableContents"/>
              <w:bidi w:val="0"/>
              <w:spacing w:before="0" w:after="283"/>
              <w:jc w:val="left"/>
              <w:rPr/>
            </w:pPr>
            <w:r>
              <w:rPr/>
              <w:t> </w:t>
            </w:r>
          </w:p>
        </w:tc>
        <w:tc>
          <w:tcPr>
            <w:tcW w:w="708"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5,810</w:t>
            </w:r>
          </w:p>
        </w:tc>
        <w:tc>
          <w:tcPr>
            <w:tcW w:w="95" w:type="dxa"/>
            <w:tcBorders/>
            <w:shd w:fill="FFFFFF" w:val="clear"/>
            <w:vAlign w:val="center"/>
          </w:tcPr>
          <w:p>
            <w:pPr>
              <w:pStyle w:val="TableContents"/>
              <w:bidi w:val="0"/>
              <w:spacing w:before="0" w:after="283"/>
              <w:jc w:val="left"/>
              <w:rPr/>
            </w:pPr>
            <w:r>
              <w:rPr/>
              <w:t> </w:t>
            </w:r>
          </w:p>
        </w:tc>
      </w:tr>
      <w:tr>
        <w:trPr/>
        <w:tc>
          <w:tcPr>
            <w:tcW w:w="245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Less: imputed interest</w:t>
            </w:r>
          </w:p>
        </w:tc>
        <w:tc>
          <w:tcPr>
            <w:tcW w:w="60" w:type="dxa"/>
            <w:tcBorders/>
            <w:shd w:fill="CCEEFF" w:val="clear"/>
            <w:vAlign w:val="center"/>
          </w:tcPr>
          <w:p>
            <w:pPr>
              <w:pStyle w:val="TableContents"/>
              <w:bidi w:val="0"/>
              <w:spacing w:before="0" w:after="283"/>
              <w:jc w:val="left"/>
              <w:rPr/>
            </w:pPr>
            <w:r>
              <w:rPr/>
              <w:t> </w:t>
            </w:r>
          </w:p>
        </w:tc>
        <w:tc>
          <w:tcPr>
            <w:tcW w:w="142"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553"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(177</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82"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708"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(624</w:t>
            </w:r>
          </w:p>
        </w:tc>
        <w:tc>
          <w:tcPr>
            <w:tcW w:w="9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245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Total lease liabilities</w:t>
            </w:r>
          </w:p>
        </w:tc>
        <w:tc>
          <w:tcPr>
            <w:tcW w:w="60" w:type="dxa"/>
            <w:tcBorders/>
            <w:shd w:fill="FFFFFF" w:val="clear"/>
            <w:vAlign w:val="center"/>
          </w:tcPr>
          <w:p>
            <w:pPr>
              <w:pStyle w:val="TableContents"/>
              <w:bidi w:val="0"/>
              <w:spacing w:before="0" w:after="283"/>
              <w:jc w:val="left"/>
              <w:rPr/>
            </w:pPr>
            <w:r>
              <w:rPr/>
              <w:t> </w:t>
            </w:r>
          </w:p>
        </w:tc>
        <w:tc>
          <w:tcPr>
            <w:tcW w:w="142" w:type="dxa"/>
            <w:tcBorders>
              <w:bottom w:val="double" w:sz="10"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553" w:type="dxa"/>
            <w:tcBorders>
              <w:bottom w:val="double" w:sz="10"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3,126</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2" w:type="dxa"/>
            <w:tcBorders>
              <w:bottom w:val="double" w:sz="10"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708" w:type="dxa"/>
            <w:tcBorders>
              <w:bottom w:val="double" w:sz="10"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5,186</w:t>
            </w:r>
          </w:p>
        </w:tc>
        <w:tc>
          <w:tcPr>
            <w:tcW w:w="95"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Company’s consolidated balance sheet includes the following lease liabilities </w:t>
      </w:r>
      <w:r>
        <w:rPr>
          <w:rFonts w:ascii="Times New Roman;Times;Serif" w:hAnsi="Times New Roman;Times;Serif"/>
          <w:b w:val="false"/>
          <w:i/>
          <w:caps w:val="false"/>
          <w:smallCaps w:val="false"/>
          <w:sz w:val="20"/>
        </w:rPr>
        <w:t>(in thousands)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tbl>
      <w:tblPr>
        <w:tblW w:w="9253" w:type="dxa"/>
        <w:jc w:val="left"/>
        <w:tblInd w:w="0" w:type="dxa"/>
        <w:tblLayout w:type="fixed"/>
        <w:tblCellMar>
          <w:top w:w="0" w:type="dxa"/>
          <w:left w:w="0" w:type="dxa"/>
          <w:bottom w:w="0" w:type="dxa"/>
          <w:right w:w="0" w:type="dxa"/>
        </w:tblCellMar>
      </w:tblPr>
      <w:tblGrid>
        <w:gridCol w:w="6650"/>
        <w:gridCol w:w="60"/>
        <w:gridCol w:w="240"/>
        <w:gridCol w:w="934"/>
        <w:gridCol w:w="60"/>
        <w:gridCol w:w="60"/>
        <w:gridCol w:w="240"/>
        <w:gridCol w:w="934"/>
        <w:gridCol w:w="75"/>
      </w:tblGrid>
      <w:tr>
        <w:trPr/>
        <w:tc>
          <w:tcPr>
            <w:tcW w:w="665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468" w:type="dxa"/>
            <w:gridSpan w:val="6"/>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As of</w:t>
            </w:r>
          </w:p>
        </w:tc>
        <w:tc>
          <w:tcPr>
            <w:tcW w:w="75" w:type="dxa"/>
            <w:tcBorders/>
            <w:vAlign w:val="center"/>
          </w:tcPr>
          <w:p>
            <w:pPr>
              <w:pStyle w:val="TableContents"/>
              <w:bidi w:val="0"/>
              <w:spacing w:before="0" w:after="283"/>
              <w:jc w:val="left"/>
              <w:rPr/>
            </w:pPr>
            <w:r>
              <w:rPr/>
              <w:t> </w:t>
            </w:r>
          </w:p>
        </w:tc>
      </w:tr>
      <w:tr>
        <w:trPr/>
        <w:tc>
          <w:tcPr>
            <w:tcW w:w="665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74" w:type="dxa"/>
            <w:gridSpan w:val="2"/>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December 28,</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74" w:type="dxa"/>
            <w:gridSpan w:val="2"/>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December 29,</w:t>
            </w:r>
          </w:p>
        </w:tc>
        <w:tc>
          <w:tcPr>
            <w:tcW w:w="75" w:type="dxa"/>
            <w:tcBorders/>
            <w:vAlign w:val="center"/>
          </w:tcPr>
          <w:p>
            <w:pPr>
              <w:pStyle w:val="TableContents"/>
              <w:bidi w:val="0"/>
              <w:spacing w:before="0" w:after="283"/>
              <w:jc w:val="left"/>
              <w:rPr/>
            </w:pPr>
            <w:r>
              <w:rPr/>
              <w:t> </w:t>
            </w:r>
          </w:p>
        </w:tc>
      </w:tr>
      <w:tr>
        <w:trPr/>
        <w:tc>
          <w:tcPr>
            <w:tcW w:w="665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74"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2025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74"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2024</w:t>
            </w:r>
          </w:p>
        </w:tc>
        <w:tc>
          <w:tcPr>
            <w:tcW w:w="75" w:type="dxa"/>
            <w:tcBorders/>
            <w:vAlign w:val="center"/>
          </w:tcPr>
          <w:p>
            <w:pPr>
              <w:pStyle w:val="TableContents"/>
              <w:bidi w:val="0"/>
              <w:spacing w:before="0" w:after="283"/>
              <w:jc w:val="left"/>
              <w:rPr/>
            </w:pPr>
            <w:r>
              <w:rPr/>
              <w:t> </w:t>
            </w:r>
          </w:p>
        </w:tc>
      </w:tr>
      <w:tr>
        <w:trPr/>
        <w:tc>
          <w:tcPr>
            <w:tcW w:w="665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Operating lease liabilities</w:t>
            </w:r>
          </w:p>
        </w:tc>
        <w:tc>
          <w:tcPr>
            <w:tcW w:w="60" w:type="dxa"/>
            <w:tcBorders/>
            <w:vAlign w:val="center"/>
          </w:tcPr>
          <w:p>
            <w:pPr>
              <w:pStyle w:val="TableContents"/>
              <w:bidi w:val="0"/>
              <w:spacing w:before="0" w:after="283"/>
              <w:jc w:val="left"/>
              <w:rPr/>
            </w:pPr>
            <w:r>
              <w:rPr/>
              <w:t> </w:t>
            </w:r>
          </w:p>
        </w:tc>
        <w:tc>
          <w:tcPr>
            <w:tcW w:w="1174"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74" w:type="dxa"/>
            <w:gridSpan w:val="2"/>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665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Operating lease liabilities, current (Accrued expenses and other current liabilities)</w:t>
            </w:r>
          </w:p>
        </w:tc>
        <w:tc>
          <w:tcPr>
            <w:tcW w:w="60" w:type="dxa"/>
            <w:tcBorders/>
            <w:shd w:fill="CCEEFF" w:val="clear"/>
            <w:vAlign w:val="center"/>
          </w:tcPr>
          <w:p>
            <w:pPr>
              <w:pStyle w:val="TableContents"/>
              <w:bidi w:val="0"/>
              <w:spacing w:before="0" w:after="283"/>
              <w:jc w:val="left"/>
              <w:rPr/>
            </w:pPr>
            <w:r>
              <w:rPr/>
              <w:t> </w:t>
            </w:r>
          </w:p>
        </w:tc>
        <w:tc>
          <w:tcPr>
            <w:tcW w:w="24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934"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2,030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934"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1,412</w:t>
            </w:r>
          </w:p>
        </w:tc>
        <w:tc>
          <w:tcPr>
            <w:tcW w:w="75" w:type="dxa"/>
            <w:tcBorders/>
            <w:shd w:fill="CCEEFF" w:val="clear"/>
            <w:vAlign w:val="center"/>
          </w:tcPr>
          <w:p>
            <w:pPr>
              <w:pStyle w:val="TableContents"/>
              <w:bidi w:val="0"/>
              <w:spacing w:before="0" w:after="283"/>
              <w:jc w:val="left"/>
              <w:rPr/>
            </w:pPr>
            <w:r>
              <w:rPr/>
              <w:t> </w:t>
            </w:r>
          </w:p>
        </w:tc>
      </w:tr>
      <w:tr>
        <w:trPr/>
        <w:tc>
          <w:tcPr>
            <w:tcW w:w="665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Operating lease liabilities, noncurrent (Other long-term liabilities)</w:t>
            </w:r>
          </w:p>
        </w:tc>
        <w:tc>
          <w:tcPr>
            <w:tcW w:w="60" w:type="dxa"/>
            <w:tcBorders/>
            <w:shd w:fill="FFFFFF" w:val="clear"/>
            <w:vAlign w:val="center"/>
          </w:tcPr>
          <w:p>
            <w:pPr>
              <w:pStyle w:val="TableContents"/>
              <w:bidi w:val="0"/>
              <w:spacing w:before="0" w:after="283"/>
              <w:jc w:val="left"/>
              <w:rPr/>
            </w:pPr>
            <w:r>
              <w:rPr/>
              <w:t> </w:t>
            </w:r>
          </w:p>
        </w:tc>
        <w:tc>
          <w:tcPr>
            <w:tcW w:w="2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934"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3,156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934"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2,263</w:t>
            </w:r>
          </w:p>
        </w:tc>
        <w:tc>
          <w:tcPr>
            <w:tcW w:w="75" w:type="dxa"/>
            <w:tcBorders/>
            <w:shd w:fill="FFFFFF" w:val="clear"/>
            <w:vAlign w:val="center"/>
          </w:tcPr>
          <w:p>
            <w:pPr>
              <w:pStyle w:val="TableContents"/>
              <w:bidi w:val="0"/>
              <w:spacing w:before="0" w:after="283"/>
              <w:jc w:val="left"/>
              <w:rPr/>
            </w:pPr>
            <w:r>
              <w:rPr/>
              <w:t> </w:t>
            </w:r>
          </w:p>
        </w:tc>
      </w:tr>
      <w:tr>
        <w:trPr/>
        <w:tc>
          <w:tcPr>
            <w:tcW w:w="665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Total operating lease liabilities</w:t>
            </w:r>
          </w:p>
        </w:tc>
        <w:tc>
          <w:tcPr>
            <w:tcW w:w="60" w:type="dxa"/>
            <w:tcBorders/>
            <w:shd w:fill="CCEEFF" w:val="clear"/>
            <w:vAlign w:val="center"/>
          </w:tcPr>
          <w:p>
            <w:pPr>
              <w:pStyle w:val="TableContents"/>
              <w:bidi w:val="0"/>
              <w:spacing w:before="0" w:after="283"/>
              <w:jc w:val="left"/>
              <w:rPr/>
            </w:pPr>
            <w:r>
              <w:rPr/>
              <w:t> </w:t>
            </w:r>
          </w:p>
        </w:tc>
        <w:tc>
          <w:tcPr>
            <w:tcW w:w="240" w:type="dxa"/>
            <w:tcBorders>
              <w:bottom w:val="double" w:sz="10"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934" w:type="dxa"/>
            <w:tcBorders>
              <w:bottom w:val="double" w:sz="10"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5,186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0" w:type="dxa"/>
            <w:tcBorders>
              <w:bottom w:val="double" w:sz="10"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934" w:type="dxa"/>
            <w:tcBorders>
              <w:bottom w:val="double" w:sz="10"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3,675</w:t>
            </w:r>
          </w:p>
        </w:tc>
        <w:tc>
          <w:tcPr>
            <w:tcW w:w="75" w:type="dxa"/>
            <w:tcBorders/>
            <w:shd w:fill="CCEEFF" w:val="clear"/>
            <w:vAlign w:val="center"/>
          </w:tcPr>
          <w:p>
            <w:pPr>
              <w:pStyle w:val="TableContents"/>
              <w:bidi w:val="0"/>
              <w:spacing w:before="0" w:after="283"/>
              <w:jc w:val="left"/>
              <w:rPr/>
            </w:pPr>
            <w:r>
              <w:rPr/>
              <w:t> </w:t>
            </w:r>
          </w:p>
        </w:tc>
      </w:tr>
      <w:tr>
        <w:trPr/>
        <w:tc>
          <w:tcPr>
            <w:tcW w:w="665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Finance lease liabilities</w:t>
            </w:r>
          </w:p>
        </w:tc>
        <w:tc>
          <w:tcPr>
            <w:tcW w:w="60" w:type="dxa"/>
            <w:tcBorders/>
            <w:shd w:fill="FFFFFF" w:val="clear"/>
            <w:vAlign w:val="center"/>
          </w:tcPr>
          <w:p>
            <w:pPr>
              <w:pStyle w:val="TableContents"/>
              <w:bidi w:val="0"/>
              <w:spacing w:before="0" w:after="283"/>
              <w:jc w:val="left"/>
              <w:rPr/>
            </w:pPr>
            <w:r>
              <w:rPr/>
              <w:t> </w:t>
            </w:r>
          </w:p>
        </w:tc>
        <w:tc>
          <w:tcPr>
            <w:tcW w:w="240" w:type="dxa"/>
            <w:tcBorders/>
            <w:shd w:fill="FFFFFF" w:val="clear"/>
            <w:vAlign w:val="center"/>
          </w:tcPr>
          <w:p>
            <w:pPr>
              <w:pStyle w:val="TableContents"/>
              <w:bidi w:val="0"/>
              <w:spacing w:before="0" w:after="283"/>
              <w:jc w:val="left"/>
              <w:rPr/>
            </w:pPr>
            <w:r>
              <w:rPr/>
              <w:t> </w:t>
            </w:r>
          </w:p>
        </w:tc>
        <w:tc>
          <w:tcPr>
            <w:tcW w:w="934"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40" w:type="dxa"/>
            <w:tcBorders/>
            <w:shd w:fill="FFFFFF" w:val="clear"/>
            <w:vAlign w:val="center"/>
          </w:tcPr>
          <w:p>
            <w:pPr>
              <w:pStyle w:val="TableContents"/>
              <w:bidi w:val="0"/>
              <w:spacing w:before="0" w:after="283"/>
              <w:jc w:val="left"/>
              <w:rPr/>
            </w:pPr>
            <w:r>
              <w:rPr/>
              <w:t> </w:t>
            </w:r>
          </w:p>
        </w:tc>
        <w:tc>
          <w:tcPr>
            <w:tcW w:w="934" w:type="dxa"/>
            <w:tcBorders/>
            <w:shd w:fill="FFFFFF" w:val="clear"/>
            <w:vAlign w:val="center"/>
          </w:tcPr>
          <w:p>
            <w:pPr>
              <w:pStyle w:val="TableContents"/>
              <w:bidi w:val="0"/>
              <w:spacing w:before="0" w:after="283"/>
              <w:jc w:val="right"/>
              <w:rPr/>
            </w:pPr>
            <w:r>
              <w:rPr/>
              <w:t> </w:t>
            </w:r>
          </w:p>
        </w:tc>
        <w:tc>
          <w:tcPr>
            <w:tcW w:w="75" w:type="dxa"/>
            <w:tcBorders/>
            <w:shd w:fill="FFFFFF" w:val="clear"/>
            <w:vAlign w:val="center"/>
          </w:tcPr>
          <w:p>
            <w:pPr>
              <w:pStyle w:val="TableContents"/>
              <w:bidi w:val="0"/>
              <w:spacing w:before="0" w:after="283"/>
              <w:jc w:val="left"/>
              <w:rPr/>
            </w:pPr>
            <w:r>
              <w:rPr/>
              <w:t> </w:t>
            </w:r>
          </w:p>
        </w:tc>
      </w:tr>
      <w:tr>
        <w:trPr/>
        <w:tc>
          <w:tcPr>
            <w:tcW w:w="665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Current portion (Accrued expenses and other current liabilities)</w:t>
            </w:r>
          </w:p>
        </w:tc>
        <w:tc>
          <w:tcPr>
            <w:tcW w:w="60" w:type="dxa"/>
            <w:tcBorders/>
            <w:shd w:fill="CCEEFF" w:val="clear"/>
            <w:vAlign w:val="center"/>
          </w:tcPr>
          <w:p>
            <w:pPr>
              <w:pStyle w:val="TableContents"/>
              <w:bidi w:val="0"/>
              <w:spacing w:before="0" w:after="283"/>
              <w:jc w:val="left"/>
              <w:rPr/>
            </w:pPr>
            <w:r>
              <w:rPr/>
              <w:t> </w:t>
            </w:r>
          </w:p>
        </w:tc>
        <w:tc>
          <w:tcPr>
            <w:tcW w:w="24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934"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1,977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934"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2,053</w:t>
            </w:r>
          </w:p>
        </w:tc>
        <w:tc>
          <w:tcPr>
            <w:tcW w:w="75" w:type="dxa"/>
            <w:tcBorders/>
            <w:shd w:fill="CCEEFF" w:val="clear"/>
            <w:vAlign w:val="center"/>
          </w:tcPr>
          <w:p>
            <w:pPr>
              <w:pStyle w:val="TableContents"/>
              <w:bidi w:val="0"/>
              <w:spacing w:before="0" w:after="283"/>
              <w:jc w:val="left"/>
              <w:rPr/>
            </w:pPr>
            <w:r>
              <w:rPr/>
              <w:t> </w:t>
            </w:r>
          </w:p>
        </w:tc>
      </w:tr>
      <w:tr>
        <w:trPr/>
        <w:tc>
          <w:tcPr>
            <w:tcW w:w="665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Finance lease liabilities, noncurrent (Other long-term liabilities)</w:t>
            </w:r>
          </w:p>
        </w:tc>
        <w:tc>
          <w:tcPr>
            <w:tcW w:w="60" w:type="dxa"/>
            <w:tcBorders/>
            <w:shd w:fill="FFFFFF" w:val="clear"/>
            <w:vAlign w:val="center"/>
          </w:tcPr>
          <w:p>
            <w:pPr>
              <w:pStyle w:val="TableContents"/>
              <w:bidi w:val="0"/>
              <w:spacing w:before="0" w:after="283"/>
              <w:jc w:val="left"/>
              <w:rPr/>
            </w:pPr>
            <w:r>
              <w:rPr/>
              <w:t> </w:t>
            </w:r>
          </w:p>
        </w:tc>
        <w:tc>
          <w:tcPr>
            <w:tcW w:w="2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934"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1,149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934"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1,907</w:t>
            </w:r>
          </w:p>
        </w:tc>
        <w:tc>
          <w:tcPr>
            <w:tcW w:w="75" w:type="dxa"/>
            <w:tcBorders/>
            <w:shd w:fill="FFFFFF" w:val="clear"/>
            <w:vAlign w:val="center"/>
          </w:tcPr>
          <w:p>
            <w:pPr>
              <w:pStyle w:val="TableContents"/>
              <w:bidi w:val="0"/>
              <w:spacing w:before="0" w:after="283"/>
              <w:jc w:val="left"/>
              <w:rPr/>
            </w:pPr>
            <w:r>
              <w:rPr/>
              <w:t> </w:t>
            </w:r>
          </w:p>
        </w:tc>
      </w:tr>
      <w:tr>
        <w:trPr/>
        <w:tc>
          <w:tcPr>
            <w:tcW w:w="665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Total finance lease liabilities</w:t>
            </w:r>
          </w:p>
        </w:tc>
        <w:tc>
          <w:tcPr>
            <w:tcW w:w="60" w:type="dxa"/>
            <w:tcBorders/>
            <w:shd w:fill="CCEEFF" w:val="clear"/>
            <w:vAlign w:val="center"/>
          </w:tcPr>
          <w:p>
            <w:pPr>
              <w:pStyle w:val="TableContents"/>
              <w:bidi w:val="0"/>
              <w:spacing w:before="0" w:after="283"/>
              <w:jc w:val="left"/>
              <w:rPr/>
            </w:pPr>
            <w:r>
              <w:rPr/>
              <w:t> </w:t>
            </w:r>
          </w:p>
        </w:tc>
        <w:tc>
          <w:tcPr>
            <w:tcW w:w="240" w:type="dxa"/>
            <w:tcBorders>
              <w:bottom w:val="double" w:sz="10"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934" w:type="dxa"/>
            <w:tcBorders>
              <w:bottom w:val="double" w:sz="10"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3,126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0" w:type="dxa"/>
            <w:tcBorders>
              <w:bottom w:val="double" w:sz="10"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934" w:type="dxa"/>
            <w:tcBorders>
              <w:bottom w:val="double" w:sz="10"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3,960</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sz w:val="20"/>
          <w:bdr w:val="single" w:sz="12" w:space="1" w:color="000000"/>
        </w:rPr>
      </w:pPr>
      <w:r>
        <w:rPr>
          <w:sz w:val="20"/>
          <w:bdr w:val="single" w:sz="12" w:space="1" w:color="000000"/>
        </w:rPr>
        <w:t>F-94</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Warranty Provision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Warranty activity by period was as follows </w:t>
      </w:r>
      <w:r>
        <w:rPr>
          <w:rFonts w:ascii="Times New Roman;Times;Serif" w:hAnsi="Times New Roman;Times;Serif"/>
          <w:b w:val="false"/>
          <w:i/>
          <w:caps w:val="false"/>
          <w:smallCaps w:val="false"/>
          <w:sz w:val="20"/>
        </w:rPr>
        <w:t>(in thousands)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tbl>
      <w:tblPr>
        <w:tblW w:w="9668" w:type="dxa"/>
        <w:jc w:val="left"/>
        <w:tblInd w:w="0" w:type="dxa"/>
        <w:tblLayout w:type="fixed"/>
        <w:tblCellMar>
          <w:top w:w="0" w:type="dxa"/>
          <w:left w:w="0" w:type="dxa"/>
          <w:bottom w:w="0" w:type="dxa"/>
          <w:right w:w="0" w:type="dxa"/>
        </w:tblCellMar>
      </w:tblPr>
      <w:tblGrid>
        <w:gridCol w:w="7010"/>
        <w:gridCol w:w="60"/>
        <w:gridCol w:w="218"/>
        <w:gridCol w:w="956"/>
        <w:gridCol w:w="89"/>
        <w:gridCol w:w="66"/>
        <w:gridCol w:w="240"/>
        <w:gridCol w:w="934"/>
        <w:gridCol w:w="95"/>
      </w:tblGrid>
      <w:tr>
        <w:trPr/>
        <w:tc>
          <w:tcPr>
            <w:tcW w:w="701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503" w:type="dxa"/>
            <w:gridSpan w:val="6"/>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Fiscal Year Ended</w:t>
            </w:r>
          </w:p>
        </w:tc>
        <w:tc>
          <w:tcPr>
            <w:tcW w:w="95" w:type="dxa"/>
            <w:tcBorders/>
            <w:vAlign w:val="center"/>
          </w:tcPr>
          <w:p>
            <w:pPr>
              <w:pStyle w:val="TableContents"/>
              <w:bidi w:val="0"/>
              <w:spacing w:before="0" w:after="283"/>
              <w:jc w:val="left"/>
              <w:rPr/>
            </w:pPr>
            <w:r>
              <w:rPr/>
              <w:t> </w:t>
            </w:r>
          </w:p>
        </w:tc>
      </w:tr>
      <w:tr>
        <w:trPr/>
        <w:tc>
          <w:tcPr>
            <w:tcW w:w="701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74" w:type="dxa"/>
            <w:gridSpan w:val="2"/>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December 28,</w:t>
            </w:r>
          </w:p>
        </w:tc>
        <w:tc>
          <w:tcPr>
            <w:tcW w:w="89" w:type="dxa"/>
            <w:tcBorders/>
            <w:vAlign w:val="center"/>
          </w:tcPr>
          <w:p>
            <w:pPr>
              <w:pStyle w:val="TableContents"/>
              <w:bidi w:val="0"/>
              <w:spacing w:before="0" w:after="283"/>
              <w:jc w:val="left"/>
              <w:rPr/>
            </w:pPr>
            <w:r>
              <w:rPr/>
              <w:t> </w:t>
            </w:r>
          </w:p>
        </w:tc>
        <w:tc>
          <w:tcPr>
            <w:tcW w:w="66" w:type="dxa"/>
            <w:tcBorders/>
            <w:vAlign w:val="center"/>
          </w:tcPr>
          <w:p>
            <w:pPr>
              <w:pStyle w:val="TableContents"/>
              <w:bidi w:val="0"/>
              <w:spacing w:before="0" w:after="283"/>
              <w:jc w:val="left"/>
              <w:rPr/>
            </w:pPr>
            <w:r>
              <w:rPr/>
              <w:t> </w:t>
            </w:r>
          </w:p>
        </w:tc>
        <w:tc>
          <w:tcPr>
            <w:tcW w:w="1174" w:type="dxa"/>
            <w:gridSpan w:val="2"/>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December 29,</w:t>
            </w:r>
          </w:p>
        </w:tc>
        <w:tc>
          <w:tcPr>
            <w:tcW w:w="95" w:type="dxa"/>
            <w:tcBorders/>
            <w:vAlign w:val="center"/>
          </w:tcPr>
          <w:p>
            <w:pPr>
              <w:pStyle w:val="TableContents"/>
              <w:bidi w:val="0"/>
              <w:spacing w:before="0" w:after="283"/>
              <w:jc w:val="left"/>
              <w:rPr/>
            </w:pPr>
            <w:r>
              <w:rPr/>
              <w:t> </w:t>
            </w:r>
          </w:p>
        </w:tc>
      </w:tr>
      <w:tr>
        <w:trPr/>
        <w:tc>
          <w:tcPr>
            <w:tcW w:w="701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74"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2025</w:t>
            </w:r>
          </w:p>
        </w:tc>
        <w:tc>
          <w:tcPr>
            <w:tcW w:w="89" w:type="dxa"/>
            <w:tcBorders/>
            <w:vAlign w:val="center"/>
          </w:tcPr>
          <w:p>
            <w:pPr>
              <w:pStyle w:val="TableContents"/>
              <w:bidi w:val="0"/>
              <w:spacing w:before="0" w:after="283"/>
              <w:jc w:val="left"/>
              <w:rPr/>
            </w:pPr>
            <w:r>
              <w:rPr/>
              <w:t> </w:t>
            </w:r>
          </w:p>
        </w:tc>
        <w:tc>
          <w:tcPr>
            <w:tcW w:w="66" w:type="dxa"/>
            <w:tcBorders/>
            <w:vAlign w:val="center"/>
          </w:tcPr>
          <w:p>
            <w:pPr>
              <w:pStyle w:val="TableContents"/>
              <w:bidi w:val="0"/>
              <w:spacing w:before="0" w:after="283"/>
              <w:jc w:val="left"/>
              <w:rPr/>
            </w:pPr>
            <w:r>
              <w:rPr/>
              <w:t> </w:t>
            </w:r>
          </w:p>
        </w:tc>
        <w:tc>
          <w:tcPr>
            <w:tcW w:w="1174"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2024</w:t>
            </w:r>
          </w:p>
        </w:tc>
        <w:tc>
          <w:tcPr>
            <w:tcW w:w="95" w:type="dxa"/>
            <w:tcBorders/>
            <w:vAlign w:val="center"/>
          </w:tcPr>
          <w:p>
            <w:pPr>
              <w:pStyle w:val="TableContents"/>
              <w:bidi w:val="0"/>
              <w:spacing w:before="0" w:after="283"/>
              <w:jc w:val="left"/>
              <w:rPr/>
            </w:pPr>
            <w:r>
              <w:rPr/>
              <w:t> </w:t>
            </w:r>
          </w:p>
        </w:tc>
      </w:tr>
      <w:tr>
        <w:trPr/>
        <w:tc>
          <w:tcPr>
            <w:tcW w:w="701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Warranty provision, beginning of period</w:t>
            </w:r>
          </w:p>
        </w:tc>
        <w:tc>
          <w:tcPr>
            <w:tcW w:w="60" w:type="dxa"/>
            <w:tcBorders/>
            <w:shd w:fill="CCEEFF" w:val="clear"/>
            <w:vAlign w:val="center"/>
          </w:tcPr>
          <w:p>
            <w:pPr>
              <w:pStyle w:val="TableContents"/>
              <w:bidi w:val="0"/>
              <w:spacing w:before="0" w:after="283"/>
              <w:jc w:val="left"/>
              <w:rPr/>
            </w:pPr>
            <w:r>
              <w:rPr/>
              <w:t> </w:t>
            </w:r>
          </w:p>
        </w:tc>
        <w:tc>
          <w:tcPr>
            <w:tcW w:w="218"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956"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5,968</w:t>
            </w:r>
          </w:p>
        </w:tc>
        <w:tc>
          <w:tcPr>
            <w:tcW w:w="89" w:type="dxa"/>
            <w:tcBorders/>
            <w:shd w:fill="CCEEFF" w:val="clear"/>
            <w:vAlign w:val="center"/>
          </w:tcPr>
          <w:p>
            <w:pPr>
              <w:pStyle w:val="TableContents"/>
              <w:bidi w:val="0"/>
              <w:spacing w:before="0" w:after="283"/>
              <w:jc w:val="left"/>
              <w:rPr/>
            </w:pPr>
            <w:r>
              <w:rPr/>
              <w:t> </w:t>
            </w:r>
          </w:p>
        </w:tc>
        <w:tc>
          <w:tcPr>
            <w:tcW w:w="66" w:type="dxa"/>
            <w:tcBorders/>
            <w:shd w:fill="CCEEFF" w:val="clear"/>
            <w:vAlign w:val="center"/>
          </w:tcPr>
          <w:p>
            <w:pPr>
              <w:pStyle w:val="TableContents"/>
              <w:bidi w:val="0"/>
              <w:spacing w:before="0" w:after="283"/>
              <w:jc w:val="left"/>
              <w:rPr/>
            </w:pPr>
            <w:r>
              <w:rPr/>
              <w:t> </w:t>
            </w:r>
          </w:p>
        </w:tc>
        <w:tc>
          <w:tcPr>
            <w:tcW w:w="24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934"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4,849</w:t>
            </w:r>
          </w:p>
        </w:tc>
        <w:tc>
          <w:tcPr>
            <w:tcW w:w="95" w:type="dxa"/>
            <w:tcBorders/>
            <w:shd w:fill="CCEEFF" w:val="clear"/>
            <w:vAlign w:val="center"/>
          </w:tcPr>
          <w:p>
            <w:pPr>
              <w:pStyle w:val="TableContents"/>
              <w:bidi w:val="0"/>
              <w:spacing w:before="0" w:after="283"/>
              <w:jc w:val="left"/>
              <w:rPr/>
            </w:pPr>
            <w:r>
              <w:rPr/>
              <w:t> </w:t>
            </w:r>
          </w:p>
        </w:tc>
      </w:tr>
      <w:tr>
        <w:trPr/>
        <w:tc>
          <w:tcPr>
            <w:tcW w:w="701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Warranty liability from Business Combination</w:t>
            </w:r>
          </w:p>
        </w:tc>
        <w:tc>
          <w:tcPr>
            <w:tcW w:w="60" w:type="dxa"/>
            <w:tcBorders/>
            <w:shd w:fill="FFFFFF" w:val="clear"/>
            <w:vAlign w:val="center"/>
          </w:tcPr>
          <w:p>
            <w:pPr>
              <w:pStyle w:val="TableContents"/>
              <w:bidi w:val="0"/>
              <w:spacing w:before="0" w:after="283"/>
              <w:jc w:val="left"/>
              <w:rPr/>
            </w:pPr>
            <w:r>
              <w:rPr/>
              <w:t> </w:t>
            </w:r>
          </w:p>
        </w:tc>
        <w:tc>
          <w:tcPr>
            <w:tcW w:w="218" w:type="dxa"/>
            <w:tcBorders/>
            <w:shd w:fill="FFFFFF" w:val="clear"/>
            <w:vAlign w:val="center"/>
          </w:tcPr>
          <w:p>
            <w:pPr>
              <w:pStyle w:val="TableContents"/>
              <w:bidi w:val="0"/>
              <w:spacing w:before="0" w:after="283"/>
              <w:jc w:val="left"/>
              <w:rPr/>
            </w:pPr>
            <w:r>
              <w:rPr/>
              <w:t> </w:t>
            </w:r>
          </w:p>
        </w:tc>
        <w:tc>
          <w:tcPr>
            <w:tcW w:w="956" w:type="dxa"/>
            <w:tcBorders/>
            <w:shd w:fill="FFFFFF" w:val="clear"/>
            <w:vAlign w:val="center"/>
          </w:tcPr>
          <w:p>
            <w:pPr>
              <w:pStyle w:val="TableContents"/>
              <w:bidi w:val="0"/>
              <w:spacing w:before="0" w:after="283"/>
              <w:jc w:val="right"/>
              <w:rPr/>
            </w:pPr>
            <w:r>
              <w:rPr/>
              <w:t>—</w:t>
            </w:r>
          </w:p>
        </w:tc>
        <w:tc>
          <w:tcPr>
            <w:tcW w:w="89" w:type="dxa"/>
            <w:tcBorders/>
            <w:shd w:fill="FFFFFF" w:val="clear"/>
            <w:vAlign w:val="center"/>
          </w:tcPr>
          <w:p>
            <w:pPr>
              <w:pStyle w:val="TableContents"/>
              <w:bidi w:val="0"/>
              <w:spacing w:before="0" w:after="283"/>
              <w:jc w:val="left"/>
              <w:rPr/>
            </w:pPr>
            <w:r>
              <w:rPr/>
              <w:t> </w:t>
            </w:r>
          </w:p>
        </w:tc>
        <w:tc>
          <w:tcPr>
            <w:tcW w:w="66" w:type="dxa"/>
            <w:tcBorders/>
            <w:shd w:fill="FFFFFF" w:val="clear"/>
            <w:vAlign w:val="center"/>
          </w:tcPr>
          <w:p>
            <w:pPr>
              <w:pStyle w:val="TableContents"/>
              <w:bidi w:val="0"/>
              <w:spacing w:before="0" w:after="283"/>
              <w:jc w:val="left"/>
              <w:rPr/>
            </w:pPr>
            <w:r>
              <w:rPr/>
              <w:t> </w:t>
            </w:r>
          </w:p>
        </w:tc>
        <w:tc>
          <w:tcPr>
            <w:tcW w:w="240" w:type="dxa"/>
            <w:tcBorders/>
            <w:shd w:fill="FFFFFF" w:val="clear"/>
            <w:vAlign w:val="center"/>
          </w:tcPr>
          <w:p>
            <w:pPr>
              <w:pStyle w:val="TableContents"/>
              <w:bidi w:val="0"/>
              <w:spacing w:before="0" w:after="283"/>
              <w:jc w:val="left"/>
              <w:rPr/>
            </w:pPr>
            <w:r>
              <w:rPr/>
              <w:t> </w:t>
            </w:r>
          </w:p>
        </w:tc>
        <w:tc>
          <w:tcPr>
            <w:tcW w:w="934"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582</w:t>
            </w:r>
          </w:p>
        </w:tc>
        <w:tc>
          <w:tcPr>
            <w:tcW w:w="95" w:type="dxa"/>
            <w:tcBorders/>
            <w:shd w:fill="FFFFFF" w:val="clear"/>
            <w:vAlign w:val="center"/>
          </w:tcPr>
          <w:p>
            <w:pPr>
              <w:pStyle w:val="TableContents"/>
              <w:bidi w:val="0"/>
              <w:spacing w:before="0" w:after="283"/>
              <w:jc w:val="left"/>
              <w:rPr/>
            </w:pPr>
            <w:r>
              <w:rPr/>
              <w:t> </w:t>
            </w:r>
          </w:p>
        </w:tc>
      </w:tr>
      <w:tr>
        <w:trPr/>
        <w:tc>
          <w:tcPr>
            <w:tcW w:w="701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Accruals for new warranties issued</w:t>
            </w:r>
          </w:p>
        </w:tc>
        <w:tc>
          <w:tcPr>
            <w:tcW w:w="60" w:type="dxa"/>
            <w:tcBorders/>
            <w:shd w:fill="CCEEFF" w:val="clear"/>
            <w:vAlign w:val="center"/>
          </w:tcPr>
          <w:p>
            <w:pPr>
              <w:pStyle w:val="TableContents"/>
              <w:bidi w:val="0"/>
              <w:spacing w:before="0" w:after="283"/>
              <w:jc w:val="left"/>
              <w:rPr/>
            </w:pPr>
            <w:r>
              <w:rPr/>
              <w:t> </w:t>
            </w:r>
          </w:p>
        </w:tc>
        <w:tc>
          <w:tcPr>
            <w:tcW w:w="218" w:type="dxa"/>
            <w:tcBorders/>
            <w:shd w:fill="CCEEFF" w:val="clear"/>
            <w:vAlign w:val="center"/>
          </w:tcPr>
          <w:p>
            <w:pPr>
              <w:pStyle w:val="TableContents"/>
              <w:bidi w:val="0"/>
              <w:spacing w:before="0" w:after="283"/>
              <w:jc w:val="left"/>
              <w:rPr/>
            </w:pPr>
            <w:r>
              <w:rPr/>
              <w:t> </w:t>
            </w:r>
          </w:p>
        </w:tc>
        <w:tc>
          <w:tcPr>
            <w:tcW w:w="956"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246</w:t>
            </w:r>
          </w:p>
        </w:tc>
        <w:tc>
          <w:tcPr>
            <w:tcW w:w="89" w:type="dxa"/>
            <w:tcBorders/>
            <w:shd w:fill="CCEEFF" w:val="clear"/>
            <w:vAlign w:val="center"/>
          </w:tcPr>
          <w:p>
            <w:pPr>
              <w:pStyle w:val="TableContents"/>
              <w:bidi w:val="0"/>
              <w:spacing w:before="0" w:after="283"/>
              <w:jc w:val="left"/>
              <w:rPr/>
            </w:pPr>
            <w:r>
              <w:rPr/>
              <w:t> </w:t>
            </w:r>
          </w:p>
        </w:tc>
        <w:tc>
          <w:tcPr>
            <w:tcW w:w="66" w:type="dxa"/>
            <w:tcBorders/>
            <w:shd w:fill="CCEEFF" w:val="clear"/>
            <w:vAlign w:val="center"/>
          </w:tcPr>
          <w:p>
            <w:pPr>
              <w:pStyle w:val="TableContents"/>
              <w:bidi w:val="0"/>
              <w:spacing w:before="0" w:after="283"/>
              <w:jc w:val="left"/>
              <w:rPr/>
            </w:pPr>
            <w:r>
              <w:rPr/>
              <w:t> </w:t>
            </w:r>
          </w:p>
        </w:tc>
        <w:tc>
          <w:tcPr>
            <w:tcW w:w="240" w:type="dxa"/>
            <w:tcBorders/>
            <w:shd w:fill="CCEEFF" w:val="clear"/>
            <w:vAlign w:val="center"/>
          </w:tcPr>
          <w:p>
            <w:pPr>
              <w:pStyle w:val="TableContents"/>
              <w:bidi w:val="0"/>
              <w:spacing w:before="0" w:after="283"/>
              <w:jc w:val="left"/>
              <w:rPr/>
            </w:pPr>
            <w:r>
              <w:rPr/>
              <w:t> </w:t>
            </w:r>
          </w:p>
        </w:tc>
        <w:tc>
          <w:tcPr>
            <w:tcW w:w="934"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695</w:t>
            </w:r>
          </w:p>
        </w:tc>
        <w:tc>
          <w:tcPr>
            <w:tcW w:w="95" w:type="dxa"/>
            <w:tcBorders/>
            <w:shd w:fill="CCEEFF" w:val="clear"/>
            <w:vAlign w:val="center"/>
          </w:tcPr>
          <w:p>
            <w:pPr>
              <w:pStyle w:val="TableContents"/>
              <w:bidi w:val="0"/>
              <w:spacing w:before="0" w:after="283"/>
              <w:jc w:val="left"/>
              <w:rPr/>
            </w:pPr>
            <w:r>
              <w:rPr/>
              <w:t> </w:t>
            </w:r>
          </w:p>
        </w:tc>
      </w:tr>
      <w:tr>
        <w:trPr/>
        <w:tc>
          <w:tcPr>
            <w:tcW w:w="701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Settlements and other</w:t>
            </w:r>
          </w:p>
        </w:tc>
        <w:tc>
          <w:tcPr>
            <w:tcW w:w="60" w:type="dxa"/>
            <w:tcBorders/>
            <w:shd w:fill="FFFFFF" w:val="clear"/>
            <w:vAlign w:val="center"/>
          </w:tcPr>
          <w:p>
            <w:pPr>
              <w:pStyle w:val="TableContents"/>
              <w:bidi w:val="0"/>
              <w:spacing w:before="0" w:after="283"/>
              <w:jc w:val="left"/>
              <w:rPr/>
            </w:pPr>
            <w:r>
              <w:rPr/>
              <w:t> </w:t>
            </w:r>
          </w:p>
        </w:tc>
        <w:tc>
          <w:tcPr>
            <w:tcW w:w="218"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956"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(1,561</w:t>
            </w:r>
          </w:p>
        </w:tc>
        <w:tc>
          <w:tcPr>
            <w:tcW w:w="89"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6" w:type="dxa"/>
            <w:tcBorders/>
            <w:shd w:fill="FFFFFF" w:val="clear"/>
            <w:vAlign w:val="center"/>
          </w:tcPr>
          <w:p>
            <w:pPr>
              <w:pStyle w:val="TableContents"/>
              <w:bidi w:val="0"/>
              <w:spacing w:before="0" w:after="283"/>
              <w:jc w:val="left"/>
              <w:rPr/>
            </w:pPr>
            <w:r>
              <w:rPr/>
              <w:t> </w:t>
            </w:r>
          </w:p>
        </w:tc>
        <w:tc>
          <w:tcPr>
            <w:tcW w:w="2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934"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(158</w:t>
            </w:r>
          </w:p>
        </w:tc>
        <w:tc>
          <w:tcPr>
            <w:tcW w:w="9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701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Warranty provision, end of period</w:t>
            </w:r>
          </w:p>
        </w:tc>
        <w:tc>
          <w:tcPr>
            <w:tcW w:w="60" w:type="dxa"/>
            <w:tcBorders/>
            <w:shd w:fill="CCEEFF" w:val="clear"/>
            <w:vAlign w:val="center"/>
          </w:tcPr>
          <w:p>
            <w:pPr>
              <w:pStyle w:val="TableContents"/>
              <w:bidi w:val="0"/>
              <w:spacing w:before="0" w:after="283"/>
              <w:jc w:val="left"/>
              <w:rPr/>
            </w:pPr>
            <w:r>
              <w:rPr/>
              <w:t> </w:t>
            </w:r>
          </w:p>
        </w:tc>
        <w:tc>
          <w:tcPr>
            <w:tcW w:w="218" w:type="dxa"/>
            <w:tcBorders>
              <w:bottom w:val="double" w:sz="10"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956" w:type="dxa"/>
            <w:tcBorders>
              <w:bottom w:val="double" w:sz="10"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4,653</w:t>
            </w:r>
          </w:p>
        </w:tc>
        <w:tc>
          <w:tcPr>
            <w:tcW w:w="89" w:type="dxa"/>
            <w:tcBorders/>
            <w:shd w:fill="CCEEFF" w:val="clear"/>
            <w:vAlign w:val="center"/>
          </w:tcPr>
          <w:p>
            <w:pPr>
              <w:pStyle w:val="TableContents"/>
              <w:bidi w:val="0"/>
              <w:spacing w:before="0" w:after="283"/>
              <w:jc w:val="left"/>
              <w:rPr/>
            </w:pPr>
            <w:r>
              <w:rPr/>
              <w:t> </w:t>
            </w:r>
          </w:p>
        </w:tc>
        <w:tc>
          <w:tcPr>
            <w:tcW w:w="66" w:type="dxa"/>
            <w:tcBorders/>
            <w:shd w:fill="CCEEFF" w:val="clear"/>
            <w:vAlign w:val="center"/>
          </w:tcPr>
          <w:p>
            <w:pPr>
              <w:pStyle w:val="TableContents"/>
              <w:bidi w:val="0"/>
              <w:spacing w:before="0" w:after="283"/>
              <w:jc w:val="left"/>
              <w:rPr/>
            </w:pPr>
            <w:r>
              <w:rPr/>
              <w:t> </w:t>
            </w:r>
          </w:p>
        </w:tc>
        <w:tc>
          <w:tcPr>
            <w:tcW w:w="240" w:type="dxa"/>
            <w:tcBorders>
              <w:bottom w:val="double" w:sz="10"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934" w:type="dxa"/>
            <w:tcBorders>
              <w:bottom w:val="double" w:sz="10"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5,968</w:t>
            </w:r>
          </w:p>
        </w:tc>
        <w:tc>
          <w:tcPr>
            <w:tcW w:w="95" w:type="dxa"/>
            <w:tcBorders/>
            <w:shd w:fill="CCEEFF" w:val="clear"/>
            <w:vAlign w:val="center"/>
          </w:tcPr>
          <w:p>
            <w:pPr>
              <w:pStyle w:val="TableContents"/>
              <w:bidi w:val="0"/>
              <w:spacing w:before="0" w:after="283"/>
              <w:jc w:val="left"/>
              <w:rPr/>
            </w:pPr>
            <w:r>
              <w:rPr/>
              <w:t> </w:t>
            </w:r>
          </w:p>
        </w:tc>
      </w:tr>
      <w:tr>
        <w:trPr/>
        <w:tc>
          <w:tcPr>
            <w:tcW w:w="701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Balance sheet classification</w:t>
            </w:r>
          </w:p>
        </w:tc>
        <w:tc>
          <w:tcPr>
            <w:tcW w:w="60" w:type="dxa"/>
            <w:tcBorders/>
            <w:shd w:fill="FFFFFF" w:val="clear"/>
            <w:vAlign w:val="center"/>
          </w:tcPr>
          <w:p>
            <w:pPr>
              <w:pStyle w:val="TableContents"/>
              <w:bidi w:val="0"/>
              <w:spacing w:before="0" w:after="283"/>
              <w:jc w:val="left"/>
              <w:rPr/>
            </w:pPr>
            <w:r>
              <w:rPr/>
              <w:t> </w:t>
            </w:r>
          </w:p>
        </w:tc>
        <w:tc>
          <w:tcPr>
            <w:tcW w:w="218" w:type="dxa"/>
            <w:tcBorders/>
            <w:shd w:fill="FFFFFF" w:val="clear"/>
            <w:vAlign w:val="center"/>
          </w:tcPr>
          <w:p>
            <w:pPr>
              <w:pStyle w:val="TableContents"/>
              <w:bidi w:val="0"/>
              <w:spacing w:before="0" w:after="283"/>
              <w:jc w:val="left"/>
              <w:rPr/>
            </w:pPr>
            <w:r>
              <w:rPr/>
              <w:t> </w:t>
            </w:r>
          </w:p>
        </w:tc>
        <w:tc>
          <w:tcPr>
            <w:tcW w:w="956" w:type="dxa"/>
            <w:tcBorders/>
            <w:shd w:fill="FFFFFF" w:val="clear"/>
            <w:vAlign w:val="center"/>
          </w:tcPr>
          <w:p>
            <w:pPr>
              <w:pStyle w:val="TableContents"/>
              <w:bidi w:val="0"/>
              <w:spacing w:before="0" w:after="283"/>
              <w:jc w:val="right"/>
              <w:rPr/>
            </w:pPr>
            <w:r>
              <w:rPr/>
              <w:t> </w:t>
            </w:r>
          </w:p>
        </w:tc>
        <w:tc>
          <w:tcPr>
            <w:tcW w:w="89" w:type="dxa"/>
            <w:tcBorders/>
            <w:shd w:fill="FFFFFF" w:val="clear"/>
            <w:vAlign w:val="center"/>
          </w:tcPr>
          <w:p>
            <w:pPr>
              <w:pStyle w:val="TableContents"/>
              <w:bidi w:val="0"/>
              <w:spacing w:before="0" w:after="283"/>
              <w:jc w:val="left"/>
              <w:rPr/>
            </w:pPr>
            <w:r>
              <w:rPr/>
              <w:t> </w:t>
            </w:r>
          </w:p>
        </w:tc>
        <w:tc>
          <w:tcPr>
            <w:tcW w:w="66" w:type="dxa"/>
            <w:tcBorders/>
            <w:shd w:fill="FFFFFF" w:val="clear"/>
            <w:vAlign w:val="center"/>
          </w:tcPr>
          <w:p>
            <w:pPr>
              <w:pStyle w:val="TableContents"/>
              <w:bidi w:val="0"/>
              <w:spacing w:before="0" w:after="283"/>
              <w:jc w:val="left"/>
              <w:rPr/>
            </w:pPr>
            <w:r>
              <w:rPr/>
              <w:t> </w:t>
            </w:r>
          </w:p>
        </w:tc>
        <w:tc>
          <w:tcPr>
            <w:tcW w:w="240" w:type="dxa"/>
            <w:tcBorders/>
            <w:shd w:fill="FFFFFF" w:val="clear"/>
            <w:vAlign w:val="center"/>
          </w:tcPr>
          <w:p>
            <w:pPr>
              <w:pStyle w:val="TableContents"/>
              <w:bidi w:val="0"/>
              <w:spacing w:before="0" w:after="283"/>
              <w:jc w:val="left"/>
              <w:rPr/>
            </w:pPr>
            <w:r>
              <w:rPr/>
              <w:t> </w:t>
            </w:r>
          </w:p>
        </w:tc>
        <w:tc>
          <w:tcPr>
            <w:tcW w:w="934"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r>
      <w:tr>
        <w:trPr/>
        <w:tc>
          <w:tcPr>
            <w:tcW w:w="701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Accrued warranty current (Classified in Accrued expenses and other current liabilities)</w:t>
            </w:r>
          </w:p>
        </w:tc>
        <w:tc>
          <w:tcPr>
            <w:tcW w:w="60" w:type="dxa"/>
            <w:tcBorders/>
            <w:shd w:fill="CCEEFF" w:val="clear"/>
            <w:vAlign w:val="center"/>
          </w:tcPr>
          <w:p>
            <w:pPr>
              <w:pStyle w:val="TableContents"/>
              <w:bidi w:val="0"/>
              <w:spacing w:before="0" w:after="283"/>
              <w:jc w:val="left"/>
              <w:rPr/>
            </w:pPr>
            <w:r>
              <w:rPr/>
              <w:t> </w:t>
            </w:r>
          </w:p>
        </w:tc>
        <w:tc>
          <w:tcPr>
            <w:tcW w:w="218"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956"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1,594</w:t>
            </w:r>
          </w:p>
        </w:tc>
        <w:tc>
          <w:tcPr>
            <w:tcW w:w="89" w:type="dxa"/>
            <w:tcBorders/>
            <w:shd w:fill="CCEEFF" w:val="clear"/>
            <w:vAlign w:val="center"/>
          </w:tcPr>
          <w:p>
            <w:pPr>
              <w:pStyle w:val="TableContents"/>
              <w:bidi w:val="0"/>
              <w:spacing w:before="0" w:after="283"/>
              <w:jc w:val="left"/>
              <w:rPr/>
            </w:pPr>
            <w:r>
              <w:rPr/>
              <w:t> </w:t>
            </w:r>
          </w:p>
        </w:tc>
        <w:tc>
          <w:tcPr>
            <w:tcW w:w="66" w:type="dxa"/>
            <w:tcBorders/>
            <w:shd w:fill="CCEEFF" w:val="clear"/>
            <w:vAlign w:val="center"/>
          </w:tcPr>
          <w:p>
            <w:pPr>
              <w:pStyle w:val="TableContents"/>
              <w:bidi w:val="0"/>
              <w:spacing w:before="0" w:after="283"/>
              <w:jc w:val="left"/>
              <w:rPr/>
            </w:pPr>
            <w:r>
              <w:rPr/>
              <w:t> </w:t>
            </w:r>
          </w:p>
        </w:tc>
        <w:tc>
          <w:tcPr>
            <w:tcW w:w="24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934"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2,531</w:t>
            </w:r>
          </w:p>
        </w:tc>
        <w:tc>
          <w:tcPr>
            <w:tcW w:w="95" w:type="dxa"/>
            <w:tcBorders/>
            <w:shd w:fill="CCEEFF" w:val="clear"/>
            <w:vAlign w:val="center"/>
          </w:tcPr>
          <w:p>
            <w:pPr>
              <w:pStyle w:val="TableContents"/>
              <w:bidi w:val="0"/>
              <w:spacing w:before="0" w:after="283"/>
              <w:jc w:val="left"/>
              <w:rPr/>
            </w:pPr>
            <w:r>
              <w:rPr/>
              <w:t> </w:t>
            </w:r>
          </w:p>
        </w:tc>
      </w:tr>
      <w:tr>
        <w:trPr/>
        <w:tc>
          <w:tcPr>
            <w:tcW w:w="701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Warranty provision, noncurrent</w:t>
            </w:r>
          </w:p>
        </w:tc>
        <w:tc>
          <w:tcPr>
            <w:tcW w:w="60" w:type="dxa"/>
            <w:tcBorders/>
            <w:shd w:fill="FFFFFF" w:val="clear"/>
            <w:vAlign w:val="center"/>
          </w:tcPr>
          <w:p>
            <w:pPr>
              <w:pStyle w:val="TableContents"/>
              <w:bidi w:val="0"/>
              <w:spacing w:before="0" w:after="283"/>
              <w:jc w:val="left"/>
              <w:rPr/>
            </w:pPr>
            <w:r>
              <w:rPr/>
              <w:t> </w:t>
            </w:r>
          </w:p>
        </w:tc>
        <w:tc>
          <w:tcPr>
            <w:tcW w:w="218"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956"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3,059</w:t>
            </w:r>
          </w:p>
        </w:tc>
        <w:tc>
          <w:tcPr>
            <w:tcW w:w="89" w:type="dxa"/>
            <w:tcBorders/>
            <w:shd w:fill="FFFFFF" w:val="clear"/>
            <w:vAlign w:val="center"/>
          </w:tcPr>
          <w:p>
            <w:pPr>
              <w:pStyle w:val="TableContents"/>
              <w:bidi w:val="0"/>
              <w:spacing w:before="0" w:after="283"/>
              <w:jc w:val="left"/>
              <w:rPr/>
            </w:pPr>
            <w:r>
              <w:rPr/>
              <w:t> </w:t>
            </w:r>
          </w:p>
        </w:tc>
        <w:tc>
          <w:tcPr>
            <w:tcW w:w="66" w:type="dxa"/>
            <w:tcBorders/>
            <w:shd w:fill="FFFFFF" w:val="clear"/>
            <w:vAlign w:val="center"/>
          </w:tcPr>
          <w:p>
            <w:pPr>
              <w:pStyle w:val="TableContents"/>
              <w:bidi w:val="0"/>
              <w:spacing w:before="0" w:after="283"/>
              <w:jc w:val="left"/>
              <w:rPr/>
            </w:pPr>
            <w:r>
              <w:rPr/>
              <w:t> </w:t>
            </w:r>
          </w:p>
        </w:tc>
        <w:tc>
          <w:tcPr>
            <w:tcW w:w="2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934"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3,437</w:t>
            </w:r>
          </w:p>
        </w:tc>
        <w:tc>
          <w:tcPr>
            <w:tcW w:w="95" w:type="dxa"/>
            <w:tcBorders/>
            <w:shd w:fill="FFFFFF" w:val="clear"/>
            <w:vAlign w:val="center"/>
          </w:tcPr>
          <w:p>
            <w:pPr>
              <w:pStyle w:val="TableContents"/>
              <w:bidi w:val="0"/>
              <w:spacing w:before="0" w:after="283"/>
              <w:jc w:val="left"/>
              <w:rPr/>
            </w:pPr>
            <w:r>
              <w:rPr/>
              <w:t> </w:t>
            </w:r>
          </w:p>
        </w:tc>
      </w:tr>
      <w:tr>
        <w:trPr/>
        <w:tc>
          <w:tcPr>
            <w:tcW w:w="701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Total warranty liability</w:t>
            </w:r>
          </w:p>
        </w:tc>
        <w:tc>
          <w:tcPr>
            <w:tcW w:w="60" w:type="dxa"/>
            <w:tcBorders/>
            <w:shd w:fill="CCEEFF" w:val="clear"/>
            <w:vAlign w:val="center"/>
          </w:tcPr>
          <w:p>
            <w:pPr>
              <w:pStyle w:val="TableContents"/>
              <w:bidi w:val="0"/>
              <w:spacing w:before="0" w:after="283"/>
              <w:jc w:val="left"/>
              <w:rPr/>
            </w:pPr>
            <w:r>
              <w:rPr/>
              <w:t> </w:t>
            </w:r>
          </w:p>
        </w:tc>
        <w:tc>
          <w:tcPr>
            <w:tcW w:w="218" w:type="dxa"/>
            <w:tcBorders>
              <w:bottom w:val="double" w:sz="10"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956" w:type="dxa"/>
            <w:tcBorders>
              <w:bottom w:val="double" w:sz="10"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4,653</w:t>
            </w:r>
          </w:p>
        </w:tc>
        <w:tc>
          <w:tcPr>
            <w:tcW w:w="89" w:type="dxa"/>
            <w:tcBorders/>
            <w:shd w:fill="CCEEFF" w:val="clear"/>
            <w:vAlign w:val="center"/>
          </w:tcPr>
          <w:p>
            <w:pPr>
              <w:pStyle w:val="TableContents"/>
              <w:bidi w:val="0"/>
              <w:spacing w:before="0" w:after="283"/>
              <w:jc w:val="left"/>
              <w:rPr/>
            </w:pPr>
            <w:r>
              <w:rPr/>
              <w:t> </w:t>
            </w:r>
          </w:p>
        </w:tc>
        <w:tc>
          <w:tcPr>
            <w:tcW w:w="66" w:type="dxa"/>
            <w:tcBorders/>
            <w:shd w:fill="CCEEFF" w:val="clear"/>
            <w:vAlign w:val="center"/>
          </w:tcPr>
          <w:p>
            <w:pPr>
              <w:pStyle w:val="TableContents"/>
              <w:bidi w:val="0"/>
              <w:spacing w:before="0" w:after="283"/>
              <w:jc w:val="left"/>
              <w:rPr/>
            </w:pPr>
            <w:r>
              <w:rPr/>
              <w:t> </w:t>
            </w:r>
          </w:p>
        </w:tc>
        <w:tc>
          <w:tcPr>
            <w:tcW w:w="240" w:type="dxa"/>
            <w:tcBorders>
              <w:bottom w:val="double" w:sz="10"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934" w:type="dxa"/>
            <w:tcBorders>
              <w:bottom w:val="double" w:sz="10"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5,968</w:t>
            </w:r>
          </w:p>
        </w:tc>
        <w:tc>
          <w:tcPr>
            <w:tcW w:w="9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Indemnification Agreements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From time to time, in its normal course of business, the Company may indemnify other parties with which it enters into contractual relationships, including customers, lessors, and parties to other transactions with the Company. The Company may agree to hold other parties harmless against specific losses, such as those that could arise from breach of representation, covenant or third-party infringement claims. It may not be possible to determine the maximum potential amount of liability under such indemnification agreements due to the unique facts and circumstances that are likely to be involved in each particular claim and indemnification provision. Historically, there have been no such indemnification claims. In the opinion of management, any liabilities resulting from these agreements would not have a material adverse effect on the business, financial position, results of operations, or cash flows of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Settlement of dispute with SunPower Debtors Bankruptcy Estate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Following the consummation of the acquisition of certain assets and assumption of certain liabilities of SunPower Debtors on September 30, 2024, certain matters pertaining to the acquisition were under dispute which included 1) amounts owed to and from the buyer and seller with respect to amounts held in escrow related to the consideration transferred, 2) the right to the cash acquired in the acquisition, and 3) the right for the Company to sell and collect for certain solar systems that were acquired as a part of the acquisition that were sold or are to be sold to homebuilders within the New Homes Business. On June 25, 2025, all matters under dispute were resolved by the Company and the SunPower Bankruptcy Estate. Matters 1) and 2) were resolved with such that no amounts were required to be paid (or received) by the Company. Matter 3) was resolved such that the Company has the right to sell the related inventory acquired and collect the underlying sales price for the sale of the solar system. In connection with each system sold, the Company is required to remit a portion of the sales price to the SunPower Bankruptcy Estate.  The impact of the related settlement is not anticipated to be material.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Legal Matters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is a party to various legal proceedings and claims which arise in the ordinary course of business. The Company records a liability when it is probable that a loss has been incurred and the amount of the loss can be reasonably estimated. If the Company determines that a loss is reasonably possible and the loss or range of loss can be reasonably estimated, the Company discloses the reasonably possible loss. The Company adjusts its accruals to reflect the impact of negotiations, settlements, rulings, advice of legal counsel and other information and events pertaining to a particular case. Legal costs are expensed as incurred. Although claims are inherently unpredictable, the Company is not aware of any matters that may have a material adverse effect on the Company’s business, financial position, results of operations, or cash flows. The Company has a loss contingency for legal settlements of $9.5 million and $7.7 million recorded within accrued expenses and other current liabilities on its consolidated balance sheets as of December 28, 2025 and December 29, 2024, respectively.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sz w:val="20"/>
          <w:bdr w:val="single" w:sz="12" w:space="1" w:color="000000"/>
        </w:rPr>
      </w:pPr>
      <w:r>
        <w:rPr>
          <w:sz w:val="20"/>
          <w:bdr w:val="single" w:sz="12" w:space="1" w:color="000000"/>
        </w:rPr>
        <w:t>F-95</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SolarPark Litigation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January 2023, SolarPark Korea Co., LTD (“SolarPark”) demanded approximately $80.0 million during discussions between the Company and SolarPark. In February 2023, the Company submitted its statement of claim seeking approximately $26.4 million in damages against SolarPark. The ultimate outcome of this arbitration is currently unknown and could result in a material liability to the Company. However, the Company believes that the allegations lack merit and intends to vigorously defend all claims asserted.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March 16, 2023, SolarPark filed a complaint against the Company in the U.S. District Court for the Northern District of California (“the Court”). The complaint alleges a civil conspiracy involving misappropriation of trade secrets, defamation, tortious interference with contractual relations, inducement to breach of contract, and violation of California’s Unfair Competition Law. The complaint indicates that SolarPark has suffered in excess of $220.0 million in damages.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May 11, 2023, SolarPark filed a motion for preliminary injunction to seek an order restraining the Company from using or disclosing SolarPark’s trade secrets, making or selling shingled modules other than those produced by SolarPark, and from soliciting solar module manufacturers to produce shingled modules using Solaria’s shingled patents. On May 18, 2023, the Company responded by filing a motion for partial dismissal and stay. On June 1, 2023, SolarPark filed an opposition to the Company’s motion for dismissal and stay and a reply in support of their motion for preliminary injunction. On June 8, 2023, the Company replied in support of its motion for partial dismissal and stay. On July 11, 2023, the Court conducted a hearing to consider SolarPark’s and the Company’s respective motions. On August 3, 2023, the Court issued a ruling, which granted the preliminary injunction motion with respect to any purported misappropriation of SolarPark’s trade secrets. The Court’s ruling does not prohibit the Company from producing shingled modules or from utilizing its own patents for the manufacture of shingled modules. The Court denied SolarPark’s motion seeking a defamation injunction. The Court denied the Company’s motion to dismiss and granted the Company’s motion to stay the entire litigation pending the arbitration in Singapore. On September 1, 2023, the Company filed a Limited Notice of Appeal to appeal the August 2023 order granting SolarPark’s motion for preliminary injunction. On September 26, 2023, the Company filed a Notice of Withdrawal of Appeal and will not appeal the Court’s Preliminary Injunction Order. Between August 2023 and March 2024, the parties were engaged in discovery negotiations and the Company produced documents to SolarPark. The Company produced its last set of documents on March 14, 2024. On August 14, 2025, the Court held a virtual hearing and revived the case. SolarPark subsequently amended the complaint, and the Company responded on October 14, 2025, with a motion to dismiss the complaint in its entirety. The Company also believes it has valid counterclaims to pursue against SolarPark. The litigation remains ongoing.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liability has been recorded on the Company’s consolidated financial statements as the likelihood of a loss is not probable at this time.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Siemens Litigation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July 22, 2021, Siemens Government Technologies, Inc. (“Siemens Government Technologies”) filed a lawsuit against Solaria Corporation in Fairfax Circuit Court (the “Circuit Court”) in Fairfax, Virginia. On July 27, 2023, Siemens Government Technologies moved to amend the complaint to add Siemens Industry Inc. as a co-plaintiff. This motion was granted on August 25, 2023. On October 23, 2023, Siemens Government Technologies and Siemens Industry Inc. (collectively, “Siemens”) and Solaria Corporation stipulated to add Solar CA, LLC as a co-defendant. Solaria Corporation and Solar CA, LLC (collectively, the “Subsidiaries”) are both wholly-owned subsidiaries of the Company. In the lawsuit, Siemens alleged that the Subsidiaries breached express and implied warranties under a purchase order that Siemens placed with the Subsidiaries for a solar module system. Siemens claimed damages of approximately $6.9 million, inclusive of amounts of the Subsidiaries’ indemnity obligations to Siemens, plus attorneys’ fees.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sz w:val="20"/>
          <w:bdr w:val="single" w:sz="12" w:space="1" w:color="000000"/>
        </w:rPr>
      </w:pPr>
      <w:r>
        <w:rPr>
          <w:sz w:val="20"/>
          <w:bdr w:val="single" w:sz="12" w:space="1" w:color="000000"/>
        </w:rPr>
        <w:t>F-96</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February 22, 2024, the Circuit Court issued an order against the Subsidiaries which awarded Siemens approximately $6.9 million, inclusive of the amounts of the Subsidiaries’ indemnity obligations to Siemens, plus attorneys’ fees, the amount of which would be determined at a later hearing. On March 15, 2024, Siemens filed a motion seeking to recover $2.67 million for attorneys’ fees, expenses, and pre-and post-judgment interest. The Company opposed Siemens’ motion for attorneys’ fees, expenses, and pre- and post-judgment interest on April 5, 2024. On June 17, 2024, the Circuit Court entered a final order which awarded Siemens a total of $2.0 million in attorneys’ fees and costs. The Company appealed these judgments.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to the above, on August 19, 2024, Siemens applied for the enforcement to a sister state judgment in the Superior Court of Alameda, California and the court entered a judgement in favor of Siemens. On December 9, 2024, Siemens moved to amend the judgment to add the Company as a judgement debtor. The Subsidiaries opposed the Siemens motion. On June 30, 2025, the California court found that the Company should be added as a judgment debtor party in California. In addition, the parties argued the appeal of the underlying Virginia litigation on July 24, 2025. On September 23, 2025, the Virginia Court of Appeals issued a decision on the appeal, affirming the original lower court decision and judgment against the Company. The Alameda County litigation has continued with several upcoming deadlines related to the already-noticed appeal and Siemens’ motion for fees and costs.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recognized $6.9 million as a legal settlement loss related to this litigation as of December 31, 2023. The Company recorded additional expense of $1.1 million and $2.0 million within discontinued operations in the years ended December 28, 2025 and December 29, 2024, respectively, for attorneys’ fees, expenses, and pre-judgment interest related to this matter. The legal settlement liability associated with this matter is included within accrued expenses and other current liabilities on the Company’s consolidated balance sheet as of December 28, 2025.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December 4, 2025, the Company entered into a global Settlement Agreement (“Settlement Agreement”) with Siemens to resolve the case and other related cases as well as to resolve potential claims related to Siemens’ Atwater Wastewater Treatment Plant. In exchange for full releases, the Company agreed to pay Siemens $9.5 million spread across four payments to be made at the end of each calendar quarter during 2026. If the Company successfully engages in any form of new financing or new debt worth $1.0 million or more, or successfully obtains shareholder approval for the issuance of additional shares in connection with the raise of additional funds and/or any merger or acquisition activity, the next due quarterly payment to Siemens (if any) becomes immediately due and payable. The settlement payment to Siemens is secured by a first-priority continuing security interest in $9.5 million of Company collateral. This security interest is reduced on a one-to-one basis as the settlement payments are made.</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LGCY Power, LLC Matter</w:t>
      </w:r>
    </w:p>
    <w:p>
      <w:pPr>
        <w:pStyle w:val="TextBody"/>
        <w:bidi w:val="0"/>
        <w:jc w:val="both"/>
        <w:rPr>
          <w:caps w:val="false"/>
          <w:smallCaps w:val="false"/>
        </w:rPr>
      </w:pPr>
      <w:r>
        <w:rPr>
          <w:caps w:val="false"/>
          <w:smallCaps w:val="false"/>
        </w:rPr>
        <w:t> </w:t>
      </w:r>
    </w:p>
    <w:p>
      <w:pPr>
        <w:pStyle w:val="TextBody"/>
        <w:bidi w:val="0"/>
        <w:jc w:val="both"/>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LGCY Power, LLC (“LGCY”) markets and sells residential solar energy systems throughout the United States, and is a competitor of the Company. In 2019, LGCY filed suit against Sunder and several individuals associated with Sunder. LGCY asserts claims of over $16.0 million against Sunder and its associated individuals. LGCY’s claims against Sunder and its associated individuals center on the alleged misappropriation of LGCY’s confidential information, the alleged wrongful solicitation of LGCY’s customers and potential customers, and the alleged wrongful solicitation of LGCY’s sales representatives. In addition, several of the Sunder associated individuals have filed counterclaims against LGCY for declaratory relief, unjust enrichment, and breach of contract based on LGCY’s failure to pay these individuals earned sales commissions following their resignations as LGCY sales managers. LGCY denies these claims. The Company denies LGCY’s claims.</w:t>
      </w:r>
    </w:p>
    <w:p>
      <w:pPr>
        <w:pStyle w:val="TextBody"/>
        <w:bidi w:val="0"/>
        <w:jc w:val="both"/>
        <w:rPr>
          <w:caps w:val="false"/>
          <w:smallCaps w:val="false"/>
        </w:rPr>
      </w:pPr>
      <w:r>
        <w:rPr>
          <w:caps w:val="false"/>
          <w:smallCaps w:val="false"/>
        </w:rPr>
        <w:t> </w:t>
      </w:r>
    </w:p>
    <w:p>
      <w:pPr>
        <w:pStyle w:val="TextBody"/>
        <w:bidi w:val="0"/>
        <w:jc w:val="both"/>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The Company has assumed the defense of the case, including the costs of defense, following the Company’s acquisition of Sunder in September 2025. Under the terms of the Sunder MIPA, the Seller agreed to indemnify the Company in the event of damages (such as a settlement or an adverse judgement) stemming from LGCY’s claims, separate and apart from their other indemnification obligations or limitations in the Sunder MIPA. Discovery is complete and no trial date has been set. Both sides have filed various summary judgment motions, and oral arguments for these motions are scheduled for July 2, 2026.</w:t>
      </w:r>
    </w:p>
    <w:p>
      <w:pPr>
        <w:pStyle w:val="TextBody"/>
        <w:bidi w:val="0"/>
        <w:jc w:val="both"/>
        <w:rPr>
          <w:caps w:val="false"/>
          <w:smallCaps w:val="false"/>
        </w:rPr>
      </w:pPr>
      <w:r>
        <w:rPr>
          <w:caps w:val="false"/>
          <w:smallCaps w:val="false"/>
        </w:rPr>
        <w:t> </w:t>
      </w:r>
    </w:p>
    <w:p>
      <w:pPr>
        <w:pStyle w:val="TextBody"/>
        <w:bidi w:val="0"/>
        <w:jc w:val="both"/>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Based upon information currently available, management is unable to determine the probability of an adverse outcome or to reasonably estimate the amount or range of potential loss, if any. Accordingly, no provision for loss has been recorded in the accompanying consolidated financial statements. While the ultimate resolution of these matters could have a material effect on the Company’s results of operations, cash flows, or financial position, management believes that the resolution will not have a material adverse effect on the Company’s financial condition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Letters of Credit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Company had $3.5 million of outstanding letters of credit as of December 28, 2025 and December 29, 2024. The Company is required to maintain specified amounts of cash as collateral in segregated accounts to support the letters of credit issued thereunder. As discussed in </w:t>
      </w:r>
      <w:r>
        <w:rPr>
          <w:rFonts w:ascii="Times New Roman;Times;Serif" w:hAnsi="Times New Roman;Times;Serif"/>
          <w:b/>
          <w:i w:val="false"/>
          <w:caps w:val="false"/>
          <w:smallCaps w:val="false"/>
          <w:sz w:val="20"/>
        </w:rPr>
        <w:t>Note 2 – Summary of Significant Accounting Policies</w:t>
      </w:r>
      <w:r>
        <w:rPr>
          <w:rFonts w:ascii="Times New Roman;Times;Serif" w:hAnsi="Times New Roman;Times;Serif"/>
          <w:b w:val="false"/>
          <w:i w:val="false"/>
          <w:caps w:val="false"/>
          <w:smallCaps w:val="false"/>
          <w:sz w:val="20"/>
        </w:rPr>
        <w:t>, the cash collateral in these restricted cash accounts was $3.8 million at each of December 28, 2025 and December 29, 2024.</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sz w:val="20"/>
          <w:bdr w:val="single" w:sz="12" w:space="1" w:color="000000"/>
        </w:rPr>
      </w:pPr>
      <w:r>
        <w:rPr>
          <w:sz w:val="20"/>
          <w:bdr w:val="single" w:sz="12" w:space="1" w:color="000000"/>
        </w:rPr>
        <w:t>F-97</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(13) Income Taxes</w:t>
      </w:r>
    </w:p>
    <w:p>
      <w:pPr>
        <w:pStyle w:val="TextBody"/>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Company’s loss from continuing and discontinued operations before provision for income taxes for the fiscal years ended December 28, 2025 and December 29, 2024, was as follows </w:t>
      </w:r>
      <w:r>
        <w:rPr>
          <w:rFonts w:ascii="Times New Roman;Times;Serif" w:hAnsi="Times New Roman;Times;Serif"/>
          <w:b w:val="false"/>
          <w:i/>
          <w:caps w:val="false"/>
          <w:smallCaps w:val="false"/>
          <w:sz w:val="20"/>
        </w:rPr>
        <w:t>(in thousands)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tbl>
      <w:tblPr>
        <w:tblW w:w="8513" w:type="dxa"/>
        <w:jc w:val="left"/>
        <w:tblInd w:w="0" w:type="dxa"/>
        <w:tblLayout w:type="fixed"/>
        <w:tblCellMar>
          <w:top w:w="0" w:type="dxa"/>
          <w:left w:w="0" w:type="dxa"/>
          <w:bottom w:w="0" w:type="dxa"/>
          <w:right w:w="0" w:type="dxa"/>
        </w:tblCellMar>
      </w:tblPr>
      <w:tblGrid>
        <w:gridCol w:w="5240"/>
        <w:gridCol w:w="60"/>
        <w:gridCol w:w="230"/>
        <w:gridCol w:w="1244"/>
        <w:gridCol w:w="95"/>
        <w:gridCol w:w="60"/>
        <w:gridCol w:w="230"/>
        <w:gridCol w:w="1244"/>
        <w:gridCol w:w="110"/>
      </w:tblGrid>
      <w:tr>
        <w:trPr/>
        <w:tc>
          <w:tcPr>
            <w:tcW w:w="524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103"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Fiscal Year Ended</w:t>
            </w:r>
          </w:p>
        </w:tc>
        <w:tc>
          <w:tcPr>
            <w:tcW w:w="110" w:type="dxa"/>
            <w:tcBorders/>
            <w:vAlign w:val="center"/>
          </w:tcPr>
          <w:p>
            <w:pPr>
              <w:pStyle w:val="TableContents"/>
              <w:bidi w:val="0"/>
              <w:spacing w:before="0" w:after="283"/>
              <w:jc w:val="left"/>
              <w:rPr/>
            </w:pPr>
            <w:r>
              <w:rPr/>
              <w:t> </w:t>
            </w:r>
          </w:p>
        </w:tc>
      </w:tr>
      <w:tr>
        <w:trPr/>
        <w:tc>
          <w:tcPr>
            <w:tcW w:w="524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474"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 xml:space="preserve">December 28, </w:t>
              <w:br/>
              <w:t>2025</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74"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 xml:space="preserve">December 29, </w:t>
              <w:br/>
              <w:t>2024</w:t>
            </w:r>
          </w:p>
        </w:tc>
        <w:tc>
          <w:tcPr>
            <w:tcW w:w="110" w:type="dxa"/>
            <w:tcBorders/>
            <w:vAlign w:val="center"/>
          </w:tcPr>
          <w:p>
            <w:pPr>
              <w:pStyle w:val="TableContents"/>
              <w:bidi w:val="0"/>
              <w:spacing w:before="0" w:after="283"/>
              <w:jc w:val="left"/>
              <w:rPr/>
            </w:pPr>
            <w:r>
              <w:rPr/>
              <w:t> </w:t>
            </w:r>
          </w:p>
        </w:tc>
      </w:tr>
      <w:tr>
        <w:trPr/>
        <w:tc>
          <w:tcPr>
            <w:tcW w:w="5240" w:type="dxa"/>
            <w:tcBorders/>
            <w:shd w:fill="CCEEFF" w:val="clear"/>
            <w:vAlign w:val="center"/>
          </w:tcPr>
          <w:p>
            <w:pPr>
              <w:pStyle w:val="TableContents"/>
              <w:bidi w:val="0"/>
              <w:spacing w:before="0" w:after="283"/>
              <w:jc w:val="left"/>
              <w:rPr/>
            </w:pPr>
            <w:r>
              <w:rPr/>
              <w:t>Domestic</w:t>
            </w:r>
          </w:p>
        </w:tc>
        <w:tc>
          <w:tcPr>
            <w:tcW w:w="60" w:type="dxa"/>
            <w:tcBorders/>
            <w:shd w:fill="CCEEFF" w:val="clear"/>
            <w:vAlign w:val="center"/>
          </w:tcPr>
          <w:p>
            <w:pPr>
              <w:pStyle w:val="TableContents"/>
              <w:bidi w:val="0"/>
              <w:spacing w:before="0" w:after="283"/>
              <w:jc w:val="left"/>
              <w:rPr/>
            </w:pPr>
            <w:r>
              <w:rPr/>
              <w:t> </w:t>
            </w:r>
          </w:p>
        </w:tc>
        <w:tc>
          <w:tcPr>
            <w:tcW w:w="230" w:type="dxa"/>
            <w:tcBorders/>
            <w:shd w:fill="CCEEFF" w:val="clear"/>
            <w:vAlign w:val="center"/>
          </w:tcPr>
          <w:p>
            <w:pPr>
              <w:pStyle w:val="TableContents"/>
              <w:bidi w:val="0"/>
              <w:spacing w:before="0" w:after="283"/>
              <w:jc w:val="left"/>
              <w:rPr/>
            </w:pPr>
            <w:r>
              <w:rPr/>
              <w:t>$</w:t>
            </w:r>
          </w:p>
        </w:tc>
        <w:tc>
          <w:tcPr>
            <w:tcW w:w="1244" w:type="dxa"/>
            <w:tcBorders/>
            <w:shd w:fill="CCEEFF" w:val="clear"/>
            <w:vAlign w:val="center"/>
          </w:tcPr>
          <w:p>
            <w:pPr>
              <w:pStyle w:val="TableContents"/>
              <w:bidi w:val="0"/>
              <w:spacing w:before="0" w:after="283"/>
              <w:jc w:val="right"/>
              <w:rPr/>
            </w:pPr>
            <w:r>
              <w:rPr/>
              <w:t>(42,676</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230" w:type="dxa"/>
            <w:tcBorders/>
            <w:shd w:fill="CCEEFF" w:val="clear"/>
            <w:vAlign w:val="center"/>
          </w:tcPr>
          <w:p>
            <w:pPr>
              <w:pStyle w:val="TableContents"/>
              <w:bidi w:val="0"/>
              <w:spacing w:before="0" w:after="283"/>
              <w:jc w:val="left"/>
              <w:rPr/>
            </w:pPr>
            <w:r>
              <w:rPr/>
              <w:t>$</w:t>
            </w:r>
          </w:p>
        </w:tc>
        <w:tc>
          <w:tcPr>
            <w:tcW w:w="1244" w:type="dxa"/>
            <w:tcBorders/>
            <w:shd w:fill="CCEEFF" w:val="clear"/>
            <w:vAlign w:val="center"/>
          </w:tcPr>
          <w:p>
            <w:pPr>
              <w:pStyle w:val="TableContents"/>
              <w:bidi w:val="0"/>
              <w:spacing w:before="0" w:after="283"/>
              <w:jc w:val="right"/>
              <w:rPr/>
            </w:pPr>
            <w:r>
              <w:rPr/>
              <w:t>(54,444</w:t>
            </w:r>
          </w:p>
        </w:tc>
        <w:tc>
          <w:tcPr>
            <w:tcW w:w="110" w:type="dxa"/>
            <w:tcBorders/>
            <w:shd w:fill="CCEEFF" w:val="clear"/>
            <w:vAlign w:val="center"/>
          </w:tcPr>
          <w:p>
            <w:pPr>
              <w:pStyle w:val="TableContents"/>
              <w:bidi w:val="0"/>
              <w:spacing w:before="0" w:after="283"/>
              <w:jc w:val="left"/>
              <w:rPr/>
            </w:pPr>
            <w:r>
              <w:rPr/>
              <w:t>)</w:t>
            </w:r>
          </w:p>
        </w:tc>
      </w:tr>
      <w:tr>
        <w:trPr/>
        <w:tc>
          <w:tcPr>
            <w:tcW w:w="5240" w:type="dxa"/>
            <w:tcBorders/>
            <w:shd w:fill="FFFFFF" w:val="clear"/>
            <w:vAlign w:val="center"/>
          </w:tcPr>
          <w:p>
            <w:pPr>
              <w:pStyle w:val="TableContents"/>
              <w:bidi w:val="0"/>
              <w:spacing w:before="0" w:after="283"/>
              <w:jc w:val="left"/>
              <w:rPr/>
            </w:pPr>
            <w:r>
              <w:rPr/>
              <w:t>Foreign</w:t>
            </w:r>
          </w:p>
        </w:tc>
        <w:tc>
          <w:tcPr>
            <w:tcW w:w="60" w:type="dxa"/>
            <w:tcBorders/>
            <w:shd w:fill="FFFFFF" w:val="clear"/>
            <w:vAlign w:val="center"/>
          </w:tcPr>
          <w:p>
            <w:pPr>
              <w:pStyle w:val="TableContents"/>
              <w:bidi w:val="0"/>
              <w:spacing w:before="0" w:after="283"/>
              <w:jc w:val="left"/>
              <w:rPr/>
            </w:pPr>
            <w:r>
              <w:rPr/>
              <w:t> </w:t>
            </w:r>
          </w:p>
        </w:tc>
        <w:tc>
          <w:tcPr>
            <w:tcW w:w="23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44"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44"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110" w:type="dxa"/>
            <w:tcBorders/>
            <w:shd w:fill="FFFFFF" w:val="clear"/>
            <w:vAlign w:val="center"/>
          </w:tcPr>
          <w:p>
            <w:pPr>
              <w:pStyle w:val="TableContents"/>
              <w:bidi w:val="0"/>
              <w:spacing w:before="0" w:after="283"/>
              <w:jc w:val="left"/>
              <w:rPr/>
            </w:pPr>
            <w:r>
              <w:rPr/>
              <w:t> </w:t>
            </w:r>
          </w:p>
        </w:tc>
      </w:tr>
      <w:tr>
        <w:trPr/>
        <w:tc>
          <w:tcPr>
            <w:tcW w:w="5240" w:type="dxa"/>
            <w:tcBorders/>
            <w:shd w:fill="CCEEFF" w:val="clear"/>
            <w:vAlign w:val="center"/>
          </w:tcPr>
          <w:p>
            <w:pPr>
              <w:pStyle w:val="TableContents"/>
              <w:bidi w:val="0"/>
              <w:spacing w:before="0" w:after="283"/>
              <w:jc w:val="left"/>
              <w:rPr/>
            </w:pPr>
            <w:r>
              <w:rPr/>
              <w:t>Loss from continuing operations before income taxes</w:t>
            </w:r>
          </w:p>
        </w:tc>
        <w:tc>
          <w:tcPr>
            <w:tcW w:w="60" w:type="dxa"/>
            <w:tcBorders/>
            <w:shd w:fill="CCEEFF" w:val="clear"/>
            <w:vAlign w:val="center"/>
          </w:tcPr>
          <w:p>
            <w:pPr>
              <w:pStyle w:val="TableContents"/>
              <w:bidi w:val="0"/>
              <w:spacing w:before="0" w:after="283"/>
              <w:jc w:val="left"/>
              <w:rPr/>
            </w:pPr>
            <w:r>
              <w:rPr/>
              <w:t> </w:t>
            </w:r>
          </w:p>
        </w:tc>
        <w:tc>
          <w:tcPr>
            <w:tcW w:w="230"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244" w:type="dxa"/>
            <w:tcBorders>
              <w:bottom w:val="double" w:sz="10" w:space="0" w:color="000000"/>
            </w:tcBorders>
            <w:shd w:fill="CCEEFF" w:val="clear"/>
            <w:tcMar>
              <w:bottom w:w="28" w:type="dxa"/>
            </w:tcMar>
            <w:vAlign w:val="center"/>
          </w:tcPr>
          <w:p>
            <w:pPr>
              <w:pStyle w:val="TableContents"/>
              <w:bidi w:val="0"/>
              <w:spacing w:before="0" w:after="283"/>
              <w:jc w:val="right"/>
              <w:rPr/>
            </w:pPr>
            <w:r>
              <w:rPr/>
              <w:t>(42,676</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230"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244" w:type="dxa"/>
            <w:tcBorders>
              <w:bottom w:val="double" w:sz="10" w:space="0" w:color="000000"/>
            </w:tcBorders>
            <w:shd w:fill="CCEEFF" w:val="clear"/>
            <w:tcMar>
              <w:bottom w:w="28" w:type="dxa"/>
            </w:tcMar>
            <w:vAlign w:val="center"/>
          </w:tcPr>
          <w:p>
            <w:pPr>
              <w:pStyle w:val="TableContents"/>
              <w:bidi w:val="0"/>
              <w:spacing w:before="0" w:after="283"/>
              <w:jc w:val="right"/>
              <w:rPr/>
            </w:pPr>
            <w:r>
              <w:rPr/>
              <w:t>(54,444</w:t>
            </w:r>
          </w:p>
        </w:tc>
        <w:tc>
          <w:tcPr>
            <w:tcW w:w="110" w:type="dxa"/>
            <w:tcBorders/>
            <w:shd w:fill="CCEEFF" w:val="clear"/>
            <w:vAlign w:val="center"/>
          </w:tcPr>
          <w:p>
            <w:pPr>
              <w:pStyle w:val="TableContents"/>
              <w:bidi w:val="0"/>
              <w:spacing w:before="0" w:after="283"/>
              <w:jc w:val="left"/>
              <w:rPr/>
            </w:pPr>
            <w:r>
              <w:rPr/>
              <w:t>)</w:t>
            </w:r>
          </w:p>
        </w:tc>
      </w:tr>
      <w:tr>
        <w:trPr/>
        <w:tc>
          <w:tcPr>
            <w:tcW w:w="524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0" w:type="dxa"/>
            <w:tcBorders/>
            <w:shd w:fill="FFFFFF" w:val="clear"/>
            <w:vAlign w:val="center"/>
          </w:tcPr>
          <w:p>
            <w:pPr>
              <w:pStyle w:val="TableContents"/>
              <w:bidi w:val="0"/>
              <w:spacing w:before="0" w:after="283"/>
              <w:jc w:val="left"/>
              <w:rPr/>
            </w:pPr>
            <w:r>
              <w:rPr/>
              <w:t> </w:t>
            </w:r>
          </w:p>
        </w:tc>
        <w:tc>
          <w:tcPr>
            <w:tcW w:w="1244"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0" w:type="dxa"/>
            <w:tcBorders/>
            <w:shd w:fill="FFFFFF" w:val="clear"/>
            <w:vAlign w:val="center"/>
          </w:tcPr>
          <w:p>
            <w:pPr>
              <w:pStyle w:val="TableContents"/>
              <w:bidi w:val="0"/>
              <w:spacing w:before="0" w:after="283"/>
              <w:jc w:val="left"/>
              <w:rPr/>
            </w:pPr>
            <w:r>
              <w:rPr/>
              <w:t> </w:t>
            </w:r>
          </w:p>
        </w:tc>
        <w:tc>
          <w:tcPr>
            <w:tcW w:w="1244"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5240" w:type="dxa"/>
            <w:tcBorders/>
            <w:shd w:fill="CCEEFF" w:val="clear"/>
            <w:vAlign w:val="center"/>
          </w:tcPr>
          <w:p>
            <w:pPr>
              <w:pStyle w:val="TableContents"/>
              <w:bidi w:val="0"/>
              <w:spacing w:before="0" w:after="283"/>
              <w:jc w:val="left"/>
              <w:rPr/>
            </w:pPr>
            <w:r>
              <w:rPr/>
              <w:t>Loss from discontinued operations before income taxes</w:t>
            </w:r>
          </w:p>
        </w:tc>
        <w:tc>
          <w:tcPr>
            <w:tcW w:w="60" w:type="dxa"/>
            <w:tcBorders/>
            <w:shd w:fill="CCEEFF" w:val="clear"/>
            <w:vAlign w:val="center"/>
          </w:tcPr>
          <w:p>
            <w:pPr>
              <w:pStyle w:val="TableContents"/>
              <w:bidi w:val="0"/>
              <w:spacing w:before="0" w:after="283"/>
              <w:jc w:val="left"/>
              <w:rPr/>
            </w:pPr>
            <w:r>
              <w:rPr/>
              <w:t> </w:t>
            </w:r>
          </w:p>
        </w:tc>
        <w:tc>
          <w:tcPr>
            <w:tcW w:w="230"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244" w:type="dxa"/>
            <w:tcBorders>
              <w:bottom w:val="double" w:sz="10" w:space="0" w:color="000000"/>
            </w:tcBorders>
            <w:shd w:fill="CCEEFF" w:val="clear"/>
            <w:tcMar>
              <w:bottom w:w="28" w:type="dxa"/>
            </w:tcMar>
            <w:vAlign w:val="center"/>
          </w:tcPr>
          <w:p>
            <w:pPr>
              <w:pStyle w:val="TableContents"/>
              <w:bidi w:val="0"/>
              <w:spacing w:before="0" w:after="283"/>
              <w:jc w:val="right"/>
              <w:rPr/>
            </w:pPr>
            <w:r>
              <w:rPr/>
              <w:t>(1,100</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230"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244" w:type="dxa"/>
            <w:tcBorders>
              <w:bottom w:val="double" w:sz="10" w:space="0" w:color="000000"/>
            </w:tcBorders>
            <w:shd w:fill="CCEEFF" w:val="clear"/>
            <w:tcMar>
              <w:bottom w:w="28" w:type="dxa"/>
            </w:tcMar>
            <w:vAlign w:val="center"/>
          </w:tcPr>
          <w:p>
            <w:pPr>
              <w:pStyle w:val="TableContents"/>
              <w:bidi w:val="0"/>
              <w:spacing w:before="0" w:after="283"/>
              <w:jc w:val="right"/>
              <w:rPr/>
            </w:pPr>
            <w:r>
              <w:rPr/>
              <w:t>(2,007</w:t>
            </w:r>
          </w:p>
        </w:tc>
        <w:tc>
          <w:tcPr>
            <w:tcW w:w="110" w:type="dxa"/>
            <w:tcBorders/>
            <w:shd w:fill="CCEEFF" w:val="clear"/>
            <w:vAlign w:val="center"/>
          </w:tcPr>
          <w:p>
            <w:pPr>
              <w:pStyle w:val="TableContents"/>
              <w:bidi w:val="0"/>
              <w:spacing w:before="0" w:after="283"/>
              <w:jc w:val="left"/>
              <w:rPr/>
            </w:pPr>
            <w:r>
              <w:rPr/>
              <w: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components of income tax benefit from continuing and discontinued operations were as follows (</w:t>
      </w:r>
      <w:r>
        <w:rPr>
          <w:rFonts w:ascii="Times New Roman;Times;Serif" w:hAnsi="Times New Roman;Times;Serif"/>
          <w:b w:val="false"/>
          <w:i/>
          <w:caps w:val="false"/>
          <w:smallCaps w:val="false"/>
          <w:sz w:val="20"/>
        </w:rPr>
        <w:t>in thousands)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tbl>
      <w:tblPr>
        <w:tblW w:w="9194" w:type="dxa"/>
        <w:jc w:val="left"/>
        <w:tblInd w:w="0" w:type="dxa"/>
        <w:tblLayout w:type="fixed"/>
        <w:tblCellMar>
          <w:top w:w="0" w:type="dxa"/>
          <w:left w:w="0" w:type="dxa"/>
          <w:bottom w:w="0" w:type="dxa"/>
          <w:right w:w="0" w:type="dxa"/>
        </w:tblCellMar>
      </w:tblPr>
      <w:tblGrid>
        <w:gridCol w:w="5990"/>
        <w:gridCol w:w="60"/>
        <w:gridCol w:w="295"/>
        <w:gridCol w:w="1180"/>
        <w:gridCol w:w="60"/>
        <w:gridCol w:w="60"/>
        <w:gridCol w:w="174"/>
        <w:gridCol w:w="1300"/>
        <w:gridCol w:w="75"/>
      </w:tblGrid>
      <w:tr>
        <w:trPr/>
        <w:tc>
          <w:tcPr>
            <w:tcW w:w="599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069"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Fiscal Year Ended</w:t>
            </w:r>
          </w:p>
        </w:tc>
        <w:tc>
          <w:tcPr>
            <w:tcW w:w="75" w:type="dxa"/>
            <w:tcBorders/>
            <w:vAlign w:val="center"/>
          </w:tcPr>
          <w:p>
            <w:pPr>
              <w:pStyle w:val="TableContents"/>
              <w:bidi w:val="0"/>
              <w:spacing w:before="0" w:after="283"/>
              <w:jc w:val="left"/>
              <w:rPr/>
            </w:pPr>
            <w:r>
              <w:rPr/>
              <w:t> </w:t>
            </w:r>
          </w:p>
        </w:tc>
      </w:tr>
      <w:tr>
        <w:trPr/>
        <w:tc>
          <w:tcPr>
            <w:tcW w:w="599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47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 xml:space="preserve">December 28, </w:t>
              <w:br/>
              <w:t>2025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74"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 xml:space="preserve">December 29, </w:t>
              <w:br/>
              <w:t>2024</w:t>
            </w:r>
          </w:p>
        </w:tc>
        <w:tc>
          <w:tcPr>
            <w:tcW w:w="75" w:type="dxa"/>
            <w:tcBorders/>
            <w:vAlign w:val="center"/>
          </w:tcPr>
          <w:p>
            <w:pPr>
              <w:pStyle w:val="TableContents"/>
              <w:bidi w:val="0"/>
              <w:spacing w:before="0" w:after="283"/>
              <w:jc w:val="left"/>
              <w:rPr/>
            </w:pPr>
            <w:r>
              <w:rPr/>
              <w:t> </w:t>
            </w:r>
          </w:p>
        </w:tc>
      </w:tr>
      <w:tr>
        <w:trPr/>
        <w:tc>
          <w:tcPr>
            <w:tcW w:w="5990" w:type="dxa"/>
            <w:tcBorders/>
            <w:vAlign w:val="center"/>
          </w:tcPr>
          <w:p>
            <w:pPr>
              <w:pStyle w:val="TableContents"/>
              <w:bidi w:val="0"/>
              <w:spacing w:before="0" w:after="283"/>
              <w:jc w:val="left"/>
              <w:rPr/>
            </w:pPr>
            <w:r>
              <w:rPr/>
              <w:t>Current income tax expense</w:t>
            </w:r>
          </w:p>
        </w:tc>
        <w:tc>
          <w:tcPr>
            <w:tcW w:w="60" w:type="dxa"/>
            <w:tcBorders/>
            <w:vAlign w:val="center"/>
          </w:tcPr>
          <w:p>
            <w:pPr>
              <w:pStyle w:val="TableContents"/>
              <w:bidi w:val="0"/>
              <w:spacing w:before="0" w:after="283"/>
              <w:jc w:val="left"/>
              <w:rPr/>
            </w:pPr>
            <w:r>
              <w:rPr/>
              <w:t> </w:t>
            </w:r>
          </w:p>
        </w:tc>
        <w:tc>
          <w:tcPr>
            <w:tcW w:w="295" w:type="dxa"/>
            <w:tcBorders/>
            <w:vAlign w:val="center"/>
          </w:tcPr>
          <w:p>
            <w:pPr>
              <w:pStyle w:val="TableContents"/>
              <w:bidi w:val="0"/>
              <w:spacing w:before="0" w:after="283"/>
              <w:jc w:val="left"/>
              <w:rPr/>
            </w:pPr>
            <w:r>
              <w:rPr/>
              <w:t> </w:t>
            </w:r>
          </w:p>
        </w:tc>
        <w:tc>
          <w:tcPr>
            <w:tcW w:w="1180"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74" w:type="dxa"/>
            <w:tcBorders/>
            <w:vAlign w:val="center"/>
          </w:tcPr>
          <w:p>
            <w:pPr>
              <w:pStyle w:val="TableContents"/>
              <w:bidi w:val="0"/>
              <w:spacing w:before="0" w:after="283"/>
              <w:jc w:val="left"/>
              <w:rPr/>
            </w:pPr>
            <w:r>
              <w:rPr/>
              <w:t> </w:t>
            </w:r>
          </w:p>
        </w:tc>
        <w:tc>
          <w:tcPr>
            <w:tcW w:w="1300" w:type="dxa"/>
            <w:tcBorders/>
            <w:vAlign w:val="center"/>
          </w:tcPr>
          <w:p>
            <w:pPr>
              <w:pStyle w:val="TableContents"/>
              <w:bidi w:val="0"/>
              <w:spacing w:before="0" w:after="283"/>
              <w:jc w:val="right"/>
              <w:rPr/>
            </w:pPr>
            <w:r>
              <w:rPr/>
              <w:t> </w:t>
            </w:r>
          </w:p>
        </w:tc>
        <w:tc>
          <w:tcPr>
            <w:tcW w:w="75" w:type="dxa"/>
            <w:tcBorders/>
            <w:vAlign w:val="center"/>
          </w:tcPr>
          <w:p>
            <w:pPr>
              <w:pStyle w:val="TableContents"/>
              <w:bidi w:val="0"/>
              <w:spacing w:before="0" w:after="283"/>
              <w:jc w:val="left"/>
              <w:rPr/>
            </w:pPr>
            <w:r>
              <w:rPr/>
              <w:t> </w:t>
            </w:r>
          </w:p>
        </w:tc>
      </w:tr>
      <w:tr>
        <w:trPr/>
        <w:tc>
          <w:tcPr>
            <w:tcW w:w="5990" w:type="dxa"/>
            <w:tcBorders/>
            <w:shd w:fill="CCEEFF" w:val="clear"/>
            <w:vAlign w:val="center"/>
          </w:tcPr>
          <w:p>
            <w:pPr>
              <w:pStyle w:val="TableContents"/>
              <w:bidi w:val="0"/>
              <w:spacing w:before="0" w:after="283"/>
              <w:jc w:val="left"/>
              <w:rPr/>
            </w:pPr>
            <w:r>
              <w:rPr/>
              <w:t>Federal</w:t>
            </w:r>
          </w:p>
        </w:tc>
        <w:tc>
          <w:tcPr>
            <w:tcW w:w="60" w:type="dxa"/>
            <w:tcBorders/>
            <w:shd w:fill="CCEEFF" w:val="clear"/>
            <w:vAlign w:val="center"/>
          </w:tcPr>
          <w:p>
            <w:pPr>
              <w:pStyle w:val="TableContents"/>
              <w:bidi w:val="0"/>
              <w:spacing w:before="0" w:after="283"/>
              <w:jc w:val="left"/>
              <w:rPr/>
            </w:pPr>
            <w:r>
              <w:rPr/>
              <w:t> </w:t>
            </w:r>
          </w:p>
        </w:tc>
        <w:tc>
          <w:tcPr>
            <w:tcW w:w="295" w:type="dxa"/>
            <w:tcBorders/>
            <w:shd w:fill="CCEEFF" w:val="clear"/>
            <w:vAlign w:val="center"/>
          </w:tcPr>
          <w:p>
            <w:pPr>
              <w:pStyle w:val="TableContents"/>
              <w:bidi w:val="0"/>
              <w:spacing w:before="0" w:after="283"/>
              <w:jc w:val="left"/>
              <w:rPr/>
            </w:pPr>
            <w:r>
              <w:rPr/>
              <w:t>$</w:t>
            </w:r>
          </w:p>
        </w:tc>
        <w:tc>
          <w:tcPr>
            <w:tcW w:w="118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4" w:type="dxa"/>
            <w:tcBorders/>
            <w:shd w:fill="CCEEFF" w:val="clear"/>
            <w:vAlign w:val="center"/>
          </w:tcPr>
          <w:p>
            <w:pPr>
              <w:pStyle w:val="TableContents"/>
              <w:bidi w:val="0"/>
              <w:spacing w:before="0" w:after="283"/>
              <w:jc w:val="left"/>
              <w:rPr/>
            </w:pPr>
            <w:r>
              <w:rPr/>
              <w:t>$</w:t>
            </w:r>
          </w:p>
        </w:tc>
        <w:tc>
          <w:tcPr>
            <w:tcW w:w="1300"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5990" w:type="dxa"/>
            <w:tcBorders/>
            <w:shd w:fill="FFFFFF" w:val="clear"/>
            <w:vAlign w:val="center"/>
          </w:tcPr>
          <w:p>
            <w:pPr>
              <w:pStyle w:val="TableContents"/>
              <w:bidi w:val="0"/>
              <w:spacing w:before="0" w:after="283"/>
              <w:jc w:val="left"/>
              <w:rPr/>
            </w:pPr>
            <w:r>
              <w:rPr/>
              <w:t>State</w:t>
            </w:r>
          </w:p>
        </w:tc>
        <w:tc>
          <w:tcPr>
            <w:tcW w:w="60" w:type="dxa"/>
            <w:tcBorders/>
            <w:shd w:fill="FFFFFF" w:val="clear"/>
            <w:vAlign w:val="center"/>
          </w:tcPr>
          <w:p>
            <w:pPr>
              <w:pStyle w:val="TableContents"/>
              <w:bidi w:val="0"/>
              <w:spacing w:before="0" w:after="283"/>
              <w:jc w:val="left"/>
              <w:rPr/>
            </w:pPr>
            <w:r>
              <w:rPr/>
              <w:t> </w:t>
            </w:r>
          </w:p>
        </w:tc>
        <w:tc>
          <w:tcPr>
            <w:tcW w:w="295"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80" w:type="dxa"/>
            <w:tcBorders>
              <w:bottom w:val="single" w:sz="12" w:space="0" w:color="000000"/>
            </w:tcBorders>
            <w:shd w:fill="FFFFFF" w:val="clear"/>
            <w:tcMar>
              <w:bottom w:w="28" w:type="dxa"/>
            </w:tcMar>
            <w:vAlign w:val="center"/>
          </w:tcPr>
          <w:p>
            <w:pPr>
              <w:pStyle w:val="TableContents"/>
              <w:bidi w:val="0"/>
              <w:spacing w:before="0" w:after="283"/>
              <w:jc w:val="right"/>
              <w:rPr/>
            </w:pPr>
            <w:r>
              <w:rPr/>
              <w:t>278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4"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300"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75" w:type="dxa"/>
            <w:tcBorders/>
            <w:shd w:fill="FFFFFF" w:val="clear"/>
            <w:vAlign w:val="center"/>
          </w:tcPr>
          <w:p>
            <w:pPr>
              <w:pStyle w:val="TableContents"/>
              <w:bidi w:val="0"/>
              <w:spacing w:before="0" w:after="283"/>
              <w:jc w:val="left"/>
              <w:rPr/>
            </w:pPr>
            <w:r>
              <w:rPr/>
              <w:t> </w:t>
            </w:r>
          </w:p>
        </w:tc>
      </w:tr>
      <w:tr>
        <w:trPr/>
        <w:tc>
          <w:tcPr>
            <w:tcW w:w="5990" w:type="dxa"/>
            <w:tcBorders/>
            <w:shd w:fill="CCEEFF" w:val="clear"/>
            <w:vAlign w:val="center"/>
          </w:tcPr>
          <w:p>
            <w:pPr>
              <w:pStyle w:val="TableContents"/>
              <w:bidi w:val="0"/>
              <w:spacing w:before="0" w:after="283"/>
              <w:jc w:val="left"/>
              <w:rPr/>
            </w:pPr>
            <w:r>
              <w:rPr/>
              <w:t>Total current income tax expense</w:t>
            </w:r>
          </w:p>
        </w:tc>
        <w:tc>
          <w:tcPr>
            <w:tcW w:w="60" w:type="dxa"/>
            <w:tcBorders/>
            <w:shd w:fill="CCEEFF" w:val="clear"/>
            <w:vAlign w:val="center"/>
          </w:tcPr>
          <w:p>
            <w:pPr>
              <w:pStyle w:val="TableContents"/>
              <w:bidi w:val="0"/>
              <w:spacing w:before="0" w:after="283"/>
              <w:jc w:val="left"/>
              <w:rPr/>
            </w:pPr>
            <w:r>
              <w:rPr/>
              <w:t> </w:t>
            </w:r>
          </w:p>
        </w:tc>
        <w:tc>
          <w:tcPr>
            <w:tcW w:w="295"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80" w:type="dxa"/>
            <w:tcBorders>
              <w:bottom w:val="single" w:sz="12" w:space="0" w:color="000000"/>
            </w:tcBorders>
            <w:shd w:fill="CCEEFF" w:val="clear"/>
            <w:tcMar>
              <w:bottom w:w="28" w:type="dxa"/>
            </w:tcMar>
            <w:vAlign w:val="center"/>
          </w:tcPr>
          <w:p>
            <w:pPr>
              <w:pStyle w:val="TableContents"/>
              <w:bidi w:val="0"/>
              <w:spacing w:before="0" w:after="283"/>
              <w:jc w:val="right"/>
              <w:rPr/>
            </w:pPr>
            <w:r>
              <w:rPr/>
              <w:t>278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4"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300"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75" w:type="dxa"/>
            <w:tcBorders/>
            <w:shd w:fill="CCEEFF" w:val="clear"/>
            <w:vAlign w:val="center"/>
          </w:tcPr>
          <w:p>
            <w:pPr>
              <w:pStyle w:val="TableContents"/>
              <w:bidi w:val="0"/>
              <w:spacing w:before="0" w:after="283"/>
              <w:jc w:val="left"/>
              <w:rPr/>
            </w:pPr>
            <w:r>
              <w:rPr/>
              <w:t> </w:t>
            </w:r>
          </w:p>
        </w:tc>
      </w:tr>
      <w:tr>
        <w:trPr/>
        <w:tc>
          <w:tcPr>
            <w:tcW w:w="599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95" w:type="dxa"/>
            <w:tcBorders/>
            <w:shd w:fill="FFFFFF" w:val="clear"/>
            <w:vAlign w:val="center"/>
          </w:tcPr>
          <w:p>
            <w:pPr>
              <w:pStyle w:val="TableContents"/>
              <w:bidi w:val="0"/>
              <w:spacing w:before="0" w:after="283"/>
              <w:jc w:val="left"/>
              <w:rPr/>
            </w:pPr>
            <w:r>
              <w:rPr/>
              <w:t> </w:t>
            </w:r>
          </w:p>
        </w:tc>
        <w:tc>
          <w:tcPr>
            <w:tcW w:w="118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4" w:type="dxa"/>
            <w:tcBorders/>
            <w:shd w:fill="FFFFFF" w:val="clear"/>
            <w:vAlign w:val="center"/>
          </w:tcPr>
          <w:p>
            <w:pPr>
              <w:pStyle w:val="TableContents"/>
              <w:bidi w:val="0"/>
              <w:spacing w:before="0" w:after="283"/>
              <w:jc w:val="left"/>
              <w:rPr/>
            </w:pPr>
            <w:r>
              <w:rPr/>
              <w:t> </w:t>
            </w:r>
          </w:p>
        </w:tc>
        <w:tc>
          <w:tcPr>
            <w:tcW w:w="1300" w:type="dxa"/>
            <w:tcBorders/>
            <w:shd w:fill="FFFFFF" w:val="clear"/>
            <w:vAlign w:val="center"/>
          </w:tcPr>
          <w:p>
            <w:pPr>
              <w:pStyle w:val="TableContents"/>
              <w:bidi w:val="0"/>
              <w:spacing w:before="0" w:after="283"/>
              <w:jc w:val="right"/>
              <w:rPr/>
            </w:pPr>
            <w:r>
              <w:rPr/>
              <w:t> </w:t>
            </w:r>
          </w:p>
        </w:tc>
        <w:tc>
          <w:tcPr>
            <w:tcW w:w="75" w:type="dxa"/>
            <w:tcBorders/>
            <w:shd w:fill="FFFFFF" w:val="clear"/>
            <w:vAlign w:val="center"/>
          </w:tcPr>
          <w:p>
            <w:pPr>
              <w:pStyle w:val="TableContents"/>
              <w:bidi w:val="0"/>
              <w:spacing w:before="0" w:after="283"/>
              <w:jc w:val="left"/>
              <w:rPr/>
            </w:pPr>
            <w:r>
              <w:rPr/>
              <w:t> </w:t>
            </w:r>
          </w:p>
        </w:tc>
      </w:tr>
      <w:tr>
        <w:trPr/>
        <w:tc>
          <w:tcPr>
            <w:tcW w:w="5990" w:type="dxa"/>
            <w:tcBorders/>
            <w:shd w:fill="CCEEFF" w:val="clear"/>
            <w:vAlign w:val="center"/>
          </w:tcPr>
          <w:p>
            <w:pPr>
              <w:pStyle w:val="TableContents"/>
              <w:bidi w:val="0"/>
              <w:spacing w:before="0" w:after="283"/>
              <w:jc w:val="left"/>
              <w:rPr/>
            </w:pPr>
            <w:r>
              <w:rPr/>
              <w:t>Deferred income tax expense</w:t>
            </w:r>
          </w:p>
        </w:tc>
        <w:tc>
          <w:tcPr>
            <w:tcW w:w="60" w:type="dxa"/>
            <w:tcBorders/>
            <w:shd w:fill="CCEEFF" w:val="clear"/>
            <w:vAlign w:val="center"/>
          </w:tcPr>
          <w:p>
            <w:pPr>
              <w:pStyle w:val="TableContents"/>
              <w:bidi w:val="0"/>
              <w:spacing w:before="0" w:after="283"/>
              <w:jc w:val="left"/>
              <w:rPr/>
            </w:pPr>
            <w:r>
              <w:rPr/>
              <w:t> </w:t>
            </w:r>
          </w:p>
        </w:tc>
        <w:tc>
          <w:tcPr>
            <w:tcW w:w="295" w:type="dxa"/>
            <w:tcBorders/>
            <w:shd w:fill="CCEEFF" w:val="clear"/>
            <w:vAlign w:val="center"/>
          </w:tcPr>
          <w:p>
            <w:pPr>
              <w:pStyle w:val="TableContents"/>
              <w:bidi w:val="0"/>
              <w:spacing w:before="0" w:after="283"/>
              <w:jc w:val="left"/>
              <w:rPr/>
            </w:pPr>
            <w:r>
              <w:rPr/>
              <w:t> </w:t>
            </w:r>
          </w:p>
        </w:tc>
        <w:tc>
          <w:tcPr>
            <w:tcW w:w="118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4" w:type="dxa"/>
            <w:tcBorders/>
            <w:shd w:fill="CCEEFF" w:val="clear"/>
            <w:vAlign w:val="center"/>
          </w:tcPr>
          <w:p>
            <w:pPr>
              <w:pStyle w:val="TableContents"/>
              <w:bidi w:val="0"/>
              <w:spacing w:before="0" w:after="283"/>
              <w:jc w:val="left"/>
              <w:rPr/>
            </w:pPr>
            <w:r>
              <w:rPr/>
              <w:t> </w:t>
            </w:r>
          </w:p>
        </w:tc>
        <w:tc>
          <w:tcPr>
            <w:tcW w:w="1300"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5990" w:type="dxa"/>
            <w:tcBorders/>
            <w:shd w:fill="FFFFFF" w:val="clear"/>
            <w:vAlign w:val="center"/>
          </w:tcPr>
          <w:p>
            <w:pPr>
              <w:pStyle w:val="TableContents"/>
              <w:bidi w:val="0"/>
              <w:spacing w:before="0" w:after="283"/>
              <w:jc w:val="left"/>
              <w:rPr/>
            </w:pPr>
            <w:r>
              <w:rPr/>
              <w:t>Federal</w:t>
            </w:r>
          </w:p>
        </w:tc>
        <w:tc>
          <w:tcPr>
            <w:tcW w:w="60" w:type="dxa"/>
            <w:tcBorders/>
            <w:shd w:fill="FFFFFF" w:val="clear"/>
            <w:vAlign w:val="center"/>
          </w:tcPr>
          <w:p>
            <w:pPr>
              <w:pStyle w:val="TableContents"/>
              <w:bidi w:val="0"/>
              <w:spacing w:before="0" w:after="283"/>
              <w:jc w:val="left"/>
              <w:rPr/>
            </w:pPr>
            <w:r>
              <w:rPr/>
              <w:t> </w:t>
            </w:r>
          </w:p>
        </w:tc>
        <w:tc>
          <w:tcPr>
            <w:tcW w:w="295" w:type="dxa"/>
            <w:tcBorders/>
            <w:shd w:fill="FFFFFF" w:val="clear"/>
            <w:vAlign w:val="center"/>
          </w:tcPr>
          <w:p>
            <w:pPr>
              <w:pStyle w:val="TableContents"/>
              <w:bidi w:val="0"/>
              <w:spacing w:before="0" w:after="283"/>
              <w:jc w:val="left"/>
              <w:rPr/>
            </w:pPr>
            <w:r>
              <w:rPr/>
              <w:t> </w:t>
            </w:r>
          </w:p>
        </w:tc>
        <w:tc>
          <w:tcPr>
            <w:tcW w:w="1180" w:type="dxa"/>
            <w:tcBorders/>
            <w:shd w:fill="FFFFFF" w:val="clear"/>
            <w:vAlign w:val="center"/>
          </w:tcPr>
          <w:p>
            <w:pPr>
              <w:pStyle w:val="TableContents"/>
              <w:bidi w:val="0"/>
              <w:spacing w:before="0" w:after="283"/>
              <w:jc w:val="right"/>
              <w:rPr/>
            </w:pPr>
            <w:r>
              <w:rPr/>
              <w:t>1,200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4" w:type="dxa"/>
            <w:tcBorders/>
            <w:shd w:fill="FFFFFF" w:val="clear"/>
            <w:vAlign w:val="center"/>
          </w:tcPr>
          <w:p>
            <w:pPr>
              <w:pStyle w:val="TableContents"/>
              <w:bidi w:val="0"/>
              <w:spacing w:before="0" w:after="283"/>
              <w:jc w:val="left"/>
              <w:rPr/>
            </w:pPr>
            <w:r>
              <w:rPr/>
              <w:t> </w:t>
            </w:r>
          </w:p>
        </w:tc>
        <w:tc>
          <w:tcPr>
            <w:tcW w:w="1300" w:type="dxa"/>
            <w:tcBorders/>
            <w:shd w:fill="FFFFFF" w:val="clear"/>
            <w:vAlign w:val="center"/>
          </w:tcPr>
          <w:p>
            <w:pPr>
              <w:pStyle w:val="TableContents"/>
              <w:bidi w:val="0"/>
              <w:spacing w:before="0" w:after="283"/>
              <w:jc w:val="right"/>
              <w:rPr/>
            </w:pPr>
            <w:r>
              <w:rPr/>
              <w:t>—</w:t>
            </w:r>
          </w:p>
        </w:tc>
        <w:tc>
          <w:tcPr>
            <w:tcW w:w="75" w:type="dxa"/>
            <w:tcBorders/>
            <w:shd w:fill="FFFFFF" w:val="clear"/>
            <w:vAlign w:val="center"/>
          </w:tcPr>
          <w:p>
            <w:pPr>
              <w:pStyle w:val="TableContents"/>
              <w:bidi w:val="0"/>
              <w:spacing w:before="0" w:after="283"/>
              <w:jc w:val="left"/>
              <w:rPr/>
            </w:pPr>
            <w:r>
              <w:rPr/>
              <w:t> </w:t>
            </w:r>
          </w:p>
        </w:tc>
      </w:tr>
      <w:tr>
        <w:trPr/>
        <w:tc>
          <w:tcPr>
            <w:tcW w:w="5990" w:type="dxa"/>
            <w:tcBorders/>
            <w:shd w:fill="CCEEFF" w:val="clear"/>
            <w:vAlign w:val="center"/>
          </w:tcPr>
          <w:p>
            <w:pPr>
              <w:pStyle w:val="TableContents"/>
              <w:bidi w:val="0"/>
              <w:spacing w:before="0" w:after="283"/>
              <w:jc w:val="left"/>
              <w:rPr/>
            </w:pPr>
            <w:r>
              <w:rPr/>
              <w:t>State</w:t>
            </w:r>
          </w:p>
        </w:tc>
        <w:tc>
          <w:tcPr>
            <w:tcW w:w="60" w:type="dxa"/>
            <w:tcBorders/>
            <w:shd w:fill="CCEEFF" w:val="clear"/>
            <w:vAlign w:val="center"/>
          </w:tcPr>
          <w:p>
            <w:pPr>
              <w:pStyle w:val="TableContents"/>
              <w:bidi w:val="0"/>
              <w:spacing w:before="0" w:after="283"/>
              <w:jc w:val="left"/>
              <w:rPr/>
            </w:pPr>
            <w:r>
              <w:rPr/>
              <w:t> </w:t>
            </w:r>
          </w:p>
        </w:tc>
        <w:tc>
          <w:tcPr>
            <w:tcW w:w="295"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80" w:type="dxa"/>
            <w:tcBorders>
              <w:bottom w:val="single" w:sz="12" w:space="0" w:color="000000"/>
            </w:tcBorders>
            <w:shd w:fill="CCEEFF" w:val="clear"/>
            <w:tcMar>
              <w:bottom w:w="28" w:type="dxa"/>
            </w:tcMar>
            <w:vAlign w:val="center"/>
          </w:tcPr>
          <w:p>
            <w:pPr>
              <w:pStyle w:val="TableContents"/>
              <w:bidi w:val="0"/>
              <w:spacing w:before="0" w:after="283"/>
              <w:jc w:val="right"/>
              <w:rPr/>
            </w:pPr>
            <w:r>
              <w:rPr/>
              <w:t>100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4"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300"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75" w:type="dxa"/>
            <w:tcBorders/>
            <w:shd w:fill="CCEEFF" w:val="clear"/>
            <w:vAlign w:val="center"/>
          </w:tcPr>
          <w:p>
            <w:pPr>
              <w:pStyle w:val="TableContents"/>
              <w:bidi w:val="0"/>
              <w:spacing w:before="0" w:after="283"/>
              <w:jc w:val="left"/>
              <w:rPr/>
            </w:pPr>
            <w:r>
              <w:rPr/>
              <w:t> </w:t>
            </w:r>
          </w:p>
        </w:tc>
      </w:tr>
      <w:tr>
        <w:trPr/>
        <w:tc>
          <w:tcPr>
            <w:tcW w:w="5990" w:type="dxa"/>
            <w:tcBorders/>
            <w:shd w:fill="FFFFFF" w:val="clear"/>
            <w:vAlign w:val="center"/>
          </w:tcPr>
          <w:p>
            <w:pPr>
              <w:pStyle w:val="TableContents"/>
              <w:bidi w:val="0"/>
              <w:spacing w:before="0" w:after="283"/>
              <w:jc w:val="left"/>
              <w:rPr/>
            </w:pPr>
            <w:r>
              <w:rPr/>
              <w:t>Total deferred income tax expense</w:t>
            </w:r>
          </w:p>
        </w:tc>
        <w:tc>
          <w:tcPr>
            <w:tcW w:w="60" w:type="dxa"/>
            <w:tcBorders/>
            <w:shd w:fill="FFFFFF" w:val="clear"/>
            <w:vAlign w:val="center"/>
          </w:tcPr>
          <w:p>
            <w:pPr>
              <w:pStyle w:val="TableContents"/>
              <w:bidi w:val="0"/>
              <w:spacing w:before="0" w:after="283"/>
              <w:jc w:val="left"/>
              <w:rPr/>
            </w:pPr>
            <w:r>
              <w:rPr/>
              <w:t> </w:t>
            </w:r>
          </w:p>
        </w:tc>
        <w:tc>
          <w:tcPr>
            <w:tcW w:w="295"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80" w:type="dxa"/>
            <w:tcBorders>
              <w:bottom w:val="single" w:sz="12" w:space="0" w:color="000000"/>
            </w:tcBorders>
            <w:shd w:fill="FFFFFF" w:val="clear"/>
            <w:tcMar>
              <w:bottom w:w="28" w:type="dxa"/>
            </w:tcMar>
            <w:vAlign w:val="center"/>
          </w:tcPr>
          <w:p>
            <w:pPr>
              <w:pStyle w:val="TableContents"/>
              <w:bidi w:val="0"/>
              <w:spacing w:before="0" w:after="283"/>
              <w:jc w:val="right"/>
              <w:rPr/>
            </w:pPr>
            <w:r>
              <w:rPr/>
              <w:t>1,300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4"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300"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75" w:type="dxa"/>
            <w:tcBorders/>
            <w:shd w:fill="FFFFFF" w:val="clear"/>
            <w:vAlign w:val="center"/>
          </w:tcPr>
          <w:p>
            <w:pPr>
              <w:pStyle w:val="TableContents"/>
              <w:bidi w:val="0"/>
              <w:spacing w:before="0" w:after="283"/>
              <w:jc w:val="left"/>
              <w:rPr/>
            </w:pPr>
            <w:r>
              <w:rPr/>
              <w:t> </w:t>
            </w:r>
          </w:p>
        </w:tc>
      </w:tr>
      <w:tr>
        <w:trPr/>
        <w:tc>
          <w:tcPr>
            <w:tcW w:w="5990" w:type="dxa"/>
            <w:tcBorders/>
            <w:shd w:fill="CCEEFF" w:val="clear"/>
            <w:vAlign w:val="center"/>
          </w:tcPr>
          <w:p>
            <w:pPr>
              <w:pStyle w:val="TableContents"/>
              <w:bidi w:val="0"/>
              <w:spacing w:before="0" w:after="283"/>
              <w:jc w:val="left"/>
              <w:rPr/>
            </w:pPr>
            <w:r>
              <w:rPr/>
              <w:t>Income tax expense from continuing operations</w:t>
            </w:r>
          </w:p>
        </w:tc>
        <w:tc>
          <w:tcPr>
            <w:tcW w:w="60" w:type="dxa"/>
            <w:tcBorders/>
            <w:shd w:fill="CCEEFF" w:val="clear"/>
            <w:vAlign w:val="center"/>
          </w:tcPr>
          <w:p>
            <w:pPr>
              <w:pStyle w:val="TableContents"/>
              <w:bidi w:val="0"/>
              <w:spacing w:before="0" w:after="283"/>
              <w:jc w:val="left"/>
              <w:rPr/>
            </w:pPr>
            <w:r>
              <w:rPr/>
              <w:t> </w:t>
            </w:r>
          </w:p>
        </w:tc>
        <w:tc>
          <w:tcPr>
            <w:tcW w:w="295"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180" w:type="dxa"/>
            <w:tcBorders>
              <w:bottom w:val="double" w:sz="10" w:space="0" w:color="000000"/>
            </w:tcBorders>
            <w:shd w:fill="CCEEFF" w:val="clear"/>
            <w:tcMar>
              <w:bottom w:w="28" w:type="dxa"/>
            </w:tcMar>
            <w:vAlign w:val="center"/>
          </w:tcPr>
          <w:p>
            <w:pPr>
              <w:pStyle w:val="TableContents"/>
              <w:bidi w:val="0"/>
              <w:spacing w:before="0" w:after="283"/>
              <w:jc w:val="right"/>
              <w:rPr/>
            </w:pPr>
            <w:r>
              <w:rPr/>
              <w:t>1,578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4"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300" w:type="dxa"/>
            <w:tcBorders>
              <w:bottom w:val="double" w:sz="10" w:space="0" w:color="000000"/>
            </w:tcBorders>
            <w:shd w:fill="CCEEFF" w:val="clear"/>
            <w:tcMar>
              <w:bottom w:w="28" w:type="dxa"/>
            </w:tcMar>
            <w:vAlign w:val="center"/>
          </w:tcPr>
          <w:p>
            <w:pPr>
              <w:pStyle w:val="TableContents"/>
              <w:bidi w:val="0"/>
              <w:spacing w:before="0" w:after="283"/>
              <w:jc w:val="right"/>
              <w:rPr/>
            </w:pPr>
            <w:r>
              <w:rPr/>
              <w:t>—</w:t>
            </w:r>
          </w:p>
        </w:tc>
        <w:tc>
          <w:tcPr>
            <w:tcW w:w="75" w:type="dxa"/>
            <w:tcBorders/>
            <w:shd w:fill="CCEEFF" w:val="clear"/>
            <w:vAlign w:val="center"/>
          </w:tcPr>
          <w:p>
            <w:pPr>
              <w:pStyle w:val="TableContents"/>
              <w:bidi w:val="0"/>
              <w:spacing w:before="0" w:after="283"/>
              <w:jc w:val="left"/>
              <w:rPr/>
            </w:pPr>
            <w:r>
              <w:rPr/>
              <w:t> </w:t>
            </w:r>
          </w:p>
        </w:tc>
      </w:tr>
      <w:tr>
        <w:trPr/>
        <w:tc>
          <w:tcPr>
            <w:tcW w:w="599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95" w:type="dxa"/>
            <w:tcBorders/>
            <w:shd w:fill="FFFFFF" w:val="clear"/>
            <w:vAlign w:val="center"/>
          </w:tcPr>
          <w:p>
            <w:pPr>
              <w:pStyle w:val="TableContents"/>
              <w:bidi w:val="0"/>
              <w:spacing w:before="0" w:after="283"/>
              <w:jc w:val="left"/>
              <w:rPr/>
            </w:pPr>
            <w:r>
              <w:rPr/>
              <w:t> </w:t>
            </w:r>
          </w:p>
        </w:tc>
        <w:tc>
          <w:tcPr>
            <w:tcW w:w="118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4" w:type="dxa"/>
            <w:tcBorders/>
            <w:shd w:fill="FFFFFF" w:val="clear"/>
            <w:vAlign w:val="center"/>
          </w:tcPr>
          <w:p>
            <w:pPr>
              <w:pStyle w:val="TableContents"/>
              <w:bidi w:val="0"/>
              <w:spacing w:before="0" w:after="283"/>
              <w:jc w:val="left"/>
              <w:rPr/>
            </w:pPr>
            <w:r>
              <w:rPr/>
              <w:t> </w:t>
            </w:r>
          </w:p>
        </w:tc>
        <w:tc>
          <w:tcPr>
            <w:tcW w:w="1300" w:type="dxa"/>
            <w:tcBorders/>
            <w:shd w:fill="FFFFFF" w:val="clear"/>
            <w:vAlign w:val="center"/>
          </w:tcPr>
          <w:p>
            <w:pPr>
              <w:pStyle w:val="TableContents"/>
              <w:bidi w:val="0"/>
              <w:spacing w:before="0" w:after="283"/>
              <w:jc w:val="right"/>
              <w:rPr/>
            </w:pPr>
            <w:r>
              <w:rPr/>
              <w:t> </w:t>
            </w:r>
          </w:p>
        </w:tc>
        <w:tc>
          <w:tcPr>
            <w:tcW w:w="75" w:type="dxa"/>
            <w:tcBorders/>
            <w:shd w:fill="FFFFFF" w:val="clear"/>
            <w:vAlign w:val="center"/>
          </w:tcPr>
          <w:p>
            <w:pPr>
              <w:pStyle w:val="TableContents"/>
              <w:bidi w:val="0"/>
              <w:spacing w:before="0" w:after="283"/>
              <w:jc w:val="left"/>
              <w:rPr/>
            </w:pPr>
            <w:r>
              <w:rPr/>
              <w:t> </w:t>
            </w:r>
          </w:p>
        </w:tc>
      </w:tr>
      <w:tr>
        <w:trPr/>
        <w:tc>
          <w:tcPr>
            <w:tcW w:w="5990" w:type="dxa"/>
            <w:tcBorders/>
            <w:shd w:fill="CCEEFF" w:val="clear"/>
            <w:vAlign w:val="center"/>
          </w:tcPr>
          <w:p>
            <w:pPr>
              <w:pStyle w:val="TableContents"/>
              <w:bidi w:val="0"/>
              <w:spacing w:before="0" w:after="283"/>
              <w:jc w:val="left"/>
              <w:rPr/>
            </w:pPr>
            <w:r>
              <w:rPr/>
              <w:t>Income tax expense as a component of discontinued operations</w:t>
            </w:r>
          </w:p>
        </w:tc>
        <w:tc>
          <w:tcPr>
            <w:tcW w:w="60" w:type="dxa"/>
            <w:tcBorders/>
            <w:shd w:fill="CCEEFF" w:val="clear"/>
            <w:vAlign w:val="center"/>
          </w:tcPr>
          <w:p>
            <w:pPr>
              <w:pStyle w:val="TableContents"/>
              <w:bidi w:val="0"/>
              <w:spacing w:before="0" w:after="283"/>
              <w:jc w:val="left"/>
              <w:rPr/>
            </w:pPr>
            <w:r>
              <w:rPr/>
              <w:t> </w:t>
            </w:r>
          </w:p>
        </w:tc>
        <w:tc>
          <w:tcPr>
            <w:tcW w:w="295"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180" w:type="dxa"/>
            <w:tcBorders>
              <w:bottom w:val="double" w:sz="10" w:space="0" w:color="000000"/>
            </w:tcBorders>
            <w:shd w:fill="CCEEFF" w:val="clear"/>
            <w:tcMar>
              <w:bottom w:w="28" w:type="dxa"/>
            </w:tcM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4"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300" w:type="dxa"/>
            <w:tcBorders>
              <w:bottom w:val="double" w:sz="10" w:space="0" w:color="000000"/>
            </w:tcBorders>
            <w:shd w:fill="CCEEFF" w:val="clear"/>
            <w:tcMar>
              <w:bottom w:w="28" w:type="dxa"/>
            </w:tcMar>
            <w:vAlign w:val="center"/>
          </w:tcPr>
          <w:p>
            <w:pPr>
              <w:pStyle w:val="TableContents"/>
              <w:bidi w:val="0"/>
              <w:spacing w:before="0" w:after="283"/>
              <w:jc w:val="right"/>
              <w:rPr/>
            </w:pPr>
            <w:r>
              <w:rPr/>
              <w:t>—</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adopted ASU 2023-09 prospectively for the fiscal year ended December 28, 2025. The following table presents required disclosure pursuant of ASU 2023-09 and reconciles the Company’s federal statutory tax amount and rate, based on its results from continuing operations, to its actual effective amount and rate:</w:t>
      </w:r>
    </w:p>
    <w:p>
      <w:pPr>
        <w:pStyle w:val="TextBody"/>
        <w:bidi w:val="0"/>
        <w:spacing w:before="0" w:after="0"/>
        <w:ind w:left="0" w:right="0" w:hanging="0"/>
        <w:jc w:val="both"/>
        <w:rPr>
          <w:caps w:val="false"/>
          <w:smallCaps w:val="false"/>
        </w:rPr>
      </w:pPr>
      <w:r>
        <w:rPr>
          <w:caps w:val="false"/>
          <w:smallCaps w:val="false"/>
        </w:rPr>
        <w:t> </w:t>
      </w:r>
    </w:p>
    <w:tbl>
      <w:tblPr>
        <w:tblW w:w="6278" w:type="dxa"/>
        <w:jc w:val="left"/>
        <w:tblInd w:w="0" w:type="dxa"/>
        <w:tblLayout w:type="fixed"/>
        <w:tblCellMar>
          <w:top w:w="0" w:type="dxa"/>
          <w:left w:w="0" w:type="dxa"/>
          <w:bottom w:w="0" w:type="dxa"/>
          <w:right w:w="0" w:type="dxa"/>
        </w:tblCellMar>
      </w:tblPr>
      <w:tblGrid>
        <w:gridCol w:w="3875"/>
        <w:gridCol w:w="60"/>
        <w:gridCol w:w="156"/>
        <w:gridCol w:w="763"/>
        <w:gridCol w:w="95"/>
        <w:gridCol w:w="60"/>
        <w:gridCol w:w="205"/>
        <w:gridCol w:w="759"/>
        <w:gridCol w:w="305"/>
      </w:tblGrid>
      <w:tr>
        <w:trPr/>
        <w:tc>
          <w:tcPr>
            <w:tcW w:w="387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919"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Dollars (</w:t>
            </w:r>
            <w:r>
              <w:rPr>
                <w:rFonts w:ascii="Times New Roman;Times;Serif" w:hAnsi="Times New Roman;Times;Serif"/>
                <w:b/>
                <w:i/>
                <w:sz w:val="20"/>
              </w:rPr>
              <w:t>in</w:t>
              <w:br/>
              <w:t>thousands</w:t>
            </w:r>
            <w:r>
              <w:rPr>
                <w:rFonts w:ascii="Times New Roman;Times;Serif" w:hAnsi="Times New Roman;Times;Serif"/>
                <w:b/>
                <w:sz w:val="20"/>
              </w:rPr>
              <w:t>)</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64"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Effect on</w:t>
              <w:br/>
              <w:t>Effective</w:t>
              <w:br/>
              <w:t>Tax Rate</w:t>
            </w:r>
          </w:p>
        </w:tc>
        <w:tc>
          <w:tcPr>
            <w:tcW w:w="305" w:type="dxa"/>
            <w:tcBorders/>
            <w:vAlign w:val="center"/>
          </w:tcPr>
          <w:p>
            <w:pPr>
              <w:pStyle w:val="TableContents"/>
              <w:bidi w:val="0"/>
              <w:spacing w:before="0" w:after="283"/>
              <w:ind w:left="0" w:right="0" w:hanging="180"/>
              <w:jc w:val="left"/>
              <w:rPr/>
            </w:pPr>
            <w:r>
              <w:rPr/>
              <w:t> </w:t>
            </w:r>
          </w:p>
        </w:tc>
      </w:tr>
      <w:tr>
        <w:trPr/>
        <w:tc>
          <w:tcPr>
            <w:tcW w:w="3875" w:type="dxa"/>
            <w:tcBorders/>
            <w:shd w:fill="CCEEFF" w:val="clear"/>
            <w:vAlign w:val="center"/>
          </w:tcPr>
          <w:p>
            <w:pPr>
              <w:pStyle w:val="TableContents"/>
              <w:bidi w:val="0"/>
              <w:spacing w:before="0" w:after="283"/>
              <w:jc w:val="left"/>
              <w:rPr/>
            </w:pPr>
            <w:r>
              <w:rPr/>
              <w:t>Federal tax (benefit) at statutory rate</w:t>
            </w:r>
          </w:p>
        </w:tc>
        <w:tc>
          <w:tcPr>
            <w:tcW w:w="60" w:type="dxa"/>
            <w:tcBorders/>
            <w:shd w:fill="CCEEFF" w:val="clear"/>
            <w:vAlign w:val="center"/>
          </w:tcPr>
          <w:p>
            <w:pPr>
              <w:pStyle w:val="TableContents"/>
              <w:bidi w:val="0"/>
              <w:spacing w:before="0" w:after="283"/>
              <w:jc w:val="left"/>
              <w:rPr/>
            </w:pPr>
            <w:r>
              <w:rPr/>
              <w:t> </w:t>
            </w:r>
          </w:p>
        </w:tc>
        <w:tc>
          <w:tcPr>
            <w:tcW w:w="156" w:type="dxa"/>
            <w:tcBorders/>
            <w:shd w:fill="CCEEFF" w:val="clear"/>
            <w:vAlign w:val="center"/>
          </w:tcPr>
          <w:p>
            <w:pPr>
              <w:pStyle w:val="TableContents"/>
              <w:bidi w:val="0"/>
              <w:spacing w:before="0" w:after="283"/>
              <w:jc w:val="left"/>
              <w:rPr/>
            </w:pPr>
            <w:r>
              <w:rPr/>
              <w:t>$</w:t>
            </w:r>
          </w:p>
        </w:tc>
        <w:tc>
          <w:tcPr>
            <w:tcW w:w="763" w:type="dxa"/>
            <w:tcBorders/>
            <w:shd w:fill="CCEEFF" w:val="clear"/>
            <w:vAlign w:val="center"/>
          </w:tcPr>
          <w:p>
            <w:pPr>
              <w:pStyle w:val="TableContents"/>
              <w:bidi w:val="0"/>
              <w:spacing w:before="0" w:after="283"/>
              <w:jc w:val="right"/>
              <w:rPr/>
            </w:pPr>
            <w:r>
              <w:rPr/>
              <w:t>(8,962</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205" w:type="dxa"/>
            <w:tcBorders/>
            <w:shd w:fill="CCEEFF" w:val="clear"/>
            <w:vAlign w:val="center"/>
          </w:tcPr>
          <w:p>
            <w:pPr>
              <w:pStyle w:val="TableContents"/>
              <w:bidi w:val="0"/>
              <w:spacing w:before="0" w:after="283"/>
              <w:jc w:val="left"/>
              <w:rPr/>
            </w:pPr>
            <w:r>
              <w:rPr/>
              <w:t>$</w:t>
            </w:r>
          </w:p>
        </w:tc>
        <w:tc>
          <w:tcPr>
            <w:tcW w:w="759" w:type="dxa"/>
            <w:tcBorders/>
            <w:shd w:fill="CCEEFF" w:val="clear"/>
            <w:vAlign w:val="center"/>
          </w:tcPr>
          <w:p>
            <w:pPr>
              <w:pStyle w:val="TableContents"/>
              <w:bidi w:val="0"/>
              <w:spacing w:before="0" w:after="283"/>
              <w:jc w:val="right"/>
              <w:rPr/>
            </w:pPr>
            <w:r>
              <w:rPr/>
              <w:t>21.0</w:t>
            </w:r>
          </w:p>
        </w:tc>
        <w:tc>
          <w:tcPr>
            <w:tcW w:w="305" w:type="dxa"/>
            <w:tcBorders/>
            <w:shd w:fill="CCEEFF" w:val="clear"/>
            <w:vAlign w:val="center"/>
          </w:tcPr>
          <w:p>
            <w:pPr>
              <w:pStyle w:val="TableContents"/>
              <w:bidi w:val="0"/>
              <w:spacing w:before="0" w:after="283"/>
              <w:ind w:left="0" w:right="0" w:hanging="180"/>
              <w:jc w:val="left"/>
              <w:rPr/>
            </w:pPr>
            <w:r>
              <w:rPr/>
              <w:t>%</w:t>
            </w:r>
          </w:p>
        </w:tc>
      </w:tr>
      <w:tr>
        <w:trPr/>
        <w:tc>
          <w:tcPr>
            <w:tcW w:w="387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State income taxes, net of federal tax benefit </w:t>
            </w:r>
            <w:r>
              <w:rPr>
                <w:rFonts w:ascii="Times New Roman;Times;Serif" w:hAnsi="Times New Roman;Times;Serif"/>
                <w:position w:val="7"/>
                <w:sz w:val="16"/>
                <w:sz w:val="20"/>
              </w:rPr>
              <w:t>(1)</w:t>
            </w:r>
          </w:p>
        </w:tc>
        <w:tc>
          <w:tcPr>
            <w:tcW w:w="60" w:type="dxa"/>
            <w:tcBorders/>
            <w:shd w:fill="FFFFFF" w:val="clear"/>
            <w:vAlign w:val="center"/>
          </w:tcPr>
          <w:p>
            <w:pPr>
              <w:pStyle w:val="TableContents"/>
              <w:bidi w:val="0"/>
              <w:spacing w:before="0" w:after="283"/>
              <w:jc w:val="left"/>
              <w:rPr/>
            </w:pPr>
            <w:r>
              <w:rPr/>
              <w:t> </w:t>
            </w:r>
          </w:p>
        </w:tc>
        <w:tc>
          <w:tcPr>
            <w:tcW w:w="156" w:type="dxa"/>
            <w:tcBorders/>
            <w:shd w:fill="FFFFFF" w:val="clear"/>
            <w:vAlign w:val="center"/>
          </w:tcPr>
          <w:p>
            <w:pPr>
              <w:pStyle w:val="TableContents"/>
              <w:bidi w:val="0"/>
              <w:spacing w:before="0" w:after="283"/>
              <w:jc w:val="left"/>
              <w:rPr/>
            </w:pPr>
            <w:r>
              <w:rPr/>
              <w:t> </w:t>
            </w:r>
          </w:p>
        </w:tc>
        <w:tc>
          <w:tcPr>
            <w:tcW w:w="763" w:type="dxa"/>
            <w:tcBorders/>
            <w:shd w:fill="FFFFFF" w:val="clear"/>
            <w:vAlign w:val="center"/>
          </w:tcPr>
          <w:p>
            <w:pPr>
              <w:pStyle w:val="TableContents"/>
              <w:bidi w:val="0"/>
              <w:spacing w:before="0" w:after="283"/>
              <w:jc w:val="right"/>
              <w:rPr/>
            </w:pPr>
            <w:r>
              <w:rPr/>
              <w:t>378</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5" w:type="dxa"/>
            <w:tcBorders/>
            <w:shd w:fill="FFFFFF" w:val="clear"/>
            <w:vAlign w:val="center"/>
          </w:tcPr>
          <w:p>
            <w:pPr>
              <w:pStyle w:val="TableContents"/>
              <w:bidi w:val="0"/>
              <w:spacing w:before="0" w:after="283"/>
              <w:jc w:val="left"/>
              <w:rPr/>
            </w:pPr>
            <w:r>
              <w:rPr/>
              <w:t> </w:t>
            </w:r>
          </w:p>
        </w:tc>
        <w:tc>
          <w:tcPr>
            <w:tcW w:w="759" w:type="dxa"/>
            <w:tcBorders/>
            <w:shd w:fill="FFFFFF" w:val="clear"/>
            <w:vAlign w:val="center"/>
          </w:tcPr>
          <w:p>
            <w:pPr>
              <w:pStyle w:val="TableContents"/>
              <w:bidi w:val="0"/>
              <w:spacing w:before="0" w:after="283"/>
              <w:jc w:val="right"/>
              <w:rPr/>
            </w:pPr>
            <w:r>
              <w:rPr/>
              <w:t>(0.9</w:t>
            </w:r>
          </w:p>
        </w:tc>
        <w:tc>
          <w:tcPr>
            <w:tcW w:w="305" w:type="dxa"/>
            <w:tcBorders/>
            <w:shd w:fill="FFFFFF" w:val="clear"/>
            <w:vAlign w:val="center"/>
          </w:tcPr>
          <w:p>
            <w:pPr>
              <w:pStyle w:val="TableContents"/>
              <w:bidi w:val="0"/>
              <w:spacing w:before="0" w:after="283"/>
              <w:ind w:left="0" w:right="0" w:hanging="180"/>
              <w:jc w:val="left"/>
              <w:rPr/>
            </w:pPr>
            <w:r>
              <w:rPr/>
              <w:t>)</w:t>
            </w:r>
          </w:p>
        </w:tc>
      </w:tr>
      <w:tr>
        <w:trPr/>
        <w:tc>
          <w:tcPr>
            <w:tcW w:w="3875" w:type="dxa"/>
            <w:tcBorders/>
            <w:shd w:fill="CCEEFF" w:val="clear"/>
            <w:vAlign w:val="center"/>
          </w:tcPr>
          <w:p>
            <w:pPr>
              <w:pStyle w:val="TableContents"/>
              <w:bidi w:val="0"/>
              <w:spacing w:before="0" w:after="283"/>
              <w:jc w:val="left"/>
              <w:rPr/>
            </w:pPr>
            <w:r>
              <w:rPr/>
              <w:t>Foreign tax effects</w:t>
            </w:r>
          </w:p>
        </w:tc>
        <w:tc>
          <w:tcPr>
            <w:tcW w:w="60" w:type="dxa"/>
            <w:tcBorders/>
            <w:shd w:fill="CCEEFF" w:val="clear"/>
            <w:vAlign w:val="center"/>
          </w:tcPr>
          <w:p>
            <w:pPr>
              <w:pStyle w:val="TableContents"/>
              <w:bidi w:val="0"/>
              <w:spacing w:before="0" w:after="283"/>
              <w:jc w:val="left"/>
              <w:rPr/>
            </w:pPr>
            <w:r>
              <w:rPr/>
              <w:t> </w:t>
            </w:r>
          </w:p>
        </w:tc>
        <w:tc>
          <w:tcPr>
            <w:tcW w:w="156" w:type="dxa"/>
            <w:tcBorders/>
            <w:shd w:fill="CCEEFF" w:val="clear"/>
            <w:vAlign w:val="center"/>
          </w:tcPr>
          <w:p>
            <w:pPr>
              <w:pStyle w:val="TableContents"/>
              <w:bidi w:val="0"/>
              <w:spacing w:before="0" w:after="283"/>
              <w:jc w:val="left"/>
              <w:rPr/>
            </w:pPr>
            <w:r>
              <w:rPr/>
              <w:t> </w:t>
            </w:r>
          </w:p>
        </w:tc>
        <w:tc>
          <w:tcPr>
            <w:tcW w:w="763"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5" w:type="dxa"/>
            <w:tcBorders/>
            <w:shd w:fill="CCEEFF" w:val="clear"/>
            <w:vAlign w:val="center"/>
          </w:tcPr>
          <w:p>
            <w:pPr>
              <w:pStyle w:val="TableContents"/>
              <w:bidi w:val="0"/>
              <w:spacing w:before="0" w:after="283"/>
              <w:jc w:val="left"/>
              <w:rPr/>
            </w:pPr>
            <w:r>
              <w:rPr/>
              <w:t> </w:t>
            </w:r>
          </w:p>
        </w:tc>
        <w:tc>
          <w:tcPr>
            <w:tcW w:w="759" w:type="dxa"/>
            <w:tcBorders/>
            <w:shd w:fill="CCEEFF" w:val="clear"/>
            <w:vAlign w:val="center"/>
          </w:tcPr>
          <w:p>
            <w:pPr>
              <w:pStyle w:val="TableContents"/>
              <w:bidi w:val="0"/>
              <w:spacing w:before="0" w:after="283"/>
              <w:jc w:val="right"/>
              <w:rPr/>
            </w:pPr>
            <w:r>
              <w:rPr/>
              <w:t>—</w:t>
            </w:r>
          </w:p>
        </w:tc>
        <w:tc>
          <w:tcPr>
            <w:tcW w:w="305" w:type="dxa"/>
            <w:tcBorders/>
            <w:shd w:fill="CCEEFF" w:val="clear"/>
            <w:vAlign w:val="center"/>
          </w:tcPr>
          <w:p>
            <w:pPr>
              <w:pStyle w:val="TableContents"/>
              <w:bidi w:val="0"/>
              <w:spacing w:before="0" w:after="283"/>
              <w:ind w:left="0" w:right="0" w:hanging="180"/>
              <w:jc w:val="left"/>
              <w:rPr/>
            </w:pPr>
            <w:r>
              <w:rPr/>
              <w:t> </w:t>
            </w:r>
          </w:p>
        </w:tc>
      </w:tr>
      <w:tr>
        <w:trPr/>
        <w:tc>
          <w:tcPr>
            <w:tcW w:w="3875" w:type="dxa"/>
            <w:tcBorders/>
            <w:shd w:fill="FFFFFF" w:val="clear"/>
            <w:vAlign w:val="center"/>
          </w:tcPr>
          <w:p>
            <w:pPr>
              <w:pStyle w:val="TableContents"/>
              <w:bidi w:val="0"/>
              <w:spacing w:before="0" w:after="283"/>
              <w:jc w:val="left"/>
              <w:rPr/>
            </w:pPr>
            <w:r>
              <w:rPr/>
              <w:t>Tax law changes</w:t>
            </w:r>
          </w:p>
        </w:tc>
        <w:tc>
          <w:tcPr>
            <w:tcW w:w="60" w:type="dxa"/>
            <w:tcBorders/>
            <w:shd w:fill="FFFFFF" w:val="clear"/>
            <w:vAlign w:val="center"/>
          </w:tcPr>
          <w:p>
            <w:pPr>
              <w:pStyle w:val="TableContents"/>
              <w:bidi w:val="0"/>
              <w:spacing w:before="0" w:after="283"/>
              <w:jc w:val="left"/>
              <w:rPr/>
            </w:pPr>
            <w:r>
              <w:rPr/>
              <w:t> </w:t>
            </w:r>
          </w:p>
        </w:tc>
        <w:tc>
          <w:tcPr>
            <w:tcW w:w="156" w:type="dxa"/>
            <w:tcBorders/>
            <w:shd w:fill="FFFFFF" w:val="clear"/>
            <w:vAlign w:val="center"/>
          </w:tcPr>
          <w:p>
            <w:pPr>
              <w:pStyle w:val="TableContents"/>
              <w:bidi w:val="0"/>
              <w:spacing w:before="0" w:after="283"/>
              <w:jc w:val="left"/>
              <w:rPr/>
            </w:pPr>
            <w:r>
              <w:rPr/>
              <w:t> </w:t>
            </w:r>
          </w:p>
        </w:tc>
        <w:tc>
          <w:tcPr>
            <w:tcW w:w="763"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5" w:type="dxa"/>
            <w:tcBorders/>
            <w:shd w:fill="FFFFFF" w:val="clear"/>
            <w:vAlign w:val="center"/>
          </w:tcPr>
          <w:p>
            <w:pPr>
              <w:pStyle w:val="TableContents"/>
              <w:bidi w:val="0"/>
              <w:spacing w:before="0" w:after="283"/>
              <w:jc w:val="left"/>
              <w:rPr/>
            </w:pPr>
            <w:r>
              <w:rPr/>
              <w:t> </w:t>
            </w:r>
          </w:p>
        </w:tc>
        <w:tc>
          <w:tcPr>
            <w:tcW w:w="759" w:type="dxa"/>
            <w:tcBorders/>
            <w:shd w:fill="FFFFFF" w:val="clear"/>
            <w:vAlign w:val="center"/>
          </w:tcPr>
          <w:p>
            <w:pPr>
              <w:pStyle w:val="TableContents"/>
              <w:bidi w:val="0"/>
              <w:spacing w:before="0" w:after="283"/>
              <w:jc w:val="right"/>
              <w:rPr/>
            </w:pPr>
            <w:r>
              <w:rPr/>
              <w:t>—</w:t>
            </w:r>
          </w:p>
        </w:tc>
        <w:tc>
          <w:tcPr>
            <w:tcW w:w="305" w:type="dxa"/>
            <w:tcBorders/>
            <w:shd w:fill="FFFFFF" w:val="clear"/>
            <w:vAlign w:val="center"/>
          </w:tcPr>
          <w:p>
            <w:pPr>
              <w:pStyle w:val="TableContents"/>
              <w:bidi w:val="0"/>
              <w:spacing w:before="0" w:after="283"/>
              <w:ind w:left="0" w:right="0" w:hanging="180"/>
              <w:jc w:val="left"/>
              <w:rPr/>
            </w:pPr>
            <w:r>
              <w:rPr/>
              <w:t> </w:t>
            </w:r>
          </w:p>
        </w:tc>
      </w:tr>
      <w:tr>
        <w:trPr/>
        <w:tc>
          <w:tcPr>
            <w:tcW w:w="3875" w:type="dxa"/>
            <w:tcBorders/>
            <w:shd w:fill="CCEEFF" w:val="clear"/>
            <w:vAlign w:val="center"/>
          </w:tcPr>
          <w:p>
            <w:pPr>
              <w:pStyle w:val="TableContents"/>
              <w:bidi w:val="0"/>
              <w:spacing w:before="0" w:after="283"/>
              <w:jc w:val="left"/>
              <w:rPr/>
            </w:pPr>
            <w:r>
              <w:rPr/>
              <w:t>Effect of cross-border tax laws</w:t>
            </w:r>
          </w:p>
        </w:tc>
        <w:tc>
          <w:tcPr>
            <w:tcW w:w="60" w:type="dxa"/>
            <w:tcBorders/>
            <w:shd w:fill="CCEEFF" w:val="clear"/>
            <w:vAlign w:val="center"/>
          </w:tcPr>
          <w:p>
            <w:pPr>
              <w:pStyle w:val="TableContents"/>
              <w:bidi w:val="0"/>
              <w:spacing w:before="0" w:after="283"/>
              <w:jc w:val="left"/>
              <w:rPr/>
            </w:pPr>
            <w:r>
              <w:rPr/>
              <w:t> </w:t>
            </w:r>
          </w:p>
        </w:tc>
        <w:tc>
          <w:tcPr>
            <w:tcW w:w="156" w:type="dxa"/>
            <w:tcBorders/>
            <w:shd w:fill="CCEEFF" w:val="clear"/>
            <w:vAlign w:val="center"/>
          </w:tcPr>
          <w:p>
            <w:pPr>
              <w:pStyle w:val="TableContents"/>
              <w:bidi w:val="0"/>
              <w:spacing w:before="0" w:after="283"/>
              <w:jc w:val="left"/>
              <w:rPr/>
            </w:pPr>
            <w:r>
              <w:rPr/>
              <w:t> </w:t>
            </w:r>
          </w:p>
        </w:tc>
        <w:tc>
          <w:tcPr>
            <w:tcW w:w="763"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5" w:type="dxa"/>
            <w:tcBorders/>
            <w:shd w:fill="CCEEFF" w:val="clear"/>
            <w:vAlign w:val="center"/>
          </w:tcPr>
          <w:p>
            <w:pPr>
              <w:pStyle w:val="TableContents"/>
              <w:bidi w:val="0"/>
              <w:spacing w:before="0" w:after="283"/>
              <w:jc w:val="left"/>
              <w:rPr/>
            </w:pPr>
            <w:r>
              <w:rPr/>
              <w:t> </w:t>
            </w:r>
          </w:p>
        </w:tc>
        <w:tc>
          <w:tcPr>
            <w:tcW w:w="759" w:type="dxa"/>
            <w:tcBorders/>
            <w:shd w:fill="CCEEFF" w:val="clear"/>
            <w:vAlign w:val="center"/>
          </w:tcPr>
          <w:p>
            <w:pPr>
              <w:pStyle w:val="TableContents"/>
              <w:bidi w:val="0"/>
              <w:spacing w:before="0" w:after="283"/>
              <w:jc w:val="right"/>
              <w:rPr/>
            </w:pPr>
            <w:r>
              <w:rPr/>
              <w:t>—</w:t>
            </w:r>
          </w:p>
        </w:tc>
        <w:tc>
          <w:tcPr>
            <w:tcW w:w="305" w:type="dxa"/>
            <w:tcBorders/>
            <w:shd w:fill="CCEEFF" w:val="clear"/>
            <w:vAlign w:val="center"/>
          </w:tcPr>
          <w:p>
            <w:pPr>
              <w:pStyle w:val="TableContents"/>
              <w:bidi w:val="0"/>
              <w:spacing w:before="0" w:after="283"/>
              <w:ind w:left="0" w:right="0" w:hanging="180"/>
              <w:jc w:val="left"/>
              <w:rPr/>
            </w:pPr>
            <w:r>
              <w:rPr/>
              <w:t> </w:t>
            </w:r>
          </w:p>
        </w:tc>
      </w:tr>
      <w:tr>
        <w:trPr/>
        <w:tc>
          <w:tcPr>
            <w:tcW w:w="3875" w:type="dxa"/>
            <w:tcBorders/>
            <w:shd w:fill="FFFFFF" w:val="clear"/>
            <w:vAlign w:val="center"/>
          </w:tcPr>
          <w:p>
            <w:pPr>
              <w:pStyle w:val="TableContents"/>
              <w:bidi w:val="0"/>
              <w:spacing w:before="0" w:after="283"/>
              <w:jc w:val="left"/>
              <w:rPr/>
            </w:pPr>
            <w:r>
              <w:rPr/>
              <w:t>Tax credits</w:t>
            </w:r>
          </w:p>
        </w:tc>
        <w:tc>
          <w:tcPr>
            <w:tcW w:w="60" w:type="dxa"/>
            <w:tcBorders/>
            <w:shd w:fill="FFFFFF" w:val="clear"/>
            <w:vAlign w:val="center"/>
          </w:tcPr>
          <w:p>
            <w:pPr>
              <w:pStyle w:val="TableContents"/>
              <w:bidi w:val="0"/>
              <w:spacing w:before="0" w:after="283"/>
              <w:jc w:val="left"/>
              <w:rPr/>
            </w:pPr>
            <w:r>
              <w:rPr/>
              <w:t> </w:t>
            </w:r>
          </w:p>
        </w:tc>
        <w:tc>
          <w:tcPr>
            <w:tcW w:w="156" w:type="dxa"/>
            <w:tcBorders/>
            <w:shd w:fill="FFFFFF" w:val="clear"/>
            <w:vAlign w:val="center"/>
          </w:tcPr>
          <w:p>
            <w:pPr>
              <w:pStyle w:val="TableContents"/>
              <w:bidi w:val="0"/>
              <w:spacing w:before="0" w:after="283"/>
              <w:jc w:val="left"/>
              <w:rPr/>
            </w:pPr>
            <w:r>
              <w:rPr/>
              <w:t> </w:t>
            </w:r>
          </w:p>
        </w:tc>
        <w:tc>
          <w:tcPr>
            <w:tcW w:w="763"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5" w:type="dxa"/>
            <w:tcBorders/>
            <w:shd w:fill="FFFFFF" w:val="clear"/>
            <w:vAlign w:val="center"/>
          </w:tcPr>
          <w:p>
            <w:pPr>
              <w:pStyle w:val="TableContents"/>
              <w:bidi w:val="0"/>
              <w:spacing w:before="0" w:after="283"/>
              <w:jc w:val="left"/>
              <w:rPr/>
            </w:pPr>
            <w:r>
              <w:rPr/>
              <w:t> </w:t>
            </w:r>
          </w:p>
        </w:tc>
        <w:tc>
          <w:tcPr>
            <w:tcW w:w="759" w:type="dxa"/>
            <w:tcBorders/>
            <w:shd w:fill="FFFFFF" w:val="clear"/>
            <w:vAlign w:val="center"/>
          </w:tcPr>
          <w:p>
            <w:pPr>
              <w:pStyle w:val="TableContents"/>
              <w:bidi w:val="0"/>
              <w:spacing w:before="0" w:after="283"/>
              <w:jc w:val="right"/>
              <w:rPr/>
            </w:pPr>
            <w:r>
              <w:rPr/>
              <w:t>—</w:t>
            </w:r>
          </w:p>
        </w:tc>
        <w:tc>
          <w:tcPr>
            <w:tcW w:w="305" w:type="dxa"/>
            <w:tcBorders/>
            <w:shd w:fill="FFFFFF" w:val="clear"/>
            <w:vAlign w:val="center"/>
          </w:tcPr>
          <w:p>
            <w:pPr>
              <w:pStyle w:val="TableContents"/>
              <w:bidi w:val="0"/>
              <w:spacing w:before="0" w:after="283"/>
              <w:ind w:left="0" w:right="0" w:hanging="180"/>
              <w:jc w:val="left"/>
              <w:rPr/>
            </w:pPr>
            <w:r>
              <w:rPr/>
              <w:t> </w:t>
            </w:r>
          </w:p>
        </w:tc>
      </w:tr>
      <w:tr>
        <w:trPr/>
        <w:tc>
          <w:tcPr>
            <w:tcW w:w="3875" w:type="dxa"/>
            <w:tcBorders/>
            <w:shd w:fill="CCEEFF" w:val="clear"/>
            <w:vAlign w:val="center"/>
          </w:tcPr>
          <w:p>
            <w:pPr>
              <w:pStyle w:val="TableContents"/>
              <w:bidi w:val="0"/>
              <w:spacing w:before="0" w:after="283"/>
              <w:jc w:val="left"/>
              <w:rPr/>
            </w:pPr>
            <w:r>
              <w:rPr/>
              <w:t>Valuation allowance</w:t>
            </w:r>
          </w:p>
        </w:tc>
        <w:tc>
          <w:tcPr>
            <w:tcW w:w="60" w:type="dxa"/>
            <w:tcBorders/>
            <w:shd w:fill="CCEEFF" w:val="clear"/>
            <w:vAlign w:val="center"/>
          </w:tcPr>
          <w:p>
            <w:pPr>
              <w:pStyle w:val="TableContents"/>
              <w:bidi w:val="0"/>
              <w:spacing w:before="0" w:after="283"/>
              <w:jc w:val="left"/>
              <w:rPr/>
            </w:pPr>
            <w:r>
              <w:rPr/>
              <w:t> </w:t>
            </w:r>
          </w:p>
        </w:tc>
        <w:tc>
          <w:tcPr>
            <w:tcW w:w="156" w:type="dxa"/>
            <w:tcBorders/>
            <w:shd w:fill="CCEEFF" w:val="clear"/>
            <w:vAlign w:val="center"/>
          </w:tcPr>
          <w:p>
            <w:pPr>
              <w:pStyle w:val="TableContents"/>
              <w:bidi w:val="0"/>
              <w:spacing w:before="0" w:after="283"/>
              <w:jc w:val="left"/>
              <w:rPr/>
            </w:pPr>
            <w:r>
              <w:rPr/>
              <w:t> </w:t>
            </w:r>
          </w:p>
        </w:tc>
        <w:tc>
          <w:tcPr>
            <w:tcW w:w="763" w:type="dxa"/>
            <w:tcBorders/>
            <w:shd w:fill="CCEEFF" w:val="clear"/>
            <w:vAlign w:val="center"/>
          </w:tcPr>
          <w:p>
            <w:pPr>
              <w:pStyle w:val="TableContents"/>
              <w:bidi w:val="0"/>
              <w:spacing w:before="0" w:after="283"/>
              <w:jc w:val="right"/>
              <w:rPr/>
            </w:pPr>
            <w:r>
              <w:rPr/>
              <w:t>11,328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5" w:type="dxa"/>
            <w:tcBorders/>
            <w:shd w:fill="CCEEFF" w:val="clear"/>
            <w:vAlign w:val="center"/>
          </w:tcPr>
          <w:p>
            <w:pPr>
              <w:pStyle w:val="TableContents"/>
              <w:bidi w:val="0"/>
              <w:spacing w:before="0" w:after="283"/>
              <w:jc w:val="left"/>
              <w:rPr/>
            </w:pPr>
            <w:r>
              <w:rPr/>
              <w:t> </w:t>
            </w:r>
          </w:p>
        </w:tc>
        <w:tc>
          <w:tcPr>
            <w:tcW w:w="759" w:type="dxa"/>
            <w:tcBorders/>
            <w:shd w:fill="CCEEFF" w:val="clear"/>
            <w:vAlign w:val="center"/>
          </w:tcPr>
          <w:p>
            <w:pPr>
              <w:pStyle w:val="TableContents"/>
              <w:bidi w:val="0"/>
              <w:spacing w:before="0" w:after="283"/>
              <w:jc w:val="right"/>
              <w:rPr/>
            </w:pPr>
            <w:r>
              <w:rPr/>
              <w:t>(26.6</w:t>
            </w:r>
          </w:p>
        </w:tc>
        <w:tc>
          <w:tcPr>
            <w:tcW w:w="305" w:type="dxa"/>
            <w:tcBorders/>
            <w:shd w:fill="CCEEFF" w:val="clear"/>
            <w:vAlign w:val="center"/>
          </w:tcPr>
          <w:p>
            <w:pPr>
              <w:pStyle w:val="TableContents"/>
              <w:bidi w:val="0"/>
              <w:spacing w:before="0" w:after="283"/>
              <w:ind w:left="0" w:right="0" w:hanging="180"/>
              <w:jc w:val="left"/>
              <w:rPr/>
            </w:pPr>
            <w:r>
              <w:rPr/>
              <w:t>)</w:t>
            </w:r>
          </w:p>
        </w:tc>
      </w:tr>
      <w:tr>
        <w:trPr/>
        <w:tc>
          <w:tcPr>
            <w:tcW w:w="3875" w:type="dxa"/>
            <w:tcBorders/>
            <w:shd w:fill="FFFFFF" w:val="clear"/>
            <w:vAlign w:val="center"/>
          </w:tcPr>
          <w:p>
            <w:pPr>
              <w:pStyle w:val="TableContents"/>
              <w:bidi w:val="0"/>
              <w:spacing w:before="0" w:after="283"/>
              <w:jc w:val="left"/>
              <w:rPr/>
            </w:pPr>
            <w:r>
              <w:rPr/>
              <w:t>Nondeductible items</w:t>
            </w:r>
          </w:p>
        </w:tc>
        <w:tc>
          <w:tcPr>
            <w:tcW w:w="60" w:type="dxa"/>
            <w:tcBorders/>
            <w:shd w:fill="FFFFFF" w:val="clear"/>
            <w:vAlign w:val="center"/>
          </w:tcPr>
          <w:p>
            <w:pPr>
              <w:pStyle w:val="TableContents"/>
              <w:bidi w:val="0"/>
              <w:spacing w:before="0" w:after="283"/>
              <w:jc w:val="left"/>
              <w:rPr/>
            </w:pPr>
            <w:r>
              <w:rPr/>
              <w:t> </w:t>
            </w:r>
          </w:p>
        </w:tc>
        <w:tc>
          <w:tcPr>
            <w:tcW w:w="156" w:type="dxa"/>
            <w:tcBorders/>
            <w:shd w:fill="FFFFFF" w:val="clear"/>
            <w:vAlign w:val="center"/>
          </w:tcPr>
          <w:p>
            <w:pPr>
              <w:pStyle w:val="TableContents"/>
              <w:bidi w:val="0"/>
              <w:spacing w:before="0" w:after="283"/>
              <w:jc w:val="left"/>
              <w:rPr/>
            </w:pPr>
            <w:r>
              <w:rPr/>
              <w:t> </w:t>
            </w:r>
          </w:p>
        </w:tc>
        <w:tc>
          <w:tcPr>
            <w:tcW w:w="763"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5" w:type="dxa"/>
            <w:tcBorders/>
            <w:shd w:fill="FFFFFF" w:val="clear"/>
            <w:vAlign w:val="center"/>
          </w:tcPr>
          <w:p>
            <w:pPr>
              <w:pStyle w:val="TableContents"/>
              <w:bidi w:val="0"/>
              <w:spacing w:before="0" w:after="283"/>
              <w:jc w:val="left"/>
              <w:rPr/>
            </w:pPr>
            <w:r>
              <w:rPr/>
              <w:t> </w:t>
            </w:r>
          </w:p>
        </w:tc>
        <w:tc>
          <w:tcPr>
            <w:tcW w:w="759" w:type="dxa"/>
            <w:tcBorders/>
            <w:shd w:fill="FFFFFF" w:val="clear"/>
            <w:vAlign w:val="center"/>
          </w:tcPr>
          <w:p>
            <w:pPr>
              <w:pStyle w:val="TableContents"/>
              <w:bidi w:val="0"/>
              <w:spacing w:before="0" w:after="283"/>
              <w:jc w:val="right"/>
              <w:rPr/>
            </w:pPr>
            <w:r>
              <w:rPr/>
              <w:t>—</w:t>
            </w:r>
          </w:p>
        </w:tc>
        <w:tc>
          <w:tcPr>
            <w:tcW w:w="305" w:type="dxa"/>
            <w:tcBorders/>
            <w:shd w:fill="FFFFFF" w:val="clear"/>
            <w:vAlign w:val="center"/>
          </w:tcPr>
          <w:p>
            <w:pPr>
              <w:pStyle w:val="TableContents"/>
              <w:bidi w:val="0"/>
              <w:spacing w:before="0" w:after="283"/>
              <w:ind w:left="0" w:right="0" w:hanging="177"/>
              <w:jc w:val="left"/>
              <w:rPr/>
            </w:pPr>
            <w:r>
              <w:rPr/>
              <w:t> </w:t>
            </w:r>
          </w:p>
        </w:tc>
      </w:tr>
      <w:tr>
        <w:trPr/>
        <w:tc>
          <w:tcPr>
            <w:tcW w:w="3875" w:type="dxa"/>
            <w:tcBorders/>
            <w:shd w:fill="CCEEFF" w:val="clear"/>
            <w:vAlign w:val="center"/>
          </w:tcPr>
          <w:p>
            <w:pPr>
              <w:pStyle w:val="TableContents"/>
              <w:bidi w:val="0"/>
              <w:spacing w:before="0" w:after="283"/>
              <w:jc w:val="left"/>
              <w:rPr/>
            </w:pPr>
            <w:r>
              <w:rPr/>
              <w:t>Warranty liability</w:t>
            </w:r>
          </w:p>
        </w:tc>
        <w:tc>
          <w:tcPr>
            <w:tcW w:w="60" w:type="dxa"/>
            <w:tcBorders/>
            <w:shd w:fill="CCEEFF" w:val="clear"/>
            <w:vAlign w:val="center"/>
          </w:tcPr>
          <w:p>
            <w:pPr>
              <w:pStyle w:val="TableContents"/>
              <w:bidi w:val="0"/>
              <w:spacing w:before="0" w:after="283"/>
              <w:jc w:val="left"/>
              <w:rPr/>
            </w:pPr>
            <w:r>
              <w:rPr/>
              <w:t> </w:t>
            </w:r>
          </w:p>
        </w:tc>
        <w:tc>
          <w:tcPr>
            <w:tcW w:w="156" w:type="dxa"/>
            <w:tcBorders/>
            <w:shd w:fill="CCEEFF" w:val="clear"/>
            <w:vAlign w:val="center"/>
          </w:tcPr>
          <w:p>
            <w:pPr>
              <w:pStyle w:val="TableContents"/>
              <w:bidi w:val="0"/>
              <w:spacing w:before="0" w:after="283"/>
              <w:jc w:val="left"/>
              <w:rPr/>
            </w:pPr>
            <w:r>
              <w:rPr/>
              <w:t> </w:t>
            </w:r>
          </w:p>
        </w:tc>
        <w:tc>
          <w:tcPr>
            <w:tcW w:w="763" w:type="dxa"/>
            <w:tcBorders/>
            <w:shd w:fill="CCEEFF" w:val="clear"/>
            <w:vAlign w:val="center"/>
          </w:tcPr>
          <w:p>
            <w:pPr>
              <w:pStyle w:val="TableContents"/>
              <w:bidi w:val="0"/>
              <w:spacing w:before="0" w:after="283"/>
              <w:jc w:val="right"/>
              <w:rPr/>
            </w:pPr>
            <w:r>
              <w:rPr/>
              <w:t>588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5" w:type="dxa"/>
            <w:tcBorders/>
            <w:shd w:fill="CCEEFF" w:val="clear"/>
            <w:vAlign w:val="center"/>
          </w:tcPr>
          <w:p>
            <w:pPr>
              <w:pStyle w:val="TableContents"/>
              <w:bidi w:val="0"/>
              <w:spacing w:before="0" w:after="283"/>
              <w:jc w:val="left"/>
              <w:rPr/>
            </w:pPr>
            <w:r>
              <w:rPr/>
              <w:t> </w:t>
            </w:r>
          </w:p>
        </w:tc>
        <w:tc>
          <w:tcPr>
            <w:tcW w:w="759" w:type="dxa"/>
            <w:tcBorders/>
            <w:shd w:fill="CCEEFF" w:val="clear"/>
            <w:vAlign w:val="center"/>
          </w:tcPr>
          <w:p>
            <w:pPr>
              <w:pStyle w:val="TableContents"/>
              <w:bidi w:val="0"/>
              <w:spacing w:before="0" w:after="283"/>
              <w:jc w:val="right"/>
              <w:rPr/>
            </w:pPr>
            <w:r>
              <w:rPr/>
              <w:t>(1.4</w:t>
            </w:r>
          </w:p>
        </w:tc>
        <w:tc>
          <w:tcPr>
            <w:tcW w:w="305" w:type="dxa"/>
            <w:tcBorders/>
            <w:shd w:fill="CCEEFF" w:val="clear"/>
            <w:vAlign w:val="center"/>
          </w:tcPr>
          <w:p>
            <w:pPr>
              <w:pStyle w:val="TableContents"/>
              <w:bidi w:val="0"/>
              <w:spacing w:before="0" w:after="283"/>
              <w:ind w:left="0" w:right="0" w:hanging="177"/>
              <w:jc w:val="left"/>
              <w:rPr/>
            </w:pPr>
            <w:r>
              <w:rPr/>
              <w:t>)</w:t>
            </w:r>
          </w:p>
        </w:tc>
      </w:tr>
      <w:tr>
        <w:trPr/>
        <w:tc>
          <w:tcPr>
            <w:tcW w:w="3875" w:type="dxa"/>
            <w:tcBorders/>
            <w:shd w:fill="FFFFFF" w:val="clear"/>
            <w:vAlign w:val="center"/>
          </w:tcPr>
          <w:p>
            <w:pPr>
              <w:pStyle w:val="TableContents"/>
              <w:bidi w:val="0"/>
              <w:spacing w:before="0" w:after="283"/>
              <w:jc w:val="left"/>
              <w:rPr/>
            </w:pPr>
            <w:r>
              <w:rPr/>
              <w:t>Other nondeductible items</w:t>
            </w:r>
          </w:p>
        </w:tc>
        <w:tc>
          <w:tcPr>
            <w:tcW w:w="60" w:type="dxa"/>
            <w:tcBorders/>
            <w:shd w:fill="FFFFFF" w:val="clear"/>
            <w:vAlign w:val="center"/>
          </w:tcPr>
          <w:p>
            <w:pPr>
              <w:pStyle w:val="TableContents"/>
              <w:bidi w:val="0"/>
              <w:spacing w:before="0" w:after="283"/>
              <w:jc w:val="left"/>
              <w:rPr/>
            </w:pPr>
            <w:r>
              <w:rPr/>
              <w:t> </w:t>
            </w:r>
          </w:p>
        </w:tc>
        <w:tc>
          <w:tcPr>
            <w:tcW w:w="156" w:type="dxa"/>
            <w:tcBorders/>
            <w:shd w:fill="FFFFFF" w:val="clear"/>
            <w:vAlign w:val="center"/>
          </w:tcPr>
          <w:p>
            <w:pPr>
              <w:pStyle w:val="TableContents"/>
              <w:bidi w:val="0"/>
              <w:spacing w:before="0" w:after="283"/>
              <w:jc w:val="left"/>
              <w:rPr/>
            </w:pPr>
            <w:r>
              <w:rPr/>
              <w:t> </w:t>
            </w:r>
          </w:p>
        </w:tc>
        <w:tc>
          <w:tcPr>
            <w:tcW w:w="763" w:type="dxa"/>
            <w:tcBorders/>
            <w:shd w:fill="FFFFFF" w:val="clear"/>
            <w:vAlign w:val="center"/>
          </w:tcPr>
          <w:p>
            <w:pPr>
              <w:pStyle w:val="TableContents"/>
              <w:bidi w:val="0"/>
              <w:spacing w:before="0" w:after="283"/>
              <w:jc w:val="right"/>
              <w:rPr/>
            </w:pPr>
            <w:r>
              <w:rPr/>
              <w:t>276</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5" w:type="dxa"/>
            <w:tcBorders/>
            <w:shd w:fill="FFFFFF" w:val="clear"/>
            <w:vAlign w:val="center"/>
          </w:tcPr>
          <w:p>
            <w:pPr>
              <w:pStyle w:val="TableContents"/>
              <w:bidi w:val="0"/>
              <w:spacing w:before="0" w:after="283"/>
              <w:jc w:val="left"/>
              <w:rPr/>
            </w:pPr>
            <w:r>
              <w:rPr/>
              <w:t> </w:t>
            </w:r>
          </w:p>
        </w:tc>
        <w:tc>
          <w:tcPr>
            <w:tcW w:w="759" w:type="dxa"/>
            <w:tcBorders/>
            <w:shd w:fill="FFFFFF" w:val="clear"/>
            <w:vAlign w:val="center"/>
          </w:tcPr>
          <w:p>
            <w:pPr>
              <w:pStyle w:val="TableContents"/>
              <w:bidi w:val="0"/>
              <w:spacing w:before="0" w:after="283"/>
              <w:jc w:val="right"/>
              <w:rPr/>
            </w:pPr>
            <w:r>
              <w:rPr/>
              <w:t>(0.6</w:t>
            </w:r>
          </w:p>
        </w:tc>
        <w:tc>
          <w:tcPr>
            <w:tcW w:w="305" w:type="dxa"/>
            <w:tcBorders/>
            <w:shd w:fill="FFFFFF" w:val="clear"/>
            <w:vAlign w:val="center"/>
          </w:tcPr>
          <w:p>
            <w:pPr>
              <w:pStyle w:val="TableContents"/>
              <w:bidi w:val="0"/>
              <w:spacing w:before="0" w:after="283"/>
              <w:ind w:left="0" w:right="0" w:hanging="180"/>
              <w:jc w:val="left"/>
              <w:rPr/>
            </w:pPr>
            <w:r>
              <w:rPr/>
              <w:t>)</w:t>
            </w:r>
          </w:p>
        </w:tc>
      </w:tr>
      <w:tr>
        <w:trPr/>
        <w:tc>
          <w:tcPr>
            <w:tcW w:w="3875" w:type="dxa"/>
            <w:tcBorders/>
            <w:shd w:fill="CCEEFF" w:val="clear"/>
            <w:vAlign w:val="center"/>
          </w:tcPr>
          <w:p>
            <w:pPr>
              <w:pStyle w:val="TableContents"/>
              <w:bidi w:val="0"/>
              <w:spacing w:before="0" w:after="283"/>
              <w:jc w:val="left"/>
              <w:rPr/>
            </w:pPr>
            <w:r>
              <w:rPr/>
              <w:t>Changes in unrecognized tax benefits</w:t>
            </w:r>
          </w:p>
        </w:tc>
        <w:tc>
          <w:tcPr>
            <w:tcW w:w="60" w:type="dxa"/>
            <w:tcBorders/>
            <w:shd w:fill="CCEEFF" w:val="clear"/>
            <w:vAlign w:val="center"/>
          </w:tcPr>
          <w:p>
            <w:pPr>
              <w:pStyle w:val="TableContents"/>
              <w:bidi w:val="0"/>
              <w:spacing w:before="0" w:after="283"/>
              <w:jc w:val="left"/>
              <w:rPr/>
            </w:pPr>
            <w:r>
              <w:rPr/>
              <w:t> </w:t>
            </w:r>
          </w:p>
        </w:tc>
        <w:tc>
          <w:tcPr>
            <w:tcW w:w="156" w:type="dxa"/>
            <w:tcBorders/>
            <w:shd w:fill="CCEEFF" w:val="clear"/>
            <w:vAlign w:val="center"/>
          </w:tcPr>
          <w:p>
            <w:pPr>
              <w:pStyle w:val="TableContents"/>
              <w:bidi w:val="0"/>
              <w:spacing w:before="0" w:after="283"/>
              <w:jc w:val="left"/>
              <w:rPr/>
            </w:pPr>
            <w:r>
              <w:rPr/>
              <w:t> </w:t>
            </w:r>
          </w:p>
        </w:tc>
        <w:tc>
          <w:tcPr>
            <w:tcW w:w="763"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5" w:type="dxa"/>
            <w:tcBorders/>
            <w:shd w:fill="CCEEFF" w:val="clear"/>
            <w:vAlign w:val="center"/>
          </w:tcPr>
          <w:p>
            <w:pPr>
              <w:pStyle w:val="TableContents"/>
              <w:bidi w:val="0"/>
              <w:spacing w:before="0" w:after="283"/>
              <w:jc w:val="left"/>
              <w:rPr/>
            </w:pPr>
            <w:r>
              <w:rPr/>
              <w:t> </w:t>
            </w:r>
          </w:p>
        </w:tc>
        <w:tc>
          <w:tcPr>
            <w:tcW w:w="759" w:type="dxa"/>
            <w:tcBorders/>
            <w:shd w:fill="CCEEFF" w:val="clear"/>
            <w:vAlign w:val="center"/>
          </w:tcPr>
          <w:p>
            <w:pPr>
              <w:pStyle w:val="TableContents"/>
              <w:bidi w:val="0"/>
              <w:spacing w:before="0" w:after="283"/>
              <w:jc w:val="right"/>
              <w:rPr/>
            </w:pPr>
            <w:r>
              <w:rPr/>
              <w:t>—</w:t>
            </w:r>
          </w:p>
        </w:tc>
        <w:tc>
          <w:tcPr>
            <w:tcW w:w="305" w:type="dxa"/>
            <w:tcBorders/>
            <w:shd w:fill="CCEEFF" w:val="clear"/>
            <w:vAlign w:val="center"/>
          </w:tcPr>
          <w:p>
            <w:pPr>
              <w:pStyle w:val="TableContents"/>
              <w:bidi w:val="0"/>
              <w:spacing w:before="0" w:after="283"/>
              <w:ind w:left="0" w:right="0" w:hanging="180"/>
              <w:jc w:val="left"/>
              <w:rPr/>
            </w:pPr>
            <w:r>
              <w:rPr/>
              <w:t> </w:t>
            </w:r>
          </w:p>
        </w:tc>
      </w:tr>
      <w:tr>
        <w:trPr/>
        <w:tc>
          <w:tcPr>
            <w:tcW w:w="3875" w:type="dxa"/>
            <w:tcBorders/>
            <w:shd w:fill="FFFFFF" w:val="clear"/>
            <w:vAlign w:val="center"/>
          </w:tcPr>
          <w:p>
            <w:pPr>
              <w:pStyle w:val="TableContents"/>
              <w:bidi w:val="0"/>
              <w:spacing w:before="0" w:after="283"/>
              <w:jc w:val="left"/>
              <w:rPr/>
            </w:pPr>
            <w:r>
              <w:rPr/>
              <w:t>Deferred tax true-up</w:t>
            </w:r>
          </w:p>
        </w:tc>
        <w:tc>
          <w:tcPr>
            <w:tcW w:w="60" w:type="dxa"/>
            <w:tcBorders/>
            <w:shd w:fill="FFFFFF" w:val="clear"/>
            <w:vAlign w:val="center"/>
          </w:tcPr>
          <w:p>
            <w:pPr>
              <w:pStyle w:val="TableContents"/>
              <w:bidi w:val="0"/>
              <w:spacing w:before="0" w:after="283"/>
              <w:jc w:val="left"/>
              <w:rPr/>
            </w:pPr>
            <w:r>
              <w:rPr/>
              <w:t> </w:t>
            </w:r>
          </w:p>
        </w:tc>
        <w:tc>
          <w:tcPr>
            <w:tcW w:w="156"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763" w:type="dxa"/>
            <w:tcBorders>
              <w:bottom w:val="single" w:sz="12" w:space="0" w:color="000000"/>
            </w:tcBorders>
            <w:shd w:fill="FFFFFF" w:val="clear"/>
            <w:tcMar>
              <w:bottom w:w="28" w:type="dxa"/>
            </w:tcMar>
            <w:vAlign w:val="center"/>
          </w:tcPr>
          <w:p>
            <w:pPr>
              <w:pStyle w:val="TableContents"/>
              <w:bidi w:val="0"/>
              <w:spacing w:before="0" w:after="283"/>
              <w:jc w:val="right"/>
              <w:rPr/>
            </w:pPr>
            <w:r>
              <w:rPr/>
              <w:t>(2,030</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205"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759" w:type="dxa"/>
            <w:tcBorders>
              <w:bottom w:val="single" w:sz="12" w:space="0" w:color="000000"/>
            </w:tcBorders>
            <w:shd w:fill="FFFFFF" w:val="clear"/>
            <w:tcMar>
              <w:bottom w:w="28" w:type="dxa"/>
            </w:tcMar>
            <w:vAlign w:val="center"/>
          </w:tcPr>
          <w:p>
            <w:pPr>
              <w:pStyle w:val="TableContents"/>
              <w:bidi w:val="0"/>
              <w:spacing w:before="0" w:after="283"/>
              <w:jc w:val="right"/>
              <w:rPr/>
            </w:pPr>
            <w:r>
              <w:rPr/>
              <w:t>4.8</w:t>
            </w:r>
          </w:p>
        </w:tc>
        <w:tc>
          <w:tcPr>
            <w:tcW w:w="305" w:type="dxa"/>
            <w:tcBorders/>
            <w:shd w:fill="FFFFFF" w:val="clear"/>
            <w:vAlign w:val="center"/>
          </w:tcPr>
          <w:p>
            <w:pPr>
              <w:pStyle w:val="TableContents"/>
              <w:bidi w:val="0"/>
              <w:spacing w:before="0" w:after="283"/>
              <w:ind w:left="0" w:right="0" w:hanging="180"/>
              <w:jc w:val="left"/>
              <w:rPr/>
            </w:pPr>
            <w:r>
              <w:rPr/>
              <w:t> </w:t>
            </w:r>
          </w:p>
        </w:tc>
      </w:tr>
      <w:tr>
        <w:trPr/>
        <w:tc>
          <w:tcPr>
            <w:tcW w:w="3875" w:type="dxa"/>
            <w:tcBorders/>
            <w:shd w:fill="CCEEFF" w:val="clear"/>
            <w:vAlign w:val="center"/>
          </w:tcPr>
          <w:p>
            <w:pPr>
              <w:pStyle w:val="TableContents"/>
              <w:bidi w:val="0"/>
              <w:spacing w:before="0" w:after="283"/>
              <w:jc w:val="left"/>
              <w:rPr/>
            </w:pPr>
            <w:r>
              <w:rPr/>
              <w:t>Total provision</w:t>
            </w:r>
          </w:p>
        </w:tc>
        <w:tc>
          <w:tcPr>
            <w:tcW w:w="60" w:type="dxa"/>
            <w:tcBorders/>
            <w:shd w:fill="CCEEFF" w:val="clear"/>
            <w:vAlign w:val="center"/>
          </w:tcPr>
          <w:p>
            <w:pPr>
              <w:pStyle w:val="TableContents"/>
              <w:bidi w:val="0"/>
              <w:spacing w:before="0" w:after="283"/>
              <w:jc w:val="left"/>
              <w:rPr/>
            </w:pPr>
            <w:r>
              <w:rPr/>
              <w:t> </w:t>
            </w:r>
          </w:p>
        </w:tc>
        <w:tc>
          <w:tcPr>
            <w:tcW w:w="156"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763" w:type="dxa"/>
            <w:tcBorders>
              <w:bottom w:val="double" w:sz="10" w:space="0" w:color="000000"/>
            </w:tcBorders>
            <w:shd w:fill="CCEEFF" w:val="clear"/>
            <w:tcMar>
              <w:bottom w:w="28" w:type="dxa"/>
            </w:tcMar>
            <w:vAlign w:val="center"/>
          </w:tcPr>
          <w:p>
            <w:pPr>
              <w:pStyle w:val="TableContents"/>
              <w:bidi w:val="0"/>
              <w:spacing w:before="0" w:after="283"/>
              <w:jc w:val="right"/>
              <w:rPr/>
            </w:pPr>
            <w:r>
              <w:rPr/>
              <w:t>1,578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5"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759" w:type="dxa"/>
            <w:tcBorders>
              <w:bottom w:val="double" w:sz="10" w:space="0" w:color="000000"/>
            </w:tcBorders>
            <w:shd w:fill="CCEEFF" w:val="clear"/>
            <w:tcMar>
              <w:bottom w:w="28" w:type="dxa"/>
            </w:tcMar>
            <w:vAlign w:val="center"/>
          </w:tcPr>
          <w:p>
            <w:pPr>
              <w:pStyle w:val="TableContents"/>
              <w:bidi w:val="0"/>
              <w:spacing w:before="0" w:after="283"/>
              <w:jc w:val="right"/>
              <w:rPr/>
            </w:pPr>
            <w:r>
              <w:rPr/>
              <w:t>(3.7</w:t>
            </w:r>
          </w:p>
        </w:tc>
        <w:tc>
          <w:tcPr>
            <w:tcW w:w="305" w:type="dxa"/>
            <w:tcBorders/>
            <w:shd w:fill="CCEEFF" w:val="clear"/>
            <w:vAlign w:val="center"/>
          </w:tcPr>
          <w:p>
            <w:pPr>
              <w:pStyle w:val="TableContents"/>
              <w:bidi w:val="0"/>
              <w:spacing w:before="0" w:after="283"/>
              <w:jc w:val="left"/>
              <w:rPr/>
            </w:pPr>
            <w:r>
              <w:rPr/>
              <w:t>)%</w:t>
            </w:r>
          </w:p>
        </w:tc>
      </w:tr>
    </w:tbl>
    <w:p>
      <w:pPr>
        <w:pStyle w:val="TextBody"/>
        <w:bidi w:val="0"/>
        <w:spacing w:before="0" w:after="0"/>
        <w:ind w:left="0" w:right="0" w:hanging="0"/>
        <w:jc w:val="both"/>
        <w:rPr>
          <w:caps w:val="false"/>
          <w:smallCaps w:val="false"/>
        </w:rPr>
      </w:pPr>
      <w:r>
        <w:rPr>
          <w:caps w:val="false"/>
          <w:smallCaps w:val="false"/>
        </w:rPr>
        <w:t> </w:t>
      </w:r>
    </w:p>
    <w:tbl>
      <w:tblPr>
        <w:tblW w:w="10060" w:type="dxa"/>
        <w:jc w:val="left"/>
        <w:tblInd w:w="0" w:type="dxa"/>
        <w:tblLayout w:type="fixed"/>
        <w:tblCellMar>
          <w:top w:w="0" w:type="dxa"/>
          <w:left w:w="0" w:type="dxa"/>
          <w:bottom w:w="0" w:type="dxa"/>
          <w:right w:w="0" w:type="dxa"/>
        </w:tblCellMar>
      </w:tblPr>
      <w:tblGrid>
        <w:gridCol w:w="260"/>
        <w:gridCol w:w="9800"/>
      </w:tblGrid>
      <w:tr>
        <w:trPr/>
        <w:tc>
          <w:tcPr>
            <w:tcW w:w="260" w:type="dxa"/>
            <w:tcBorders/>
            <w:vAlign w:val="center"/>
          </w:tcPr>
          <w:p>
            <w:pPr>
              <w:pStyle w:val="TableContents"/>
              <w:bidi w:val="0"/>
              <w:spacing w:before="0" w:after="283"/>
              <w:jc w:val="left"/>
              <w:rPr>
                <w:position w:val="8"/>
                <w:sz w:val="19"/>
              </w:rPr>
            </w:pPr>
            <w:r>
              <w:rPr>
                <w:position w:val="8"/>
                <w:sz w:val="19"/>
              </w:rPr>
              <w:t>(1)</w:t>
            </w:r>
          </w:p>
        </w:tc>
        <w:tc>
          <w:tcPr>
            <w:tcW w:w="9800" w:type="dxa"/>
            <w:tcBorders/>
            <w:vAlign w:val="center"/>
          </w:tcPr>
          <w:p>
            <w:pPr>
              <w:pStyle w:val="TableContents"/>
              <w:bidi w:val="0"/>
              <w:spacing w:before="0" w:after="283"/>
              <w:jc w:val="both"/>
              <w:rPr/>
            </w:pPr>
            <w:r>
              <w:rPr/>
              <w:t>State taxes in California made up the majority (greater than 50 percent) of the tax effect in this category.</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sz w:val="20"/>
          <w:bdr w:val="single" w:sz="12" w:space="1" w:color="000000"/>
        </w:rPr>
      </w:pPr>
      <w:r>
        <w:rPr>
          <w:sz w:val="20"/>
          <w:bdr w:val="single" w:sz="12" w:space="1" w:color="000000"/>
        </w:rPr>
        <w:t>F-98</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following table represents the required disclosures prior to the Company’s adoption of ASU 2023-09 and is a reconciliation of the Company’s income tax applied at the federal statutory income tax rate compared to the income tax provision reported on its consolidated statements of operations for continuing operations. </w:t>
      </w:r>
      <w:r>
        <w:rPr>
          <w:rFonts w:ascii="Times New Roman;Times;Serif" w:hAnsi="Times New Roman;Times;Serif"/>
          <w:b w:val="false"/>
          <w:i/>
          <w:caps w:val="false"/>
          <w:smallCaps w:val="false"/>
          <w:sz w:val="20"/>
        </w:rPr>
        <w:t>(in thousands)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tbl>
      <w:tblPr>
        <w:tblW w:w="5069" w:type="dxa"/>
        <w:jc w:val="left"/>
        <w:tblInd w:w="0" w:type="dxa"/>
        <w:tblLayout w:type="fixed"/>
        <w:tblCellMar>
          <w:top w:w="0" w:type="dxa"/>
          <w:left w:w="0" w:type="dxa"/>
          <w:bottom w:w="0" w:type="dxa"/>
          <w:right w:w="0" w:type="dxa"/>
        </w:tblCellMar>
      </w:tblPr>
      <w:tblGrid>
        <w:gridCol w:w="3695"/>
        <w:gridCol w:w="60"/>
        <w:gridCol w:w="196"/>
        <w:gridCol w:w="1023"/>
        <w:gridCol w:w="95"/>
      </w:tblGrid>
      <w:tr>
        <w:trPr/>
        <w:tc>
          <w:tcPr>
            <w:tcW w:w="36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19" w:type="dxa"/>
            <w:gridSpan w:val="2"/>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Fiscal Year</w:t>
              <w:br/>
              <w:t>Ended</w:t>
            </w:r>
          </w:p>
        </w:tc>
        <w:tc>
          <w:tcPr>
            <w:tcW w:w="95" w:type="dxa"/>
            <w:tcBorders/>
            <w:vAlign w:val="center"/>
          </w:tcPr>
          <w:p>
            <w:pPr>
              <w:pStyle w:val="TableContents"/>
              <w:bidi w:val="0"/>
              <w:spacing w:before="0" w:after="283"/>
              <w:jc w:val="left"/>
              <w:rPr/>
            </w:pPr>
            <w:r>
              <w:rPr/>
              <w:t> </w:t>
            </w:r>
          </w:p>
        </w:tc>
      </w:tr>
      <w:tr>
        <w:trPr/>
        <w:tc>
          <w:tcPr>
            <w:tcW w:w="36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219"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 xml:space="preserve">December 29, </w:t>
              <w:br/>
              <w:t>2024</w:t>
            </w:r>
          </w:p>
        </w:tc>
        <w:tc>
          <w:tcPr>
            <w:tcW w:w="95" w:type="dxa"/>
            <w:tcBorders/>
            <w:vAlign w:val="center"/>
          </w:tcPr>
          <w:p>
            <w:pPr>
              <w:pStyle w:val="TableContents"/>
              <w:bidi w:val="0"/>
              <w:spacing w:before="0" w:after="283"/>
              <w:ind w:left="0" w:right="0" w:hanging="180"/>
              <w:jc w:val="left"/>
              <w:rPr/>
            </w:pPr>
            <w:r>
              <w:rPr/>
              <w:t> </w:t>
            </w:r>
          </w:p>
        </w:tc>
      </w:tr>
      <w:tr>
        <w:trPr/>
        <w:tc>
          <w:tcPr>
            <w:tcW w:w="369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Statutory federal income tax</w:t>
            </w:r>
          </w:p>
        </w:tc>
        <w:tc>
          <w:tcPr>
            <w:tcW w:w="60" w:type="dxa"/>
            <w:tcBorders/>
            <w:shd w:fill="CCEEFF" w:val="clear"/>
            <w:vAlign w:val="center"/>
          </w:tcPr>
          <w:p>
            <w:pPr>
              <w:pStyle w:val="TableContents"/>
              <w:bidi w:val="0"/>
              <w:spacing w:before="0" w:after="283"/>
              <w:jc w:val="left"/>
              <w:rPr/>
            </w:pPr>
            <w:r>
              <w:rPr/>
              <w:t> </w:t>
            </w:r>
          </w:p>
        </w:tc>
        <w:tc>
          <w:tcPr>
            <w:tcW w:w="196"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023"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(11,433</w:t>
            </w:r>
          </w:p>
        </w:tc>
        <w:tc>
          <w:tcPr>
            <w:tcW w:w="95" w:type="dxa"/>
            <w:tcBorders/>
            <w:shd w:fill="CCEEFF" w:val="clear"/>
            <w:vAlign w:val="center"/>
          </w:tcPr>
          <w:p>
            <w:pPr>
              <w:pStyle w:val="TableContents"/>
              <w:bidi w:val="0"/>
              <w:spacing w:before="0" w:after="283"/>
              <w:ind w:left="0" w:right="0" w:hanging="180"/>
              <w:jc w:val="left"/>
              <w:rPr>
                <w:rFonts w:ascii="Times New Roman;Times;Serif" w:hAnsi="Times New Roman;Times;Serif"/>
                <w:sz w:val="20"/>
              </w:rPr>
            </w:pPr>
            <w:r>
              <w:rPr>
                <w:rFonts w:ascii="Times New Roman;Times;Serif" w:hAnsi="Times New Roman;Times;Serif"/>
                <w:sz w:val="20"/>
              </w:rPr>
              <w:t>)</w:t>
            </w:r>
          </w:p>
        </w:tc>
      </w:tr>
      <w:tr>
        <w:trPr/>
        <w:tc>
          <w:tcPr>
            <w:tcW w:w="369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State income taxes, net of federal tax benefits</w:t>
            </w:r>
          </w:p>
        </w:tc>
        <w:tc>
          <w:tcPr>
            <w:tcW w:w="60"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1023"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(2,444</w:t>
            </w:r>
          </w:p>
        </w:tc>
        <w:tc>
          <w:tcPr>
            <w:tcW w:w="95" w:type="dxa"/>
            <w:tcBorders/>
            <w:shd w:fill="FFFFFF" w:val="clear"/>
            <w:vAlign w:val="center"/>
          </w:tcPr>
          <w:p>
            <w:pPr>
              <w:pStyle w:val="TableContents"/>
              <w:bidi w:val="0"/>
              <w:spacing w:before="0" w:after="283"/>
              <w:ind w:left="0" w:right="0" w:hanging="180"/>
              <w:jc w:val="left"/>
              <w:rPr>
                <w:rFonts w:ascii="Times New Roman;Times;Serif" w:hAnsi="Times New Roman;Times;Serif"/>
                <w:sz w:val="20"/>
              </w:rPr>
            </w:pPr>
            <w:r>
              <w:rPr>
                <w:rFonts w:ascii="Times New Roman;Times;Serif" w:hAnsi="Times New Roman;Times;Serif"/>
                <w:sz w:val="20"/>
              </w:rPr>
              <w:t>)</w:t>
            </w:r>
          </w:p>
        </w:tc>
      </w:tr>
      <w:tr>
        <w:trPr/>
        <w:tc>
          <w:tcPr>
            <w:tcW w:w="369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Stock compensation</w:t>
            </w:r>
          </w:p>
        </w:tc>
        <w:tc>
          <w:tcPr>
            <w:tcW w:w="60" w:type="dxa"/>
            <w:tcBorders/>
            <w:shd w:fill="CCEEFF" w:val="clear"/>
            <w:vAlign w:val="center"/>
          </w:tcPr>
          <w:p>
            <w:pPr>
              <w:pStyle w:val="TableContents"/>
              <w:bidi w:val="0"/>
              <w:spacing w:before="0" w:after="283"/>
              <w:jc w:val="left"/>
              <w:rPr/>
            </w:pPr>
            <w:r>
              <w:rPr/>
              <w:t> </w:t>
            </w:r>
          </w:p>
        </w:tc>
        <w:tc>
          <w:tcPr>
            <w:tcW w:w="196" w:type="dxa"/>
            <w:tcBorders/>
            <w:shd w:fill="CCEEFF" w:val="clear"/>
            <w:vAlign w:val="center"/>
          </w:tcPr>
          <w:p>
            <w:pPr>
              <w:pStyle w:val="TableContents"/>
              <w:bidi w:val="0"/>
              <w:spacing w:before="0" w:after="283"/>
              <w:jc w:val="left"/>
              <w:rPr/>
            </w:pPr>
            <w:r>
              <w:rPr/>
              <w:t> </w:t>
            </w:r>
          </w:p>
        </w:tc>
        <w:tc>
          <w:tcPr>
            <w:tcW w:w="1023"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1,102</w:t>
            </w:r>
          </w:p>
        </w:tc>
        <w:tc>
          <w:tcPr>
            <w:tcW w:w="95" w:type="dxa"/>
            <w:tcBorders/>
            <w:shd w:fill="CCEEFF" w:val="clear"/>
            <w:vAlign w:val="center"/>
          </w:tcPr>
          <w:p>
            <w:pPr>
              <w:pStyle w:val="TableContents"/>
              <w:bidi w:val="0"/>
              <w:spacing w:before="0" w:after="283"/>
              <w:ind w:left="0" w:right="0" w:hanging="180"/>
              <w:jc w:val="left"/>
              <w:rPr/>
            </w:pPr>
            <w:r>
              <w:rPr/>
              <w:t> </w:t>
            </w:r>
          </w:p>
        </w:tc>
      </w:tr>
      <w:tr>
        <w:trPr/>
        <w:tc>
          <w:tcPr>
            <w:tcW w:w="369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Fair value adjustments</w:t>
            </w:r>
          </w:p>
        </w:tc>
        <w:tc>
          <w:tcPr>
            <w:tcW w:w="60"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1023"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(980</w:t>
            </w:r>
          </w:p>
        </w:tc>
        <w:tc>
          <w:tcPr>
            <w:tcW w:w="95" w:type="dxa"/>
            <w:tcBorders/>
            <w:shd w:fill="FFFFFF" w:val="clear"/>
            <w:vAlign w:val="center"/>
          </w:tcPr>
          <w:p>
            <w:pPr>
              <w:pStyle w:val="TableContents"/>
              <w:bidi w:val="0"/>
              <w:spacing w:before="0" w:after="283"/>
              <w:ind w:left="0" w:right="0" w:hanging="180"/>
              <w:jc w:val="left"/>
              <w:rPr>
                <w:rFonts w:ascii="Times New Roman;Times;Serif" w:hAnsi="Times New Roman;Times;Serif"/>
                <w:sz w:val="20"/>
              </w:rPr>
            </w:pPr>
            <w:r>
              <w:rPr>
                <w:rFonts w:ascii="Times New Roman;Times;Serif" w:hAnsi="Times New Roman;Times;Serif"/>
                <w:sz w:val="20"/>
              </w:rPr>
              <w:t>)</w:t>
            </w:r>
          </w:p>
        </w:tc>
      </w:tr>
      <w:tr>
        <w:trPr/>
        <w:tc>
          <w:tcPr>
            <w:tcW w:w="369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Nondeductible items</w:t>
            </w:r>
          </w:p>
        </w:tc>
        <w:tc>
          <w:tcPr>
            <w:tcW w:w="60" w:type="dxa"/>
            <w:tcBorders/>
            <w:shd w:fill="CCEEFF" w:val="clear"/>
            <w:vAlign w:val="center"/>
          </w:tcPr>
          <w:p>
            <w:pPr>
              <w:pStyle w:val="TableContents"/>
              <w:bidi w:val="0"/>
              <w:spacing w:before="0" w:after="283"/>
              <w:jc w:val="left"/>
              <w:rPr/>
            </w:pPr>
            <w:r>
              <w:rPr/>
              <w:t> </w:t>
            </w:r>
          </w:p>
        </w:tc>
        <w:tc>
          <w:tcPr>
            <w:tcW w:w="196" w:type="dxa"/>
            <w:tcBorders/>
            <w:shd w:fill="CCEEFF" w:val="clear"/>
            <w:vAlign w:val="center"/>
          </w:tcPr>
          <w:p>
            <w:pPr>
              <w:pStyle w:val="TableContents"/>
              <w:bidi w:val="0"/>
              <w:spacing w:before="0" w:after="283"/>
              <w:jc w:val="left"/>
              <w:rPr/>
            </w:pPr>
            <w:r>
              <w:rPr/>
              <w:t> </w:t>
            </w:r>
          </w:p>
        </w:tc>
        <w:tc>
          <w:tcPr>
            <w:tcW w:w="1023"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1,332</w:t>
            </w:r>
          </w:p>
        </w:tc>
        <w:tc>
          <w:tcPr>
            <w:tcW w:w="95" w:type="dxa"/>
            <w:tcBorders/>
            <w:shd w:fill="CCEEFF" w:val="clear"/>
            <w:vAlign w:val="center"/>
          </w:tcPr>
          <w:p>
            <w:pPr>
              <w:pStyle w:val="TableContents"/>
              <w:bidi w:val="0"/>
              <w:spacing w:before="0" w:after="283"/>
              <w:ind w:left="0" w:right="0" w:hanging="180"/>
              <w:jc w:val="left"/>
              <w:rPr/>
            </w:pPr>
            <w:r>
              <w:rPr/>
              <w:t> </w:t>
            </w:r>
          </w:p>
        </w:tc>
      </w:tr>
      <w:tr>
        <w:trPr/>
        <w:tc>
          <w:tcPr>
            <w:tcW w:w="369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Debt extinguishment</w:t>
            </w:r>
          </w:p>
        </w:tc>
        <w:tc>
          <w:tcPr>
            <w:tcW w:w="60"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1023"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(6,571</w:t>
            </w:r>
          </w:p>
        </w:tc>
        <w:tc>
          <w:tcPr>
            <w:tcW w:w="95" w:type="dxa"/>
            <w:tcBorders/>
            <w:shd w:fill="FFFFFF" w:val="clear"/>
            <w:vAlign w:val="center"/>
          </w:tcPr>
          <w:p>
            <w:pPr>
              <w:pStyle w:val="TableContents"/>
              <w:bidi w:val="0"/>
              <w:spacing w:before="0" w:after="283"/>
              <w:ind w:left="0" w:right="0" w:hanging="180"/>
              <w:jc w:val="left"/>
              <w:rPr>
                <w:rFonts w:ascii="Times New Roman;Times;Serif" w:hAnsi="Times New Roman;Times;Serif"/>
                <w:sz w:val="20"/>
              </w:rPr>
            </w:pPr>
            <w:r>
              <w:rPr>
                <w:rFonts w:ascii="Times New Roman;Times;Serif" w:hAnsi="Times New Roman;Times;Serif"/>
                <w:sz w:val="20"/>
              </w:rPr>
              <w:t>)</w:t>
            </w:r>
          </w:p>
        </w:tc>
      </w:tr>
      <w:tr>
        <w:trPr/>
        <w:tc>
          <w:tcPr>
            <w:tcW w:w="369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Foreign earnings taxed at different rates</w:t>
            </w:r>
          </w:p>
        </w:tc>
        <w:tc>
          <w:tcPr>
            <w:tcW w:w="60" w:type="dxa"/>
            <w:tcBorders/>
            <w:shd w:fill="CCEEFF" w:val="clear"/>
            <w:vAlign w:val="center"/>
          </w:tcPr>
          <w:p>
            <w:pPr>
              <w:pStyle w:val="TableContents"/>
              <w:bidi w:val="0"/>
              <w:spacing w:before="0" w:after="283"/>
              <w:jc w:val="left"/>
              <w:rPr/>
            </w:pPr>
            <w:r>
              <w:rPr/>
              <w:t> </w:t>
            </w:r>
          </w:p>
        </w:tc>
        <w:tc>
          <w:tcPr>
            <w:tcW w:w="196" w:type="dxa"/>
            <w:tcBorders/>
            <w:shd w:fill="CCEEFF" w:val="clear"/>
            <w:vAlign w:val="center"/>
          </w:tcPr>
          <w:p>
            <w:pPr>
              <w:pStyle w:val="TableContents"/>
              <w:bidi w:val="0"/>
              <w:spacing w:before="0" w:after="283"/>
              <w:jc w:val="left"/>
              <w:rPr/>
            </w:pPr>
            <w:r>
              <w:rPr/>
              <w:t> </w:t>
            </w:r>
          </w:p>
        </w:tc>
        <w:tc>
          <w:tcPr>
            <w:tcW w:w="1023"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ind w:left="0" w:right="0" w:hanging="180"/>
              <w:jc w:val="left"/>
              <w:rPr/>
            </w:pPr>
            <w:r>
              <w:rPr/>
              <w:t> </w:t>
            </w:r>
          </w:p>
        </w:tc>
      </w:tr>
      <w:tr>
        <w:trPr/>
        <w:tc>
          <w:tcPr>
            <w:tcW w:w="369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Forward purchase agreements</w:t>
            </w:r>
          </w:p>
        </w:tc>
        <w:tc>
          <w:tcPr>
            <w:tcW w:w="60"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1023"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ind w:left="0" w:right="0" w:hanging="180"/>
              <w:jc w:val="left"/>
              <w:rPr/>
            </w:pPr>
            <w:r>
              <w:rPr/>
              <w:t> </w:t>
            </w:r>
          </w:p>
        </w:tc>
      </w:tr>
      <w:tr>
        <w:trPr/>
        <w:tc>
          <w:tcPr>
            <w:tcW w:w="369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Effect of changes in tax rates</w:t>
            </w:r>
          </w:p>
        </w:tc>
        <w:tc>
          <w:tcPr>
            <w:tcW w:w="60" w:type="dxa"/>
            <w:tcBorders/>
            <w:shd w:fill="CCEEFF" w:val="clear"/>
            <w:vAlign w:val="center"/>
          </w:tcPr>
          <w:p>
            <w:pPr>
              <w:pStyle w:val="TableContents"/>
              <w:bidi w:val="0"/>
              <w:spacing w:before="0" w:after="283"/>
              <w:jc w:val="left"/>
              <w:rPr/>
            </w:pPr>
            <w:r>
              <w:rPr/>
              <w:t> </w:t>
            </w:r>
          </w:p>
        </w:tc>
        <w:tc>
          <w:tcPr>
            <w:tcW w:w="196" w:type="dxa"/>
            <w:tcBorders/>
            <w:shd w:fill="CCEEFF" w:val="clear"/>
            <w:vAlign w:val="center"/>
          </w:tcPr>
          <w:p>
            <w:pPr>
              <w:pStyle w:val="TableContents"/>
              <w:bidi w:val="0"/>
              <w:spacing w:before="0" w:after="283"/>
              <w:jc w:val="left"/>
              <w:rPr/>
            </w:pPr>
            <w:r>
              <w:rPr/>
              <w:t> </w:t>
            </w:r>
          </w:p>
        </w:tc>
        <w:tc>
          <w:tcPr>
            <w:tcW w:w="1023"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706</w:t>
            </w:r>
          </w:p>
        </w:tc>
        <w:tc>
          <w:tcPr>
            <w:tcW w:w="95" w:type="dxa"/>
            <w:tcBorders/>
            <w:shd w:fill="CCEEFF" w:val="clear"/>
            <w:vAlign w:val="center"/>
          </w:tcPr>
          <w:p>
            <w:pPr>
              <w:pStyle w:val="TableContents"/>
              <w:bidi w:val="0"/>
              <w:spacing w:before="0" w:after="283"/>
              <w:ind w:left="0" w:right="0" w:hanging="180"/>
              <w:jc w:val="left"/>
              <w:rPr/>
            </w:pPr>
            <w:r>
              <w:rPr/>
              <w:t> </w:t>
            </w:r>
          </w:p>
        </w:tc>
      </w:tr>
      <w:tr>
        <w:trPr/>
        <w:tc>
          <w:tcPr>
            <w:tcW w:w="369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Prior year adjustments</w:t>
            </w:r>
          </w:p>
        </w:tc>
        <w:tc>
          <w:tcPr>
            <w:tcW w:w="60"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1023"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2,058</w:t>
            </w:r>
          </w:p>
        </w:tc>
        <w:tc>
          <w:tcPr>
            <w:tcW w:w="95" w:type="dxa"/>
            <w:tcBorders/>
            <w:shd w:fill="FFFFFF" w:val="clear"/>
            <w:vAlign w:val="center"/>
          </w:tcPr>
          <w:p>
            <w:pPr>
              <w:pStyle w:val="TableContents"/>
              <w:bidi w:val="0"/>
              <w:spacing w:before="0" w:after="283"/>
              <w:ind w:left="0" w:right="0" w:hanging="180"/>
              <w:jc w:val="left"/>
              <w:rPr/>
            </w:pPr>
            <w:r>
              <w:rPr/>
              <w:t> </w:t>
            </w:r>
          </w:p>
        </w:tc>
      </w:tr>
      <w:tr>
        <w:trPr/>
        <w:tc>
          <w:tcPr>
            <w:tcW w:w="369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Valuation allowance</w:t>
            </w:r>
          </w:p>
        </w:tc>
        <w:tc>
          <w:tcPr>
            <w:tcW w:w="60" w:type="dxa"/>
            <w:tcBorders/>
            <w:shd w:fill="CCEEFF" w:val="clear"/>
            <w:vAlign w:val="center"/>
          </w:tcPr>
          <w:p>
            <w:pPr>
              <w:pStyle w:val="TableContents"/>
              <w:bidi w:val="0"/>
              <w:spacing w:before="0" w:after="283"/>
              <w:jc w:val="left"/>
              <w:rPr/>
            </w:pPr>
            <w:r>
              <w:rPr/>
              <w:t> </w:t>
            </w:r>
          </w:p>
        </w:tc>
        <w:tc>
          <w:tcPr>
            <w:tcW w:w="196" w:type="dxa"/>
            <w:tcBorders/>
            <w:shd w:fill="CCEEFF" w:val="clear"/>
            <w:vAlign w:val="center"/>
          </w:tcPr>
          <w:p>
            <w:pPr>
              <w:pStyle w:val="TableContents"/>
              <w:bidi w:val="0"/>
              <w:spacing w:before="0" w:after="283"/>
              <w:jc w:val="left"/>
              <w:rPr/>
            </w:pPr>
            <w:r>
              <w:rPr/>
              <w:t> </w:t>
            </w:r>
          </w:p>
        </w:tc>
        <w:tc>
          <w:tcPr>
            <w:tcW w:w="1023"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16,171</w:t>
            </w:r>
          </w:p>
        </w:tc>
        <w:tc>
          <w:tcPr>
            <w:tcW w:w="95" w:type="dxa"/>
            <w:tcBorders/>
            <w:shd w:fill="CCEEFF" w:val="clear"/>
            <w:vAlign w:val="center"/>
          </w:tcPr>
          <w:p>
            <w:pPr>
              <w:pStyle w:val="TableContents"/>
              <w:bidi w:val="0"/>
              <w:spacing w:before="0" w:after="283"/>
              <w:ind w:left="0" w:right="0" w:hanging="180"/>
              <w:jc w:val="left"/>
              <w:rPr/>
            </w:pPr>
            <w:r>
              <w:rPr/>
              <w:t> </w:t>
            </w:r>
          </w:p>
        </w:tc>
      </w:tr>
      <w:tr>
        <w:trPr/>
        <w:tc>
          <w:tcPr>
            <w:tcW w:w="369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Other</w:t>
            </w:r>
          </w:p>
        </w:tc>
        <w:tc>
          <w:tcPr>
            <w:tcW w:w="60" w:type="dxa"/>
            <w:tcBorders/>
            <w:shd w:fill="FFFFFF" w:val="clear"/>
            <w:vAlign w:val="center"/>
          </w:tcPr>
          <w:p>
            <w:pPr>
              <w:pStyle w:val="TableContents"/>
              <w:bidi w:val="0"/>
              <w:spacing w:before="0" w:after="283"/>
              <w:jc w:val="left"/>
              <w:rPr/>
            </w:pPr>
            <w:r>
              <w:rPr/>
              <w:t> </w:t>
            </w:r>
          </w:p>
        </w:tc>
        <w:tc>
          <w:tcPr>
            <w:tcW w:w="196"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023"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59</w:t>
            </w:r>
          </w:p>
        </w:tc>
        <w:tc>
          <w:tcPr>
            <w:tcW w:w="95" w:type="dxa"/>
            <w:tcBorders/>
            <w:shd w:fill="FFFFFF" w:val="clear"/>
            <w:vAlign w:val="center"/>
          </w:tcPr>
          <w:p>
            <w:pPr>
              <w:pStyle w:val="TableContents"/>
              <w:bidi w:val="0"/>
              <w:spacing w:before="0" w:after="283"/>
              <w:ind w:left="0" w:right="0" w:hanging="180"/>
              <w:jc w:val="left"/>
              <w:rPr/>
            </w:pPr>
            <w:r>
              <w:rPr/>
              <w:t> </w:t>
            </w:r>
          </w:p>
        </w:tc>
      </w:tr>
      <w:tr>
        <w:trPr/>
        <w:tc>
          <w:tcPr>
            <w:tcW w:w="369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Tax Provision</w:t>
            </w:r>
          </w:p>
        </w:tc>
        <w:tc>
          <w:tcPr>
            <w:tcW w:w="60" w:type="dxa"/>
            <w:tcBorders/>
            <w:shd w:fill="CCEEFF" w:val="clear"/>
            <w:vAlign w:val="center"/>
          </w:tcPr>
          <w:p>
            <w:pPr>
              <w:pStyle w:val="TableContents"/>
              <w:bidi w:val="0"/>
              <w:spacing w:before="0" w:after="283"/>
              <w:jc w:val="left"/>
              <w:rPr/>
            </w:pPr>
            <w:r>
              <w:rPr/>
              <w:t> </w:t>
            </w:r>
          </w:p>
        </w:tc>
        <w:tc>
          <w:tcPr>
            <w:tcW w:w="196" w:type="dxa"/>
            <w:tcBorders>
              <w:bottom w:val="double" w:sz="10"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023" w:type="dxa"/>
            <w:tcBorders>
              <w:bottom w:val="double" w:sz="10" w:space="0" w:color="000000"/>
            </w:tcBorders>
            <w:shd w:fill="CCEEFF" w:val="clear"/>
            <w:tcMar>
              <w:bottom w:w="28" w:type="dxa"/>
            </w:tcM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Significant components of deferred tax assets and liabilities are as follows. </w:t>
      </w:r>
      <w:r>
        <w:rPr>
          <w:rFonts w:ascii="Times New Roman;Times;Serif" w:hAnsi="Times New Roman;Times;Serif"/>
          <w:b w:val="false"/>
          <w:i/>
          <w:caps w:val="false"/>
          <w:smallCaps w:val="false"/>
          <w:sz w:val="20"/>
        </w:rPr>
        <w:t>(in thousands)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tbl>
      <w:tblPr>
        <w:tblW w:w="6773" w:type="dxa"/>
        <w:jc w:val="left"/>
        <w:tblInd w:w="0" w:type="dxa"/>
        <w:tblLayout w:type="fixed"/>
        <w:tblCellMar>
          <w:top w:w="0" w:type="dxa"/>
          <w:left w:w="0" w:type="dxa"/>
          <w:bottom w:w="0" w:type="dxa"/>
          <w:right w:w="0" w:type="dxa"/>
        </w:tblCellMar>
      </w:tblPr>
      <w:tblGrid>
        <w:gridCol w:w="3620"/>
        <w:gridCol w:w="60"/>
        <w:gridCol w:w="220"/>
        <w:gridCol w:w="1194"/>
        <w:gridCol w:w="95"/>
        <w:gridCol w:w="60"/>
        <w:gridCol w:w="220"/>
        <w:gridCol w:w="1194"/>
        <w:gridCol w:w="110"/>
      </w:tblGrid>
      <w:tr>
        <w:trPr/>
        <w:tc>
          <w:tcPr>
            <w:tcW w:w="362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2983"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As of</w:t>
            </w:r>
          </w:p>
        </w:tc>
        <w:tc>
          <w:tcPr>
            <w:tcW w:w="110" w:type="dxa"/>
            <w:tcBorders/>
            <w:vAlign w:val="center"/>
          </w:tcPr>
          <w:p>
            <w:pPr>
              <w:pStyle w:val="TableContents"/>
              <w:bidi w:val="0"/>
              <w:spacing w:before="0" w:after="283"/>
              <w:jc w:val="left"/>
              <w:rPr/>
            </w:pPr>
            <w:r>
              <w:rPr/>
              <w:t> </w:t>
            </w:r>
          </w:p>
        </w:tc>
      </w:tr>
      <w:tr>
        <w:trPr/>
        <w:tc>
          <w:tcPr>
            <w:tcW w:w="362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414" w:type="dxa"/>
            <w:gridSpan w:val="2"/>
            <w:tcBorders/>
            <w:vAlign w:val="center"/>
          </w:tcPr>
          <w:p>
            <w:pPr>
              <w:pStyle w:val="TableContents"/>
              <w:bidi w:val="0"/>
              <w:spacing w:before="0" w:after="283"/>
              <w:jc w:val="center"/>
              <w:rPr>
                <w:b/>
              </w:rPr>
            </w:pPr>
            <w:r>
              <w:rPr>
                <w:b/>
              </w:rPr>
              <w:t>December 28,</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14" w:type="dxa"/>
            <w:gridSpan w:val="2"/>
            <w:tcBorders/>
            <w:vAlign w:val="center"/>
          </w:tcPr>
          <w:p>
            <w:pPr>
              <w:pStyle w:val="TableContents"/>
              <w:bidi w:val="0"/>
              <w:spacing w:before="0" w:after="283"/>
              <w:jc w:val="center"/>
              <w:rPr>
                <w:b/>
              </w:rPr>
            </w:pPr>
            <w:r>
              <w:rPr>
                <w:b/>
              </w:rPr>
              <w:t>December 29,</w:t>
            </w:r>
          </w:p>
        </w:tc>
        <w:tc>
          <w:tcPr>
            <w:tcW w:w="110" w:type="dxa"/>
            <w:tcBorders/>
            <w:vAlign w:val="center"/>
          </w:tcPr>
          <w:p>
            <w:pPr>
              <w:pStyle w:val="TableContents"/>
              <w:bidi w:val="0"/>
              <w:spacing w:before="0" w:after="283"/>
              <w:jc w:val="left"/>
              <w:rPr/>
            </w:pPr>
            <w:r>
              <w:rPr/>
              <w:t> </w:t>
            </w:r>
          </w:p>
        </w:tc>
      </w:tr>
      <w:tr>
        <w:trPr/>
        <w:tc>
          <w:tcPr>
            <w:tcW w:w="362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414"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2025</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14"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2024</w:t>
            </w:r>
          </w:p>
        </w:tc>
        <w:tc>
          <w:tcPr>
            <w:tcW w:w="110" w:type="dxa"/>
            <w:tcBorders/>
            <w:vAlign w:val="center"/>
          </w:tcPr>
          <w:p>
            <w:pPr>
              <w:pStyle w:val="TableContents"/>
              <w:bidi w:val="0"/>
              <w:spacing w:before="0" w:after="283"/>
              <w:jc w:val="left"/>
              <w:rPr/>
            </w:pPr>
            <w:r>
              <w:rPr/>
              <w:t> </w:t>
            </w:r>
          </w:p>
        </w:tc>
      </w:tr>
      <w:tr>
        <w:trPr/>
        <w:tc>
          <w:tcPr>
            <w:tcW w:w="3620" w:type="dxa"/>
            <w:tcBorders/>
            <w:vAlign w:val="center"/>
          </w:tcPr>
          <w:p>
            <w:pPr>
              <w:pStyle w:val="TableContents"/>
              <w:bidi w:val="0"/>
              <w:spacing w:before="0" w:after="283"/>
              <w:jc w:val="left"/>
              <w:rPr>
                <w:b/>
              </w:rPr>
            </w:pPr>
            <w:r>
              <w:rPr>
                <w:b/>
              </w:rPr>
              <w:t>Deferred income tax assets</w:t>
            </w:r>
          </w:p>
        </w:tc>
        <w:tc>
          <w:tcPr>
            <w:tcW w:w="60" w:type="dxa"/>
            <w:tcBorders/>
            <w:vAlign w:val="center"/>
          </w:tcPr>
          <w:p>
            <w:pPr>
              <w:pStyle w:val="TableContents"/>
              <w:bidi w:val="0"/>
              <w:spacing w:before="0" w:after="283"/>
              <w:jc w:val="left"/>
              <w:rPr/>
            </w:pPr>
            <w:r>
              <w:rPr/>
              <w:t> </w:t>
            </w:r>
          </w:p>
        </w:tc>
        <w:tc>
          <w:tcPr>
            <w:tcW w:w="1414" w:type="dxa"/>
            <w:gridSpan w:val="2"/>
            <w:tcBorders/>
            <w:vAlign w:val="center"/>
          </w:tcPr>
          <w:p>
            <w:pPr>
              <w:pStyle w:val="TableContents"/>
              <w:bidi w:val="0"/>
              <w:spacing w:before="0" w:after="283"/>
              <w:jc w:val="righ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14" w:type="dxa"/>
            <w:gridSpan w:val="2"/>
            <w:tcBorders/>
            <w:vAlign w:val="center"/>
          </w:tcPr>
          <w:p>
            <w:pPr>
              <w:pStyle w:val="TableContents"/>
              <w:bidi w:val="0"/>
              <w:spacing w:before="0" w:after="283"/>
              <w:jc w:val="right"/>
              <w:rPr/>
            </w:pPr>
            <w:r>
              <w:rPr/>
              <w:t> </w:t>
            </w:r>
          </w:p>
        </w:tc>
        <w:tc>
          <w:tcPr>
            <w:tcW w:w="110" w:type="dxa"/>
            <w:tcBorders/>
            <w:vAlign w:val="center"/>
          </w:tcPr>
          <w:p>
            <w:pPr>
              <w:pStyle w:val="TableContents"/>
              <w:bidi w:val="0"/>
              <w:spacing w:before="0" w:after="283"/>
              <w:jc w:val="left"/>
              <w:rPr/>
            </w:pPr>
            <w:r>
              <w:rPr/>
              <w:t> </w:t>
            </w:r>
          </w:p>
        </w:tc>
      </w:tr>
      <w:tr>
        <w:trPr/>
        <w:tc>
          <w:tcPr>
            <w:tcW w:w="3620" w:type="dxa"/>
            <w:tcBorders/>
            <w:shd w:fill="CCEEFF" w:val="clear"/>
            <w:vAlign w:val="center"/>
          </w:tcPr>
          <w:p>
            <w:pPr>
              <w:pStyle w:val="TableContents"/>
              <w:bidi w:val="0"/>
              <w:spacing w:before="0" w:after="283"/>
              <w:jc w:val="left"/>
              <w:rPr/>
            </w:pPr>
            <w:r>
              <w:rPr/>
              <w:t>Net operating loss</w:t>
            </w:r>
          </w:p>
        </w:tc>
        <w:tc>
          <w:tcPr>
            <w:tcW w:w="60" w:type="dxa"/>
            <w:tcBorders/>
            <w:shd w:fill="CCEEFF" w:val="clear"/>
            <w:vAlign w:val="center"/>
          </w:tcPr>
          <w:p>
            <w:pPr>
              <w:pStyle w:val="TableContents"/>
              <w:bidi w:val="0"/>
              <w:spacing w:before="0" w:after="283"/>
              <w:jc w:val="left"/>
              <w:rPr/>
            </w:pPr>
            <w:r>
              <w:rPr/>
              <w:t> </w:t>
            </w:r>
          </w:p>
        </w:tc>
        <w:tc>
          <w:tcPr>
            <w:tcW w:w="220" w:type="dxa"/>
            <w:tcBorders/>
            <w:shd w:fill="CCEEFF" w:val="clear"/>
            <w:vAlign w:val="center"/>
          </w:tcPr>
          <w:p>
            <w:pPr>
              <w:pStyle w:val="TableContents"/>
              <w:bidi w:val="0"/>
              <w:spacing w:before="0" w:after="283"/>
              <w:jc w:val="left"/>
              <w:rPr/>
            </w:pPr>
            <w:r>
              <w:rPr/>
              <w:t>$</w:t>
            </w:r>
          </w:p>
        </w:tc>
        <w:tc>
          <w:tcPr>
            <w:tcW w:w="1194" w:type="dxa"/>
            <w:tcBorders/>
            <w:shd w:fill="CCEEFF" w:val="clear"/>
            <w:vAlign w:val="center"/>
          </w:tcPr>
          <w:p>
            <w:pPr>
              <w:pStyle w:val="TableContents"/>
              <w:bidi w:val="0"/>
              <w:spacing w:before="0" w:after="283"/>
              <w:jc w:val="right"/>
              <w:rPr/>
            </w:pPr>
            <w:r>
              <w:rPr/>
              <w:t>35,792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0" w:type="dxa"/>
            <w:tcBorders/>
            <w:shd w:fill="CCEEFF" w:val="clear"/>
            <w:vAlign w:val="center"/>
          </w:tcPr>
          <w:p>
            <w:pPr>
              <w:pStyle w:val="TableContents"/>
              <w:bidi w:val="0"/>
              <w:spacing w:before="0" w:after="283"/>
              <w:jc w:val="left"/>
              <w:rPr/>
            </w:pPr>
            <w:r>
              <w:rPr/>
              <w:t>$</w:t>
            </w:r>
          </w:p>
        </w:tc>
        <w:tc>
          <w:tcPr>
            <w:tcW w:w="1194" w:type="dxa"/>
            <w:tcBorders/>
            <w:shd w:fill="CCEEFF" w:val="clear"/>
            <w:vAlign w:val="center"/>
          </w:tcPr>
          <w:p>
            <w:pPr>
              <w:pStyle w:val="TableContents"/>
              <w:bidi w:val="0"/>
              <w:spacing w:before="0" w:after="283"/>
              <w:jc w:val="right"/>
              <w:rPr/>
            </w:pPr>
            <w:r>
              <w:rPr/>
              <w:t>34,749</w:t>
            </w:r>
          </w:p>
        </w:tc>
        <w:tc>
          <w:tcPr>
            <w:tcW w:w="110" w:type="dxa"/>
            <w:tcBorders/>
            <w:shd w:fill="CCEEFF" w:val="clear"/>
            <w:vAlign w:val="center"/>
          </w:tcPr>
          <w:p>
            <w:pPr>
              <w:pStyle w:val="TableContents"/>
              <w:bidi w:val="0"/>
              <w:spacing w:before="0" w:after="283"/>
              <w:jc w:val="left"/>
              <w:rPr/>
            </w:pPr>
            <w:r>
              <w:rPr/>
              <w:t> </w:t>
            </w:r>
          </w:p>
        </w:tc>
      </w:tr>
      <w:tr>
        <w:trPr/>
        <w:tc>
          <w:tcPr>
            <w:tcW w:w="3620" w:type="dxa"/>
            <w:tcBorders/>
            <w:shd w:fill="FFFFFF" w:val="clear"/>
            <w:vAlign w:val="center"/>
          </w:tcPr>
          <w:p>
            <w:pPr>
              <w:pStyle w:val="TableContents"/>
              <w:bidi w:val="0"/>
              <w:spacing w:before="0" w:after="283"/>
              <w:jc w:val="left"/>
              <w:rPr/>
            </w:pPr>
            <w:r>
              <w:rPr/>
              <w:t>Debt derivatives</w:t>
            </w:r>
          </w:p>
        </w:tc>
        <w:tc>
          <w:tcPr>
            <w:tcW w:w="60" w:type="dxa"/>
            <w:tcBorders/>
            <w:shd w:fill="FFFFFF" w:val="clear"/>
            <w:vAlign w:val="center"/>
          </w:tcPr>
          <w:p>
            <w:pPr>
              <w:pStyle w:val="TableContents"/>
              <w:bidi w:val="0"/>
              <w:spacing w:before="0" w:after="283"/>
              <w:jc w:val="left"/>
              <w:rPr/>
            </w:pPr>
            <w:r>
              <w:rPr/>
              <w:t> </w:t>
            </w:r>
          </w:p>
        </w:tc>
        <w:tc>
          <w:tcPr>
            <w:tcW w:w="220" w:type="dxa"/>
            <w:tcBorders/>
            <w:shd w:fill="FFFFFF" w:val="clear"/>
            <w:vAlign w:val="center"/>
          </w:tcPr>
          <w:p>
            <w:pPr>
              <w:pStyle w:val="TableContents"/>
              <w:bidi w:val="0"/>
              <w:spacing w:before="0" w:after="283"/>
              <w:jc w:val="left"/>
              <w:rPr/>
            </w:pPr>
            <w:r>
              <w:rPr/>
              <w:t> </w:t>
            </w:r>
          </w:p>
        </w:tc>
        <w:tc>
          <w:tcPr>
            <w:tcW w:w="1194" w:type="dxa"/>
            <w:tcBorders/>
            <w:shd w:fill="FFFFFF" w:val="clear"/>
            <w:vAlign w:val="center"/>
          </w:tcPr>
          <w:p>
            <w:pPr>
              <w:pStyle w:val="TableContents"/>
              <w:bidi w:val="0"/>
              <w:spacing w:before="0" w:after="283"/>
              <w:jc w:val="right"/>
              <w:rPr/>
            </w:pPr>
            <w:r>
              <w:rPr/>
              <w:t>27,508</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20" w:type="dxa"/>
            <w:tcBorders/>
            <w:shd w:fill="FFFFFF" w:val="clear"/>
            <w:vAlign w:val="center"/>
          </w:tcPr>
          <w:p>
            <w:pPr>
              <w:pStyle w:val="TableContents"/>
              <w:bidi w:val="0"/>
              <w:spacing w:before="0" w:after="283"/>
              <w:jc w:val="left"/>
              <w:rPr/>
            </w:pPr>
            <w:r>
              <w:rPr/>
              <w:t> </w:t>
            </w:r>
          </w:p>
        </w:tc>
        <w:tc>
          <w:tcPr>
            <w:tcW w:w="1194" w:type="dxa"/>
            <w:tcBorders/>
            <w:shd w:fill="FFFFFF" w:val="clear"/>
            <w:vAlign w:val="center"/>
          </w:tcPr>
          <w:p>
            <w:pPr>
              <w:pStyle w:val="TableContents"/>
              <w:bidi w:val="0"/>
              <w:spacing w:before="0" w:after="283"/>
              <w:jc w:val="right"/>
              <w:rPr/>
            </w:pPr>
            <w:r>
              <w:rPr/>
              <w:t>24,591</w:t>
            </w:r>
          </w:p>
        </w:tc>
        <w:tc>
          <w:tcPr>
            <w:tcW w:w="110" w:type="dxa"/>
            <w:tcBorders/>
            <w:shd w:fill="FFFFFF" w:val="clear"/>
            <w:vAlign w:val="center"/>
          </w:tcPr>
          <w:p>
            <w:pPr>
              <w:pStyle w:val="TableContents"/>
              <w:bidi w:val="0"/>
              <w:spacing w:before="0" w:after="283"/>
              <w:jc w:val="left"/>
              <w:rPr/>
            </w:pPr>
            <w:r>
              <w:rPr/>
              <w:t> </w:t>
            </w:r>
          </w:p>
        </w:tc>
      </w:tr>
      <w:tr>
        <w:trPr/>
        <w:tc>
          <w:tcPr>
            <w:tcW w:w="3620" w:type="dxa"/>
            <w:tcBorders/>
            <w:shd w:fill="CCEEFF" w:val="clear"/>
            <w:vAlign w:val="center"/>
          </w:tcPr>
          <w:p>
            <w:pPr>
              <w:pStyle w:val="TableContents"/>
              <w:bidi w:val="0"/>
              <w:spacing w:before="0" w:after="283"/>
              <w:jc w:val="left"/>
              <w:rPr/>
            </w:pPr>
            <w:r>
              <w:rPr/>
              <w:t>Bad debt reserve</w:t>
            </w:r>
          </w:p>
        </w:tc>
        <w:tc>
          <w:tcPr>
            <w:tcW w:w="60" w:type="dxa"/>
            <w:tcBorders/>
            <w:shd w:fill="CCEEFF" w:val="clear"/>
            <w:vAlign w:val="center"/>
          </w:tcPr>
          <w:p>
            <w:pPr>
              <w:pStyle w:val="TableContents"/>
              <w:bidi w:val="0"/>
              <w:spacing w:before="0" w:after="283"/>
              <w:jc w:val="left"/>
              <w:rPr/>
            </w:pPr>
            <w:r>
              <w:rPr/>
              <w:t> </w:t>
            </w:r>
          </w:p>
        </w:tc>
        <w:tc>
          <w:tcPr>
            <w:tcW w:w="220" w:type="dxa"/>
            <w:tcBorders/>
            <w:shd w:fill="CCEEFF" w:val="clear"/>
            <w:vAlign w:val="center"/>
          </w:tcPr>
          <w:p>
            <w:pPr>
              <w:pStyle w:val="TableContents"/>
              <w:bidi w:val="0"/>
              <w:spacing w:before="0" w:after="283"/>
              <w:jc w:val="left"/>
              <w:rPr/>
            </w:pPr>
            <w:r>
              <w:rPr/>
              <w:t> </w:t>
            </w:r>
          </w:p>
        </w:tc>
        <w:tc>
          <w:tcPr>
            <w:tcW w:w="1194" w:type="dxa"/>
            <w:tcBorders/>
            <w:shd w:fill="CCEEFF" w:val="clear"/>
            <w:vAlign w:val="center"/>
          </w:tcPr>
          <w:p>
            <w:pPr>
              <w:pStyle w:val="TableContents"/>
              <w:bidi w:val="0"/>
              <w:spacing w:before="0" w:after="283"/>
              <w:jc w:val="right"/>
              <w:rPr/>
            </w:pPr>
            <w:r>
              <w:rPr/>
              <w:t>10,543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0" w:type="dxa"/>
            <w:tcBorders/>
            <w:shd w:fill="CCEEFF" w:val="clear"/>
            <w:vAlign w:val="center"/>
          </w:tcPr>
          <w:p>
            <w:pPr>
              <w:pStyle w:val="TableContents"/>
              <w:bidi w:val="0"/>
              <w:spacing w:before="0" w:after="283"/>
              <w:jc w:val="left"/>
              <w:rPr/>
            </w:pPr>
            <w:r>
              <w:rPr/>
              <w:t> </w:t>
            </w:r>
          </w:p>
        </w:tc>
        <w:tc>
          <w:tcPr>
            <w:tcW w:w="1194" w:type="dxa"/>
            <w:tcBorders/>
            <w:shd w:fill="CCEEFF" w:val="clear"/>
            <w:vAlign w:val="center"/>
          </w:tcPr>
          <w:p>
            <w:pPr>
              <w:pStyle w:val="TableContents"/>
              <w:bidi w:val="0"/>
              <w:spacing w:before="0" w:after="283"/>
              <w:jc w:val="right"/>
              <w:rPr/>
            </w:pPr>
            <w:r>
              <w:rPr/>
              <w:t>431</w:t>
            </w:r>
          </w:p>
        </w:tc>
        <w:tc>
          <w:tcPr>
            <w:tcW w:w="110" w:type="dxa"/>
            <w:tcBorders/>
            <w:shd w:fill="CCEEFF" w:val="clear"/>
            <w:vAlign w:val="center"/>
          </w:tcPr>
          <w:p>
            <w:pPr>
              <w:pStyle w:val="TableContents"/>
              <w:bidi w:val="0"/>
              <w:spacing w:before="0" w:after="283"/>
              <w:jc w:val="left"/>
              <w:rPr/>
            </w:pPr>
            <w:r>
              <w:rPr/>
              <w:t> </w:t>
            </w:r>
          </w:p>
        </w:tc>
      </w:tr>
      <w:tr>
        <w:trPr/>
        <w:tc>
          <w:tcPr>
            <w:tcW w:w="3620" w:type="dxa"/>
            <w:tcBorders/>
            <w:shd w:fill="FFFFFF" w:val="clear"/>
            <w:vAlign w:val="center"/>
          </w:tcPr>
          <w:p>
            <w:pPr>
              <w:pStyle w:val="TableContents"/>
              <w:bidi w:val="0"/>
              <w:spacing w:before="0" w:after="283"/>
              <w:jc w:val="left"/>
              <w:rPr/>
            </w:pPr>
            <w:r>
              <w:rPr/>
              <w:t>Stock based compensation</w:t>
            </w:r>
          </w:p>
        </w:tc>
        <w:tc>
          <w:tcPr>
            <w:tcW w:w="60" w:type="dxa"/>
            <w:tcBorders/>
            <w:shd w:fill="FFFFFF" w:val="clear"/>
            <w:vAlign w:val="center"/>
          </w:tcPr>
          <w:p>
            <w:pPr>
              <w:pStyle w:val="TableContents"/>
              <w:bidi w:val="0"/>
              <w:spacing w:before="0" w:after="283"/>
              <w:jc w:val="left"/>
              <w:rPr/>
            </w:pPr>
            <w:r>
              <w:rPr/>
              <w:t> </w:t>
            </w:r>
          </w:p>
        </w:tc>
        <w:tc>
          <w:tcPr>
            <w:tcW w:w="220" w:type="dxa"/>
            <w:tcBorders/>
            <w:shd w:fill="FFFFFF" w:val="clear"/>
            <w:vAlign w:val="center"/>
          </w:tcPr>
          <w:p>
            <w:pPr>
              <w:pStyle w:val="TableContents"/>
              <w:bidi w:val="0"/>
              <w:spacing w:before="0" w:after="283"/>
              <w:jc w:val="left"/>
              <w:rPr/>
            </w:pPr>
            <w:r>
              <w:rPr/>
              <w:t> </w:t>
            </w:r>
          </w:p>
        </w:tc>
        <w:tc>
          <w:tcPr>
            <w:tcW w:w="1194" w:type="dxa"/>
            <w:tcBorders/>
            <w:shd w:fill="FFFFFF" w:val="clear"/>
            <w:vAlign w:val="center"/>
          </w:tcPr>
          <w:p>
            <w:pPr>
              <w:pStyle w:val="TableContents"/>
              <w:bidi w:val="0"/>
              <w:spacing w:before="0" w:after="283"/>
              <w:jc w:val="right"/>
              <w:rPr/>
            </w:pPr>
            <w:r>
              <w:rPr/>
              <w:t>769</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20" w:type="dxa"/>
            <w:tcBorders/>
            <w:shd w:fill="FFFFFF" w:val="clear"/>
            <w:vAlign w:val="center"/>
          </w:tcPr>
          <w:p>
            <w:pPr>
              <w:pStyle w:val="TableContents"/>
              <w:bidi w:val="0"/>
              <w:spacing w:before="0" w:after="283"/>
              <w:jc w:val="left"/>
              <w:rPr/>
            </w:pPr>
            <w:r>
              <w:rPr/>
              <w:t> </w:t>
            </w:r>
          </w:p>
        </w:tc>
        <w:tc>
          <w:tcPr>
            <w:tcW w:w="1194" w:type="dxa"/>
            <w:tcBorders/>
            <w:shd w:fill="FFFFFF" w:val="clear"/>
            <w:vAlign w:val="center"/>
          </w:tcPr>
          <w:p>
            <w:pPr>
              <w:pStyle w:val="TableContents"/>
              <w:bidi w:val="0"/>
              <w:spacing w:before="0" w:after="283"/>
              <w:jc w:val="right"/>
              <w:rPr/>
            </w:pPr>
            <w:r>
              <w:rPr/>
              <w:t>452</w:t>
            </w:r>
          </w:p>
        </w:tc>
        <w:tc>
          <w:tcPr>
            <w:tcW w:w="110" w:type="dxa"/>
            <w:tcBorders/>
            <w:shd w:fill="FFFFFF" w:val="clear"/>
            <w:vAlign w:val="center"/>
          </w:tcPr>
          <w:p>
            <w:pPr>
              <w:pStyle w:val="TableContents"/>
              <w:bidi w:val="0"/>
              <w:spacing w:before="0" w:after="283"/>
              <w:jc w:val="left"/>
              <w:rPr/>
            </w:pPr>
            <w:r>
              <w:rPr/>
              <w:t> </w:t>
            </w:r>
          </w:p>
        </w:tc>
      </w:tr>
      <w:tr>
        <w:trPr/>
        <w:tc>
          <w:tcPr>
            <w:tcW w:w="3620" w:type="dxa"/>
            <w:tcBorders/>
            <w:shd w:fill="CCEEFF" w:val="clear"/>
            <w:vAlign w:val="center"/>
          </w:tcPr>
          <w:p>
            <w:pPr>
              <w:pStyle w:val="TableContents"/>
              <w:bidi w:val="0"/>
              <w:spacing w:before="0" w:after="283"/>
              <w:jc w:val="left"/>
              <w:rPr/>
            </w:pPr>
            <w:r>
              <w:rPr/>
              <w:t>Lease liability</w:t>
            </w:r>
          </w:p>
        </w:tc>
        <w:tc>
          <w:tcPr>
            <w:tcW w:w="60" w:type="dxa"/>
            <w:tcBorders/>
            <w:shd w:fill="CCEEFF" w:val="clear"/>
            <w:vAlign w:val="center"/>
          </w:tcPr>
          <w:p>
            <w:pPr>
              <w:pStyle w:val="TableContents"/>
              <w:bidi w:val="0"/>
              <w:spacing w:before="0" w:after="283"/>
              <w:jc w:val="left"/>
              <w:rPr/>
            </w:pPr>
            <w:r>
              <w:rPr/>
              <w:t> </w:t>
            </w:r>
          </w:p>
        </w:tc>
        <w:tc>
          <w:tcPr>
            <w:tcW w:w="220" w:type="dxa"/>
            <w:tcBorders/>
            <w:shd w:fill="CCEEFF" w:val="clear"/>
            <w:vAlign w:val="center"/>
          </w:tcPr>
          <w:p>
            <w:pPr>
              <w:pStyle w:val="TableContents"/>
              <w:bidi w:val="0"/>
              <w:spacing w:before="0" w:after="283"/>
              <w:jc w:val="left"/>
              <w:rPr/>
            </w:pPr>
            <w:r>
              <w:rPr/>
              <w:t> </w:t>
            </w:r>
          </w:p>
        </w:tc>
        <w:tc>
          <w:tcPr>
            <w:tcW w:w="1194" w:type="dxa"/>
            <w:tcBorders/>
            <w:shd w:fill="CCEEFF" w:val="clear"/>
            <w:vAlign w:val="center"/>
          </w:tcPr>
          <w:p>
            <w:pPr>
              <w:pStyle w:val="TableContents"/>
              <w:bidi w:val="0"/>
              <w:spacing w:before="0" w:after="283"/>
              <w:jc w:val="right"/>
              <w:rPr/>
            </w:pPr>
            <w:r>
              <w:rPr/>
              <w:t>1,657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0" w:type="dxa"/>
            <w:tcBorders/>
            <w:shd w:fill="CCEEFF" w:val="clear"/>
            <w:vAlign w:val="center"/>
          </w:tcPr>
          <w:p>
            <w:pPr>
              <w:pStyle w:val="TableContents"/>
              <w:bidi w:val="0"/>
              <w:spacing w:before="0" w:after="283"/>
              <w:jc w:val="left"/>
              <w:rPr/>
            </w:pPr>
            <w:r>
              <w:rPr/>
              <w:t> </w:t>
            </w:r>
          </w:p>
        </w:tc>
        <w:tc>
          <w:tcPr>
            <w:tcW w:w="1194" w:type="dxa"/>
            <w:tcBorders/>
            <w:shd w:fill="CCEEFF" w:val="clear"/>
            <w:vAlign w:val="center"/>
          </w:tcPr>
          <w:p>
            <w:pPr>
              <w:pStyle w:val="TableContents"/>
              <w:bidi w:val="0"/>
              <w:spacing w:before="0" w:after="283"/>
              <w:jc w:val="right"/>
              <w:rPr/>
            </w:pPr>
            <w:r>
              <w:rPr/>
              <w:t>1,512</w:t>
            </w:r>
          </w:p>
        </w:tc>
        <w:tc>
          <w:tcPr>
            <w:tcW w:w="110" w:type="dxa"/>
            <w:tcBorders/>
            <w:shd w:fill="CCEEFF" w:val="clear"/>
            <w:vAlign w:val="center"/>
          </w:tcPr>
          <w:p>
            <w:pPr>
              <w:pStyle w:val="TableContents"/>
              <w:bidi w:val="0"/>
              <w:spacing w:before="0" w:after="283"/>
              <w:jc w:val="left"/>
              <w:rPr/>
            </w:pPr>
            <w:r>
              <w:rPr/>
              <w:t> </w:t>
            </w:r>
          </w:p>
        </w:tc>
      </w:tr>
      <w:tr>
        <w:trPr/>
        <w:tc>
          <w:tcPr>
            <w:tcW w:w="3620" w:type="dxa"/>
            <w:tcBorders/>
            <w:shd w:fill="FFFFFF" w:val="clear"/>
            <w:vAlign w:val="center"/>
          </w:tcPr>
          <w:p>
            <w:pPr>
              <w:pStyle w:val="TableContents"/>
              <w:bidi w:val="0"/>
              <w:spacing w:before="0" w:after="283"/>
              <w:jc w:val="left"/>
              <w:rPr/>
            </w:pPr>
            <w:r>
              <w:rPr/>
              <w:t>Other reserves</w:t>
            </w:r>
          </w:p>
        </w:tc>
        <w:tc>
          <w:tcPr>
            <w:tcW w:w="60" w:type="dxa"/>
            <w:tcBorders/>
            <w:shd w:fill="FFFFFF" w:val="clear"/>
            <w:vAlign w:val="center"/>
          </w:tcPr>
          <w:p>
            <w:pPr>
              <w:pStyle w:val="TableContents"/>
              <w:bidi w:val="0"/>
              <w:spacing w:before="0" w:after="283"/>
              <w:jc w:val="left"/>
              <w:rPr/>
            </w:pPr>
            <w:r>
              <w:rPr/>
              <w:t> </w:t>
            </w:r>
          </w:p>
        </w:tc>
        <w:tc>
          <w:tcPr>
            <w:tcW w:w="220" w:type="dxa"/>
            <w:tcBorders/>
            <w:shd w:fill="FFFFFF" w:val="clear"/>
            <w:vAlign w:val="center"/>
          </w:tcPr>
          <w:p>
            <w:pPr>
              <w:pStyle w:val="TableContents"/>
              <w:bidi w:val="0"/>
              <w:spacing w:before="0" w:after="283"/>
              <w:jc w:val="left"/>
              <w:rPr/>
            </w:pPr>
            <w:r>
              <w:rPr/>
              <w:t> </w:t>
            </w:r>
          </w:p>
        </w:tc>
        <w:tc>
          <w:tcPr>
            <w:tcW w:w="1194" w:type="dxa"/>
            <w:tcBorders/>
            <w:shd w:fill="FFFFFF" w:val="clear"/>
            <w:vAlign w:val="center"/>
          </w:tcPr>
          <w:p>
            <w:pPr>
              <w:pStyle w:val="TableContents"/>
              <w:bidi w:val="0"/>
              <w:spacing w:before="0" w:after="283"/>
              <w:jc w:val="right"/>
              <w:rPr/>
            </w:pPr>
            <w:r>
              <w:rPr/>
              <w:t>4,633</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20" w:type="dxa"/>
            <w:tcBorders/>
            <w:shd w:fill="FFFFFF" w:val="clear"/>
            <w:vAlign w:val="center"/>
          </w:tcPr>
          <w:p>
            <w:pPr>
              <w:pStyle w:val="TableContents"/>
              <w:bidi w:val="0"/>
              <w:spacing w:before="0" w:after="283"/>
              <w:jc w:val="left"/>
              <w:rPr/>
            </w:pPr>
            <w:r>
              <w:rPr/>
              <w:t> </w:t>
            </w:r>
          </w:p>
        </w:tc>
        <w:tc>
          <w:tcPr>
            <w:tcW w:w="1194" w:type="dxa"/>
            <w:tcBorders/>
            <w:shd w:fill="FFFFFF" w:val="clear"/>
            <w:vAlign w:val="center"/>
          </w:tcPr>
          <w:p>
            <w:pPr>
              <w:pStyle w:val="TableContents"/>
              <w:bidi w:val="0"/>
              <w:spacing w:before="0" w:after="283"/>
              <w:jc w:val="right"/>
              <w:rPr/>
            </w:pPr>
            <w:r>
              <w:rPr/>
              <w:t>3,381</w:t>
            </w:r>
          </w:p>
        </w:tc>
        <w:tc>
          <w:tcPr>
            <w:tcW w:w="110" w:type="dxa"/>
            <w:tcBorders/>
            <w:shd w:fill="FFFFFF" w:val="clear"/>
            <w:vAlign w:val="center"/>
          </w:tcPr>
          <w:p>
            <w:pPr>
              <w:pStyle w:val="TableContents"/>
              <w:bidi w:val="0"/>
              <w:spacing w:before="0" w:after="283"/>
              <w:jc w:val="left"/>
              <w:rPr/>
            </w:pPr>
            <w:r>
              <w:rPr/>
              <w:t> </w:t>
            </w:r>
          </w:p>
        </w:tc>
      </w:tr>
      <w:tr>
        <w:trPr/>
        <w:tc>
          <w:tcPr>
            <w:tcW w:w="3620" w:type="dxa"/>
            <w:tcBorders/>
            <w:shd w:fill="CCEEFF" w:val="clear"/>
            <w:vAlign w:val="center"/>
          </w:tcPr>
          <w:p>
            <w:pPr>
              <w:pStyle w:val="TableContents"/>
              <w:bidi w:val="0"/>
              <w:spacing w:before="0" w:after="283"/>
              <w:jc w:val="left"/>
              <w:rPr/>
            </w:pPr>
            <w:r>
              <w:rPr/>
              <w:t>Interest expense carryover</w:t>
            </w:r>
          </w:p>
        </w:tc>
        <w:tc>
          <w:tcPr>
            <w:tcW w:w="60" w:type="dxa"/>
            <w:tcBorders/>
            <w:shd w:fill="CCEEFF" w:val="clear"/>
            <w:vAlign w:val="center"/>
          </w:tcPr>
          <w:p>
            <w:pPr>
              <w:pStyle w:val="TableContents"/>
              <w:bidi w:val="0"/>
              <w:spacing w:before="0" w:after="283"/>
              <w:jc w:val="left"/>
              <w:rPr/>
            </w:pPr>
            <w:r>
              <w:rPr/>
              <w:t> </w:t>
            </w:r>
          </w:p>
        </w:tc>
        <w:tc>
          <w:tcPr>
            <w:tcW w:w="220" w:type="dxa"/>
            <w:tcBorders/>
            <w:shd w:fill="CCEEFF" w:val="clear"/>
            <w:vAlign w:val="center"/>
          </w:tcPr>
          <w:p>
            <w:pPr>
              <w:pStyle w:val="TableContents"/>
              <w:bidi w:val="0"/>
              <w:spacing w:before="0" w:after="283"/>
              <w:jc w:val="left"/>
              <w:rPr/>
            </w:pPr>
            <w:r>
              <w:rPr/>
              <w:t> </w:t>
            </w:r>
          </w:p>
        </w:tc>
        <w:tc>
          <w:tcPr>
            <w:tcW w:w="1194" w:type="dxa"/>
            <w:tcBorders/>
            <w:shd w:fill="CCEEFF" w:val="clear"/>
            <w:vAlign w:val="center"/>
          </w:tcPr>
          <w:p>
            <w:pPr>
              <w:pStyle w:val="TableContents"/>
              <w:bidi w:val="0"/>
              <w:spacing w:before="0" w:after="283"/>
              <w:jc w:val="right"/>
              <w:rPr/>
            </w:pPr>
            <w:r>
              <w:rPr/>
              <w:t>7,267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0" w:type="dxa"/>
            <w:tcBorders/>
            <w:shd w:fill="CCEEFF" w:val="clear"/>
            <w:vAlign w:val="center"/>
          </w:tcPr>
          <w:p>
            <w:pPr>
              <w:pStyle w:val="TableContents"/>
              <w:bidi w:val="0"/>
              <w:spacing w:before="0" w:after="283"/>
              <w:jc w:val="left"/>
              <w:rPr/>
            </w:pPr>
            <w:r>
              <w:rPr/>
              <w:t> </w:t>
            </w:r>
          </w:p>
        </w:tc>
        <w:tc>
          <w:tcPr>
            <w:tcW w:w="1194" w:type="dxa"/>
            <w:tcBorders/>
            <w:shd w:fill="CCEEFF" w:val="clear"/>
            <w:vAlign w:val="center"/>
          </w:tcPr>
          <w:p>
            <w:pPr>
              <w:pStyle w:val="TableContents"/>
              <w:bidi w:val="0"/>
              <w:spacing w:before="0" w:after="283"/>
              <w:jc w:val="right"/>
              <w:rPr/>
            </w:pPr>
            <w:r>
              <w:rPr/>
              <w:t>7,005</w:t>
            </w:r>
          </w:p>
        </w:tc>
        <w:tc>
          <w:tcPr>
            <w:tcW w:w="110" w:type="dxa"/>
            <w:tcBorders/>
            <w:shd w:fill="CCEEFF" w:val="clear"/>
            <w:vAlign w:val="center"/>
          </w:tcPr>
          <w:p>
            <w:pPr>
              <w:pStyle w:val="TableContents"/>
              <w:bidi w:val="0"/>
              <w:spacing w:before="0" w:after="283"/>
              <w:jc w:val="left"/>
              <w:rPr/>
            </w:pPr>
            <w:r>
              <w:rPr/>
              <w:t> </w:t>
            </w:r>
          </w:p>
        </w:tc>
      </w:tr>
      <w:tr>
        <w:trPr/>
        <w:tc>
          <w:tcPr>
            <w:tcW w:w="3620" w:type="dxa"/>
            <w:tcBorders/>
            <w:shd w:fill="FFFFFF" w:val="clear"/>
            <w:vAlign w:val="center"/>
          </w:tcPr>
          <w:p>
            <w:pPr>
              <w:pStyle w:val="TableContents"/>
              <w:bidi w:val="0"/>
              <w:spacing w:before="0" w:after="283"/>
              <w:jc w:val="left"/>
              <w:rPr/>
            </w:pPr>
            <w:r>
              <w:rPr/>
              <w:t>Intangibles</w:t>
            </w:r>
          </w:p>
        </w:tc>
        <w:tc>
          <w:tcPr>
            <w:tcW w:w="60" w:type="dxa"/>
            <w:tcBorders/>
            <w:shd w:fill="FFFFFF" w:val="clear"/>
            <w:vAlign w:val="center"/>
          </w:tcPr>
          <w:p>
            <w:pPr>
              <w:pStyle w:val="TableContents"/>
              <w:bidi w:val="0"/>
              <w:spacing w:before="0" w:after="283"/>
              <w:jc w:val="left"/>
              <w:rPr/>
            </w:pPr>
            <w:r>
              <w:rPr/>
              <w:t> </w:t>
            </w:r>
          </w:p>
        </w:tc>
        <w:tc>
          <w:tcPr>
            <w:tcW w:w="220" w:type="dxa"/>
            <w:tcBorders/>
            <w:shd w:fill="FFFFFF" w:val="clear"/>
            <w:vAlign w:val="center"/>
          </w:tcPr>
          <w:p>
            <w:pPr>
              <w:pStyle w:val="TableContents"/>
              <w:bidi w:val="0"/>
              <w:spacing w:before="0" w:after="283"/>
              <w:jc w:val="left"/>
              <w:rPr/>
            </w:pPr>
            <w:r>
              <w:rPr/>
              <w:t> </w:t>
            </w:r>
          </w:p>
        </w:tc>
        <w:tc>
          <w:tcPr>
            <w:tcW w:w="1194" w:type="dxa"/>
            <w:tcBorders/>
            <w:shd w:fill="FFFFFF" w:val="clear"/>
            <w:vAlign w:val="center"/>
          </w:tcPr>
          <w:p>
            <w:pPr>
              <w:pStyle w:val="TableContents"/>
              <w:bidi w:val="0"/>
              <w:spacing w:before="0" w:after="283"/>
              <w:jc w:val="right"/>
              <w:rPr/>
            </w:pPr>
            <w:r>
              <w:rPr/>
              <w:t>1,447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20" w:type="dxa"/>
            <w:tcBorders/>
            <w:shd w:fill="FFFFFF" w:val="clear"/>
            <w:vAlign w:val="center"/>
          </w:tcPr>
          <w:p>
            <w:pPr>
              <w:pStyle w:val="TableContents"/>
              <w:bidi w:val="0"/>
              <w:spacing w:before="0" w:after="283"/>
              <w:jc w:val="left"/>
              <w:rPr/>
            </w:pPr>
            <w:r>
              <w:rPr/>
              <w:t> </w:t>
            </w:r>
          </w:p>
        </w:tc>
        <w:tc>
          <w:tcPr>
            <w:tcW w:w="1194" w:type="dxa"/>
            <w:tcBorders/>
            <w:shd w:fill="FFFFFF" w:val="clear"/>
            <w:vAlign w:val="center"/>
          </w:tcPr>
          <w:p>
            <w:pPr>
              <w:pStyle w:val="TableContents"/>
              <w:bidi w:val="0"/>
              <w:spacing w:before="0" w:after="283"/>
              <w:jc w:val="right"/>
              <w:rPr/>
            </w:pPr>
            <w:r>
              <w:rPr/>
              <w:t>1,279</w:t>
            </w:r>
          </w:p>
        </w:tc>
        <w:tc>
          <w:tcPr>
            <w:tcW w:w="110" w:type="dxa"/>
            <w:tcBorders/>
            <w:shd w:fill="FFFFFF" w:val="clear"/>
            <w:vAlign w:val="center"/>
          </w:tcPr>
          <w:p>
            <w:pPr>
              <w:pStyle w:val="TableContents"/>
              <w:bidi w:val="0"/>
              <w:spacing w:before="0" w:after="283"/>
              <w:jc w:val="left"/>
              <w:rPr/>
            </w:pPr>
            <w:r>
              <w:rPr/>
              <w:t> </w:t>
            </w:r>
          </w:p>
        </w:tc>
      </w:tr>
      <w:tr>
        <w:trPr/>
        <w:tc>
          <w:tcPr>
            <w:tcW w:w="3620" w:type="dxa"/>
            <w:tcBorders/>
            <w:shd w:fill="CCEEFF" w:val="clear"/>
            <w:vAlign w:val="center"/>
          </w:tcPr>
          <w:p>
            <w:pPr>
              <w:pStyle w:val="TableContents"/>
              <w:bidi w:val="0"/>
              <w:spacing w:before="0" w:after="283"/>
              <w:jc w:val="left"/>
              <w:rPr/>
            </w:pPr>
            <w:r>
              <w:rPr/>
              <w:t>Capitalized research and development</w:t>
            </w:r>
          </w:p>
        </w:tc>
        <w:tc>
          <w:tcPr>
            <w:tcW w:w="60" w:type="dxa"/>
            <w:tcBorders/>
            <w:shd w:fill="CCEEFF" w:val="clear"/>
            <w:vAlign w:val="center"/>
          </w:tcPr>
          <w:p>
            <w:pPr>
              <w:pStyle w:val="TableContents"/>
              <w:bidi w:val="0"/>
              <w:spacing w:before="0" w:after="283"/>
              <w:jc w:val="left"/>
              <w:rPr/>
            </w:pPr>
            <w:r>
              <w:rPr/>
              <w:t> </w:t>
            </w:r>
          </w:p>
        </w:tc>
        <w:tc>
          <w:tcPr>
            <w:tcW w:w="220" w:type="dxa"/>
            <w:tcBorders/>
            <w:shd w:fill="CCEEFF" w:val="clear"/>
            <w:vAlign w:val="center"/>
          </w:tcPr>
          <w:p>
            <w:pPr>
              <w:pStyle w:val="TableContents"/>
              <w:bidi w:val="0"/>
              <w:spacing w:before="0" w:after="283"/>
              <w:jc w:val="left"/>
              <w:rPr/>
            </w:pPr>
            <w:r>
              <w:rPr/>
              <w:t> </w:t>
            </w:r>
          </w:p>
        </w:tc>
        <w:tc>
          <w:tcPr>
            <w:tcW w:w="1194" w:type="dxa"/>
            <w:tcBorders/>
            <w:shd w:fill="CCEEFF" w:val="clear"/>
            <w:vAlign w:val="center"/>
          </w:tcPr>
          <w:p>
            <w:pPr>
              <w:pStyle w:val="TableContents"/>
              <w:bidi w:val="0"/>
              <w:spacing w:before="0" w:after="283"/>
              <w:jc w:val="right"/>
              <w:rPr/>
            </w:pPr>
            <w:r>
              <w:rPr/>
              <w:t>705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0" w:type="dxa"/>
            <w:tcBorders/>
            <w:shd w:fill="CCEEFF" w:val="clear"/>
            <w:vAlign w:val="center"/>
          </w:tcPr>
          <w:p>
            <w:pPr>
              <w:pStyle w:val="TableContents"/>
              <w:bidi w:val="0"/>
              <w:spacing w:before="0" w:after="283"/>
              <w:jc w:val="left"/>
              <w:rPr/>
            </w:pPr>
            <w:r>
              <w:rPr/>
              <w:t> </w:t>
            </w:r>
          </w:p>
        </w:tc>
        <w:tc>
          <w:tcPr>
            <w:tcW w:w="1194" w:type="dxa"/>
            <w:tcBorders/>
            <w:shd w:fill="CCEEFF" w:val="clear"/>
            <w:vAlign w:val="center"/>
          </w:tcPr>
          <w:p>
            <w:pPr>
              <w:pStyle w:val="TableContents"/>
              <w:bidi w:val="0"/>
              <w:spacing w:before="0" w:after="283"/>
              <w:jc w:val="right"/>
              <w:rPr/>
            </w:pPr>
            <w:r>
              <w:rPr/>
              <w:t>824</w:t>
            </w:r>
          </w:p>
        </w:tc>
        <w:tc>
          <w:tcPr>
            <w:tcW w:w="110" w:type="dxa"/>
            <w:tcBorders/>
            <w:shd w:fill="CCEEFF" w:val="clear"/>
            <w:vAlign w:val="center"/>
          </w:tcPr>
          <w:p>
            <w:pPr>
              <w:pStyle w:val="TableContents"/>
              <w:bidi w:val="0"/>
              <w:spacing w:before="0" w:after="283"/>
              <w:jc w:val="left"/>
              <w:rPr/>
            </w:pPr>
            <w:r>
              <w:rPr/>
              <w:t> </w:t>
            </w:r>
          </w:p>
        </w:tc>
      </w:tr>
      <w:tr>
        <w:trPr/>
        <w:tc>
          <w:tcPr>
            <w:tcW w:w="3620" w:type="dxa"/>
            <w:tcBorders/>
            <w:shd w:fill="FFFFFF" w:val="clear"/>
            <w:vAlign w:val="center"/>
          </w:tcPr>
          <w:p>
            <w:pPr>
              <w:pStyle w:val="TableContents"/>
              <w:bidi w:val="0"/>
              <w:spacing w:before="0" w:after="283"/>
              <w:jc w:val="left"/>
              <w:rPr/>
            </w:pPr>
            <w:r>
              <w:rPr/>
              <w:t>Other</w:t>
            </w:r>
          </w:p>
        </w:tc>
        <w:tc>
          <w:tcPr>
            <w:tcW w:w="60" w:type="dxa"/>
            <w:tcBorders/>
            <w:shd w:fill="FFFFFF" w:val="clear"/>
            <w:vAlign w:val="center"/>
          </w:tcPr>
          <w:p>
            <w:pPr>
              <w:pStyle w:val="TableContents"/>
              <w:bidi w:val="0"/>
              <w:spacing w:before="0" w:after="283"/>
              <w:jc w:val="left"/>
              <w:rPr/>
            </w:pPr>
            <w:r>
              <w:rPr/>
              <w:t> </w:t>
            </w:r>
          </w:p>
        </w:tc>
        <w:tc>
          <w:tcPr>
            <w:tcW w:w="22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94" w:type="dxa"/>
            <w:tcBorders>
              <w:bottom w:val="single" w:sz="12" w:space="0" w:color="000000"/>
            </w:tcBorders>
            <w:shd w:fill="FFFFFF" w:val="clear"/>
            <w:tcMar>
              <w:bottom w:w="28" w:type="dxa"/>
            </w:tcMar>
            <w:vAlign w:val="center"/>
          </w:tcPr>
          <w:p>
            <w:pPr>
              <w:pStyle w:val="TableContents"/>
              <w:bidi w:val="0"/>
              <w:spacing w:before="0" w:after="283"/>
              <w:jc w:val="right"/>
              <w:rPr/>
            </w:pPr>
            <w:r>
              <w:rPr/>
              <w:t>2,556</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2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94" w:type="dxa"/>
            <w:tcBorders>
              <w:bottom w:val="single" w:sz="12" w:space="0" w:color="000000"/>
            </w:tcBorders>
            <w:shd w:fill="FFFFFF" w:val="clear"/>
            <w:tcMar>
              <w:bottom w:w="28" w:type="dxa"/>
            </w:tcMar>
            <w:vAlign w:val="center"/>
          </w:tcPr>
          <w:p>
            <w:pPr>
              <w:pStyle w:val="TableContents"/>
              <w:bidi w:val="0"/>
              <w:spacing w:before="0" w:after="283"/>
              <w:jc w:val="right"/>
              <w:rPr/>
            </w:pPr>
            <w:r>
              <w:rPr/>
              <w:t>3,336</w:t>
            </w:r>
          </w:p>
        </w:tc>
        <w:tc>
          <w:tcPr>
            <w:tcW w:w="110" w:type="dxa"/>
            <w:tcBorders/>
            <w:shd w:fill="FFFFFF" w:val="clear"/>
            <w:vAlign w:val="center"/>
          </w:tcPr>
          <w:p>
            <w:pPr>
              <w:pStyle w:val="TableContents"/>
              <w:bidi w:val="0"/>
              <w:spacing w:before="0" w:after="283"/>
              <w:jc w:val="left"/>
              <w:rPr/>
            </w:pPr>
            <w:r>
              <w:rPr/>
              <w:t> </w:t>
            </w:r>
          </w:p>
        </w:tc>
      </w:tr>
      <w:tr>
        <w:trPr/>
        <w:tc>
          <w:tcPr>
            <w:tcW w:w="3620" w:type="dxa"/>
            <w:tcBorders/>
            <w:shd w:fill="CCEEFF" w:val="clear"/>
            <w:vAlign w:val="center"/>
          </w:tcPr>
          <w:p>
            <w:pPr>
              <w:pStyle w:val="TableContents"/>
              <w:bidi w:val="0"/>
              <w:spacing w:before="0" w:after="283"/>
              <w:jc w:val="left"/>
              <w:rPr/>
            </w:pPr>
            <w:r>
              <w:rPr/>
              <w:t>Total</w:t>
            </w:r>
          </w:p>
        </w:tc>
        <w:tc>
          <w:tcPr>
            <w:tcW w:w="60" w:type="dxa"/>
            <w:tcBorders/>
            <w:shd w:fill="CCEEFF" w:val="clear"/>
            <w:vAlign w:val="center"/>
          </w:tcPr>
          <w:p>
            <w:pPr>
              <w:pStyle w:val="TableContents"/>
              <w:bidi w:val="0"/>
              <w:spacing w:before="0" w:after="283"/>
              <w:jc w:val="left"/>
              <w:rPr/>
            </w:pPr>
            <w:r>
              <w:rPr/>
              <w:t> </w:t>
            </w:r>
          </w:p>
        </w:tc>
        <w:tc>
          <w:tcPr>
            <w:tcW w:w="22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94" w:type="dxa"/>
            <w:tcBorders>
              <w:bottom w:val="single" w:sz="12" w:space="0" w:color="000000"/>
            </w:tcBorders>
            <w:shd w:fill="CCEEFF" w:val="clear"/>
            <w:tcMar>
              <w:bottom w:w="28" w:type="dxa"/>
            </w:tcMar>
            <w:vAlign w:val="center"/>
          </w:tcPr>
          <w:p>
            <w:pPr>
              <w:pStyle w:val="TableContents"/>
              <w:bidi w:val="0"/>
              <w:spacing w:before="0" w:after="283"/>
              <w:jc w:val="right"/>
              <w:rPr/>
            </w:pPr>
            <w:r>
              <w:rPr/>
              <w:t>92,877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94" w:type="dxa"/>
            <w:tcBorders>
              <w:bottom w:val="single" w:sz="12" w:space="0" w:color="000000"/>
            </w:tcBorders>
            <w:shd w:fill="CCEEFF" w:val="clear"/>
            <w:tcMar>
              <w:bottom w:w="28" w:type="dxa"/>
            </w:tcMar>
            <w:vAlign w:val="center"/>
          </w:tcPr>
          <w:p>
            <w:pPr>
              <w:pStyle w:val="TableContents"/>
              <w:bidi w:val="0"/>
              <w:spacing w:before="0" w:after="283"/>
              <w:jc w:val="right"/>
              <w:rPr/>
            </w:pPr>
            <w:r>
              <w:rPr/>
              <w:t>77,560</w:t>
            </w:r>
          </w:p>
        </w:tc>
        <w:tc>
          <w:tcPr>
            <w:tcW w:w="110" w:type="dxa"/>
            <w:tcBorders/>
            <w:shd w:fill="CCEEFF" w:val="clear"/>
            <w:vAlign w:val="center"/>
          </w:tcPr>
          <w:p>
            <w:pPr>
              <w:pStyle w:val="TableContents"/>
              <w:bidi w:val="0"/>
              <w:spacing w:before="0" w:after="283"/>
              <w:jc w:val="left"/>
              <w:rPr/>
            </w:pPr>
            <w:r>
              <w:rPr/>
              <w:t> </w:t>
            </w:r>
          </w:p>
        </w:tc>
      </w:tr>
      <w:tr>
        <w:trPr/>
        <w:tc>
          <w:tcPr>
            <w:tcW w:w="3620" w:type="dxa"/>
            <w:tcBorders/>
            <w:shd w:fill="FFFFFF" w:val="clear"/>
            <w:vAlign w:val="center"/>
          </w:tcPr>
          <w:p>
            <w:pPr>
              <w:pStyle w:val="TableContents"/>
              <w:bidi w:val="0"/>
              <w:spacing w:before="0" w:after="283"/>
              <w:jc w:val="left"/>
              <w:rPr/>
            </w:pPr>
            <w:r>
              <w:rPr/>
              <w:t>Valuation allowance</w:t>
            </w:r>
          </w:p>
        </w:tc>
        <w:tc>
          <w:tcPr>
            <w:tcW w:w="60" w:type="dxa"/>
            <w:tcBorders/>
            <w:shd w:fill="FFFFFF" w:val="clear"/>
            <w:vAlign w:val="center"/>
          </w:tcPr>
          <w:p>
            <w:pPr>
              <w:pStyle w:val="TableContents"/>
              <w:bidi w:val="0"/>
              <w:spacing w:before="0" w:after="283"/>
              <w:jc w:val="left"/>
              <w:rPr/>
            </w:pPr>
            <w:r>
              <w:rPr/>
              <w:t> </w:t>
            </w:r>
          </w:p>
        </w:tc>
        <w:tc>
          <w:tcPr>
            <w:tcW w:w="22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94" w:type="dxa"/>
            <w:tcBorders>
              <w:bottom w:val="single" w:sz="12" w:space="0" w:color="000000"/>
            </w:tcBorders>
            <w:shd w:fill="FFFFFF" w:val="clear"/>
            <w:tcMar>
              <w:bottom w:w="28" w:type="dxa"/>
            </w:tcMar>
            <w:vAlign w:val="center"/>
          </w:tcPr>
          <w:p>
            <w:pPr>
              <w:pStyle w:val="TableContents"/>
              <w:bidi w:val="0"/>
              <w:spacing w:before="0" w:after="283"/>
              <w:jc w:val="right"/>
              <w:rPr/>
            </w:pPr>
            <w:r>
              <w:rPr/>
              <w:t>(70,253</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22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94" w:type="dxa"/>
            <w:tcBorders>
              <w:bottom w:val="single" w:sz="12" w:space="0" w:color="000000"/>
            </w:tcBorders>
            <w:shd w:fill="FFFFFF" w:val="clear"/>
            <w:tcMar>
              <w:bottom w:w="28" w:type="dxa"/>
            </w:tcMar>
            <w:vAlign w:val="center"/>
          </w:tcPr>
          <w:p>
            <w:pPr>
              <w:pStyle w:val="TableContents"/>
              <w:bidi w:val="0"/>
              <w:spacing w:before="0" w:after="283"/>
              <w:jc w:val="right"/>
              <w:rPr/>
            </w:pPr>
            <w:r>
              <w:rPr/>
              <w:t>(55,714</w:t>
            </w:r>
          </w:p>
        </w:tc>
        <w:tc>
          <w:tcPr>
            <w:tcW w:w="110" w:type="dxa"/>
            <w:tcBorders/>
            <w:shd w:fill="FFFFFF" w:val="clear"/>
            <w:vAlign w:val="center"/>
          </w:tcPr>
          <w:p>
            <w:pPr>
              <w:pStyle w:val="TableContents"/>
              <w:bidi w:val="0"/>
              <w:spacing w:before="0" w:after="283"/>
              <w:jc w:val="left"/>
              <w:rPr/>
            </w:pPr>
            <w:r>
              <w:rPr/>
              <w:t>)</w:t>
            </w:r>
          </w:p>
        </w:tc>
      </w:tr>
      <w:tr>
        <w:trPr/>
        <w:tc>
          <w:tcPr>
            <w:tcW w:w="3620" w:type="dxa"/>
            <w:tcBorders/>
            <w:shd w:fill="CCEEFF" w:val="clear"/>
            <w:vAlign w:val="center"/>
          </w:tcPr>
          <w:p>
            <w:pPr>
              <w:pStyle w:val="TableContents"/>
              <w:bidi w:val="0"/>
              <w:spacing w:before="0" w:after="283"/>
              <w:jc w:val="left"/>
              <w:rPr/>
            </w:pPr>
            <w:r>
              <w:rPr/>
              <w:t>Net deferred tax assets</w:t>
            </w:r>
          </w:p>
        </w:tc>
        <w:tc>
          <w:tcPr>
            <w:tcW w:w="60" w:type="dxa"/>
            <w:tcBorders/>
            <w:shd w:fill="CCEEFF" w:val="clear"/>
            <w:vAlign w:val="center"/>
          </w:tcPr>
          <w:p>
            <w:pPr>
              <w:pStyle w:val="TableContents"/>
              <w:bidi w:val="0"/>
              <w:spacing w:before="0" w:after="283"/>
              <w:jc w:val="left"/>
              <w:rPr/>
            </w:pPr>
            <w:r>
              <w:rPr/>
              <w:t> </w:t>
            </w:r>
          </w:p>
        </w:tc>
        <w:tc>
          <w:tcPr>
            <w:tcW w:w="22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94" w:type="dxa"/>
            <w:tcBorders>
              <w:bottom w:val="single" w:sz="12" w:space="0" w:color="000000"/>
            </w:tcBorders>
            <w:shd w:fill="CCEEFF" w:val="clear"/>
            <w:tcMar>
              <w:bottom w:w="28" w:type="dxa"/>
            </w:tcMar>
            <w:vAlign w:val="center"/>
          </w:tcPr>
          <w:p>
            <w:pPr>
              <w:pStyle w:val="TableContents"/>
              <w:bidi w:val="0"/>
              <w:spacing w:before="0" w:after="283"/>
              <w:jc w:val="right"/>
              <w:rPr/>
            </w:pPr>
            <w:r>
              <w:rPr/>
              <w:t>22,624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94" w:type="dxa"/>
            <w:tcBorders>
              <w:bottom w:val="single" w:sz="12" w:space="0" w:color="000000"/>
            </w:tcBorders>
            <w:shd w:fill="CCEEFF" w:val="clear"/>
            <w:tcMar>
              <w:bottom w:w="28" w:type="dxa"/>
            </w:tcMar>
            <w:vAlign w:val="center"/>
          </w:tcPr>
          <w:p>
            <w:pPr>
              <w:pStyle w:val="TableContents"/>
              <w:bidi w:val="0"/>
              <w:spacing w:before="0" w:after="283"/>
              <w:jc w:val="right"/>
              <w:rPr/>
            </w:pPr>
            <w:r>
              <w:rPr/>
              <w:t>21,846</w:t>
            </w:r>
          </w:p>
        </w:tc>
        <w:tc>
          <w:tcPr>
            <w:tcW w:w="110" w:type="dxa"/>
            <w:tcBorders/>
            <w:shd w:fill="CCEEFF" w:val="clear"/>
            <w:vAlign w:val="center"/>
          </w:tcPr>
          <w:p>
            <w:pPr>
              <w:pStyle w:val="TableContents"/>
              <w:bidi w:val="0"/>
              <w:spacing w:before="0" w:after="283"/>
              <w:jc w:val="left"/>
              <w:rPr/>
            </w:pPr>
            <w:r>
              <w:rPr/>
              <w:t> </w:t>
            </w:r>
          </w:p>
        </w:tc>
      </w:tr>
      <w:tr>
        <w:trPr/>
        <w:tc>
          <w:tcPr>
            <w:tcW w:w="3620" w:type="dxa"/>
            <w:tcBorders/>
            <w:shd w:fill="FFFFFF" w:val="clear"/>
            <w:vAlign w:val="center"/>
          </w:tcPr>
          <w:p>
            <w:pPr>
              <w:pStyle w:val="TableContents"/>
              <w:bidi w:val="0"/>
              <w:spacing w:before="0" w:after="283"/>
              <w:jc w:val="left"/>
              <w:rPr>
                <w:b/>
              </w:rPr>
            </w:pPr>
            <w:r>
              <w:rPr>
                <w:b/>
              </w:rPr>
              <w:t>Deferred income tax liabilities</w:t>
            </w:r>
          </w:p>
        </w:tc>
        <w:tc>
          <w:tcPr>
            <w:tcW w:w="60" w:type="dxa"/>
            <w:tcBorders/>
            <w:shd w:fill="FFFFFF" w:val="clear"/>
            <w:vAlign w:val="center"/>
          </w:tcPr>
          <w:p>
            <w:pPr>
              <w:pStyle w:val="TableContents"/>
              <w:bidi w:val="0"/>
              <w:spacing w:before="0" w:after="283"/>
              <w:jc w:val="left"/>
              <w:rPr/>
            </w:pPr>
            <w:r>
              <w:rPr/>
              <w:t> </w:t>
            </w:r>
          </w:p>
        </w:tc>
        <w:tc>
          <w:tcPr>
            <w:tcW w:w="220" w:type="dxa"/>
            <w:tcBorders/>
            <w:shd w:fill="FFFFFF" w:val="clear"/>
            <w:vAlign w:val="center"/>
          </w:tcPr>
          <w:p>
            <w:pPr>
              <w:pStyle w:val="TableContents"/>
              <w:bidi w:val="0"/>
              <w:spacing w:before="0" w:after="283"/>
              <w:jc w:val="left"/>
              <w:rPr/>
            </w:pPr>
            <w:r>
              <w:rPr/>
              <w:t> </w:t>
            </w:r>
          </w:p>
        </w:tc>
        <w:tc>
          <w:tcPr>
            <w:tcW w:w="1194"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20" w:type="dxa"/>
            <w:tcBorders/>
            <w:shd w:fill="FFFFFF" w:val="clear"/>
            <w:vAlign w:val="center"/>
          </w:tcPr>
          <w:p>
            <w:pPr>
              <w:pStyle w:val="TableContents"/>
              <w:bidi w:val="0"/>
              <w:spacing w:before="0" w:after="283"/>
              <w:jc w:val="left"/>
              <w:rPr/>
            </w:pPr>
            <w:r>
              <w:rPr/>
              <w:t> </w:t>
            </w:r>
          </w:p>
        </w:tc>
        <w:tc>
          <w:tcPr>
            <w:tcW w:w="1194"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3620" w:type="dxa"/>
            <w:tcBorders/>
            <w:shd w:fill="CCEEFF" w:val="clear"/>
            <w:vAlign w:val="center"/>
          </w:tcPr>
          <w:p>
            <w:pPr>
              <w:pStyle w:val="TableContents"/>
              <w:bidi w:val="0"/>
              <w:spacing w:before="0" w:after="283"/>
              <w:jc w:val="left"/>
              <w:rPr/>
            </w:pPr>
            <w:r>
              <w:rPr/>
              <w:t>Convertible loan discount</w:t>
            </w:r>
          </w:p>
        </w:tc>
        <w:tc>
          <w:tcPr>
            <w:tcW w:w="60" w:type="dxa"/>
            <w:tcBorders/>
            <w:shd w:fill="CCEEFF" w:val="clear"/>
            <w:vAlign w:val="center"/>
          </w:tcPr>
          <w:p>
            <w:pPr>
              <w:pStyle w:val="TableContents"/>
              <w:bidi w:val="0"/>
              <w:spacing w:before="0" w:after="283"/>
              <w:jc w:val="left"/>
              <w:rPr/>
            </w:pPr>
            <w:r>
              <w:rPr/>
              <w:t> </w:t>
            </w:r>
          </w:p>
        </w:tc>
        <w:tc>
          <w:tcPr>
            <w:tcW w:w="220" w:type="dxa"/>
            <w:tcBorders/>
            <w:shd w:fill="CCEEFF" w:val="clear"/>
            <w:vAlign w:val="center"/>
          </w:tcPr>
          <w:p>
            <w:pPr>
              <w:pStyle w:val="TableContents"/>
              <w:bidi w:val="0"/>
              <w:spacing w:before="0" w:after="283"/>
              <w:jc w:val="left"/>
              <w:rPr/>
            </w:pPr>
            <w:r>
              <w:rPr/>
              <w:t> </w:t>
            </w:r>
          </w:p>
        </w:tc>
        <w:tc>
          <w:tcPr>
            <w:tcW w:w="1194" w:type="dxa"/>
            <w:tcBorders/>
            <w:shd w:fill="CCEEFF" w:val="clear"/>
            <w:vAlign w:val="center"/>
          </w:tcPr>
          <w:p>
            <w:pPr>
              <w:pStyle w:val="TableContents"/>
              <w:bidi w:val="0"/>
              <w:spacing w:before="0" w:after="283"/>
              <w:jc w:val="right"/>
              <w:rPr/>
            </w:pPr>
            <w:r>
              <w:rPr/>
              <w:t>(21,731</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220" w:type="dxa"/>
            <w:tcBorders/>
            <w:shd w:fill="CCEEFF" w:val="clear"/>
            <w:vAlign w:val="center"/>
          </w:tcPr>
          <w:p>
            <w:pPr>
              <w:pStyle w:val="TableContents"/>
              <w:bidi w:val="0"/>
              <w:spacing w:before="0" w:after="283"/>
              <w:jc w:val="left"/>
              <w:rPr/>
            </w:pPr>
            <w:r>
              <w:rPr/>
              <w:t> </w:t>
            </w:r>
          </w:p>
        </w:tc>
        <w:tc>
          <w:tcPr>
            <w:tcW w:w="1194" w:type="dxa"/>
            <w:tcBorders/>
            <w:shd w:fill="CCEEFF" w:val="clear"/>
            <w:vAlign w:val="center"/>
          </w:tcPr>
          <w:p>
            <w:pPr>
              <w:pStyle w:val="TableContents"/>
              <w:bidi w:val="0"/>
              <w:spacing w:before="0" w:after="283"/>
              <w:jc w:val="right"/>
              <w:rPr/>
            </w:pPr>
            <w:r>
              <w:rPr/>
              <w:t>(19,175</w:t>
            </w:r>
          </w:p>
        </w:tc>
        <w:tc>
          <w:tcPr>
            <w:tcW w:w="110" w:type="dxa"/>
            <w:tcBorders/>
            <w:shd w:fill="CCEEFF" w:val="clear"/>
            <w:vAlign w:val="center"/>
          </w:tcPr>
          <w:p>
            <w:pPr>
              <w:pStyle w:val="TableContents"/>
              <w:bidi w:val="0"/>
              <w:spacing w:before="0" w:after="283"/>
              <w:jc w:val="left"/>
              <w:rPr/>
            </w:pPr>
            <w:r>
              <w:rPr/>
              <w:t>)</w:t>
            </w:r>
          </w:p>
        </w:tc>
      </w:tr>
      <w:tr>
        <w:trPr/>
        <w:tc>
          <w:tcPr>
            <w:tcW w:w="3620" w:type="dxa"/>
            <w:tcBorders/>
            <w:shd w:fill="FFFFFF" w:val="clear"/>
            <w:vAlign w:val="center"/>
          </w:tcPr>
          <w:p>
            <w:pPr>
              <w:pStyle w:val="TableContents"/>
              <w:bidi w:val="0"/>
              <w:spacing w:before="0" w:after="283"/>
              <w:jc w:val="left"/>
              <w:rPr/>
            </w:pPr>
            <w:r>
              <w:rPr/>
              <w:t>Other</w:t>
            </w:r>
          </w:p>
        </w:tc>
        <w:tc>
          <w:tcPr>
            <w:tcW w:w="60" w:type="dxa"/>
            <w:tcBorders/>
            <w:shd w:fill="FFFFFF" w:val="clear"/>
            <w:vAlign w:val="center"/>
          </w:tcPr>
          <w:p>
            <w:pPr>
              <w:pStyle w:val="TableContents"/>
              <w:bidi w:val="0"/>
              <w:spacing w:before="0" w:after="283"/>
              <w:jc w:val="left"/>
              <w:rPr/>
            </w:pPr>
            <w:r>
              <w:rPr/>
              <w:t> </w:t>
            </w:r>
          </w:p>
        </w:tc>
        <w:tc>
          <w:tcPr>
            <w:tcW w:w="22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94" w:type="dxa"/>
            <w:tcBorders>
              <w:bottom w:val="single" w:sz="12" w:space="0" w:color="000000"/>
            </w:tcBorders>
            <w:shd w:fill="FFFFFF" w:val="clear"/>
            <w:tcMar>
              <w:bottom w:w="28" w:type="dxa"/>
            </w:tcMar>
            <w:vAlign w:val="center"/>
          </w:tcPr>
          <w:p>
            <w:pPr>
              <w:pStyle w:val="TableContents"/>
              <w:bidi w:val="0"/>
              <w:spacing w:before="0" w:after="283"/>
              <w:jc w:val="right"/>
              <w:rPr/>
            </w:pPr>
            <w:r>
              <w:rPr/>
              <w:t>(2,193</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22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94" w:type="dxa"/>
            <w:tcBorders>
              <w:bottom w:val="single" w:sz="12" w:space="0" w:color="000000"/>
            </w:tcBorders>
            <w:shd w:fill="FFFFFF" w:val="clear"/>
            <w:tcMar>
              <w:bottom w:w="28" w:type="dxa"/>
            </w:tcMar>
            <w:vAlign w:val="center"/>
          </w:tcPr>
          <w:p>
            <w:pPr>
              <w:pStyle w:val="TableContents"/>
              <w:bidi w:val="0"/>
              <w:spacing w:before="0" w:after="283"/>
              <w:jc w:val="right"/>
              <w:rPr/>
            </w:pPr>
            <w:r>
              <w:rPr/>
              <w:t>(2,671</w:t>
            </w:r>
          </w:p>
        </w:tc>
        <w:tc>
          <w:tcPr>
            <w:tcW w:w="110" w:type="dxa"/>
            <w:tcBorders/>
            <w:shd w:fill="FFFFFF" w:val="clear"/>
            <w:vAlign w:val="center"/>
          </w:tcPr>
          <w:p>
            <w:pPr>
              <w:pStyle w:val="TableContents"/>
              <w:bidi w:val="0"/>
              <w:spacing w:before="0" w:after="283"/>
              <w:jc w:val="left"/>
              <w:rPr/>
            </w:pPr>
            <w:r>
              <w:rPr/>
              <w:t>)</w:t>
            </w:r>
          </w:p>
        </w:tc>
      </w:tr>
      <w:tr>
        <w:trPr/>
        <w:tc>
          <w:tcPr>
            <w:tcW w:w="3620" w:type="dxa"/>
            <w:tcBorders/>
            <w:shd w:fill="CCEEFF" w:val="clear"/>
            <w:vAlign w:val="center"/>
          </w:tcPr>
          <w:p>
            <w:pPr>
              <w:pStyle w:val="TableContents"/>
              <w:bidi w:val="0"/>
              <w:spacing w:before="0" w:after="283"/>
              <w:jc w:val="left"/>
              <w:rPr/>
            </w:pPr>
            <w:r>
              <w:rPr/>
              <w:t>Total deferred tax liabilities</w:t>
            </w:r>
          </w:p>
        </w:tc>
        <w:tc>
          <w:tcPr>
            <w:tcW w:w="60" w:type="dxa"/>
            <w:tcBorders/>
            <w:shd w:fill="CCEEFF" w:val="clear"/>
            <w:vAlign w:val="center"/>
          </w:tcPr>
          <w:p>
            <w:pPr>
              <w:pStyle w:val="TableContents"/>
              <w:bidi w:val="0"/>
              <w:spacing w:before="0" w:after="283"/>
              <w:jc w:val="left"/>
              <w:rPr/>
            </w:pPr>
            <w:r>
              <w:rPr/>
              <w:t> </w:t>
            </w:r>
          </w:p>
        </w:tc>
        <w:tc>
          <w:tcPr>
            <w:tcW w:w="22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94" w:type="dxa"/>
            <w:tcBorders>
              <w:bottom w:val="single" w:sz="12" w:space="0" w:color="000000"/>
            </w:tcBorders>
            <w:shd w:fill="CCEEFF" w:val="clear"/>
            <w:tcMar>
              <w:bottom w:w="28" w:type="dxa"/>
            </w:tcMar>
            <w:vAlign w:val="center"/>
          </w:tcPr>
          <w:p>
            <w:pPr>
              <w:pStyle w:val="TableContents"/>
              <w:bidi w:val="0"/>
              <w:spacing w:before="0" w:after="283"/>
              <w:jc w:val="right"/>
              <w:rPr/>
            </w:pPr>
            <w:r>
              <w:rPr/>
              <w:t>(23,924</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22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94" w:type="dxa"/>
            <w:tcBorders>
              <w:bottom w:val="single" w:sz="12" w:space="0" w:color="000000"/>
            </w:tcBorders>
            <w:shd w:fill="CCEEFF" w:val="clear"/>
            <w:tcMar>
              <w:bottom w:w="28" w:type="dxa"/>
            </w:tcMar>
            <w:vAlign w:val="center"/>
          </w:tcPr>
          <w:p>
            <w:pPr>
              <w:pStyle w:val="TableContents"/>
              <w:bidi w:val="0"/>
              <w:spacing w:before="0" w:after="283"/>
              <w:jc w:val="right"/>
              <w:rPr/>
            </w:pPr>
            <w:r>
              <w:rPr/>
              <w:t>(21,846</w:t>
            </w:r>
          </w:p>
        </w:tc>
        <w:tc>
          <w:tcPr>
            <w:tcW w:w="110" w:type="dxa"/>
            <w:tcBorders/>
            <w:shd w:fill="CCEEFF" w:val="clear"/>
            <w:vAlign w:val="center"/>
          </w:tcPr>
          <w:p>
            <w:pPr>
              <w:pStyle w:val="TableContents"/>
              <w:bidi w:val="0"/>
              <w:spacing w:before="0" w:after="283"/>
              <w:jc w:val="left"/>
              <w:rPr/>
            </w:pPr>
            <w:r>
              <w:rPr/>
              <w:t>)</w:t>
            </w:r>
          </w:p>
        </w:tc>
      </w:tr>
      <w:tr>
        <w:trPr/>
        <w:tc>
          <w:tcPr>
            <w:tcW w:w="3620" w:type="dxa"/>
            <w:tcBorders/>
            <w:shd w:fill="FFFFFF" w:val="clear"/>
            <w:vAlign w:val="center"/>
          </w:tcPr>
          <w:p>
            <w:pPr>
              <w:pStyle w:val="TableContents"/>
              <w:bidi w:val="0"/>
              <w:spacing w:before="0" w:after="283"/>
              <w:jc w:val="left"/>
              <w:rPr/>
            </w:pPr>
            <w:r>
              <w:rPr/>
              <w:t>Net deferred tax liability</w:t>
            </w:r>
          </w:p>
        </w:tc>
        <w:tc>
          <w:tcPr>
            <w:tcW w:w="60" w:type="dxa"/>
            <w:tcBorders/>
            <w:shd w:fill="FFFFFF" w:val="clear"/>
            <w:vAlign w:val="center"/>
          </w:tcPr>
          <w:p>
            <w:pPr>
              <w:pStyle w:val="TableContents"/>
              <w:bidi w:val="0"/>
              <w:spacing w:before="0" w:after="283"/>
              <w:jc w:val="left"/>
              <w:rPr/>
            </w:pPr>
            <w:r>
              <w:rPr/>
              <w:t> </w:t>
            </w:r>
          </w:p>
        </w:tc>
        <w:tc>
          <w:tcPr>
            <w:tcW w:w="220" w:type="dxa"/>
            <w:tcBorders>
              <w:bottom w:val="double" w:sz="10" w:space="0" w:color="000000"/>
            </w:tcBorders>
            <w:shd w:fill="FFFFFF" w:val="clear"/>
            <w:tcMar>
              <w:bottom w:w="28" w:type="dxa"/>
            </w:tcMar>
            <w:vAlign w:val="center"/>
          </w:tcPr>
          <w:p>
            <w:pPr>
              <w:pStyle w:val="TableContents"/>
              <w:bidi w:val="0"/>
              <w:spacing w:before="0" w:after="283"/>
              <w:jc w:val="left"/>
              <w:rPr/>
            </w:pPr>
            <w:r>
              <w:rPr/>
              <w:t>$</w:t>
            </w:r>
          </w:p>
        </w:tc>
        <w:tc>
          <w:tcPr>
            <w:tcW w:w="1194" w:type="dxa"/>
            <w:tcBorders>
              <w:bottom w:val="double" w:sz="10" w:space="0" w:color="000000"/>
            </w:tcBorders>
            <w:shd w:fill="FFFFFF" w:val="clear"/>
            <w:tcMar>
              <w:bottom w:w="28" w:type="dxa"/>
            </w:tcMar>
            <w:vAlign w:val="center"/>
          </w:tcPr>
          <w:p>
            <w:pPr>
              <w:pStyle w:val="TableContents"/>
              <w:bidi w:val="0"/>
              <w:spacing w:before="0" w:after="283"/>
              <w:jc w:val="right"/>
              <w:rPr/>
            </w:pPr>
            <w:r>
              <w:rPr/>
              <w:t>(1,300</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220" w:type="dxa"/>
            <w:tcBorders>
              <w:bottom w:val="double" w:sz="10" w:space="0" w:color="000000"/>
            </w:tcBorders>
            <w:shd w:fill="FFFFFF" w:val="clear"/>
            <w:tcMar>
              <w:bottom w:w="28" w:type="dxa"/>
            </w:tcMar>
            <w:vAlign w:val="center"/>
          </w:tcPr>
          <w:p>
            <w:pPr>
              <w:pStyle w:val="TableContents"/>
              <w:bidi w:val="0"/>
              <w:spacing w:before="0" w:after="283"/>
              <w:jc w:val="left"/>
              <w:rPr/>
            </w:pPr>
            <w:r>
              <w:rPr/>
              <w:t>$</w:t>
            </w:r>
          </w:p>
        </w:tc>
        <w:tc>
          <w:tcPr>
            <w:tcW w:w="1194" w:type="dxa"/>
            <w:tcBorders>
              <w:bottom w:val="double" w:sz="10" w:space="0" w:color="000000"/>
            </w:tcBorders>
            <w:shd w:fill="FFFFFF" w:val="clear"/>
            <w:tcMar>
              <w:bottom w:w="28" w:type="dxa"/>
            </w:tcMar>
            <w:vAlign w:val="center"/>
          </w:tcPr>
          <w:p>
            <w:pPr>
              <w:pStyle w:val="TableContents"/>
              <w:bidi w:val="0"/>
              <w:spacing w:before="0" w:after="283"/>
              <w:jc w:val="right"/>
              <w:rPr/>
            </w:pPr>
            <w:r>
              <w:rPr/>
              <w:t>—</w:t>
            </w:r>
          </w:p>
        </w:tc>
        <w:tc>
          <w:tcPr>
            <w:tcW w:w="11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Management regularly assesses its ability to realize deferred tax assets recorded based upon the weight of available evidence, including such factors as recent earnings history and expected future taxable income on a jurisdiction by jurisdiction basis. In the event that the Company changes its determination as to the amount or realizable deferred tax assets, the Company will adjust its valuation allowance with a corresponding impact to the provision for income taxes in the period in which such determination is made. The Company’s management believes that, based upon a number of factors, it is more likely than not that all or some portion of the deferred tax assets will not be realized. Accordingly, for the fiscal years ended December 28, 2025 and December 29, 2024, the Company provided a valuation allowance against its U.S. net deferred tax assets of $70.3 million and $55.7 million, respectively. The net change in the valuation allowance was an increase of $14.6 million and $17.3 million in the fiscal years ended December 28, 2025 and 2024, respectively.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sz w:val="20"/>
          <w:bdr w:val="single" w:sz="12" w:space="1" w:color="000000"/>
        </w:rPr>
      </w:pPr>
      <w:r>
        <w:rPr>
          <w:sz w:val="20"/>
          <w:bdr w:val="single" w:sz="12" w:space="1" w:color="000000"/>
        </w:rPr>
        <w:t>F-99</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December 28, 2025, the Company had net operating loss carryforwards for federal and state income tax purposes of approximately $131.4 million and $114.8 million, respectively. Excluding $115.3 million of federal net operating losses which carryforward indefinitely, the net operating loss carryforwards will expire between 2030 and 2044.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Internal Revenue Code (“IRC”) of 1986, as amended, imposes restrictions on the utilization of net operating losses in the event of an “ownership change” of a corporation. Accordingly, a company’s ability to use net operating losses may be limited as prescribed under IRC Section 382. Events which may cause limitations in the amount of the net operating losses that the Company may use in any one year include, but are not limited to, a cumulative ownership change of more than 50% over a three-year period. Utilization of the federal and state net operating losses may be subject to substantial annual limitation due to the ownership change limitations provided by IRC Section 382 and similar provisions. Such limitations may result in the expiration of these carryforwards before their utilization. The Company’s acquired net operating loss carryforwards have been reduced based on the estimated amount which will be lost due to these limitations. If the Company has experienced subsequent ownership changes, the Company’s losses may be further limited, which may result in the expiration of net operating losses before utilization. To date, Company has not yet completed a Section 382 ownership change analysis. During the fiscal year ended December 29, 2024, the Company had undergone restructuring and strategic transformation, including the completion of the SunPower Businesses. As a result of the change in facts and lack of certainty regarding the acquired losses of the legacy Solaria business, the Company wrote off the remaining acquired net operating losses as the Company does not intend to pursue the potential tax benefits as it believes those benefits will be lost due to the continuation of business enterprise rules. As a result, the corresponding uncertain tax position was also reversed as the Company does not intend to pursue utilization of those attributes.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files income tax returns in the U.S for federal and various state jurisdictions as well as foreign jurisdictions each of which have varying statutes of limitations. The Company is in the process of filing returns for prior years, and the penalties related to the delinquent filings are not material. Due to the history of losses, the Company’s tax years remain open for examination by all tax authorities since inception. The Company is not currently under examination in any tax jurisdictions.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has no unrecognized tax benefits as of December 28, 2025 and December 29, 2024, respectively. The reversal of the uncertain tax benefits would not affect the Company’s effective tax rate to the extent that it continues to maintain a full valuation allowance against its deferred tax assets. As outlined above, the reduction in the uncertain tax positions during the fiscal year ended December 29, 2024, is a result of the Company’s decision to forgo the right to certain acquired attributes for which the Company does not intend to claim any tax benefits.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applies the provisions set forth in FASB ASC Topic 740, Income Taxes, to account for the uncertainty in income taxes. In the preparation of income tax returns in federal and state jurisdictions, the Company asserts certain tax positions based on its understanding and interpretation of income tax laws.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following is a tabular reconciliation of the total amounts of unrecognized tax benefits </w:t>
      </w:r>
      <w:r>
        <w:rPr>
          <w:rFonts w:ascii="Times New Roman;Times;Serif" w:hAnsi="Times New Roman;Times;Serif"/>
          <w:b w:val="false"/>
          <w:i/>
          <w:caps w:val="false"/>
          <w:smallCaps w:val="false"/>
          <w:sz w:val="20"/>
        </w:rPr>
        <w:t>(in thousands)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tbl>
      <w:tblPr>
        <w:tblW w:w="6695" w:type="dxa"/>
        <w:jc w:val="left"/>
        <w:tblInd w:w="0" w:type="dxa"/>
        <w:tblLayout w:type="fixed"/>
        <w:tblCellMar>
          <w:top w:w="0" w:type="dxa"/>
          <w:left w:w="0" w:type="dxa"/>
          <w:bottom w:w="0" w:type="dxa"/>
          <w:right w:w="0" w:type="dxa"/>
        </w:tblCellMar>
      </w:tblPr>
      <w:tblGrid>
        <w:gridCol w:w="4070"/>
        <w:gridCol w:w="60"/>
        <w:gridCol w:w="151"/>
        <w:gridCol w:w="1024"/>
        <w:gridCol w:w="60"/>
        <w:gridCol w:w="60"/>
        <w:gridCol w:w="189"/>
        <w:gridCol w:w="986"/>
        <w:gridCol w:w="95"/>
      </w:tblGrid>
      <w:tr>
        <w:trPr/>
        <w:tc>
          <w:tcPr>
            <w:tcW w:w="407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2470" w:type="dxa"/>
            <w:gridSpan w:val="6"/>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Fiscal Year Ended</w:t>
            </w:r>
          </w:p>
        </w:tc>
        <w:tc>
          <w:tcPr>
            <w:tcW w:w="95" w:type="dxa"/>
            <w:tcBorders/>
            <w:vAlign w:val="center"/>
          </w:tcPr>
          <w:p>
            <w:pPr>
              <w:pStyle w:val="TableContents"/>
              <w:bidi w:val="0"/>
              <w:spacing w:before="0" w:after="283"/>
              <w:jc w:val="left"/>
              <w:rPr/>
            </w:pPr>
            <w:r>
              <w:rPr/>
              <w:t> </w:t>
            </w:r>
          </w:p>
        </w:tc>
      </w:tr>
      <w:tr>
        <w:trPr/>
        <w:tc>
          <w:tcPr>
            <w:tcW w:w="407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175"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December 28,</w:t>
              <w:br/>
              <w:t>2025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75"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December 29,</w:t>
              <w:br/>
              <w:t>2024</w:t>
            </w:r>
          </w:p>
        </w:tc>
        <w:tc>
          <w:tcPr>
            <w:tcW w:w="95" w:type="dxa"/>
            <w:tcBorders/>
            <w:vAlign w:val="center"/>
          </w:tcPr>
          <w:p>
            <w:pPr>
              <w:pStyle w:val="TableContents"/>
              <w:bidi w:val="0"/>
              <w:spacing w:before="0" w:after="283"/>
              <w:jc w:val="left"/>
              <w:rPr/>
            </w:pPr>
            <w:r>
              <w:rPr/>
              <w:t> </w:t>
            </w:r>
          </w:p>
        </w:tc>
      </w:tr>
      <w:tr>
        <w:trPr/>
        <w:tc>
          <w:tcPr>
            <w:tcW w:w="407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Unrecognized tax benefits as of beginning of year</w:t>
            </w:r>
          </w:p>
        </w:tc>
        <w:tc>
          <w:tcPr>
            <w:tcW w:w="60" w:type="dxa"/>
            <w:tcBorders/>
            <w:shd w:fill="CCEEFF" w:val="clear"/>
            <w:vAlign w:val="center"/>
          </w:tcPr>
          <w:p>
            <w:pPr>
              <w:pStyle w:val="TableContents"/>
              <w:bidi w:val="0"/>
              <w:spacing w:before="0" w:after="283"/>
              <w:jc w:val="left"/>
              <w:rPr/>
            </w:pPr>
            <w:r>
              <w:rPr/>
              <w:t> </w:t>
            </w:r>
          </w:p>
        </w:tc>
        <w:tc>
          <w:tcPr>
            <w:tcW w:w="151"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024"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9"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986"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53,153</w:t>
            </w:r>
          </w:p>
        </w:tc>
        <w:tc>
          <w:tcPr>
            <w:tcW w:w="95" w:type="dxa"/>
            <w:tcBorders/>
            <w:shd w:fill="CCEEFF" w:val="clear"/>
            <w:vAlign w:val="center"/>
          </w:tcPr>
          <w:p>
            <w:pPr>
              <w:pStyle w:val="TableContents"/>
              <w:bidi w:val="0"/>
              <w:spacing w:before="0" w:after="283"/>
              <w:jc w:val="left"/>
              <w:rPr/>
            </w:pPr>
            <w:r>
              <w:rPr/>
              <w:t> </w:t>
            </w:r>
          </w:p>
        </w:tc>
      </w:tr>
      <w:tr>
        <w:trPr/>
        <w:tc>
          <w:tcPr>
            <w:tcW w:w="407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Increases related to prior year tax positions</w:t>
            </w:r>
          </w:p>
        </w:tc>
        <w:tc>
          <w:tcPr>
            <w:tcW w:w="60" w:type="dxa"/>
            <w:tcBorders/>
            <w:shd w:fill="FFFFFF" w:val="clear"/>
            <w:vAlign w:val="center"/>
          </w:tcPr>
          <w:p>
            <w:pPr>
              <w:pStyle w:val="TableContents"/>
              <w:bidi w:val="0"/>
              <w:spacing w:before="0" w:after="283"/>
              <w:jc w:val="left"/>
              <w:rPr/>
            </w:pPr>
            <w:r>
              <w:rPr/>
              <w:t> </w:t>
            </w:r>
          </w:p>
        </w:tc>
        <w:tc>
          <w:tcPr>
            <w:tcW w:w="151" w:type="dxa"/>
            <w:tcBorders/>
            <w:shd w:fill="FFFFFF" w:val="clear"/>
            <w:vAlign w:val="center"/>
          </w:tcPr>
          <w:p>
            <w:pPr>
              <w:pStyle w:val="TableContents"/>
              <w:bidi w:val="0"/>
              <w:spacing w:before="0" w:after="283"/>
              <w:jc w:val="left"/>
              <w:rPr/>
            </w:pPr>
            <w:r>
              <w:rPr/>
              <w:t> </w:t>
            </w:r>
          </w:p>
        </w:tc>
        <w:tc>
          <w:tcPr>
            <w:tcW w:w="1024"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9" w:type="dxa"/>
            <w:tcBorders/>
            <w:shd w:fill="FFFFFF" w:val="clear"/>
            <w:vAlign w:val="center"/>
          </w:tcPr>
          <w:p>
            <w:pPr>
              <w:pStyle w:val="TableContents"/>
              <w:bidi w:val="0"/>
              <w:spacing w:before="0" w:after="283"/>
              <w:jc w:val="left"/>
              <w:rPr/>
            </w:pPr>
            <w:r>
              <w:rPr/>
              <w:t> </w:t>
            </w:r>
          </w:p>
        </w:tc>
        <w:tc>
          <w:tcPr>
            <w:tcW w:w="986"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r>
      <w:tr>
        <w:trPr/>
        <w:tc>
          <w:tcPr>
            <w:tcW w:w="407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Increases related to current year tax positions</w:t>
            </w:r>
          </w:p>
        </w:tc>
        <w:tc>
          <w:tcPr>
            <w:tcW w:w="60" w:type="dxa"/>
            <w:tcBorders/>
            <w:shd w:fill="CCEEFF" w:val="clear"/>
            <w:vAlign w:val="center"/>
          </w:tcPr>
          <w:p>
            <w:pPr>
              <w:pStyle w:val="TableContents"/>
              <w:bidi w:val="0"/>
              <w:spacing w:before="0" w:after="283"/>
              <w:jc w:val="left"/>
              <w:rPr/>
            </w:pPr>
            <w:r>
              <w:rPr/>
              <w:t> </w:t>
            </w:r>
          </w:p>
        </w:tc>
        <w:tc>
          <w:tcPr>
            <w:tcW w:w="151" w:type="dxa"/>
            <w:tcBorders/>
            <w:shd w:fill="CCEEFF" w:val="clear"/>
            <w:vAlign w:val="center"/>
          </w:tcPr>
          <w:p>
            <w:pPr>
              <w:pStyle w:val="TableContents"/>
              <w:bidi w:val="0"/>
              <w:spacing w:before="0" w:after="283"/>
              <w:jc w:val="left"/>
              <w:rPr/>
            </w:pPr>
            <w:r>
              <w:rPr/>
              <w:t> </w:t>
            </w:r>
          </w:p>
        </w:tc>
        <w:tc>
          <w:tcPr>
            <w:tcW w:w="1024"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9" w:type="dxa"/>
            <w:tcBorders/>
            <w:shd w:fill="CCEEFF" w:val="clear"/>
            <w:vAlign w:val="center"/>
          </w:tcPr>
          <w:p>
            <w:pPr>
              <w:pStyle w:val="TableContents"/>
              <w:bidi w:val="0"/>
              <w:spacing w:before="0" w:after="283"/>
              <w:jc w:val="left"/>
              <w:rPr/>
            </w:pPr>
            <w:r>
              <w:rPr/>
              <w:t> </w:t>
            </w:r>
          </w:p>
        </w:tc>
        <w:tc>
          <w:tcPr>
            <w:tcW w:w="986"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r>
      <w:tr>
        <w:trPr/>
        <w:tc>
          <w:tcPr>
            <w:tcW w:w="407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Decreases related to prior year tax positions</w:t>
            </w:r>
          </w:p>
        </w:tc>
        <w:tc>
          <w:tcPr>
            <w:tcW w:w="60" w:type="dxa"/>
            <w:tcBorders/>
            <w:shd w:fill="FFFFFF" w:val="clear"/>
            <w:vAlign w:val="center"/>
          </w:tcPr>
          <w:p>
            <w:pPr>
              <w:pStyle w:val="TableContents"/>
              <w:bidi w:val="0"/>
              <w:spacing w:before="0" w:after="283"/>
              <w:jc w:val="left"/>
              <w:rPr/>
            </w:pPr>
            <w:r>
              <w:rPr/>
              <w:t> </w:t>
            </w:r>
          </w:p>
        </w:tc>
        <w:tc>
          <w:tcPr>
            <w:tcW w:w="151"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024"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9"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986"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(53,153</w:t>
            </w:r>
          </w:p>
        </w:tc>
        <w:tc>
          <w:tcPr>
            <w:tcW w:w="9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407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Unrecognized tax benefits as of end of year</w:t>
            </w:r>
          </w:p>
        </w:tc>
        <w:tc>
          <w:tcPr>
            <w:tcW w:w="60" w:type="dxa"/>
            <w:tcBorders/>
            <w:shd w:fill="CCEEFF" w:val="clear"/>
            <w:vAlign w:val="center"/>
          </w:tcPr>
          <w:p>
            <w:pPr>
              <w:pStyle w:val="TableContents"/>
              <w:bidi w:val="0"/>
              <w:spacing w:before="0" w:after="283"/>
              <w:jc w:val="left"/>
              <w:rPr/>
            </w:pPr>
            <w:r>
              <w:rPr/>
              <w:t> </w:t>
            </w:r>
          </w:p>
        </w:tc>
        <w:tc>
          <w:tcPr>
            <w:tcW w:w="151" w:type="dxa"/>
            <w:tcBorders>
              <w:bottom w:val="double" w:sz="10"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024" w:type="dxa"/>
            <w:tcBorders>
              <w:bottom w:val="double" w:sz="10" w:space="0" w:color="000000"/>
            </w:tcBorders>
            <w:shd w:fill="CCEEFF" w:val="clear"/>
            <w:tcMar>
              <w:bottom w:w="28" w:type="dxa"/>
            </w:tcM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9" w:type="dxa"/>
            <w:tcBorders>
              <w:bottom w:val="double" w:sz="10"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986" w:type="dxa"/>
            <w:tcBorders>
              <w:bottom w:val="double" w:sz="10" w:space="0" w:color="000000"/>
            </w:tcBorders>
            <w:shd w:fill="CCEEFF" w:val="clear"/>
            <w:tcMar>
              <w:bottom w:w="28" w:type="dxa"/>
            </w:tcM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recognizes interest and penalties related to unrecognized tax benefits within the income tax expense line in its consolidated statements of operations and comprehensive loss. Accrued interest and penalties are included as part of income tax payable in the consolidated balance sheets. No accrued interest or penalties have been recorded for the fiscal years ended December 28, 2025 and December 29, 2024.</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sz w:val="20"/>
          <w:bdr w:val="single" w:sz="12" w:space="1" w:color="000000"/>
        </w:rPr>
      </w:pPr>
      <w:r>
        <w:rPr>
          <w:sz w:val="20"/>
          <w:bdr w:val="single" w:sz="12" w:space="1" w:color="000000"/>
        </w:rPr>
        <w:t>F-100</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did not pay any federal, state or foreign income taxes during the fiscal year ended December 28, 2025.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has not provided U.S. income or foreign withholding taxes on the undistributed earnings of its foreign subsidiary as of December 28, 2025 or December 29, 2024, as there are no undistributed earnings within the foreign subsidiaries, which were inactive throughout the years ended December 28, 2025 and December 29, 2024.</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OBBBA enacted on July 4, 2025 contains significant changes to corporate taxation, including accelerated deductions for capital expenditures, expensing of research and development costs incurred in the U.S., and increased deductibility of interest expense. As the Company maintains a full valuation allowance against its deferred tax assets, any adjustments to the gross value of these assets resulting from the enactment of the OBBBA were offset by a corresponding change in the valuation allowance, resulting in no net impact to the consolidated financial statements. The Company will continue to monitor the impact of the OBBBA as additional guidance is issued and further provisions become effective in future periods.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(14) Common Stock and Common Stock Warrants</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Common Stock</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has authorized the issuance of 1,000,000,000 shares of common stock and 10,000,000 shares of preferred stock as of December 28, 2025. No preferred stock has been issued and none are outstanding as of December 28, 2025 and December 29, 2024.</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Common stock purchase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July 16, 2024, the Company entered into a common stock purchase agreement with White Lion Capital, LLC (“White Lion”), as amended on July 24, 2024 (“White Lion SPA”), and a related registration rights agreement for an equity line of credit financing facility. Pursuant to the White Lion SPA, the Company has the right, but not the obligation, to require White Lion to purchase, from time to time, up to $30 million in aggregate gross purchase price of newly issued shares of the Company’s common stock, subject to the caps and certain limitations and conditions set forth in the White Lion SPA, including terms that restrict the ability of the Company to issue shares of common stock to White Lion that would result in White Lion beneficially owning more than 9.99% of the Company’s outstanding common stock.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August 14, 2024, the Company entered into Amendment No. 2 to the White Lion SPA (collectively with the White Lion SPA “White Lion Amended SPA”). The White Lion Amended SPA provides that the Company may notify White Lion to exercise the Company’s right to sell shares of its common stock by delivering an Hour Rapid Purchase Notice. If the Company delivers an Hour Rapid Purchase Notice, the Company shall deliver to White Lion shares of common stock not to exceed the lesser of (i) five percent of the Average Daily Trading Volume on the date of an Hour Rapid Purchase Notice and (ii) 100,000 shares of common stock. The closing of the transactions under an Hour Rapid Purchase Notice will occur one Business Day following the date on which the Hour Rapid Purchase Notice is delivered. At such closing, White Lion will pay the Company the Hour Rapid Purchase Investment Amount equal to the number of shares of common stock subject to the applicable Hour Rapid Purchase Notice multiplied by the lowest traded price of the Company’s common stock during the one-hour period following White Lion’s consent to the acceptance of the applicable Hour Rapid Purchase Notice.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the White Lion Amended SPA, the Company issued 4.0 million and 2.9 million shares of the Company’s common stock for proceeds of $6.7 million and $6.7 million in the years ended December 28, 2025 and December 29, 2024, respectively.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See </w:t>
      </w:r>
      <w:r>
        <w:rPr>
          <w:rFonts w:ascii="Times New Roman;Times;Serif" w:hAnsi="Times New Roman;Times;Serif"/>
          <w:b/>
          <w:i w:val="false"/>
          <w:caps w:val="false"/>
          <w:smallCaps w:val="false"/>
          <w:sz w:val="20"/>
        </w:rPr>
        <w:t>Note 20 – Subsequent Events</w:t>
      </w:r>
      <w:r>
        <w:rPr>
          <w:rFonts w:ascii="Times New Roman;Times;Serif" w:hAnsi="Times New Roman;Times;Serif"/>
          <w:b w:val="false"/>
          <w:i w:val="false"/>
          <w:caps w:val="false"/>
          <w:smallCaps w:val="false"/>
          <w:sz w:val="20"/>
        </w:rPr>
        <w:t xml:space="preserve"> for information regarding an amendment to the White Lion SPA entered into on after the fiscal year ended December 28, 2025.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Employee Stock Purchase Plan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adopted the Employee Stock Purchase Plan (the “ESPP Plan”) in July 2023. All qualified employees may voluntarily enroll to purchase the Company’s common stock through payroll deductions at a price equal to 85% of the lower of the fair market value of the stock in the offering period or the applicable purchase date.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sz w:val="20"/>
          <w:bdr w:val="single" w:sz="12" w:space="1" w:color="000000"/>
        </w:rPr>
      </w:pPr>
      <w:r>
        <w:rPr>
          <w:sz w:val="20"/>
          <w:bdr w:val="single" w:sz="12" w:space="1" w:color="000000"/>
        </w:rPr>
        <w:t>F-101</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Common Stock Warrants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potential number of shares of the Company’s common stock for outstanding warrants were as follows:</w:t>
      </w:r>
    </w:p>
    <w:p>
      <w:pPr>
        <w:pStyle w:val="TextBody"/>
        <w:bidi w:val="0"/>
        <w:spacing w:before="0" w:after="0"/>
        <w:ind w:left="0" w:right="0" w:hanging="0"/>
        <w:jc w:val="left"/>
        <w:rPr>
          <w:caps w:val="false"/>
          <w:smallCaps w:val="false"/>
        </w:rPr>
      </w:pPr>
      <w:r>
        <w:rPr>
          <w:caps w:val="false"/>
          <w:smallCaps w:val="false"/>
        </w:rPr>
        <w:t>  </w:t>
      </w:r>
    </w:p>
    <w:tbl>
      <w:tblPr>
        <w:tblW w:w="9951" w:type="dxa"/>
        <w:jc w:val="left"/>
        <w:tblInd w:w="0" w:type="dxa"/>
        <w:tblLayout w:type="fixed"/>
        <w:tblCellMar>
          <w:top w:w="0" w:type="dxa"/>
          <w:left w:w="0" w:type="dxa"/>
          <w:bottom w:w="0" w:type="dxa"/>
          <w:right w:w="0" w:type="dxa"/>
        </w:tblCellMar>
      </w:tblPr>
      <w:tblGrid>
        <w:gridCol w:w="4985"/>
        <w:gridCol w:w="60"/>
        <w:gridCol w:w="69"/>
        <w:gridCol w:w="1106"/>
        <w:gridCol w:w="66"/>
        <w:gridCol w:w="66"/>
        <w:gridCol w:w="69"/>
        <w:gridCol w:w="1106"/>
        <w:gridCol w:w="60"/>
        <w:gridCol w:w="60"/>
        <w:gridCol w:w="160"/>
        <w:gridCol w:w="624"/>
        <w:gridCol w:w="60"/>
        <w:gridCol w:w="60"/>
        <w:gridCol w:w="1400"/>
      </w:tblGrid>
      <w:tr>
        <w:trPr/>
        <w:tc>
          <w:tcPr>
            <w:tcW w:w="498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2482" w:type="dxa"/>
            <w:gridSpan w:val="6"/>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Potential shares of common</w:t>
              <w:br/>
              <w:t>stock as of</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84" w:type="dxa"/>
            <w:gridSpan w:val="2"/>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Exercise</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0" w:type="dxa"/>
            <w:tcBorders/>
            <w:vAlign w:val="center"/>
          </w:tcPr>
          <w:p>
            <w:pPr>
              <w:pStyle w:val="TableContents"/>
              <w:bidi w:val="0"/>
              <w:spacing w:before="0" w:after="283"/>
              <w:jc w:val="center"/>
              <w:rPr/>
            </w:pPr>
            <w:r>
              <w:rPr/>
              <w:t> </w:t>
            </w:r>
          </w:p>
        </w:tc>
      </w:tr>
      <w:tr>
        <w:trPr/>
        <w:tc>
          <w:tcPr>
            <w:tcW w:w="498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175"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December 28,</w:t>
              <w:br/>
              <w:t xml:space="preserve">2025 </w:t>
            </w:r>
            <w:r>
              <w:rPr>
                <w:rFonts w:ascii="Times New Roman;Times;Serif" w:hAnsi="Times New Roman;Times;Serif"/>
                <w:b/>
                <w:position w:val="7"/>
                <w:sz w:val="16"/>
                <w:sz w:val="20"/>
              </w:rPr>
              <w:t>(1)</w:t>
            </w:r>
          </w:p>
        </w:tc>
        <w:tc>
          <w:tcPr>
            <w:tcW w:w="66" w:type="dxa"/>
            <w:tcBorders/>
            <w:vAlign w:val="center"/>
          </w:tcPr>
          <w:p>
            <w:pPr>
              <w:pStyle w:val="TableContents"/>
              <w:bidi w:val="0"/>
              <w:spacing w:before="0" w:after="283"/>
              <w:jc w:val="left"/>
              <w:rPr/>
            </w:pPr>
            <w:r>
              <w:rPr/>
              <w:t> </w:t>
            </w:r>
          </w:p>
        </w:tc>
        <w:tc>
          <w:tcPr>
            <w:tcW w:w="66" w:type="dxa"/>
            <w:tcBorders/>
            <w:vAlign w:val="center"/>
          </w:tcPr>
          <w:p>
            <w:pPr>
              <w:pStyle w:val="TableContents"/>
              <w:bidi w:val="0"/>
              <w:spacing w:before="0" w:after="283"/>
              <w:jc w:val="left"/>
              <w:rPr/>
            </w:pPr>
            <w:r>
              <w:rPr/>
              <w:t> </w:t>
            </w:r>
          </w:p>
        </w:tc>
        <w:tc>
          <w:tcPr>
            <w:tcW w:w="1175"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December 29,</w:t>
              <w:br/>
              <w:t>2024</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84"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price per</w:t>
              <w:br/>
              <w:t>share</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0" w:type="dxa"/>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Expiration date</w:t>
            </w:r>
          </w:p>
        </w:tc>
      </w:tr>
      <w:tr>
        <w:trPr/>
        <w:tc>
          <w:tcPr>
            <w:tcW w:w="4985" w:type="dxa"/>
            <w:tcBorders/>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Liability classified warrants</w:t>
            </w:r>
          </w:p>
        </w:tc>
        <w:tc>
          <w:tcPr>
            <w:tcW w:w="60" w:type="dxa"/>
            <w:tcBorders/>
            <w:vAlign w:val="center"/>
          </w:tcPr>
          <w:p>
            <w:pPr>
              <w:pStyle w:val="TableContents"/>
              <w:bidi w:val="0"/>
              <w:spacing w:before="0" w:after="283"/>
              <w:jc w:val="left"/>
              <w:rPr/>
            </w:pPr>
            <w:r>
              <w:rPr/>
              <w:t> </w:t>
            </w:r>
          </w:p>
        </w:tc>
        <w:tc>
          <w:tcPr>
            <w:tcW w:w="1175" w:type="dxa"/>
            <w:gridSpan w:val="2"/>
            <w:tcBorders/>
            <w:vAlign w:val="center"/>
          </w:tcPr>
          <w:p>
            <w:pPr>
              <w:pStyle w:val="TableContents"/>
              <w:bidi w:val="0"/>
              <w:spacing w:before="0" w:after="283"/>
              <w:jc w:val="right"/>
              <w:rPr/>
            </w:pPr>
            <w:r>
              <w:rPr/>
              <w:t> </w:t>
            </w:r>
          </w:p>
        </w:tc>
        <w:tc>
          <w:tcPr>
            <w:tcW w:w="66" w:type="dxa"/>
            <w:tcBorders/>
            <w:vAlign w:val="center"/>
          </w:tcPr>
          <w:p>
            <w:pPr>
              <w:pStyle w:val="TableContents"/>
              <w:bidi w:val="0"/>
              <w:spacing w:before="0" w:after="283"/>
              <w:jc w:val="left"/>
              <w:rPr/>
            </w:pPr>
            <w:r>
              <w:rPr/>
              <w:t> </w:t>
            </w:r>
          </w:p>
        </w:tc>
        <w:tc>
          <w:tcPr>
            <w:tcW w:w="66" w:type="dxa"/>
            <w:tcBorders/>
            <w:vAlign w:val="center"/>
          </w:tcPr>
          <w:p>
            <w:pPr>
              <w:pStyle w:val="TableContents"/>
              <w:bidi w:val="0"/>
              <w:spacing w:before="0" w:after="283"/>
              <w:jc w:val="left"/>
              <w:rPr/>
            </w:pPr>
            <w:r>
              <w:rPr/>
              <w:t> </w:t>
            </w:r>
          </w:p>
        </w:tc>
        <w:tc>
          <w:tcPr>
            <w:tcW w:w="1175" w:type="dxa"/>
            <w:gridSpan w:val="2"/>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84" w:type="dxa"/>
            <w:gridSpan w:val="2"/>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0" w:type="dxa"/>
            <w:tcBorders/>
            <w:vAlign w:val="center"/>
          </w:tcPr>
          <w:p>
            <w:pPr>
              <w:pStyle w:val="TableContents"/>
              <w:bidi w:val="0"/>
              <w:spacing w:before="0" w:after="283"/>
              <w:jc w:val="center"/>
              <w:rPr/>
            </w:pPr>
            <w:r>
              <w:rPr/>
              <w:t> </w:t>
            </w:r>
          </w:p>
        </w:tc>
      </w:tr>
      <w:tr>
        <w:trPr/>
        <w:tc>
          <w:tcPr>
            <w:tcW w:w="4985" w:type="dxa"/>
            <w:tcBorders/>
            <w:shd w:fill="CCEEFF" w:val="cle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Public Warrants</w:t>
            </w:r>
          </w:p>
        </w:tc>
        <w:tc>
          <w:tcPr>
            <w:tcW w:w="60" w:type="dxa"/>
            <w:tcBorders/>
            <w:shd w:fill="CCEEFF" w:val="clear"/>
            <w:vAlign w:val="center"/>
          </w:tcPr>
          <w:p>
            <w:pPr>
              <w:pStyle w:val="TableContents"/>
              <w:bidi w:val="0"/>
              <w:spacing w:before="0" w:after="283"/>
              <w:jc w:val="left"/>
              <w:rPr/>
            </w:pPr>
            <w:r>
              <w:rPr/>
              <w:t> </w:t>
            </w:r>
          </w:p>
        </w:tc>
        <w:tc>
          <w:tcPr>
            <w:tcW w:w="69" w:type="dxa"/>
            <w:tcBorders/>
            <w:shd w:fill="CCEEFF" w:val="clear"/>
            <w:vAlign w:val="center"/>
          </w:tcPr>
          <w:p>
            <w:pPr>
              <w:pStyle w:val="TableContents"/>
              <w:bidi w:val="0"/>
              <w:spacing w:before="0" w:after="283"/>
              <w:jc w:val="left"/>
              <w:rPr/>
            </w:pPr>
            <w:r>
              <w:rPr/>
              <w:t> </w:t>
            </w:r>
          </w:p>
        </w:tc>
        <w:tc>
          <w:tcPr>
            <w:tcW w:w="1106"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8,625,000</w:t>
            </w:r>
          </w:p>
        </w:tc>
        <w:tc>
          <w:tcPr>
            <w:tcW w:w="66" w:type="dxa"/>
            <w:tcBorders/>
            <w:shd w:fill="CCEEFF" w:val="clear"/>
            <w:vAlign w:val="center"/>
          </w:tcPr>
          <w:p>
            <w:pPr>
              <w:pStyle w:val="TableContents"/>
              <w:bidi w:val="0"/>
              <w:spacing w:before="0" w:after="283"/>
              <w:jc w:val="left"/>
              <w:rPr/>
            </w:pPr>
            <w:r>
              <w:rPr/>
              <w:t> </w:t>
            </w:r>
          </w:p>
        </w:tc>
        <w:tc>
          <w:tcPr>
            <w:tcW w:w="66" w:type="dxa"/>
            <w:tcBorders/>
            <w:shd w:fill="CCEEFF" w:val="clear"/>
            <w:vAlign w:val="center"/>
          </w:tcPr>
          <w:p>
            <w:pPr>
              <w:pStyle w:val="TableContents"/>
              <w:bidi w:val="0"/>
              <w:spacing w:before="0" w:after="283"/>
              <w:jc w:val="left"/>
              <w:rPr/>
            </w:pPr>
            <w:r>
              <w:rPr/>
              <w:t> </w:t>
            </w:r>
          </w:p>
        </w:tc>
        <w:tc>
          <w:tcPr>
            <w:tcW w:w="69" w:type="dxa"/>
            <w:tcBorders/>
            <w:shd w:fill="CCEEFF" w:val="clear"/>
            <w:vAlign w:val="center"/>
          </w:tcPr>
          <w:p>
            <w:pPr>
              <w:pStyle w:val="TableContents"/>
              <w:bidi w:val="0"/>
              <w:spacing w:before="0" w:after="283"/>
              <w:jc w:val="left"/>
              <w:rPr/>
            </w:pPr>
            <w:r>
              <w:rPr/>
              <w:t> </w:t>
            </w:r>
          </w:p>
        </w:tc>
        <w:tc>
          <w:tcPr>
            <w:tcW w:w="1106"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8,625,000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24"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11.50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0"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 xml:space="preserve">July 18, 2028 </w:t>
            </w:r>
            <w:r>
              <w:rPr>
                <w:rFonts w:ascii="Times New Roman;Times;Serif" w:hAnsi="Times New Roman;Times;Serif"/>
                <w:position w:val="7"/>
                <w:sz w:val="16"/>
                <w:sz w:val="20"/>
              </w:rPr>
              <w:t>(2)</w:t>
            </w:r>
          </w:p>
        </w:tc>
      </w:tr>
      <w:tr>
        <w:trPr/>
        <w:tc>
          <w:tcPr>
            <w:tcW w:w="49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Private Placement Warrants</w:t>
            </w:r>
          </w:p>
        </w:tc>
        <w:tc>
          <w:tcPr>
            <w:tcW w:w="60" w:type="dxa"/>
            <w:tcBorders/>
            <w:shd w:fill="FFFFFF" w:val="clear"/>
            <w:vAlign w:val="center"/>
          </w:tcPr>
          <w:p>
            <w:pPr>
              <w:pStyle w:val="TableContents"/>
              <w:bidi w:val="0"/>
              <w:spacing w:before="0" w:after="283"/>
              <w:jc w:val="left"/>
              <w:rPr/>
            </w:pPr>
            <w:r>
              <w:rPr/>
              <w:t> </w:t>
            </w:r>
          </w:p>
        </w:tc>
        <w:tc>
          <w:tcPr>
            <w:tcW w:w="69" w:type="dxa"/>
            <w:tcBorders/>
            <w:shd w:fill="FFFFFF" w:val="clear"/>
            <w:vAlign w:val="center"/>
          </w:tcPr>
          <w:p>
            <w:pPr>
              <w:pStyle w:val="TableContents"/>
              <w:bidi w:val="0"/>
              <w:spacing w:before="0" w:after="283"/>
              <w:jc w:val="left"/>
              <w:rPr/>
            </w:pPr>
            <w:r>
              <w:rPr/>
              <w:t> </w:t>
            </w:r>
          </w:p>
        </w:tc>
        <w:tc>
          <w:tcPr>
            <w:tcW w:w="1106"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6,266,667</w:t>
            </w:r>
          </w:p>
        </w:tc>
        <w:tc>
          <w:tcPr>
            <w:tcW w:w="66" w:type="dxa"/>
            <w:tcBorders/>
            <w:shd w:fill="FFFFFF" w:val="clear"/>
            <w:vAlign w:val="center"/>
          </w:tcPr>
          <w:p>
            <w:pPr>
              <w:pStyle w:val="TableContents"/>
              <w:bidi w:val="0"/>
              <w:spacing w:before="0" w:after="283"/>
              <w:jc w:val="left"/>
              <w:rPr/>
            </w:pPr>
            <w:r>
              <w:rPr/>
              <w:t> </w:t>
            </w:r>
          </w:p>
        </w:tc>
        <w:tc>
          <w:tcPr>
            <w:tcW w:w="66" w:type="dxa"/>
            <w:tcBorders/>
            <w:shd w:fill="FFFFFF" w:val="clear"/>
            <w:vAlign w:val="center"/>
          </w:tcPr>
          <w:p>
            <w:pPr>
              <w:pStyle w:val="TableContents"/>
              <w:bidi w:val="0"/>
              <w:spacing w:before="0" w:after="283"/>
              <w:jc w:val="left"/>
              <w:rPr/>
            </w:pPr>
            <w:r>
              <w:rPr/>
              <w:t> </w:t>
            </w:r>
          </w:p>
        </w:tc>
        <w:tc>
          <w:tcPr>
            <w:tcW w:w="69" w:type="dxa"/>
            <w:tcBorders/>
            <w:shd w:fill="FFFFFF" w:val="clear"/>
            <w:vAlign w:val="center"/>
          </w:tcPr>
          <w:p>
            <w:pPr>
              <w:pStyle w:val="TableContents"/>
              <w:bidi w:val="0"/>
              <w:spacing w:before="0" w:after="283"/>
              <w:jc w:val="left"/>
              <w:rPr/>
            </w:pPr>
            <w:r>
              <w:rPr/>
              <w:t> </w:t>
            </w:r>
          </w:p>
        </w:tc>
        <w:tc>
          <w:tcPr>
            <w:tcW w:w="1106"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6,266,667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0" w:type="dxa"/>
            <w:tcBorders/>
            <w:shd w:fill="FFFFFF" w:val="clear"/>
            <w:vAlign w:val="center"/>
          </w:tcPr>
          <w:p>
            <w:pPr>
              <w:pStyle w:val="TableContents"/>
              <w:bidi w:val="0"/>
              <w:spacing w:before="0" w:after="283"/>
              <w:jc w:val="left"/>
              <w:rPr/>
            </w:pPr>
            <w:r>
              <w:rPr/>
              <w:t> </w:t>
            </w:r>
          </w:p>
        </w:tc>
        <w:tc>
          <w:tcPr>
            <w:tcW w:w="624"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11.50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0" w:type="dxa"/>
            <w:tcBorders/>
            <w:shd w:fill="FFFF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 xml:space="preserve">July 18, 2028 </w:t>
            </w:r>
            <w:r>
              <w:rPr>
                <w:rFonts w:ascii="Times New Roman;Times;Serif" w:hAnsi="Times New Roman;Times;Serif"/>
                <w:position w:val="7"/>
                <w:sz w:val="16"/>
                <w:sz w:val="20"/>
              </w:rPr>
              <w:t>(2)</w:t>
            </w:r>
          </w:p>
        </w:tc>
      </w:tr>
      <w:tr>
        <w:trPr/>
        <w:tc>
          <w:tcPr>
            <w:tcW w:w="4985" w:type="dxa"/>
            <w:tcBorders/>
            <w:shd w:fill="CCEEFF" w:val="cle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Working Capital Warrants</w:t>
            </w:r>
          </w:p>
        </w:tc>
        <w:tc>
          <w:tcPr>
            <w:tcW w:w="60" w:type="dxa"/>
            <w:tcBorders/>
            <w:shd w:fill="CCEEFF" w:val="clear"/>
            <w:vAlign w:val="center"/>
          </w:tcPr>
          <w:p>
            <w:pPr>
              <w:pStyle w:val="TableContents"/>
              <w:bidi w:val="0"/>
              <w:spacing w:before="0" w:after="283"/>
              <w:jc w:val="left"/>
              <w:rPr/>
            </w:pPr>
            <w:r>
              <w:rPr/>
              <w:t> </w:t>
            </w:r>
          </w:p>
        </w:tc>
        <w:tc>
          <w:tcPr>
            <w:tcW w:w="69"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06"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716,668</w:t>
            </w:r>
          </w:p>
        </w:tc>
        <w:tc>
          <w:tcPr>
            <w:tcW w:w="66" w:type="dxa"/>
            <w:tcBorders/>
            <w:shd w:fill="CCEEFF" w:val="clear"/>
            <w:vAlign w:val="center"/>
          </w:tcPr>
          <w:p>
            <w:pPr>
              <w:pStyle w:val="TableContents"/>
              <w:bidi w:val="0"/>
              <w:spacing w:before="0" w:after="283"/>
              <w:jc w:val="left"/>
              <w:rPr/>
            </w:pPr>
            <w:r>
              <w:rPr/>
              <w:t> </w:t>
            </w:r>
          </w:p>
        </w:tc>
        <w:tc>
          <w:tcPr>
            <w:tcW w:w="66" w:type="dxa"/>
            <w:tcBorders/>
            <w:shd w:fill="CCEEFF" w:val="clear"/>
            <w:vAlign w:val="center"/>
          </w:tcPr>
          <w:p>
            <w:pPr>
              <w:pStyle w:val="TableContents"/>
              <w:bidi w:val="0"/>
              <w:spacing w:before="0" w:after="283"/>
              <w:jc w:val="left"/>
              <w:rPr/>
            </w:pPr>
            <w:r>
              <w:rPr/>
              <w:t> </w:t>
            </w:r>
          </w:p>
        </w:tc>
        <w:tc>
          <w:tcPr>
            <w:tcW w:w="69"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06"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716,668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0" w:type="dxa"/>
            <w:tcBorders/>
            <w:shd w:fill="CCEEFF" w:val="clear"/>
            <w:vAlign w:val="center"/>
          </w:tcPr>
          <w:p>
            <w:pPr>
              <w:pStyle w:val="TableContents"/>
              <w:bidi w:val="0"/>
              <w:spacing w:before="0" w:after="283"/>
              <w:jc w:val="left"/>
              <w:rPr/>
            </w:pPr>
            <w:r>
              <w:rPr/>
              <w:t> </w:t>
            </w:r>
          </w:p>
        </w:tc>
        <w:tc>
          <w:tcPr>
            <w:tcW w:w="624"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11.50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0" w:type="dxa"/>
            <w:tcBorders/>
            <w:shd w:fill="CCEEFF" w:val="clear"/>
            <w:vAlign w:val="center"/>
          </w:tcPr>
          <w:p>
            <w:pPr>
              <w:pStyle w:val="TableContents"/>
              <w:bidi w:val="0"/>
              <w:spacing w:before="0" w:after="283"/>
              <w:ind w:left="0" w:right="0" w:hanging="180"/>
              <w:jc w:val="center"/>
              <w:rPr>
                <w:rFonts w:ascii="Times New Roman;Times;Serif" w:hAnsi="Times New Roman;Times;Serif"/>
                <w:sz w:val="20"/>
              </w:rPr>
            </w:pPr>
            <w:r>
              <w:rPr>
                <w:rFonts w:ascii="Times New Roman;Times;Serif" w:hAnsi="Times New Roman;Times;Serif"/>
                <w:sz w:val="20"/>
              </w:rPr>
              <w:t xml:space="preserve">July 18, 2028 </w:t>
            </w:r>
            <w:r>
              <w:rPr>
                <w:rFonts w:ascii="Times New Roman;Times;Serif" w:hAnsi="Times New Roman;Times;Serif"/>
                <w:position w:val="7"/>
                <w:sz w:val="16"/>
                <w:sz w:val="20"/>
              </w:rPr>
              <w:t>(2)</w:t>
            </w:r>
          </w:p>
        </w:tc>
      </w:tr>
      <w:tr>
        <w:trPr/>
        <w:tc>
          <w:tcPr>
            <w:tcW w:w="49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Total shares of common stock – liability classified warrants</w:t>
            </w:r>
          </w:p>
        </w:tc>
        <w:tc>
          <w:tcPr>
            <w:tcW w:w="60" w:type="dxa"/>
            <w:tcBorders/>
            <w:shd w:fill="FFFFFF" w:val="clear"/>
            <w:vAlign w:val="center"/>
          </w:tcPr>
          <w:p>
            <w:pPr>
              <w:pStyle w:val="TableContents"/>
              <w:bidi w:val="0"/>
              <w:spacing w:before="0" w:after="283"/>
              <w:jc w:val="left"/>
              <w:rPr/>
            </w:pPr>
            <w:r>
              <w:rPr/>
              <w:t> </w:t>
            </w:r>
          </w:p>
        </w:tc>
        <w:tc>
          <w:tcPr>
            <w:tcW w:w="69"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06"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15,608,335</w:t>
            </w:r>
          </w:p>
        </w:tc>
        <w:tc>
          <w:tcPr>
            <w:tcW w:w="66" w:type="dxa"/>
            <w:tcBorders/>
            <w:shd w:fill="FFFFFF" w:val="clear"/>
            <w:vAlign w:val="center"/>
          </w:tcPr>
          <w:p>
            <w:pPr>
              <w:pStyle w:val="TableContents"/>
              <w:bidi w:val="0"/>
              <w:spacing w:before="0" w:after="283"/>
              <w:jc w:val="left"/>
              <w:rPr/>
            </w:pPr>
            <w:r>
              <w:rPr/>
              <w:t> </w:t>
            </w:r>
          </w:p>
        </w:tc>
        <w:tc>
          <w:tcPr>
            <w:tcW w:w="66" w:type="dxa"/>
            <w:tcBorders/>
            <w:shd w:fill="FFFFFF" w:val="clear"/>
            <w:vAlign w:val="center"/>
          </w:tcPr>
          <w:p>
            <w:pPr>
              <w:pStyle w:val="TableContents"/>
              <w:bidi w:val="0"/>
              <w:spacing w:before="0" w:after="283"/>
              <w:jc w:val="left"/>
              <w:rPr/>
            </w:pPr>
            <w:r>
              <w:rPr/>
              <w:t> </w:t>
            </w:r>
          </w:p>
        </w:tc>
        <w:tc>
          <w:tcPr>
            <w:tcW w:w="69"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06"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15,608,335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0" w:type="dxa"/>
            <w:tcBorders/>
            <w:shd w:fill="FFFFFF" w:val="clear"/>
            <w:vAlign w:val="center"/>
          </w:tcPr>
          <w:p>
            <w:pPr>
              <w:pStyle w:val="TableContents"/>
              <w:bidi w:val="0"/>
              <w:spacing w:before="0" w:after="283"/>
              <w:jc w:val="left"/>
              <w:rPr/>
            </w:pPr>
            <w:r>
              <w:rPr/>
              <w:t> </w:t>
            </w:r>
          </w:p>
        </w:tc>
        <w:tc>
          <w:tcPr>
            <w:tcW w:w="624"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0" w:type="dxa"/>
            <w:tcBorders/>
            <w:shd w:fill="FFFFFF" w:val="clear"/>
            <w:vAlign w:val="center"/>
          </w:tcPr>
          <w:p>
            <w:pPr>
              <w:pStyle w:val="TableContents"/>
              <w:bidi w:val="0"/>
              <w:spacing w:before="0" w:after="283"/>
              <w:jc w:val="center"/>
              <w:rPr/>
            </w:pPr>
            <w:r>
              <w:rPr/>
              <w:t> </w:t>
            </w:r>
          </w:p>
        </w:tc>
      </w:tr>
      <w:tr>
        <w:trPr/>
        <w:tc>
          <w:tcPr>
            <w:tcW w:w="4985" w:type="dxa"/>
            <w:tcBorders/>
            <w:shd w:fill="CCEEFF" w:val="cle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Equity classified warrants</w:t>
            </w:r>
          </w:p>
        </w:tc>
        <w:tc>
          <w:tcPr>
            <w:tcW w:w="60" w:type="dxa"/>
            <w:tcBorders/>
            <w:shd w:fill="CCEEFF" w:val="clear"/>
            <w:vAlign w:val="center"/>
          </w:tcPr>
          <w:p>
            <w:pPr>
              <w:pStyle w:val="TableContents"/>
              <w:bidi w:val="0"/>
              <w:spacing w:before="0" w:after="283"/>
              <w:jc w:val="left"/>
              <w:rPr/>
            </w:pPr>
            <w:r>
              <w:rPr/>
              <w:t> </w:t>
            </w:r>
          </w:p>
        </w:tc>
        <w:tc>
          <w:tcPr>
            <w:tcW w:w="69" w:type="dxa"/>
            <w:tcBorders/>
            <w:shd w:fill="CCEEFF" w:val="clear"/>
            <w:vAlign w:val="center"/>
          </w:tcPr>
          <w:p>
            <w:pPr>
              <w:pStyle w:val="TableContents"/>
              <w:bidi w:val="0"/>
              <w:spacing w:before="0" w:after="283"/>
              <w:jc w:val="left"/>
              <w:rPr/>
            </w:pPr>
            <w:r>
              <w:rPr/>
              <w:t> </w:t>
            </w:r>
          </w:p>
        </w:tc>
        <w:tc>
          <w:tcPr>
            <w:tcW w:w="1106" w:type="dxa"/>
            <w:tcBorders/>
            <w:shd w:fill="CCEEFF" w:val="clear"/>
            <w:vAlign w:val="center"/>
          </w:tcPr>
          <w:p>
            <w:pPr>
              <w:pStyle w:val="TableContents"/>
              <w:bidi w:val="0"/>
              <w:spacing w:before="0" w:after="283"/>
              <w:jc w:val="right"/>
              <w:rPr/>
            </w:pPr>
            <w:r>
              <w:rPr/>
              <w:t> </w:t>
            </w:r>
          </w:p>
        </w:tc>
        <w:tc>
          <w:tcPr>
            <w:tcW w:w="66" w:type="dxa"/>
            <w:tcBorders/>
            <w:shd w:fill="CCEEFF" w:val="clear"/>
            <w:vAlign w:val="center"/>
          </w:tcPr>
          <w:p>
            <w:pPr>
              <w:pStyle w:val="TableContents"/>
              <w:bidi w:val="0"/>
              <w:spacing w:before="0" w:after="283"/>
              <w:jc w:val="left"/>
              <w:rPr/>
            </w:pPr>
            <w:r>
              <w:rPr/>
              <w:t> </w:t>
            </w:r>
          </w:p>
        </w:tc>
        <w:tc>
          <w:tcPr>
            <w:tcW w:w="66" w:type="dxa"/>
            <w:tcBorders/>
            <w:shd w:fill="CCEEFF" w:val="clear"/>
            <w:vAlign w:val="center"/>
          </w:tcPr>
          <w:p>
            <w:pPr>
              <w:pStyle w:val="TableContents"/>
              <w:bidi w:val="0"/>
              <w:spacing w:before="0" w:after="283"/>
              <w:jc w:val="left"/>
              <w:rPr/>
            </w:pPr>
            <w:r>
              <w:rPr/>
              <w:t> </w:t>
            </w:r>
          </w:p>
        </w:tc>
        <w:tc>
          <w:tcPr>
            <w:tcW w:w="69" w:type="dxa"/>
            <w:tcBorders/>
            <w:shd w:fill="CCEEFF" w:val="clear"/>
            <w:vAlign w:val="center"/>
          </w:tcPr>
          <w:p>
            <w:pPr>
              <w:pStyle w:val="TableContents"/>
              <w:bidi w:val="0"/>
              <w:spacing w:before="0" w:after="283"/>
              <w:jc w:val="left"/>
              <w:rPr/>
            </w:pPr>
            <w:r>
              <w:rPr/>
              <w:t> </w:t>
            </w:r>
          </w:p>
        </w:tc>
        <w:tc>
          <w:tcPr>
            <w:tcW w:w="1106"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0" w:type="dxa"/>
            <w:tcBorders/>
            <w:shd w:fill="CCEEFF" w:val="clear"/>
            <w:vAlign w:val="center"/>
          </w:tcPr>
          <w:p>
            <w:pPr>
              <w:pStyle w:val="TableContents"/>
              <w:bidi w:val="0"/>
              <w:spacing w:before="0" w:after="283"/>
              <w:jc w:val="left"/>
              <w:rPr/>
            </w:pPr>
            <w:r>
              <w:rPr/>
              <w:t> </w:t>
            </w:r>
          </w:p>
        </w:tc>
        <w:tc>
          <w:tcPr>
            <w:tcW w:w="624"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0" w:type="dxa"/>
            <w:tcBorders/>
            <w:shd w:fill="CCEEFF" w:val="clear"/>
            <w:vAlign w:val="center"/>
          </w:tcPr>
          <w:p>
            <w:pPr>
              <w:pStyle w:val="TableContents"/>
              <w:bidi w:val="0"/>
              <w:spacing w:before="0" w:after="283"/>
              <w:ind w:left="0" w:right="0" w:hanging="180"/>
              <w:jc w:val="center"/>
              <w:rPr/>
            </w:pPr>
            <w:r>
              <w:rPr/>
              <w:t> </w:t>
            </w:r>
          </w:p>
        </w:tc>
      </w:tr>
      <w:tr>
        <w:trPr/>
        <w:tc>
          <w:tcPr>
            <w:tcW w:w="49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Series B Warrants (converted to common stock warrants)</w:t>
            </w:r>
          </w:p>
        </w:tc>
        <w:tc>
          <w:tcPr>
            <w:tcW w:w="60" w:type="dxa"/>
            <w:tcBorders/>
            <w:shd w:fill="FFFFFF" w:val="clear"/>
            <w:vAlign w:val="center"/>
          </w:tcPr>
          <w:p>
            <w:pPr>
              <w:pStyle w:val="TableContents"/>
              <w:bidi w:val="0"/>
              <w:spacing w:before="0" w:after="283"/>
              <w:jc w:val="left"/>
              <w:rPr/>
            </w:pPr>
            <w:r>
              <w:rPr/>
              <w:t> </w:t>
            </w:r>
          </w:p>
        </w:tc>
        <w:tc>
          <w:tcPr>
            <w:tcW w:w="69" w:type="dxa"/>
            <w:tcBorders/>
            <w:shd w:fill="FFFFFF" w:val="clear"/>
            <w:vAlign w:val="center"/>
          </w:tcPr>
          <w:p>
            <w:pPr>
              <w:pStyle w:val="TableContents"/>
              <w:bidi w:val="0"/>
              <w:spacing w:before="0" w:after="283"/>
              <w:jc w:val="left"/>
              <w:rPr/>
            </w:pPr>
            <w:r>
              <w:rPr/>
              <w:t> </w:t>
            </w:r>
          </w:p>
        </w:tc>
        <w:tc>
          <w:tcPr>
            <w:tcW w:w="1106"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5,054</w:t>
            </w:r>
          </w:p>
        </w:tc>
        <w:tc>
          <w:tcPr>
            <w:tcW w:w="66" w:type="dxa"/>
            <w:tcBorders/>
            <w:shd w:fill="FFFFFF" w:val="clear"/>
            <w:vAlign w:val="center"/>
          </w:tcPr>
          <w:p>
            <w:pPr>
              <w:pStyle w:val="TableContents"/>
              <w:bidi w:val="0"/>
              <w:spacing w:before="0" w:after="283"/>
              <w:jc w:val="left"/>
              <w:rPr/>
            </w:pPr>
            <w:r>
              <w:rPr/>
              <w:t> </w:t>
            </w:r>
          </w:p>
        </w:tc>
        <w:tc>
          <w:tcPr>
            <w:tcW w:w="66" w:type="dxa"/>
            <w:tcBorders/>
            <w:shd w:fill="FFFFFF" w:val="clear"/>
            <w:vAlign w:val="center"/>
          </w:tcPr>
          <w:p>
            <w:pPr>
              <w:pStyle w:val="TableContents"/>
              <w:bidi w:val="0"/>
              <w:spacing w:before="0" w:after="283"/>
              <w:jc w:val="left"/>
              <w:rPr/>
            </w:pPr>
            <w:r>
              <w:rPr/>
              <w:t> </w:t>
            </w:r>
          </w:p>
        </w:tc>
        <w:tc>
          <w:tcPr>
            <w:tcW w:w="69" w:type="dxa"/>
            <w:tcBorders/>
            <w:shd w:fill="FFFFFF" w:val="clear"/>
            <w:vAlign w:val="center"/>
          </w:tcPr>
          <w:p>
            <w:pPr>
              <w:pStyle w:val="TableContents"/>
              <w:bidi w:val="0"/>
              <w:spacing w:before="0" w:after="283"/>
              <w:jc w:val="left"/>
              <w:rPr/>
            </w:pPr>
            <w:r>
              <w:rPr/>
              <w:t> </w:t>
            </w:r>
          </w:p>
        </w:tc>
        <w:tc>
          <w:tcPr>
            <w:tcW w:w="1106"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5,054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24"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4.30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0" w:type="dxa"/>
            <w:tcBorders/>
            <w:shd w:fill="FFFFFF" w:val="clear"/>
            <w:vAlign w:val="center"/>
          </w:tcPr>
          <w:p>
            <w:pPr>
              <w:pStyle w:val="TableContents"/>
              <w:bidi w:val="0"/>
              <w:spacing w:before="0" w:after="283"/>
              <w:ind w:left="0" w:right="0" w:hanging="180"/>
              <w:jc w:val="center"/>
              <w:rPr>
                <w:rFonts w:ascii="Times New Roman;Times;Serif" w:hAnsi="Times New Roman;Times;Serif"/>
                <w:sz w:val="20"/>
              </w:rPr>
            </w:pPr>
            <w:r>
              <w:rPr>
                <w:rFonts w:ascii="Times New Roman;Times;Serif" w:hAnsi="Times New Roman;Times;Serif"/>
                <w:sz w:val="20"/>
              </w:rPr>
              <w:t>February 2026</w:t>
            </w:r>
          </w:p>
        </w:tc>
      </w:tr>
      <w:tr>
        <w:trPr/>
        <w:tc>
          <w:tcPr>
            <w:tcW w:w="49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Series C Warrants (converted to common stock warrants)</w:t>
            </w:r>
          </w:p>
        </w:tc>
        <w:tc>
          <w:tcPr>
            <w:tcW w:w="60" w:type="dxa"/>
            <w:tcBorders/>
            <w:shd w:fill="CCEEFF" w:val="clear"/>
            <w:vAlign w:val="center"/>
          </w:tcPr>
          <w:p>
            <w:pPr>
              <w:pStyle w:val="TableContents"/>
              <w:bidi w:val="0"/>
              <w:spacing w:before="0" w:after="283"/>
              <w:jc w:val="left"/>
              <w:rPr/>
            </w:pPr>
            <w:r>
              <w:rPr/>
              <w:t> </w:t>
            </w:r>
          </w:p>
        </w:tc>
        <w:tc>
          <w:tcPr>
            <w:tcW w:w="69" w:type="dxa"/>
            <w:tcBorders/>
            <w:shd w:fill="CCEEFF" w:val="clear"/>
            <w:vAlign w:val="center"/>
          </w:tcPr>
          <w:p>
            <w:pPr>
              <w:pStyle w:val="TableContents"/>
              <w:bidi w:val="0"/>
              <w:spacing w:before="0" w:after="283"/>
              <w:jc w:val="left"/>
              <w:rPr/>
            </w:pPr>
            <w:r>
              <w:rPr/>
              <w:t> </w:t>
            </w:r>
          </w:p>
        </w:tc>
        <w:tc>
          <w:tcPr>
            <w:tcW w:w="1106"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482,969</w:t>
            </w:r>
          </w:p>
        </w:tc>
        <w:tc>
          <w:tcPr>
            <w:tcW w:w="66" w:type="dxa"/>
            <w:tcBorders/>
            <w:shd w:fill="CCEEFF" w:val="clear"/>
            <w:vAlign w:val="center"/>
          </w:tcPr>
          <w:p>
            <w:pPr>
              <w:pStyle w:val="TableContents"/>
              <w:bidi w:val="0"/>
              <w:spacing w:before="0" w:after="283"/>
              <w:jc w:val="left"/>
              <w:rPr/>
            </w:pPr>
            <w:r>
              <w:rPr/>
              <w:t> </w:t>
            </w:r>
          </w:p>
        </w:tc>
        <w:tc>
          <w:tcPr>
            <w:tcW w:w="66" w:type="dxa"/>
            <w:tcBorders/>
            <w:shd w:fill="CCEEFF" w:val="clear"/>
            <w:vAlign w:val="center"/>
          </w:tcPr>
          <w:p>
            <w:pPr>
              <w:pStyle w:val="TableContents"/>
              <w:bidi w:val="0"/>
              <w:spacing w:before="0" w:after="283"/>
              <w:jc w:val="left"/>
              <w:rPr/>
            </w:pPr>
            <w:r>
              <w:rPr/>
              <w:t> </w:t>
            </w:r>
          </w:p>
        </w:tc>
        <w:tc>
          <w:tcPr>
            <w:tcW w:w="69" w:type="dxa"/>
            <w:tcBorders/>
            <w:shd w:fill="CCEEFF" w:val="clear"/>
            <w:vAlign w:val="center"/>
          </w:tcPr>
          <w:p>
            <w:pPr>
              <w:pStyle w:val="TableContents"/>
              <w:bidi w:val="0"/>
              <w:spacing w:before="0" w:after="283"/>
              <w:jc w:val="left"/>
              <w:rPr/>
            </w:pPr>
            <w:r>
              <w:rPr/>
              <w:t> </w:t>
            </w:r>
          </w:p>
        </w:tc>
        <w:tc>
          <w:tcPr>
            <w:tcW w:w="1106"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482,969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0" w:type="dxa"/>
            <w:tcBorders/>
            <w:shd w:fill="CCEEFF" w:val="clear"/>
            <w:vAlign w:val="center"/>
          </w:tcPr>
          <w:p>
            <w:pPr>
              <w:pStyle w:val="TableContents"/>
              <w:bidi w:val="0"/>
              <w:spacing w:before="0" w:after="283"/>
              <w:jc w:val="left"/>
              <w:rPr/>
            </w:pPr>
            <w:r>
              <w:rPr/>
              <w:t> </w:t>
            </w:r>
          </w:p>
        </w:tc>
        <w:tc>
          <w:tcPr>
            <w:tcW w:w="624"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0" w:type="dxa"/>
            <w:tcBorders/>
            <w:shd w:fill="CCEEFF" w:val="clear"/>
            <w:vAlign w:val="center"/>
          </w:tcPr>
          <w:p>
            <w:pPr>
              <w:pStyle w:val="TableContents"/>
              <w:bidi w:val="0"/>
              <w:spacing w:before="0" w:after="283"/>
              <w:ind w:left="0" w:right="0" w:hanging="180"/>
              <w:jc w:val="center"/>
              <w:rPr>
                <w:rFonts w:ascii="Times New Roman;Times;Serif" w:hAnsi="Times New Roman;Times;Serif"/>
                <w:sz w:val="20"/>
              </w:rPr>
            </w:pPr>
            <w:r>
              <w:rPr>
                <w:rFonts w:ascii="Times New Roman;Times;Serif" w:hAnsi="Times New Roman;Times;Serif"/>
                <w:sz w:val="20"/>
              </w:rPr>
              <w:t>July 2026</w:t>
            </w:r>
          </w:p>
        </w:tc>
      </w:tr>
      <w:tr>
        <w:trPr/>
        <w:tc>
          <w:tcPr>
            <w:tcW w:w="49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Series C-1 Warrants (converted to common stock warrants)</w:t>
            </w:r>
          </w:p>
        </w:tc>
        <w:tc>
          <w:tcPr>
            <w:tcW w:w="60" w:type="dxa"/>
            <w:tcBorders/>
            <w:shd w:fill="FFFFFF" w:val="clear"/>
            <w:vAlign w:val="center"/>
          </w:tcPr>
          <w:p>
            <w:pPr>
              <w:pStyle w:val="TableContents"/>
              <w:bidi w:val="0"/>
              <w:spacing w:before="0" w:after="283"/>
              <w:jc w:val="left"/>
              <w:rPr/>
            </w:pPr>
            <w:r>
              <w:rPr/>
              <w:t> </w:t>
            </w:r>
          </w:p>
        </w:tc>
        <w:tc>
          <w:tcPr>
            <w:tcW w:w="69" w:type="dxa"/>
            <w:tcBorders/>
            <w:shd w:fill="FFFFFF" w:val="clear"/>
            <w:vAlign w:val="center"/>
          </w:tcPr>
          <w:p>
            <w:pPr>
              <w:pStyle w:val="TableContents"/>
              <w:bidi w:val="0"/>
              <w:spacing w:before="0" w:after="283"/>
              <w:jc w:val="left"/>
              <w:rPr/>
            </w:pPr>
            <w:r>
              <w:rPr/>
              <w:t> </w:t>
            </w:r>
          </w:p>
        </w:tc>
        <w:tc>
          <w:tcPr>
            <w:tcW w:w="1106"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173,067</w:t>
            </w:r>
          </w:p>
        </w:tc>
        <w:tc>
          <w:tcPr>
            <w:tcW w:w="66" w:type="dxa"/>
            <w:tcBorders/>
            <w:shd w:fill="FFFFFF" w:val="clear"/>
            <w:vAlign w:val="center"/>
          </w:tcPr>
          <w:p>
            <w:pPr>
              <w:pStyle w:val="TableContents"/>
              <w:bidi w:val="0"/>
              <w:spacing w:before="0" w:after="283"/>
              <w:jc w:val="left"/>
              <w:rPr/>
            </w:pPr>
            <w:r>
              <w:rPr/>
              <w:t> </w:t>
            </w:r>
          </w:p>
        </w:tc>
        <w:tc>
          <w:tcPr>
            <w:tcW w:w="66" w:type="dxa"/>
            <w:tcBorders/>
            <w:shd w:fill="FFFFFF" w:val="clear"/>
            <w:vAlign w:val="center"/>
          </w:tcPr>
          <w:p>
            <w:pPr>
              <w:pStyle w:val="TableContents"/>
              <w:bidi w:val="0"/>
              <w:spacing w:before="0" w:after="283"/>
              <w:jc w:val="left"/>
              <w:rPr/>
            </w:pPr>
            <w:r>
              <w:rPr/>
              <w:t> </w:t>
            </w:r>
          </w:p>
        </w:tc>
        <w:tc>
          <w:tcPr>
            <w:tcW w:w="69" w:type="dxa"/>
            <w:tcBorders/>
            <w:shd w:fill="FFFFFF" w:val="clear"/>
            <w:vAlign w:val="center"/>
          </w:tcPr>
          <w:p>
            <w:pPr>
              <w:pStyle w:val="TableContents"/>
              <w:bidi w:val="0"/>
              <w:spacing w:before="0" w:after="283"/>
              <w:jc w:val="left"/>
              <w:rPr/>
            </w:pPr>
            <w:r>
              <w:rPr/>
              <w:t> </w:t>
            </w:r>
          </w:p>
        </w:tc>
        <w:tc>
          <w:tcPr>
            <w:tcW w:w="1106"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173,067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0" w:type="dxa"/>
            <w:tcBorders/>
            <w:shd w:fill="FFFFFF" w:val="clear"/>
            <w:vAlign w:val="center"/>
          </w:tcPr>
          <w:p>
            <w:pPr>
              <w:pStyle w:val="TableContents"/>
              <w:bidi w:val="0"/>
              <w:spacing w:before="0" w:after="283"/>
              <w:jc w:val="left"/>
              <w:rPr/>
            </w:pPr>
            <w:r>
              <w:rPr/>
              <w:t> </w:t>
            </w:r>
          </w:p>
        </w:tc>
        <w:tc>
          <w:tcPr>
            <w:tcW w:w="624"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0.01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0" w:type="dxa"/>
            <w:tcBorders/>
            <w:shd w:fill="FFFFFF" w:val="clear"/>
            <w:vAlign w:val="center"/>
          </w:tcPr>
          <w:p>
            <w:pPr>
              <w:pStyle w:val="TableContents"/>
              <w:bidi w:val="0"/>
              <w:spacing w:before="0" w:after="283"/>
              <w:ind w:left="0" w:right="0" w:hanging="180"/>
              <w:jc w:val="center"/>
              <w:rPr>
                <w:rFonts w:ascii="Times New Roman;Times;Serif" w:hAnsi="Times New Roman;Times;Serif"/>
                <w:sz w:val="20"/>
              </w:rPr>
            </w:pPr>
            <w:r>
              <w:rPr>
                <w:rFonts w:ascii="Times New Roman;Times;Serif" w:hAnsi="Times New Roman;Times;Serif"/>
                <w:sz w:val="20"/>
              </w:rPr>
              <w:t>January 2030</w:t>
            </w:r>
          </w:p>
        </w:tc>
      </w:tr>
      <w:tr>
        <w:trPr/>
        <w:tc>
          <w:tcPr>
            <w:tcW w:w="49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SVB Common Stock Warrants</w:t>
            </w:r>
          </w:p>
        </w:tc>
        <w:tc>
          <w:tcPr>
            <w:tcW w:w="60" w:type="dxa"/>
            <w:tcBorders/>
            <w:shd w:fill="CCEEFF" w:val="clear"/>
            <w:vAlign w:val="center"/>
          </w:tcPr>
          <w:p>
            <w:pPr>
              <w:pStyle w:val="TableContents"/>
              <w:bidi w:val="0"/>
              <w:spacing w:before="0" w:after="283"/>
              <w:jc w:val="left"/>
              <w:rPr/>
            </w:pPr>
            <w:r>
              <w:rPr/>
              <w:t> </w:t>
            </w:r>
          </w:p>
        </w:tc>
        <w:tc>
          <w:tcPr>
            <w:tcW w:w="69" w:type="dxa"/>
            <w:tcBorders/>
            <w:shd w:fill="CCEEFF" w:val="clear"/>
            <w:vAlign w:val="center"/>
          </w:tcPr>
          <w:p>
            <w:pPr>
              <w:pStyle w:val="TableContents"/>
              <w:bidi w:val="0"/>
              <w:spacing w:before="0" w:after="283"/>
              <w:jc w:val="left"/>
              <w:rPr/>
            </w:pPr>
            <w:r>
              <w:rPr/>
              <w:t> </w:t>
            </w:r>
          </w:p>
        </w:tc>
        <w:tc>
          <w:tcPr>
            <w:tcW w:w="1106"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2,473</w:t>
            </w:r>
          </w:p>
        </w:tc>
        <w:tc>
          <w:tcPr>
            <w:tcW w:w="66" w:type="dxa"/>
            <w:tcBorders/>
            <w:shd w:fill="CCEEFF" w:val="clear"/>
            <w:vAlign w:val="center"/>
          </w:tcPr>
          <w:p>
            <w:pPr>
              <w:pStyle w:val="TableContents"/>
              <w:bidi w:val="0"/>
              <w:spacing w:before="0" w:after="283"/>
              <w:jc w:val="left"/>
              <w:rPr/>
            </w:pPr>
            <w:r>
              <w:rPr/>
              <w:t> </w:t>
            </w:r>
          </w:p>
        </w:tc>
        <w:tc>
          <w:tcPr>
            <w:tcW w:w="66" w:type="dxa"/>
            <w:tcBorders/>
            <w:shd w:fill="CCEEFF" w:val="clear"/>
            <w:vAlign w:val="center"/>
          </w:tcPr>
          <w:p>
            <w:pPr>
              <w:pStyle w:val="TableContents"/>
              <w:bidi w:val="0"/>
              <w:spacing w:before="0" w:after="283"/>
              <w:jc w:val="left"/>
              <w:rPr/>
            </w:pPr>
            <w:r>
              <w:rPr/>
              <w:t> </w:t>
            </w:r>
          </w:p>
        </w:tc>
        <w:tc>
          <w:tcPr>
            <w:tcW w:w="69" w:type="dxa"/>
            <w:tcBorders/>
            <w:shd w:fill="CCEEFF" w:val="clear"/>
            <w:vAlign w:val="center"/>
          </w:tcPr>
          <w:p>
            <w:pPr>
              <w:pStyle w:val="TableContents"/>
              <w:bidi w:val="0"/>
              <w:spacing w:before="0" w:after="283"/>
              <w:jc w:val="left"/>
              <w:rPr/>
            </w:pPr>
            <w:r>
              <w:rPr/>
              <w:t> </w:t>
            </w:r>
          </w:p>
        </w:tc>
        <w:tc>
          <w:tcPr>
            <w:tcW w:w="1106"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2,473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0" w:type="dxa"/>
            <w:tcBorders/>
            <w:shd w:fill="CCEEFF" w:val="clear"/>
            <w:vAlign w:val="center"/>
          </w:tcPr>
          <w:p>
            <w:pPr>
              <w:pStyle w:val="TableContents"/>
              <w:bidi w:val="0"/>
              <w:spacing w:before="0" w:after="283"/>
              <w:jc w:val="left"/>
              <w:rPr/>
            </w:pPr>
            <w:r>
              <w:rPr/>
              <w:t> </w:t>
            </w:r>
          </w:p>
        </w:tc>
        <w:tc>
          <w:tcPr>
            <w:tcW w:w="624"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0.38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0" w:type="dxa"/>
            <w:tcBorders/>
            <w:shd w:fill="CCEEFF" w:val="clear"/>
            <w:vAlign w:val="center"/>
          </w:tcPr>
          <w:p>
            <w:pPr>
              <w:pStyle w:val="TableContents"/>
              <w:bidi w:val="0"/>
              <w:spacing w:before="0" w:after="283"/>
              <w:ind w:left="0" w:right="0" w:hanging="180"/>
              <w:jc w:val="center"/>
              <w:rPr>
                <w:rFonts w:ascii="Times New Roman;Times;Serif" w:hAnsi="Times New Roman;Times;Serif"/>
                <w:sz w:val="20"/>
              </w:rPr>
            </w:pPr>
            <w:r>
              <w:rPr>
                <w:rFonts w:ascii="Times New Roman;Times;Serif" w:hAnsi="Times New Roman;Times;Serif"/>
                <w:sz w:val="20"/>
              </w:rPr>
              <w:t>2033</w:t>
            </w:r>
          </w:p>
        </w:tc>
      </w:tr>
      <w:tr>
        <w:trPr/>
        <w:tc>
          <w:tcPr>
            <w:tcW w:w="49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SVB Common Stock Warrants</w:t>
            </w:r>
          </w:p>
        </w:tc>
        <w:tc>
          <w:tcPr>
            <w:tcW w:w="60" w:type="dxa"/>
            <w:tcBorders/>
            <w:shd w:fill="FFFFFF" w:val="clear"/>
            <w:vAlign w:val="center"/>
          </w:tcPr>
          <w:p>
            <w:pPr>
              <w:pStyle w:val="TableContents"/>
              <w:bidi w:val="0"/>
              <w:spacing w:before="0" w:after="283"/>
              <w:jc w:val="left"/>
              <w:rPr/>
            </w:pPr>
            <w:r>
              <w:rPr/>
              <w:t> </w:t>
            </w:r>
          </w:p>
        </w:tc>
        <w:tc>
          <w:tcPr>
            <w:tcW w:w="69" w:type="dxa"/>
            <w:tcBorders/>
            <w:shd w:fill="FFFFFF" w:val="clear"/>
            <w:vAlign w:val="center"/>
          </w:tcPr>
          <w:p>
            <w:pPr>
              <w:pStyle w:val="TableContents"/>
              <w:bidi w:val="0"/>
              <w:spacing w:before="0" w:after="283"/>
              <w:jc w:val="left"/>
              <w:rPr/>
            </w:pPr>
            <w:r>
              <w:rPr/>
              <w:t> </w:t>
            </w:r>
          </w:p>
        </w:tc>
        <w:tc>
          <w:tcPr>
            <w:tcW w:w="1106"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2,525</w:t>
            </w:r>
          </w:p>
        </w:tc>
        <w:tc>
          <w:tcPr>
            <w:tcW w:w="66" w:type="dxa"/>
            <w:tcBorders/>
            <w:shd w:fill="FFFFFF" w:val="clear"/>
            <w:vAlign w:val="center"/>
          </w:tcPr>
          <w:p>
            <w:pPr>
              <w:pStyle w:val="TableContents"/>
              <w:bidi w:val="0"/>
              <w:spacing w:before="0" w:after="283"/>
              <w:jc w:val="left"/>
              <w:rPr/>
            </w:pPr>
            <w:r>
              <w:rPr/>
              <w:t> </w:t>
            </w:r>
          </w:p>
        </w:tc>
        <w:tc>
          <w:tcPr>
            <w:tcW w:w="66" w:type="dxa"/>
            <w:tcBorders/>
            <w:shd w:fill="FFFFFF" w:val="clear"/>
            <w:vAlign w:val="center"/>
          </w:tcPr>
          <w:p>
            <w:pPr>
              <w:pStyle w:val="TableContents"/>
              <w:bidi w:val="0"/>
              <w:spacing w:before="0" w:after="283"/>
              <w:jc w:val="left"/>
              <w:rPr/>
            </w:pPr>
            <w:r>
              <w:rPr/>
              <w:t> </w:t>
            </w:r>
          </w:p>
        </w:tc>
        <w:tc>
          <w:tcPr>
            <w:tcW w:w="69" w:type="dxa"/>
            <w:tcBorders/>
            <w:shd w:fill="FFFFFF" w:val="clear"/>
            <w:vAlign w:val="center"/>
          </w:tcPr>
          <w:p>
            <w:pPr>
              <w:pStyle w:val="TableContents"/>
              <w:bidi w:val="0"/>
              <w:spacing w:before="0" w:after="283"/>
              <w:jc w:val="left"/>
              <w:rPr/>
            </w:pPr>
            <w:r>
              <w:rPr/>
              <w:t> </w:t>
            </w:r>
          </w:p>
        </w:tc>
        <w:tc>
          <w:tcPr>
            <w:tcW w:w="1106"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2,525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0" w:type="dxa"/>
            <w:tcBorders/>
            <w:shd w:fill="FFFFFF" w:val="clear"/>
            <w:vAlign w:val="center"/>
          </w:tcPr>
          <w:p>
            <w:pPr>
              <w:pStyle w:val="TableContents"/>
              <w:bidi w:val="0"/>
              <w:spacing w:before="0" w:after="283"/>
              <w:jc w:val="left"/>
              <w:rPr/>
            </w:pPr>
            <w:r>
              <w:rPr/>
              <w:t> </w:t>
            </w:r>
          </w:p>
        </w:tc>
        <w:tc>
          <w:tcPr>
            <w:tcW w:w="624"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0.62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0" w:type="dxa"/>
            <w:tcBorders/>
            <w:shd w:fill="FFFFFF" w:val="clear"/>
            <w:vAlign w:val="center"/>
          </w:tcPr>
          <w:p>
            <w:pPr>
              <w:pStyle w:val="TableContents"/>
              <w:bidi w:val="0"/>
              <w:spacing w:before="0" w:after="283"/>
              <w:ind w:left="0" w:right="0" w:hanging="180"/>
              <w:jc w:val="center"/>
              <w:rPr>
                <w:rFonts w:ascii="Times New Roman;Times;Serif" w:hAnsi="Times New Roman;Times;Serif"/>
                <w:sz w:val="20"/>
              </w:rPr>
            </w:pPr>
            <w:r>
              <w:rPr>
                <w:rFonts w:ascii="Times New Roman;Times;Serif" w:hAnsi="Times New Roman;Times;Serif"/>
                <w:sz w:val="20"/>
              </w:rPr>
              <w:t>2033</w:t>
            </w:r>
          </w:p>
        </w:tc>
      </w:tr>
      <w:tr>
        <w:trPr/>
        <w:tc>
          <w:tcPr>
            <w:tcW w:w="49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Promissory Note Common Stock Warrants</w:t>
            </w:r>
          </w:p>
        </w:tc>
        <w:tc>
          <w:tcPr>
            <w:tcW w:w="60" w:type="dxa"/>
            <w:tcBorders/>
            <w:shd w:fill="CCEEFF" w:val="clear"/>
            <w:vAlign w:val="center"/>
          </w:tcPr>
          <w:p>
            <w:pPr>
              <w:pStyle w:val="TableContents"/>
              <w:bidi w:val="0"/>
              <w:spacing w:before="0" w:after="283"/>
              <w:jc w:val="left"/>
              <w:rPr/>
            </w:pPr>
            <w:r>
              <w:rPr/>
              <w:t> </w:t>
            </w:r>
          </w:p>
        </w:tc>
        <w:tc>
          <w:tcPr>
            <w:tcW w:w="69" w:type="dxa"/>
            <w:tcBorders/>
            <w:shd w:fill="CCEEFF" w:val="clear"/>
            <w:vAlign w:val="center"/>
          </w:tcPr>
          <w:p>
            <w:pPr>
              <w:pStyle w:val="TableContents"/>
              <w:bidi w:val="0"/>
              <w:spacing w:before="0" w:after="283"/>
              <w:jc w:val="left"/>
              <w:rPr/>
            </w:pPr>
            <w:r>
              <w:rPr/>
              <w:t> </w:t>
            </w:r>
          </w:p>
        </w:tc>
        <w:tc>
          <w:tcPr>
            <w:tcW w:w="1106"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24,148</w:t>
            </w:r>
          </w:p>
        </w:tc>
        <w:tc>
          <w:tcPr>
            <w:tcW w:w="66" w:type="dxa"/>
            <w:tcBorders/>
            <w:shd w:fill="CCEEFF" w:val="clear"/>
            <w:vAlign w:val="center"/>
          </w:tcPr>
          <w:p>
            <w:pPr>
              <w:pStyle w:val="TableContents"/>
              <w:bidi w:val="0"/>
              <w:spacing w:before="0" w:after="283"/>
              <w:jc w:val="left"/>
              <w:rPr/>
            </w:pPr>
            <w:r>
              <w:rPr/>
              <w:t> </w:t>
            </w:r>
          </w:p>
        </w:tc>
        <w:tc>
          <w:tcPr>
            <w:tcW w:w="66" w:type="dxa"/>
            <w:tcBorders/>
            <w:shd w:fill="CCEEFF" w:val="clear"/>
            <w:vAlign w:val="center"/>
          </w:tcPr>
          <w:p>
            <w:pPr>
              <w:pStyle w:val="TableContents"/>
              <w:bidi w:val="0"/>
              <w:spacing w:before="0" w:after="283"/>
              <w:jc w:val="left"/>
              <w:rPr/>
            </w:pPr>
            <w:r>
              <w:rPr/>
              <w:t> </w:t>
            </w:r>
          </w:p>
        </w:tc>
        <w:tc>
          <w:tcPr>
            <w:tcW w:w="69" w:type="dxa"/>
            <w:tcBorders/>
            <w:shd w:fill="CCEEFF" w:val="clear"/>
            <w:vAlign w:val="center"/>
          </w:tcPr>
          <w:p>
            <w:pPr>
              <w:pStyle w:val="TableContents"/>
              <w:bidi w:val="0"/>
              <w:spacing w:before="0" w:after="283"/>
              <w:jc w:val="left"/>
              <w:rPr/>
            </w:pPr>
            <w:r>
              <w:rPr/>
              <w:t> </w:t>
            </w:r>
          </w:p>
        </w:tc>
        <w:tc>
          <w:tcPr>
            <w:tcW w:w="1106"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24,148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0" w:type="dxa"/>
            <w:tcBorders/>
            <w:shd w:fill="CCEEFF" w:val="clear"/>
            <w:vAlign w:val="center"/>
          </w:tcPr>
          <w:p>
            <w:pPr>
              <w:pStyle w:val="TableContents"/>
              <w:bidi w:val="0"/>
              <w:spacing w:before="0" w:after="283"/>
              <w:jc w:val="left"/>
              <w:rPr/>
            </w:pPr>
            <w:r>
              <w:rPr/>
              <w:t> </w:t>
            </w:r>
          </w:p>
        </w:tc>
        <w:tc>
          <w:tcPr>
            <w:tcW w:w="624"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0.01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0" w:type="dxa"/>
            <w:tcBorders/>
            <w:shd w:fill="CCEEFF" w:val="clear"/>
            <w:vAlign w:val="center"/>
          </w:tcPr>
          <w:p>
            <w:pPr>
              <w:pStyle w:val="TableContents"/>
              <w:bidi w:val="0"/>
              <w:spacing w:before="0" w:after="283"/>
              <w:ind w:left="0" w:right="0" w:hanging="180"/>
              <w:jc w:val="center"/>
              <w:rPr>
                <w:rFonts w:ascii="Times New Roman;Times;Serif" w:hAnsi="Times New Roman;Times;Serif"/>
                <w:sz w:val="20"/>
              </w:rPr>
            </w:pPr>
            <w:r>
              <w:rPr>
                <w:rFonts w:ascii="Times New Roman;Times;Serif" w:hAnsi="Times New Roman;Times;Serif"/>
                <w:sz w:val="20"/>
              </w:rPr>
              <w:t>October 2031</w:t>
            </w:r>
          </w:p>
        </w:tc>
      </w:tr>
      <w:tr>
        <w:trPr/>
        <w:tc>
          <w:tcPr>
            <w:tcW w:w="49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July 2023 Common Stock Warrants</w:t>
            </w:r>
          </w:p>
        </w:tc>
        <w:tc>
          <w:tcPr>
            <w:tcW w:w="60" w:type="dxa"/>
            <w:tcBorders/>
            <w:shd w:fill="FFFFFF" w:val="clear"/>
            <w:vAlign w:val="center"/>
          </w:tcPr>
          <w:p>
            <w:pPr>
              <w:pStyle w:val="TableContents"/>
              <w:bidi w:val="0"/>
              <w:spacing w:before="0" w:after="283"/>
              <w:jc w:val="left"/>
              <w:rPr/>
            </w:pPr>
            <w:r>
              <w:rPr/>
              <w:t> </w:t>
            </w:r>
          </w:p>
        </w:tc>
        <w:tc>
          <w:tcPr>
            <w:tcW w:w="69" w:type="dxa"/>
            <w:tcBorders/>
            <w:shd w:fill="FFFFFF" w:val="clear"/>
            <w:vAlign w:val="center"/>
          </w:tcPr>
          <w:p>
            <w:pPr>
              <w:pStyle w:val="TableContents"/>
              <w:bidi w:val="0"/>
              <w:spacing w:before="0" w:after="283"/>
              <w:jc w:val="left"/>
              <w:rPr/>
            </w:pPr>
            <w:r>
              <w:rPr/>
              <w:t> </w:t>
            </w:r>
          </w:p>
        </w:tc>
        <w:tc>
          <w:tcPr>
            <w:tcW w:w="1106"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38,981</w:t>
            </w:r>
          </w:p>
        </w:tc>
        <w:tc>
          <w:tcPr>
            <w:tcW w:w="66" w:type="dxa"/>
            <w:tcBorders/>
            <w:shd w:fill="FFFFFF" w:val="clear"/>
            <w:vAlign w:val="center"/>
          </w:tcPr>
          <w:p>
            <w:pPr>
              <w:pStyle w:val="TableContents"/>
              <w:bidi w:val="0"/>
              <w:spacing w:before="0" w:after="283"/>
              <w:jc w:val="left"/>
              <w:rPr/>
            </w:pPr>
            <w:r>
              <w:rPr/>
              <w:t> </w:t>
            </w:r>
          </w:p>
        </w:tc>
        <w:tc>
          <w:tcPr>
            <w:tcW w:w="66" w:type="dxa"/>
            <w:tcBorders/>
            <w:shd w:fill="FFFFFF" w:val="clear"/>
            <w:vAlign w:val="center"/>
          </w:tcPr>
          <w:p>
            <w:pPr>
              <w:pStyle w:val="TableContents"/>
              <w:bidi w:val="0"/>
              <w:spacing w:before="0" w:after="283"/>
              <w:jc w:val="left"/>
              <w:rPr/>
            </w:pPr>
            <w:r>
              <w:rPr/>
              <w:t> </w:t>
            </w:r>
          </w:p>
        </w:tc>
        <w:tc>
          <w:tcPr>
            <w:tcW w:w="69" w:type="dxa"/>
            <w:tcBorders/>
            <w:shd w:fill="FFFFFF" w:val="clear"/>
            <w:vAlign w:val="center"/>
          </w:tcPr>
          <w:p>
            <w:pPr>
              <w:pStyle w:val="TableContents"/>
              <w:bidi w:val="0"/>
              <w:spacing w:before="0" w:after="283"/>
              <w:jc w:val="left"/>
              <w:rPr/>
            </w:pPr>
            <w:r>
              <w:rPr/>
              <w:t> </w:t>
            </w:r>
          </w:p>
        </w:tc>
        <w:tc>
          <w:tcPr>
            <w:tcW w:w="1106"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38,981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0" w:type="dxa"/>
            <w:tcBorders/>
            <w:shd w:fill="FFFFFF" w:val="clear"/>
            <w:vAlign w:val="center"/>
          </w:tcPr>
          <w:p>
            <w:pPr>
              <w:pStyle w:val="TableContents"/>
              <w:bidi w:val="0"/>
              <w:spacing w:before="0" w:after="283"/>
              <w:jc w:val="left"/>
              <w:rPr/>
            </w:pPr>
            <w:r>
              <w:rPr/>
              <w:t> </w:t>
            </w:r>
          </w:p>
        </w:tc>
        <w:tc>
          <w:tcPr>
            <w:tcW w:w="624"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0.01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0" w:type="dxa"/>
            <w:tcBorders/>
            <w:shd w:fill="FFFFFF" w:val="clear"/>
            <w:vAlign w:val="center"/>
          </w:tcPr>
          <w:p>
            <w:pPr>
              <w:pStyle w:val="TableContents"/>
              <w:bidi w:val="0"/>
              <w:spacing w:before="0" w:after="283"/>
              <w:ind w:left="0" w:right="0" w:hanging="180"/>
              <w:jc w:val="center"/>
              <w:rPr>
                <w:rFonts w:ascii="Times New Roman;Times;Serif" w:hAnsi="Times New Roman;Times;Serif"/>
                <w:sz w:val="20"/>
              </w:rPr>
            </w:pPr>
            <w:r>
              <w:rPr>
                <w:rFonts w:ascii="Times New Roman;Times;Serif" w:hAnsi="Times New Roman;Times;Serif"/>
                <w:sz w:val="20"/>
              </w:rPr>
              <w:t>July 2028</w:t>
            </w:r>
          </w:p>
        </w:tc>
      </w:tr>
      <w:tr>
        <w:trPr/>
        <w:tc>
          <w:tcPr>
            <w:tcW w:w="49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Common Stock Warrants Issued in 2023 (“Merger Warrants”)</w:t>
            </w:r>
          </w:p>
        </w:tc>
        <w:tc>
          <w:tcPr>
            <w:tcW w:w="60" w:type="dxa"/>
            <w:tcBorders/>
            <w:shd w:fill="CCEEFF" w:val="clear"/>
            <w:vAlign w:val="center"/>
          </w:tcPr>
          <w:p>
            <w:pPr>
              <w:pStyle w:val="TableContents"/>
              <w:bidi w:val="0"/>
              <w:spacing w:before="0" w:after="283"/>
              <w:jc w:val="left"/>
              <w:rPr/>
            </w:pPr>
            <w:r>
              <w:rPr/>
              <w:t> </w:t>
            </w:r>
          </w:p>
        </w:tc>
        <w:tc>
          <w:tcPr>
            <w:tcW w:w="69" w:type="dxa"/>
            <w:tcBorders/>
            <w:shd w:fill="CCEEFF" w:val="clear"/>
            <w:vAlign w:val="center"/>
          </w:tcPr>
          <w:p>
            <w:pPr>
              <w:pStyle w:val="TableContents"/>
              <w:bidi w:val="0"/>
              <w:spacing w:before="0" w:after="283"/>
              <w:jc w:val="left"/>
              <w:rPr/>
            </w:pPr>
            <w:r>
              <w:rPr/>
              <w:t> </w:t>
            </w:r>
          </w:p>
        </w:tc>
        <w:tc>
          <w:tcPr>
            <w:tcW w:w="1106"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6,266,572</w:t>
            </w:r>
          </w:p>
        </w:tc>
        <w:tc>
          <w:tcPr>
            <w:tcW w:w="66" w:type="dxa"/>
            <w:tcBorders/>
            <w:shd w:fill="CCEEFF" w:val="clear"/>
            <w:vAlign w:val="center"/>
          </w:tcPr>
          <w:p>
            <w:pPr>
              <w:pStyle w:val="TableContents"/>
              <w:bidi w:val="0"/>
              <w:spacing w:before="0" w:after="283"/>
              <w:jc w:val="left"/>
              <w:rPr/>
            </w:pPr>
            <w:r>
              <w:rPr/>
              <w:t> </w:t>
            </w:r>
          </w:p>
        </w:tc>
        <w:tc>
          <w:tcPr>
            <w:tcW w:w="66" w:type="dxa"/>
            <w:tcBorders/>
            <w:shd w:fill="CCEEFF" w:val="clear"/>
            <w:vAlign w:val="center"/>
          </w:tcPr>
          <w:p>
            <w:pPr>
              <w:pStyle w:val="TableContents"/>
              <w:bidi w:val="0"/>
              <w:spacing w:before="0" w:after="283"/>
              <w:jc w:val="left"/>
              <w:rPr/>
            </w:pPr>
            <w:r>
              <w:rPr/>
              <w:t> </w:t>
            </w:r>
          </w:p>
        </w:tc>
        <w:tc>
          <w:tcPr>
            <w:tcW w:w="69" w:type="dxa"/>
            <w:tcBorders/>
            <w:shd w:fill="CCEEFF" w:val="clear"/>
            <w:vAlign w:val="center"/>
          </w:tcPr>
          <w:p>
            <w:pPr>
              <w:pStyle w:val="TableContents"/>
              <w:bidi w:val="0"/>
              <w:spacing w:before="0" w:after="283"/>
              <w:jc w:val="left"/>
              <w:rPr/>
            </w:pPr>
            <w:r>
              <w:rPr/>
              <w:t> </w:t>
            </w:r>
          </w:p>
        </w:tc>
        <w:tc>
          <w:tcPr>
            <w:tcW w:w="1106"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6,266,572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0" w:type="dxa"/>
            <w:tcBorders/>
            <w:shd w:fill="CCEEFF" w:val="clear"/>
            <w:vAlign w:val="center"/>
          </w:tcPr>
          <w:p>
            <w:pPr>
              <w:pStyle w:val="TableContents"/>
              <w:bidi w:val="0"/>
              <w:spacing w:before="0" w:after="283"/>
              <w:jc w:val="left"/>
              <w:rPr/>
            </w:pPr>
            <w:r>
              <w:rPr/>
              <w:t> </w:t>
            </w:r>
          </w:p>
        </w:tc>
        <w:tc>
          <w:tcPr>
            <w:tcW w:w="624"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11.50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0" w:type="dxa"/>
            <w:tcBorders/>
            <w:shd w:fill="CCEEFF" w:val="clear"/>
            <w:vAlign w:val="center"/>
          </w:tcPr>
          <w:p>
            <w:pPr>
              <w:pStyle w:val="TableContents"/>
              <w:bidi w:val="0"/>
              <w:spacing w:before="0" w:after="283"/>
              <w:ind w:left="0" w:right="0" w:hanging="180"/>
              <w:jc w:val="center"/>
              <w:rPr>
                <w:rFonts w:ascii="Times New Roman;Times;Serif" w:hAnsi="Times New Roman;Times;Serif"/>
                <w:sz w:val="20"/>
              </w:rPr>
            </w:pPr>
            <w:r>
              <w:rPr>
                <w:rFonts w:ascii="Times New Roman;Times;Serif" w:hAnsi="Times New Roman;Times;Serif"/>
                <w:sz w:val="20"/>
              </w:rPr>
              <w:t>July 18, 2033</w:t>
            </w:r>
          </w:p>
        </w:tc>
      </w:tr>
      <w:tr>
        <w:trPr/>
        <w:tc>
          <w:tcPr>
            <w:tcW w:w="49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Ayna Warrant</w:t>
            </w:r>
          </w:p>
        </w:tc>
        <w:tc>
          <w:tcPr>
            <w:tcW w:w="60" w:type="dxa"/>
            <w:tcBorders/>
            <w:shd w:fill="FFFFFF" w:val="clear"/>
            <w:vAlign w:val="center"/>
          </w:tcPr>
          <w:p>
            <w:pPr>
              <w:pStyle w:val="TableContents"/>
              <w:bidi w:val="0"/>
              <w:spacing w:before="0" w:after="283"/>
              <w:jc w:val="left"/>
              <w:rPr/>
            </w:pPr>
            <w:r>
              <w:rPr/>
              <w:t> </w:t>
            </w:r>
          </w:p>
        </w:tc>
        <w:tc>
          <w:tcPr>
            <w:tcW w:w="69" w:type="dxa"/>
            <w:tcBorders/>
            <w:shd w:fill="FFFFFF" w:val="clear"/>
            <w:vAlign w:val="center"/>
          </w:tcPr>
          <w:p>
            <w:pPr>
              <w:pStyle w:val="TableContents"/>
              <w:bidi w:val="0"/>
              <w:spacing w:before="0" w:after="283"/>
              <w:jc w:val="left"/>
              <w:rPr/>
            </w:pPr>
            <w:r>
              <w:rPr/>
              <w:t> </w:t>
            </w:r>
          </w:p>
        </w:tc>
        <w:tc>
          <w:tcPr>
            <w:tcW w:w="1106" w:type="dxa"/>
            <w:tcBorders/>
            <w:shd w:fill="FFFFFF" w:val="clear"/>
            <w:vAlign w:val="center"/>
          </w:tcPr>
          <w:p>
            <w:pPr>
              <w:pStyle w:val="TableContents"/>
              <w:bidi w:val="0"/>
              <w:spacing w:before="0" w:after="283"/>
              <w:jc w:val="right"/>
              <w:rPr/>
            </w:pPr>
            <w:r>
              <w:rPr/>
              <w:t>—</w:t>
            </w:r>
          </w:p>
        </w:tc>
        <w:tc>
          <w:tcPr>
            <w:tcW w:w="66" w:type="dxa"/>
            <w:tcBorders/>
            <w:shd w:fill="FFFFFF" w:val="clear"/>
            <w:vAlign w:val="center"/>
          </w:tcPr>
          <w:p>
            <w:pPr>
              <w:pStyle w:val="TableContents"/>
              <w:bidi w:val="0"/>
              <w:spacing w:before="0" w:after="283"/>
              <w:jc w:val="left"/>
              <w:rPr/>
            </w:pPr>
            <w:r>
              <w:rPr/>
              <w:t> </w:t>
            </w:r>
          </w:p>
        </w:tc>
        <w:tc>
          <w:tcPr>
            <w:tcW w:w="66" w:type="dxa"/>
            <w:tcBorders/>
            <w:shd w:fill="FFFFFF" w:val="clear"/>
            <w:vAlign w:val="center"/>
          </w:tcPr>
          <w:p>
            <w:pPr>
              <w:pStyle w:val="TableContents"/>
              <w:bidi w:val="0"/>
              <w:spacing w:before="0" w:after="283"/>
              <w:jc w:val="left"/>
              <w:rPr/>
            </w:pPr>
            <w:r>
              <w:rPr/>
              <w:t> </w:t>
            </w:r>
          </w:p>
        </w:tc>
        <w:tc>
          <w:tcPr>
            <w:tcW w:w="69" w:type="dxa"/>
            <w:tcBorders/>
            <w:shd w:fill="FFFFFF" w:val="clear"/>
            <w:vAlign w:val="center"/>
          </w:tcPr>
          <w:p>
            <w:pPr>
              <w:pStyle w:val="TableContents"/>
              <w:bidi w:val="0"/>
              <w:spacing w:before="0" w:after="283"/>
              <w:jc w:val="left"/>
              <w:rPr/>
            </w:pPr>
            <w:r>
              <w:rPr/>
              <w:t> </w:t>
            </w:r>
          </w:p>
        </w:tc>
        <w:tc>
          <w:tcPr>
            <w:tcW w:w="1106"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6,000,000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0" w:type="dxa"/>
            <w:tcBorders/>
            <w:shd w:fill="FFFFFF" w:val="clear"/>
            <w:vAlign w:val="center"/>
          </w:tcPr>
          <w:p>
            <w:pPr>
              <w:pStyle w:val="TableContents"/>
              <w:bidi w:val="0"/>
              <w:spacing w:before="0" w:after="283"/>
              <w:jc w:val="left"/>
              <w:rPr/>
            </w:pPr>
            <w:r>
              <w:rPr/>
              <w:t> </w:t>
            </w:r>
          </w:p>
        </w:tc>
        <w:tc>
          <w:tcPr>
            <w:tcW w:w="624"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0.01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0" w:type="dxa"/>
            <w:tcBorders/>
            <w:shd w:fill="FFFFFF" w:val="clear"/>
            <w:vAlign w:val="center"/>
          </w:tcPr>
          <w:p>
            <w:pPr>
              <w:pStyle w:val="TableContents"/>
              <w:bidi w:val="0"/>
              <w:spacing w:before="0" w:after="283"/>
              <w:ind w:left="0" w:right="0" w:hanging="180"/>
              <w:jc w:val="center"/>
              <w:rPr>
                <w:rFonts w:ascii="Times New Roman;Times;Serif" w:hAnsi="Times New Roman;Times;Serif"/>
                <w:sz w:val="20"/>
              </w:rPr>
            </w:pPr>
            <w:r>
              <w:rPr>
                <w:rFonts w:ascii="Times New Roman;Times;Serif" w:hAnsi="Times New Roman;Times;Serif"/>
                <w:sz w:val="20"/>
              </w:rPr>
              <w:t>June 2029</w:t>
            </w:r>
          </w:p>
        </w:tc>
      </w:tr>
      <w:tr>
        <w:trPr/>
        <w:tc>
          <w:tcPr>
            <w:tcW w:w="49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Cantor Warrant</w:t>
            </w:r>
          </w:p>
        </w:tc>
        <w:tc>
          <w:tcPr>
            <w:tcW w:w="60" w:type="dxa"/>
            <w:tcBorders/>
            <w:shd w:fill="CCEEFF" w:val="clear"/>
            <w:vAlign w:val="center"/>
          </w:tcPr>
          <w:p>
            <w:pPr>
              <w:pStyle w:val="TableContents"/>
              <w:bidi w:val="0"/>
              <w:spacing w:before="0" w:after="283"/>
              <w:jc w:val="left"/>
              <w:rPr/>
            </w:pPr>
            <w:r>
              <w:rPr/>
              <w:t> </w:t>
            </w:r>
          </w:p>
        </w:tc>
        <w:tc>
          <w:tcPr>
            <w:tcW w:w="69"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06" w:type="dxa"/>
            <w:tcBorders>
              <w:bottom w:val="single" w:sz="1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3,066,141</w:t>
            </w:r>
          </w:p>
        </w:tc>
        <w:tc>
          <w:tcPr>
            <w:tcW w:w="66" w:type="dxa"/>
            <w:tcBorders/>
            <w:shd w:fill="CCEEFF" w:val="clear"/>
            <w:vAlign w:val="center"/>
          </w:tcPr>
          <w:p>
            <w:pPr>
              <w:pStyle w:val="TableContents"/>
              <w:bidi w:val="0"/>
              <w:spacing w:before="0" w:after="283"/>
              <w:jc w:val="left"/>
              <w:rPr/>
            </w:pPr>
            <w:r>
              <w:rPr/>
              <w:t> </w:t>
            </w:r>
          </w:p>
        </w:tc>
        <w:tc>
          <w:tcPr>
            <w:tcW w:w="66" w:type="dxa"/>
            <w:tcBorders/>
            <w:shd w:fill="CCEEFF" w:val="clear"/>
            <w:vAlign w:val="center"/>
          </w:tcPr>
          <w:p>
            <w:pPr>
              <w:pStyle w:val="TableContents"/>
              <w:bidi w:val="0"/>
              <w:spacing w:before="0" w:after="283"/>
              <w:jc w:val="left"/>
              <w:rPr/>
            </w:pPr>
            <w:r>
              <w:rPr/>
              <w:t> </w:t>
            </w:r>
          </w:p>
        </w:tc>
        <w:tc>
          <w:tcPr>
            <w:tcW w:w="69"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06"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3,066,141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0" w:type="dxa"/>
            <w:tcBorders/>
            <w:shd w:fill="CCEEFF" w:val="clear"/>
            <w:vAlign w:val="center"/>
          </w:tcPr>
          <w:p>
            <w:pPr>
              <w:pStyle w:val="TableContents"/>
              <w:bidi w:val="0"/>
              <w:spacing w:before="0" w:after="283"/>
              <w:jc w:val="left"/>
              <w:rPr/>
            </w:pPr>
            <w:r>
              <w:rPr/>
              <w:t> </w:t>
            </w:r>
          </w:p>
        </w:tc>
        <w:tc>
          <w:tcPr>
            <w:tcW w:w="624"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1.68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0"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June 2029</w:t>
            </w:r>
          </w:p>
        </w:tc>
      </w:tr>
      <w:tr>
        <w:trPr/>
        <w:tc>
          <w:tcPr>
            <w:tcW w:w="49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Total shares of common stock – equity classified warrants</w:t>
            </w:r>
          </w:p>
        </w:tc>
        <w:tc>
          <w:tcPr>
            <w:tcW w:w="60" w:type="dxa"/>
            <w:tcBorders/>
            <w:shd w:fill="FFFFFF" w:val="clear"/>
            <w:vAlign w:val="center"/>
          </w:tcPr>
          <w:p>
            <w:pPr>
              <w:pStyle w:val="TableContents"/>
              <w:bidi w:val="0"/>
              <w:spacing w:before="0" w:after="283"/>
              <w:jc w:val="left"/>
              <w:rPr/>
            </w:pPr>
            <w:r>
              <w:rPr/>
              <w:t> </w:t>
            </w:r>
          </w:p>
        </w:tc>
        <w:tc>
          <w:tcPr>
            <w:tcW w:w="69"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06" w:type="dxa"/>
            <w:tcBorders>
              <w:bottom w:val="single" w:sz="12" w:space="0" w:color="000000"/>
            </w:tcBorders>
            <w:shd w:fill="FFFFFF" w:val="clear"/>
            <w:tcMar>
              <w:bottom w:w="28" w:type="dxa"/>
            </w:tcMar>
            <w:vAlign w:val="center"/>
          </w:tcPr>
          <w:p>
            <w:pPr>
              <w:pStyle w:val="TableContents"/>
              <w:bidi w:val="0"/>
              <w:spacing w:before="0" w:after="0"/>
              <w:ind w:left="0" w:right="0"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10,061,930</w:t>
            </w:r>
          </w:p>
        </w:tc>
        <w:tc>
          <w:tcPr>
            <w:tcW w:w="66" w:type="dxa"/>
            <w:tcBorders/>
            <w:shd w:fill="FFFFFF" w:val="clear"/>
            <w:vAlign w:val="center"/>
          </w:tcPr>
          <w:p>
            <w:pPr>
              <w:pStyle w:val="TableContents"/>
              <w:bidi w:val="0"/>
              <w:spacing w:before="0" w:after="283"/>
              <w:jc w:val="left"/>
              <w:rPr/>
            </w:pPr>
            <w:r>
              <w:rPr/>
              <w:t> </w:t>
            </w:r>
          </w:p>
        </w:tc>
        <w:tc>
          <w:tcPr>
            <w:tcW w:w="66" w:type="dxa"/>
            <w:tcBorders/>
            <w:shd w:fill="FFFFFF" w:val="clear"/>
            <w:vAlign w:val="center"/>
          </w:tcPr>
          <w:p>
            <w:pPr>
              <w:pStyle w:val="TableContents"/>
              <w:bidi w:val="0"/>
              <w:spacing w:before="0" w:after="283"/>
              <w:jc w:val="left"/>
              <w:rPr/>
            </w:pPr>
            <w:r>
              <w:rPr/>
              <w:t> </w:t>
            </w:r>
          </w:p>
        </w:tc>
        <w:tc>
          <w:tcPr>
            <w:tcW w:w="69"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06"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16,061,930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0" w:type="dxa"/>
            <w:tcBorders/>
            <w:shd w:fill="FFFFFF" w:val="clear"/>
            <w:vAlign w:val="center"/>
          </w:tcPr>
          <w:p>
            <w:pPr>
              <w:pStyle w:val="TableContents"/>
              <w:bidi w:val="0"/>
              <w:spacing w:before="0" w:after="283"/>
              <w:jc w:val="left"/>
              <w:rPr/>
            </w:pPr>
            <w:r>
              <w:rPr/>
              <w:t> </w:t>
            </w:r>
          </w:p>
        </w:tc>
        <w:tc>
          <w:tcPr>
            <w:tcW w:w="624"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0" w:type="dxa"/>
            <w:tcBorders/>
            <w:shd w:fill="FFFFFF" w:val="clear"/>
            <w:vAlign w:val="center"/>
          </w:tcPr>
          <w:p>
            <w:pPr>
              <w:pStyle w:val="TableContents"/>
              <w:bidi w:val="0"/>
              <w:spacing w:before="0" w:after="283"/>
              <w:jc w:val="center"/>
              <w:rPr/>
            </w:pPr>
            <w:r>
              <w:rPr/>
              <w:t> </w:t>
            </w:r>
          </w:p>
        </w:tc>
      </w:tr>
      <w:tr>
        <w:trPr/>
        <w:tc>
          <w:tcPr>
            <w:tcW w:w="49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Total potential shares of common stock</w:t>
            </w:r>
          </w:p>
        </w:tc>
        <w:tc>
          <w:tcPr>
            <w:tcW w:w="60" w:type="dxa"/>
            <w:tcBorders/>
            <w:shd w:fill="CCEEFF" w:val="clear"/>
            <w:vAlign w:val="center"/>
          </w:tcPr>
          <w:p>
            <w:pPr>
              <w:pStyle w:val="TableContents"/>
              <w:bidi w:val="0"/>
              <w:spacing w:before="0" w:after="283"/>
              <w:jc w:val="left"/>
              <w:rPr/>
            </w:pPr>
            <w:r>
              <w:rPr/>
              <w:t> </w:t>
            </w:r>
          </w:p>
        </w:tc>
        <w:tc>
          <w:tcPr>
            <w:tcW w:w="69"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1106" w:type="dxa"/>
            <w:tcBorders>
              <w:bottom w:val="double" w:sz="10"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25,670,265</w:t>
            </w:r>
          </w:p>
        </w:tc>
        <w:tc>
          <w:tcPr>
            <w:tcW w:w="66" w:type="dxa"/>
            <w:tcBorders/>
            <w:shd w:fill="CCEEFF" w:val="clear"/>
            <w:vAlign w:val="center"/>
          </w:tcPr>
          <w:p>
            <w:pPr>
              <w:pStyle w:val="TableContents"/>
              <w:bidi w:val="0"/>
              <w:spacing w:before="0" w:after="283"/>
              <w:jc w:val="left"/>
              <w:rPr/>
            </w:pPr>
            <w:r>
              <w:rPr/>
              <w:t> </w:t>
            </w:r>
          </w:p>
        </w:tc>
        <w:tc>
          <w:tcPr>
            <w:tcW w:w="66" w:type="dxa"/>
            <w:tcBorders/>
            <w:shd w:fill="CCEEFF" w:val="clear"/>
            <w:vAlign w:val="center"/>
          </w:tcPr>
          <w:p>
            <w:pPr>
              <w:pStyle w:val="TableContents"/>
              <w:bidi w:val="0"/>
              <w:spacing w:before="0" w:after="283"/>
              <w:jc w:val="left"/>
              <w:rPr/>
            </w:pPr>
            <w:r>
              <w:rPr/>
              <w:t> </w:t>
            </w:r>
          </w:p>
        </w:tc>
        <w:tc>
          <w:tcPr>
            <w:tcW w:w="69"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1106" w:type="dxa"/>
            <w:tcBorders>
              <w:bottom w:val="double" w:sz="10"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31,670,265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0" w:type="dxa"/>
            <w:tcBorders/>
            <w:shd w:fill="CCEEFF" w:val="clear"/>
            <w:vAlign w:val="center"/>
          </w:tcPr>
          <w:p>
            <w:pPr>
              <w:pStyle w:val="TableContents"/>
              <w:bidi w:val="0"/>
              <w:spacing w:before="0" w:after="283"/>
              <w:jc w:val="left"/>
              <w:rPr/>
            </w:pPr>
            <w:r>
              <w:rPr/>
              <w:t> </w:t>
            </w:r>
          </w:p>
        </w:tc>
        <w:tc>
          <w:tcPr>
            <w:tcW w:w="624"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0" w:type="dxa"/>
            <w:tcBorders/>
            <w:shd w:fill="CCEEFF" w:val="clear"/>
            <w:vAlign w:val="center"/>
          </w:tcPr>
          <w:p>
            <w:pPr>
              <w:pStyle w:val="TableContents"/>
              <w:bidi w:val="0"/>
              <w:spacing w:before="0" w:after="283"/>
              <w:jc w:val="center"/>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36"/>
        <w:gridCol w:w="9969"/>
      </w:tblGrid>
      <w:tr>
        <w:trPr/>
        <w:tc>
          <w:tcPr>
            <w:tcW w:w="236" w:type="dxa"/>
            <w:tcBorders/>
            <w:vAlign w:val="center"/>
          </w:tcPr>
          <w:p>
            <w:pPr>
              <w:pStyle w:val="TableContents"/>
              <w:bidi w:val="0"/>
              <w:spacing w:before="0" w:after="283"/>
              <w:jc w:val="left"/>
              <w:rPr>
                <w:rFonts w:ascii="Times New Roman;Times;Serif" w:hAnsi="Times New Roman;Times;Serif"/>
                <w:position w:val="7"/>
                <w:sz w:val="16"/>
                <w:sz w:val="20"/>
              </w:rPr>
            </w:pPr>
            <w:r>
              <w:rPr>
                <w:rFonts w:ascii="Times New Roman;Times;Serif" w:hAnsi="Times New Roman;Times;Serif"/>
                <w:position w:val="7"/>
                <w:sz w:val="16"/>
                <w:sz w:val="20"/>
              </w:rPr>
              <w:t>(1)</w:t>
            </w:r>
          </w:p>
        </w:tc>
        <w:tc>
          <w:tcPr>
            <w:tcW w:w="9969"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Excludes the 2025 Cantor Warrant (as defined below) which was not issued as of December 28, 2025.</w:t>
            </w:r>
          </w:p>
        </w:tc>
      </w:tr>
      <w:tr>
        <w:trPr/>
        <w:tc>
          <w:tcPr>
            <w:tcW w:w="236" w:type="dxa"/>
            <w:tcBorders/>
            <w:vAlign w:val="center"/>
          </w:tcPr>
          <w:p>
            <w:pPr>
              <w:pStyle w:val="TableContents"/>
              <w:bidi w:val="0"/>
              <w:spacing w:before="0" w:after="283"/>
              <w:jc w:val="left"/>
              <w:rPr>
                <w:rFonts w:ascii="Times New Roman;Times;Serif" w:hAnsi="Times New Roman;Times;Serif"/>
                <w:position w:val="7"/>
                <w:sz w:val="16"/>
                <w:sz w:val="20"/>
              </w:rPr>
            </w:pPr>
            <w:r>
              <w:rPr>
                <w:rFonts w:ascii="Times New Roman;Times;Serif" w:hAnsi="Times New Roman;Times;Serif"/>
                <w:position w:val="7"/>
                <w:sz w:val="16"/>
                <w:sz w:val="20"/>
              </w:rPr>
              <w:t>(2)</w:t>
            </w:r>
          </w:p>
        </w:tc>
        <w:tc>
          <w:tcPr>
            <w:tcW w:w="9969"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warrants expire five years after the Closing date of the Mergers, which date was July 18, 2023, or earlier upon redemption or liquidation.</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Ayna warrant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June 17, 2024, a warrant to purchase 6,000,000 shares of the Company’s common stock (“Ayna Warrant”) was issued to Ayna.AI LLC (“Ayna”) at an exercise price per share of $0.01, subject to the provisions and upon the terms and conditions set forth in the Ayna Warrant. At issuance, the fair value of the Ayna Warrant was determined to be $9.2 million, based on the intrinsic value of the Ayna Warrant and the $0.01 per share exercise price. The Ayna Warrant was set to expire on June 17, 2029. The issuance of the Ayna Warrant by the Company was in satisfaction of the compensation for services provided to the Company by Ayna under the terms of a statement of work (“Ayna SOW”), signed May 21, 2024 (and effective as of March 12, 2024), as incorporated into a master services agreement dated March 12, 2024. Under the Ayna SOW, Ayna provided services in connection with the anticipated return of the Company to cash-flow positive performance.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Ayna Warrant was accounted for under ASC 718 </w:t>
      </w:r>
      <w:r>
        <w:rPr>
          <w:rFonts w:ascii="Times New Roman;Times;Serif" w:hAnsi="Times New Roman;Times;Serif"/>
          <w:b w:val="false"/>
          <w:i/>
          <w:caps w:val="false"/>
          <w:smallCaps w:val="false"/>
          <w:sz w:val="20"/>
        </w:rPr>
        <w:t>Compensation – Stock Compensation</w:t>
      </w:r>
      <w:r>
        <w:rPr>
          <w:rFonts w:ascii="Times New Roman;Times;Serif" w:hAnsi="Times New Roman;Times;Serif"/>
          <w:b w:val="false"/>
          <w:i w:val="false"/>
          <w:caps w:val="false"/>
          <w:smallCaps w:val="false"/>
          <w:sz w:val="20"/>
        </w:rPr>
        <w:t xml:space="preserve"> as it met the conditions for equity classification, and therefore, the Ayna Warrant was not subsequently remeasured in future periods. The Company recognized expense of $9.2 million in the year ended December 29, 2024 for the Ayna Warrant.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Ayna Warrant became fully exercisable for the 6,000,000 shares of the Company’s common stock on September 9, 2024. The Ayna Warrant was exercised in full for cash of $0.06 million in January 2025.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sz w:val="20"/>
          <w:bdr w:val="single" w:sz="12" w:space="1" w:color="000000"/>
        </w:rPr>
      </w:pPr>
      <w:r>
        <w:rPr>
          <w:sz w:val="20"/>
          <w:bdr w:val="single" w:sz="12" w:space="1" w:color="000000"/>
        </w:rPr>
        <w:t>F-102</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Cantor warrant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 July 2024, the Company issued a warrant (“Cantor Warrant”) to a Cantor Fitzgerald &amp; Co., (“Cantor”) to purchase 3,066,141 shares of the Company’s common stock in exchange for services provided in the issuance of the July 2024 Notes (refer to </w:t>
      </w:r>
      <w:r>
        <w:rPr>
          <w:rFonts w:ascii="Times New Roman;Times;Serif" w:hAnsi="Times New Roman;Times;Serif"/>
          <w:b/>
          <w:i w:val="false"/>
          <w:caps w:val="false"/>
          <w:smallCaps w:val="false"/>
          <w:sz w:val="20"/>
        </w:rPr>
        <w:t>Note 10 – Borrowings and Derivative Liabilities</w:t>
      </w:r>
      <w:r>
        <w:rPr>
          <w:rFonts w:ascii="Times New Roman;Times;Serif" w:hAnsi="Times New Roman;Times;Serif"/>
          <w:b w:val="false"/>
          <w:i w:val="false"/>
          <w:caps w:val="false"/>
          <w:smallCaps w:val="false"/>
          <w:sz w:val="20"/>
        </w:rPr>
        <w:t xml:space="preserve">). The Cantor Warrant was immediately exercisable at a price of $1.68 per share and has an expiration date in July 2029. At issuance, the fair value of the Cantor Warrant was determined to be $1.4 million, of which $0.9 million was recorded as a debt discount and $0.5 million was attributable to the convertible notes issued in the </w:t>
      </w:r>
      <w:r>
        <w:rPr>
          <w:rFonts w:ascii="Times New Roman;Times;Serif" w:hAnsi="Times New Roman;Times;Serif"/>
          <w:b w:val="false"/>
          <w:i/>
          <w:caps w:val="false"/>
          <w:smallCaps w:val="false"/>
          <w:sz w:val="20"/>
        </w:rPr>
        <w:t>Exchange Agreement</w:t>
      </w:r>
      <w:r>
        <w:rPr>
          <w:rFonts w:ascii="Times New Roman;Times;Serif" w:hAnsi="Times New Roman;Times;Serif"/>
          <w:b w:val="false"/>
          <w:i w:val="false"/>
          <w:caps w:val="false"/>
          <w:smallCaps w:val="false"/>
          <w:sz w:val="20"/>
        </w:rPr>
        <w:t xml:space="preserve"> (as described in </w:t>
      </w:r>
      <w:r>
        <w:rPr>
          <w:rFonts w:ascii="Times New Roman;Times;Serif" w:hAnsi="Times New Roman;Times;Serif"/>
          <w:b/>
          <w:i w:val="false"/>
          <w:caps w:val="false"/>
          <w:smallCaps w:val="false"/>
          <w:sz w:val="20"/>
        </w:rPr>
        <w:t>Note 10 – Borrowings and Derivative Liabilities)</w:t>
      </w:r>
      <w:r>
        <w:rPr>
          <w:rFonts w:ascii="Times New Roman;Times;Serif" w:hAnsi="Times New Roman;Times;Serif"/>
          <w:b w:val="false"/>
          <w:i w:val="false"/>
          <w:caps w:val="false"/>
          <w:smallCaps w:val="false"/>
          <w:sz w:val="20"/>
        </w:rPr>
        <w:t xml:space="preserve"> and reduced the gain on the troubled debt restructuring recognized in the Company’s annual consolidated statement of operations and comprehensive loss for fiscal 2024 as described in </w:t>
      </w:r>
      <w:r>
        <w:rPr>
          <w:rFonts w:ascii="Times New Roman;Times;Serif" w:hAnsi="Times New Roman;Times;Serif"/>
          <w:b/>
          <w:i w:val="false"/>
          <w:caps w:val="false"/>
          <w:smallCaps w:val="false"/>
          <w:sz w:val="20"/>
        </w:rPr>
        <w:t>Note 10 – Borrowings and Derivative Liabilities</w:t>
      </w:r>
      <w:r>
        <w:rPr>
          <w:rFonts w:ascii="Times New Roman;Times;Serif" w:hAnsi="Times New Roman;Times;Serif"/>
          <w:b w:val="false"/>
          <w:i w:val="false"/>
          <w:caps w:val="false"/>
          <w:smallCaps w:val="false"/>
          <w:sz w:val="20"/>
        </w:rPr>
        <w:t>. The fair value of the Cantor Warrant was derived using the Black-Scholes model with the following assumptions: expected volatility of 55%; risk-free interest rate of 4.2%; expected term of 5 years; and no dividend yield. The fair value of this warrant is recorded within additional paid-in capital on the Company’s consolidated balance sheets and has not been subsequently remeasured in future periods as it met the conditions for equity classification.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Shares of common stock reserved for future issuance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has reserved shares of common stock for issuance related to the following:</w:t>
      </w:r>
    </w:p>
    <w:p>
      <w:pPr>
        <w:pStyle w:val="TextBody"/>
        <w:bidi w:val="0"/>
        <w:spacing w:before="0" w:after="0"/>
        <w:ind w:left="0" w:right="0" w:hanging="0"/>
        <w:jc w:val="both"/>
        <w:rPr>
          <w:caps w:val="false"/>
          <w:smallCaps w:val="false"/>
        </w:rPr>
      </w:pPr>
      <w:r>
        <w:rPr>
          <w:caps w:val="false"/>
          <w:smallCaps w:val="false"/>
        </w:rPr>
        <w:t> </w:t>
      </w:r>
    </w:p>
    <w:tbl>
      <w:tblPr>
        <w:tblW w:w="8353" w:type="dxa"/>
        <w:jc w:val="left"/>
        <w:tblInd w:w="0" w:type="dxa"/>
        <w:tblLayout w:type="fixed"/>
        <w:tblCellMar>
          <w:top w:w="0" w:type="dxa"/>
          <w:left w:w="0" w:type="dxa"/>
          <w:bottom w:w="0" w:type="dxa"/>
          <w:right w:w="0" w:type="dxa"/>
        </w:tblCellMar>
      </w:tblPr>
      <w:tblGrid>
        <w:gridCol w:w="5270"/>
        <w:gridCol w:w="60"/>
        <w:gridCol w:w="65"/>
        <w:gridCol w:w="1349"/>
        <w:gridCol w:w="60"/>
        <w:gridCol w:w="60"/>
        <w:gridCol w:w="65"/>
        <w:gridCol w:w="1349"/>
        <w:gridCol w:w="75"/>
      </w:tblGrid>
      <w:tr>
        <w:trPr/>
        <w:tc>
          <w:tcPr>
            <w:tcW w:w="5270"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p>
        </w:tc>
        <w:tc>
          <w:tcPr>
            <w:tcW w:w="2948"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As of</w:t>
            </w:r>
          </w:p>
        </w:tc>
        <w:tc>
          <w:tcPr>
            <w:tcW w:w="75" w:type="dxa"/>
            <w:tcBorders/>
            <w:vAlign w:val="center"/>
          </w:tcPr>
          <w:p>
            <w:pPr>
              <w:pStyle w:val="TableContents"/>
              <w:bidi w:val="0"/>
              <w:spacing w:before="0" w:after="283"/>
              <w:jc w:val="left"/>
              <w:rPr/>
            </w:pPr>
            <w:r>
              <w:rPr/>
              <w:t> </w:t>
            </w:r>
          </w:p>
        </w:tc>
      </w:tr>
      <w:tr>
        <w:trPr/>
        <w:tc>
          <w:tcPr>
            <w:tcW w:w="5270"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p>
        </w:tc>
        <w:tc>
          <w:tcPr>
            <w:tcW w:w="1414" w:type="dxa"/>
            <w:gridSpan w:val="2"/>
            <w:tcBorders/>
            <w:vAlign w:val="center"/>
          </w:tcPr>
          <w:p>
            <w:pPr>
              <w:pStyle w:val="TableContents"/>
              <w:bidi w:val="0"/>
              <w:spacing w:before="0" w:after="283"/>
              <w:jc w:val="center"/>
              <w:rPr>
                <w:b/>
              </w:rPr>
            </w:pPr>
            <w:r>
              <w:rPr>
                <w:b/>
              </w:rPr>
              <w:t>December 28,</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14" w:type="dxa"/>
            <w:gridSpan w:val="2"/>
            <w:tcBorders/>
            <w:vAlign w:val="center"/>
          </w:tcPr>
          <w:p>
            <w:pPr>
              <w:pStyle w:val="TableContents"/>
              <w:bidi w:val="0"/>
              <w:spacing w:before="0" w:after="283"/>
              <w:jc w:val="center"/>
              <w:rPr>
                <w:b/>
              </w:rPr>
            </w:pPr>
            <w:r>
              <w:rPr>
                <w:b/>
              </w:rPr>
              <w:t>December 29,</w:t>
            </w:r>
          </w:p>
        </w:tc>
        <w:tc>
          <w:tcPr>
            <w:tcW w:w="75" w:type="dxa"/>
            <w:tcBorders/>
            <w:vAlign w:val="center"/>
          </w:tcPr>
          <w:p>
            <w:pPr>
              <w:pStyle w:val="TableContents"/>
              <w:bidi w:val="0"/>
              <w:spacing w:before="0" w:after="283"/>
              <w:jc w:val="left"/>
              <w:rPr/>
            </w:pPr>
            <w:r>
              <w:rPr/>
              <w:t> </w:t>
            </w:r>
          </w:p>
        </w:tc>
      </w:tr>
      <w:tr>
        <w:trPr/>
        <w:tc>
          <w:tcPr>
            <w:tcW w:w="5270"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p>
        </w:tc>
        <w:tc>
          <w:tcPr>
            <w:tcW w:w="1414"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14"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2024</w:t>
            </w:r>
          </w:p>
        </w:tc>
        <w:tc>
          <w:tcPr>
            <w:tcW w:w="75" w:type="dxa"/>
            <w:tcBorders/>
            <w:vAlign w:val="center"/>
          </w:tcPr>
          <w:p>
            <w:pPr>
              <w:pStyle w:val="TableContents"/>
              <w:bidi w:val="0"/>
              <w:spacing w:before="0" w:after="283"/>
              <w:jc w:val="left"/>
              <w:rPr/>
            </w:pPr>
            <w:r>
              <w:rPr/>
              <w:t> </w:t>
            </w:r>
          </w:p>
        </w:tc>
      </w:tr>
      <w:tr>
        <w:trPr/>
        <w:tc>
          <w:tcPr>
            <w:tcW w:w="5270" w:type="dxa"/>
            <w:tcBorders/>
            <w:shd w:fill="CCEEFF" w:val="clear"/>
            <w:vAlign w:val="center"/>
          </w:tcPr>
          <w:p>
            <w:pPr>
              <w:pStyle w:val="TableContents"/>
              <w:bidi w:val="0"/>
              <w:spacing w:before="0" w:after="283"/>
              <w:jc w:val="both"/>
              <w:rPr/>
            </w:pPr>
            <w:r>
              <w:rPr/>
              <w:t>Common stock warrants</w:t>
            </w:r>
          </w:p>
        </w:tc>
        <w:tc>
          <w:tcPr>
            <w:tcW w:w="60"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jc w:val="left"/>
              <w:rPr/>
            </w:pPr>
            <w:r>
              <w:rPr/>
              <w:t> </w:t>
            </w:r>
          </w:p>
        </w:tc>
        <w:tc>
          <w:tcPr>
            <w:tcW w:w="1349" w:type="dxa"/>
            <w:tcBorders/>
            <w:shd w:fill="CCEEFF" w:val="clear"/>
            <w:vAlign w:val="center"/>
          </w:tcPr>
          <w:p>
            <w:pPr>
              <w:pStyle w:val="TableContents"/>
              <w:bidi w:val="0"/>
              <w:spacing w:before="0" w:after="283"/>
              <w:jc w:val="right"/>
              <w:rPr/>
            </w:pPr>
            <w:r>
              <w:rPr/>
              <w:t>25,670,265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jc w:val="left"/>
              <w:rPr/>
            </w:pPr>
            <w:r>
              <w:rPr/>
              <w:t> </w:t>
            </w:r>
          </w:p>
        </w:tc>
        <w:tc>
          <w:tcPr>
            <w:tcW w:w="1349" w:type="dxa"/>
            <w:tcBorders/>
            <w:shd w:fill="CCEEFF" w:val="clear"/>
            <w:vAlign w:val="center"/>
          </w:tcPr>
          <w:p>
            <w:pPr>
              <w:pStyle w:val="TableContents"/>
              <w:bidi w:val="0"/>
              <w:spacing w:before="0" w:after="283"/>
              <w:jc w:val="right"/>
              <w:rPr/>
            </w:pPr>
            <w:r>
              <w:rPr/>
              <w:t>31,670,265</w:t>
            </w:r>
          </w:p>
        </w:tc>
        <w:tc>
          <w:tcPr>
            <w:tcW w:w="75" w:type="dxa"/>
            <w:tcBorders/>
            <w:shd w:fill="CCEEFF" w:val="clear"/>
            <w:vAlign w:val="center"/>
          </w:tcPr>
          <w:p>
            <w:pPr>
              <w:pStyle w:val="TableContents"/>
              <w:bidi w:val="0"/>
              <w:spacing w:before="0" w:after="283"/>
              <w:jc w:val="left"/>
              <w:rPr/>
            </w:pPr>
            <w:r>
              <w:rPr/>
              <w:t> </w:t>
            </w:r>
          </w:p>
        </w:tc>
      </w:tr>
      <w:tr>
        <w:trPr/>
        <w:tc>
          <w:tcPr>
            <w:tcW w:w="5270" w:type="dxa"/>
            <w:tcBorders/>
            <w:shd w:fill="FFFFFF" w:val="clear"/>
            <w:vAlign w:val="center"/>
          </w:tcPr>
          <w:p>
            <w:pPr>
              <w:pStyle w:val="TableContents"/>
              <w:bidi w:val="0"/>
              <w:spacing w:before="0" w:after="283"/>
              <w:jc w:val="both"/>
              <w:rPr/>
            </w:pPr>
            <w:r>
              <w:rPr/>
              <w:t>Employee stock purchase plan</w:t>
            </w:r>
          </w:p>
        </w:tc>
        <w:tc>
          <w:tcPr>
            <w:tcW w:w="60" w:type="dxa"/>
            <w:tcBorders/>
            <w:shd w:fill="FFFFFF" w:val="clear"/>
            <w:vAlign w:val="center"/>
          </w:tcPr>
          <w:p>
            <w:pPr>
              <w:pStyle w:val="TableContents"/>
              <w:bidi w:val="0"/>
              <w:spacing w:before="0" w:after="283"/>
              <w:jc w:val="left"/>
              <w:rPr/>
            </w:pPr>
            <w:r>
              <w:rPr/>
              <w:t> </w:t>
            </w:r>
          </w:p>
        </w:tc>
        <w:tc>
          <w:tcPr>
            <w:tcW w:w="65" w:type="dxa"/>
            <w:tcBorders/>
            <w:shd w:fill="FFFFFF" w:val="clear"/>
            <w:vAlign w:val="center"/>
          </w:tcPr>
          <w:p>
            <w:pPr>
              <w:pStyle w:val="TableContents"/>
              <w:bidi w:val="0"/>
              <w:spacing w:before="0" w:after="283"/>
              <w:jc w:val="left"/>
              <w:rPr/>
            </w:pPr>
            <w:r>
              <w:rPr/>
              <w:t> </w:t>
            </w:r>
          </w:p>
        </w:tc>
        <w:tc>
          <w:tcPr>
            <w:tcW w:w="1349" w:type="dxa"/>
            <w:tcBorders/>
            <w:shd w:fill="FFFFFF" w:val="clear"/>
            <w:vAlign w:val="center"/>
          </w:tcPr>
          <w:p>
            <w:pPr>
              <w:pStyle w:val="TableContents"/>
              <w:bidi w:val="0"/>
              <w:spacing w:before="0" w:after="283"/>
              <w:jc w:val="right"/>
              <w:rPr/>
            </w:pPr>
            <w:r>
              <w:rPr/>
              <w:t>3,174,434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5" w:type="dxa"/>
            <w:tcBorders/>
            <w:shd w:fill="FFFFFF" w:val="clear"/>
            <w:vAlign w:val="center"/>
          </w:tcPr>
          <w:p>
            <w:pPr>
              <w:pStyle w:val="TableContents"/>
              <w:bidi w:val="0"/>
              <w:spacing w:before="0" w:after="283"/>
              <w:jc w:val="left"/>
              <w:rPr/>
            </w:pPr>
            <w:r>
              <w:rPr/>
              <w:t> </w:t>
            </w:r>
          </w:p>
        </w:tc>
        <w:tc>
          <w:tcPr>
            <w:tcW w:w="1349" w:type="dxa"/>
            <w:tcBorders/>
            <w:shd w:fill="FFFFFF" w:val="clear"/>
            <w:vAlign w:val="center"/>
          </w:tcPr>
          <w:p>
            <w:pPr>
              <w:pStyle w:val="TableContents"/>
              <w:bidi w:val="0"/>
              <w:spacing w:before="0" w:after="283"/>
              <w:jc w:val="right"/>
              <w:rPr/>
            </w:pPr>
            <w:r>
              <w:rPr/>
              <w:t>2,628,996</w:t>
            </w:r>
          </w:p>
        </w:tc>
        <w:tc>
          <w:tcPr>
            <w:tcW w:w="75" w:type="dxa"/>
            <w:tcBorders/>
            <w:shd w:fill="FFFFFF" w:val="clear"/>
            <w:vAlign w:val="center"/>
          </w:tcPr>
          <w:p>
            <w:pPr>
              <w:pStyle w:val="TableContents"/>
              <w:bidi w:val="0"/>
              <w:spacing w:before="0" w:after="283"/>
              <w:jc w:val="left"/>
              <w:rPr/>
            </w:pPr>
            <w:r>
              <w:rPr/>
              <w:t> </w:t>
            </w:r>
          </w:p>
        </w:tc>
      </w:tr>
      <w:tr>
        <w:trPr/>
        <w:tc>
          <w:tcPr>
            <w:tcW w:w="5270" w:type="dxa"/>
            <w:tcBorders/>
            <w:shd w:fill="CCEEFF" w:val="clear"/>
            <w:vAlign w:val="center"/>
          </w:tcPr>
          <w:p>
            <w:pPr>
              <w:pStyle w:val="TableContents"/>
              <w:bidi w:val="0"/>
              <w:spacing w:before="0" w:after="283"/>
              <w:jc w:val="both"/>
              <w:rPr/>
            </w:pPr>
            <w:r>
              <w:rPr/>
              <w:t>Stock options and RSUs, issued and outstanding</w:t>
            </w:r>
          </w:p>
        </w:tc>
        <w:tc>
          <w:tcPr>
            <w:tcW w:w="60"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jc w:val="left"/>
              <w:rPr/>
            </w:pPr>
            <w:r>
              <w:rPr/>
              <w:t> </w:t>
            </w:r>
          </w:p>
        </w:tc>
        <w:tc>
          <w:tcPr>
            <w:tcW w:w="1349" w:type="dxa"/>
            <w:tcBorders/>
            <w:shd w:fill="CCEEFF" w:val="clear"/>
            <w:vAlign w:val="center"/>
          </w:tcPr>
          <w:p>
            <w:pPr>
              <w:pStyle w:val="TableContents"/>
              <w:bidi w:val="0"/>
              <w:spacing w:before="0" w:after="283"/>
              <w:jc w:val="right"/>
              <w:rPr/>
            </w:pPr>
            <w:r>
              <w:rPr/>
              <w:t>19,164,660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jc w:val="left"/>
              <w:rPr/>
            </w:pPr>
            <w:r>
              <w:rPr/>
              <w:t> </w:t>
            </w:r>
          </w:p>
        </w:tc>
        <w:tc>
          <w:tcPr>
            <w:tcW w:w="1349" w:type="dxa"/>
            <w:tcBorders/>
            <w:shd w:fill="CCEEFF" w:val="clear"/>
            <w:vAlign w:val="center"/>
          </w:tcPr>
          <w:p>
            <w:pPr>
              <w:pStyle w:val="TableContents"/>
              <w:bidi w:val="0"/>
              <w:spacing w:before="0" w:after="283"/>
              <w:jc w:val="right"/>
              <w:rPr/>
            </w:pPr>
            <w:r>
              <w:rPr/>
              <w:t>11,979,368</w:t>
            </w:r>
          </w:p>
        </w:tc>
        <w:tc>
          <w:tcPr>
            <w:tcW w:w="75" w:type="dxa"/>
            <w:tcBorders/>
            <w:shd w:fill="CCEEFF" w:val="clear"/>
            <w:vAlign w:val="center"/>
          </w:tcPr>
          <w:p>
            <w:pPr>
              <w:pStyle w:val="TableContents"/>
              <w:bidi w:val="0"/>
              <w:spacing w:before="0" w:after="283"/>
              <w:jc w:val="left"/>
              <w:rPr/>
            </w:pPr>
            <w:r>
              <w:rPr/>
              <w:t> </w:t>
            </w:r>
          </w:p>
        </w:tc>
      </w:tr>
      <w:tr>
        <w:trPr/>
        <w:tc>
          <w:tcPr>
            <w:tcW w:w="5270" w:type="dxa"/>
            <w:tcBorders/>
            <w:shd w:fill="FFFFFF" w:val="clear"/>
            <w:vAlign w:val="center"/>
          </w:tcPr>
          <w:p>
            <w:pPr>
              <w:pStyle w:val="TableContents"/>
              <w:bidi w:val="0"/>
              <w:spacing w:before="0" w:after="283"/>
              <w:jc w:val="both"/>
              <w:rPr/>
            </w:pPr>
            <w:r>
              <w:rPr/>
              <w:t>Stock options and RSUs, authorized for future issuance</w:t>
            </w:r>
          </w:p>
        </w:tc>
        <w:tc>
          <w:tcPr>
            <w:tcW w:w="60" w:type="dxa"/>
            <w:tcBorders/>
            <w:shd w:fill="FFFFFF" w:val="clear"/>
            <w:vAlign w:val="center"/>
          </w:tcPr>
          <w:p>
            <w:pPr>
              <w:pStyle w:val="TableContents"/>
              <w:bidi w:val="0"/>
              <w:spacing w:before="0" w:after="283"/>
              <w:jc w:val="left"/>
              <w:rPr/>
            </w:pPr>
            <w:r>
              <w:rPr/>
              <w:t> </w:t>
            </w:r>
          </w:p>
        </w:tc>
        <w:tc>
          <w:tcPr>
            <w:tcW w:w="65" w:type="dxa"/>
            <w:tcBorders/>
            <w:shd w:fill="FFFFFF" w:val="clear"/>
            <w:vAlign w:val="center"/>
          </w:tcPr>
          <w:p>
            <w:pPr>
              <w:pStyle w:val="TableContents"/>
              <w:bidi w:val="0"/>
              <w:spacing w:before="0" w:after="283"/>
              <w:jc w:val="left"/>
              <w:rPr/>
            </w:pPr>
            <w:r>
              <w:rPr/>
              <w:t> </w:t>
            </w:r>
          </w:p>
        </w:tc>
        <w:tc>
          <w:tcPr>
            <w:tcW w:w="1349" w:type="dxa"/>
            <w:tcBorders/>
            <w:shd w:fill="FFFFFF" w:val="clear"/>
            <w:vAlign w:val="center"/>
          </w:tcPr>
          <w:p>
            <w:pPr>
              <w:pStyle w:val="TableContents"/>
              <w:bidi w:val="0"/>
              <w:spacing w:before="0" w:after="283"/>
              <w:jc w:val="right"/>
              <w:rPr/>
            </w:pPr>
            <w:r>
              <w:rPr/>
              <w:t>11,603,508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5" w:type="dxa"/>
            <w:tcBorders/>
            <w:shd w:fill="FFFFFF" w:val="clear"/>
            <w:vAlign w:val="center"/>
          </w:tcPr>
          <w:p>
            <w:pPr>
              <w:pStyle w:val="TableContents"/>
              <w:bidi w:val="0"/>
              <w:spacing w:before="0" w:after="283"/>
              <w:jc w:val="left"/>
              <w:rPr/>
            </w:pPr>
            <w:r>
              <w:rPr/>
              <w:t> </w:t>
            </w:r>
          </w:p>
        </w:tc>
        <w:tc>
          <w:tcPr>
            <w:tcW w:w="1349" w:type="dxa"/>
            <w:tcBorders/>
            <w:shd w:fill="FFFFFF" w:val="clear"/>
            <w:vAlign w:val="center"/>
          </w:tcPr>
          <w:p>
            <w:pPr>
              <w:pStyle w:val="TableContents"/>
              <w:bidi w:val="0"/>
              <w:spacing w:before="0" w:after="283"/>
              <w:jc w:val="right"/>
              <w:rPr/>
            </w:pPr>
            <w:r>
              <w:rPr/>
              <w:t>2,577,895</w:t>
            </w:r>
          </w:p>
        </w:tc>
        <w:tc>
          <w:tcPr>
            <w:tcW w:w="75" w:type="dxa"/>
            <w:tcBorders/>
            <w:shd w:fill="FFFFFF" w:val="clear"/>
            <w:vAlign w:val="center"/>
          </w:tcPr>
          <w:p>
            <w:pPr>
              <w:pStyle w:val="TableContents"/>
              <w:bidi w:val="0"/>
              <w:spacing w:before="0" w:after="283"/>
              <w:jc w:val="left"/>
              <w:rPr/>
            </w:pPr>
            <w:r>
              <w:rPr/>
              <w:t> </w:t>
            </w:r>
          </w:p>
        </w:tc>
      </w:tr>
      <w:tr>
        <w:trPr/>
        <w:tc>
          <w:tcPr>
            <w:tcW w:w="5270" w:type="dxa"/>
            <w:tcBorders/>
            <w:shd w:fill="CCEEFF" w:val="clear"/>
            <w:vAlign w:val="center"/>
          </w:tcPr>
          <w:p>
            <w:pPr>
              <w:pStyle w:val="TableContents"/>
              <w:bidi w:val="0"/>
              <w:spacing w:before="0" w:after="283"/>
              <w:jc w:val="both"/>
              <w:rPr/>
            </w:pPr>
            <w:r>
              <w:rPr/>
              <w:t>SAFE Agreement</w:t>
            </w:r>
          </w:p>
        </w:tc>
        <w:tc>
          <w:tcPr>
            <w:tcW w:w="60"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jc w:val="left"/>
              <w:rPr/>
            </w:pPr>
            <w:r>
              <w:rPr/>
              <w:t> </w:t>
            </w:r>
          </w:p>
        </w:tc>
        <w:tc>
          <w:tcPr>
            <w:tcW w:w="1349" w:type="dxa"/>
            <w:tcBorders/>
            <w:shd w:fill="CCEEFF" w:val="clear"/>
            <w:vAlign w:val="center"/>
          </w:tcPr>
          <w:p>
            <w:pPr>
              <w:pStyle w:val="TableContents"/>
              <w:bidi w:val="0"/>
              <w:spacing w:before="0" w:after="283"/>
              <w:jc w:val="right"/>
              <w:rPr/>
            </w:pPr>
            <w:r>
              <w:rPr/>
              <w:t>2,750,000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jc w:val="left"/>
              <w:rPr/>
            </w:pPr>
            <w:r>
              <w:rPr/>
              <w:t> </w:t>
            </w:r>
          </w:p>
        </w:tc>
        <w:tc>
          <w:tcPr>
            <w:tcW w:w="1349" w:type="dxa"/>
            <w:tcBorders/>
            <w:shd w:fill="CCEEFF" w:val="clear"/>
            <w:vAlign w:val="center"/>
          </w:tcPr>
          <w:p>
            <w:pPr>
              <w:pStyle w:val="TableContents"/>
              <w:bidi w:val="0"/>
              <w:spacing w:before="0" w:after="283"/>
              <w:jc w:val="right"/>
              <w:rPr/>
            </w:pPr>
            <w:r>
              <w:rPr/>
              <w:t>2,750,000</w:t>
            </w:r>
          </w:p>
        </w:tc>
        <w:tc>
          <w:tcPr>
            <w:tcW w:w="75" w:type="dxa"/>
            <w:tcBorders/>
            <w:shd w:fill="CCEEFF" w:val="clear"/>
            <w:vAlign w:val="center"/>
          </w:tcPr>
          <w:p>
            <w:pPr>
              <w:pStyle w:val="TableContents"/>
              <w:bidi w:val="0"/>
              <w:spacing w:before="0" w:after="283"/>
              <w:jc w:val="left"/>
              <w:rPr/>
            </w:pPr>
            <w:r>
              <w:rPr/>
              <w:t> </w:t>
            </w:r>
          </w:p>
        </w:tc>
      </w:tr>
      <w:tr>
        <w:trPr/>
        <w:tc>
          <w:tcPr>
            <w:tcW w:w="5270" w:type="dxa"/>
            <w:tcBorders/>
            <w:shd w:fill="FFFFFF" w:val="clear"/>
            <w:vAlign w:val="center"/>
          </w:tcPr>
          <w:p>
            <w:pPr>
              <w:pStyle w:val="TableContents"/>
              <w:bidi w:val="0"/>
              <w:spacing w:before="0" w:after="283"/>
              <w:jc w:val="both"/>
              <w:rPr/>
            </w:pPr>
            <w:r>
              <w:rPr/>
              <w:t>Forward purchase agreements</w:t>
            </w:r>
          </w:p>
        </w:tc>
        <w:tc>
          <w:tcPr>
            <w:tcW w:w="60" w:type="dxa"/>
            <w:tcBorders/>
            <w:shd w:fill="FFFFFF" w:val="clear"/>
            <w:vAlign w:val="center"/>
          </w:tcPr>
          <w:p>
            <w:pPr>
              <w:pStyle w:val="TableContents"/>
              <w:bidi w:val="0"/>
              <w:spacing w:before="0" w:after="283"/>
              <w:jc w:val="left"/>
              <w:rPr/>
            </w:pPr>
            <w:r>
              <w:rPr/>
              <w:t> </w:t>
            </w:r>
          </w:p>
        </w:tc>
        <w:tc>
          <w:tcPr>
            <w:tcW w:w="65" w:type="dxa"/>
            <w:tcBorders/>
            <w:shd w:fill="FFFFFF" w:val="clear"/>
            <w:vAlign w:val="center"/>
          </w:tcPr>
          <w:p>
            <w:pPr>
              <w:pStyle w:val="TableContents"/>
              <w:bidi w:val="0"/>
              <w:spacing w:before="0" w:after="283"/>
              <w:jc w:val="left"/>
              <w:rPr/>
            </w:pPr>
            <w:r>
              <w:rPr/>
              <w:t> </w:t>
            </w:r>
          </w:p>
        </w:tc>
        <w:tc>
          <w:tcPr>
            <w:tcW w:w="1349" w:type="dxa"/>
            <w:tcBorders/>
            <w:shd w:fill="FFFFFF" w:val="clear"/>
            <w:vAlign w:val="center"/>
          </w:tcPr>
          <w:p>
            <w:pPr>
              <w:pStyle w:val="TableContents"/>
              <w:bidi w:val="0"/>
              <w:spacing w:before="0" w:after="283"/>
              <w:jc w:val="right"/>
              <w:rPr/>
            </w:pPr>
            <w:r>
              <w:rPr/>
              <w:t>6,720,000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5" w:type="dxa"/>
            <w:tcBorders/>
            <w:shd w:fill="FFFFFF" w:val="clear"/>
            <w:vAlign w:val="center"/>
          </w:tcPr>
          <w:p>
            <w:pPr>
              <w:pStyle w:val="TableContents"/>
              <w:bidi w:val="0"/>
              <w:spacing w:before="0" w:after="283"/>
              <w:jc w:val="left"/>
              <w:rPr/>
            </w:pPr>
            <w:r>
              <w:rPr/>
              <w:t> </w:t>
            </w:r>
          </w:p>
        </w:tc>
        <w:tc>
          <w:tcPr>
            <w:tcW w:w="1349" w:type="dxa"/>
            <w:tcBorders/>
            <w:shd w:fill="FFFFFF" w:val="clear"/>
            <w:vAlign w:val="center"/>
          </w:tcPr>
          <w:p>
            <w:pPr>
              <w:pStyle w:val="TableContents"/>
              <w:bidi w:val="0"/>
              <w:spacing w:before="0" w:after="283"/>
              <w:jc w:val="right"/>
              <w:rPr/>
            </w:pPr>
            <w:r>
              <w:rPr/>
              <w:t>6,720,000</w:t>
            </w:r>
          </w:p>
        </w:tc>
        <w:tc>
          <w:tcPr>
            <w:tcW w:w="75" w:type="dxa"/>
            <w:tcBorders/>
            <w:shd w:fill="FFFFFF" w:val="clear"/>
            <w:vAlign w:val="center"/>
          </w:tcPr>
          <w:p>
            <w:pPr>
              <w:pStyle w:val="TableContents"/>
              <w:bidi w:val="0"/>
              <w:spacing w:before="0" w:after="283"/>
              <w:jc w:val="left"/>
              <w:rPr/>
            </w:pPr>
            <w:r>
              <w:rPr/>
              <w:t> </w:t>
            </w:r>
          </w:p>
        </w:tc>
      </w:tr>
      <w:tr>
        <w:trPr/>
        <w:tc>
          <w:tcPr>
            <w:tcW w:w="5270" w:type="dxa"/>
            <w:tcBorders/>
            <w:shd w:fill="CCEEFF" w:val="clear"/>
            <w:vAlign w:val="center"/>
          </w:tcPr>
          <w:p>
            <w:pPr>
              <w:pStyle w:val="TableContents"/>
              <w:bidi w:val="0"/>
              <w:spacing w:before="0" w:after="283"/>
              <w:jc w:val="both"/>
              <w:rPr/>
            </w:pPr>
            <w:r>
              <w:rPr/>
              <w:t>Convertible notes</w:t>
            </w:r>
          </w:p>
        </w:tc>
        <w:tc>
          <w:tcPr>
            <w:tcW w:w="60"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jc w:val="left"/>
              <w:rPr/>
            </w:pPr>
            <w:r>
              <w:rPr/>
              <w:t> </w:t>
            </w:r>
          </w:p>
        </w:tc>
        <w:tc>
          <w:tcPr>
            <w:tcW w:w="1349" w:type="dxa"/>
            <w:tcBorders/>
            <w:shd w:fill="CCEEFF" w:val="clear"/>
            <w:vAlign w:val="center"/>
          </w:tcPr>
          <w:p>
            <w:pPr>
              <w:pStyle w:val="TableContents"/>
              <w:bidi w:val="0"/>
              <w:spacing w:before="0" w:after="283"/>
              <w:jc w:val="right"/>
              <w:rPr/>
            </w:pPr>
            <w:r>
              <w:rPr/>
              <w:t>82,460,428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jc w:val="left"/>
              <w:rPr/>
            </w:pPr>
            <w:r>
              <w:rPr/>
              <w:t> </w:t>
            </w:r>
          </w:p>
        </w:tc>
        <w:tc>
          <w:tcPr>
            <w:tcW w:w="1349" w:type="dxa"/>
            <w:tcBorders/>
            <w:shd w:fill="CCEEFF" w:val="clear"/>
            <w:vAlign w:val="center"/>
          </w:tcPr>
          <w:p>
            <w:pPr>
              <w:pStyle w:val="TableContents"/>
              <w:bidi w:val="0"/>
              <w:spacing w:before="0" w:after="283"/>
              <w:jc w:val="right"/>
              <w:rPr/>
            </w:pPr>
            <w:r>
              <w:rPr/>
              <w:t>58,579,636</w:t>
            </w:r>
          </w:p>
        </w:tc>
        <w:tc>
          <w:tcPr>
            <w:tcW w:w="75" w:type="dxa"/>
            <w:tcBorders/>
            <w:shd w:fill="CCEEFF" w:val="clear"/>
            <w:vAlign w:val="center"/>
          </w:tcPr>
          <w:p>
            <w:pPr>
              <w:pStyle w:val="TableContents"/>
              <w:bidi w:val="0"/>
              <w:spacing w:before="0" w:after="283"/>
              <w:jc w:val="left"/>
              <w:rPr/>
            </w:pPr>
            <w:r>
              <w:rPr/>
              <w:t> </w:t>
            </w:r>
          </w:p>
        </w:tc>
      </w:tr>
      <w:tr>
        <w:trPr/>
        <w:tc>
          <w:tcPr>
            <w:tcW w:w="5270" w:type="dxa"/>
            <w:tcBorders/>
            <w:shd w:fill="FFFFFF" w:val="clear"/>
            <w:vAlign w:val="center"/>
          </w:tcPr>
          <w:p>
            <w:pPr>
              <w:pStyle w:val="TableContents"/>
              <w:bidi w:val="0"/>
              <w:spacing w:before="0" w:after="283"/>
              <w:jc w:val="both"/>
              <w:rPr/>
            </w:pPr>
            <w:r>
              <w:rPr/>
              <w:t>Deferred purchase price consideration</w:t>
            </w:r>
          </w:p>
        </w:tc>
        <w:tc>
          <w:tcPr>
            <w:tcW w:w="60" w:type="dxa"/>
            <w:tcBorders/>
            <w:shd w:fill="FFFFFF" w:val="clear"/>
            <w:vAlign w:val="center"/>
          </w:tcPr>
          <w:p>
            <w:pPr>
              <w:pStyle w:val="TableContents"/>
              <w:bidi w:val="0"/>
              <w:spacing w:before="0" w:after="283"/>
              <w:jc w:val="left"/>
              <w:rPr/>
            </w:pPr>
            <w:r>
              <w:rPr/>
              <w:t> </w:t>
            </w:r>
          </w:p>
        </w:tc>
        <w:tc>
          <w:tcPr>
            <w:tcW w:w="65"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349" w:type="dxa"/>
            <w:tcBorders>
              <w:bottom w:val="single" w:sz="12" w:space="0" w:color="000000"/>
            </w:tcBorders>
            <w:shd w:fill="FFFFFF" w:val="clear"/>
            <w:tcMar>
              <w:bottom w:w="28" w:type="dxa"/>
            </w:tcMar>
            <w:vAlign w:val="center"/>
          </w:tcPr>
          <w:p>
            <w:pPr>
              <w:pStyle w:val="TableContents"/>
              <w:bidi w:val="0"/>
              <w:spacing w:before="0" w:after="283"/>
              <w:jc w:val="right"/>
              <w:rPr/>
            </w:pPr>
            <w:r>
              <w:rPr/>
              <w:t>11,640,506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5"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349"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75" w:type="dxa"/>
            <w:tcBorders/>
            <w:shd w:fill="FFFFFF" w:val="clear"/>
            <w:vAlign w:val="center"/>
          </w:tcPr>
          <w:p>
            <w:pPr>
              <w:pStyle w:val="TableContents"/>
              <w:bidi w:val="0"/>
              <w:spacing w:before="0" w:after="283"/>
              <w:jc w:val="left"/>
              <w:rPr/>
            </w:pPr>
            <w:r>
              <w:rPr/>
              <w:t> </w:t>
            </w:r>
          </w:p>
        </w:tc>
      </w:tr>
      <w:tr>
        <w:trPr/>
        <w:tc>
          <w:tcPr>
            <w:tcW w:w="5270" w:type="dxa"/>
            <w:tcBorders/>
            <w:shd w:fill="CCEEFF" w:val="clear"/>
            <w:vAlign w:val="center"/>
          </w:tcPr>
          <w:p>
            <w:pPr>
              <w:pStyle w:val="TableContents"/>
              <w:bidi w:val="0"/>
              <w:spacing w:before="0" w:after="283"/>
              <w:jc w:val="both"/>
              <w:rPr/>
            </w:pPr>
            <w:r>
              <w:rPr/>
              <w:t>Total shares reserved</w:t>
            </w:r>
          </w:p>
        </w:tc>
        <w:tc>
          <w:tcPr>
            <w:tcW w:w="60" w:type="dxa"/>
            <w:tcBorders/>
            <w:shd w:fill="CCEEFF" w:val="clear"/>
            <w:vAlign w:val="center"/>
          </w:tcPr>
          <w:p>
            <w:pPr>
              <w:pStyle w:val="TableContents"/>
              <w:bidi w:val="0"/>
              <w:spacing w:before="0" w:after="283"/>
              <w:jc w:val="left"/>
              <w:rPr/>
            </w:pPr>
            <w:r>
              <w:rPr/>
              <w:t> </w:t>
            </w:r>
          </w:p>
        </w:tc>
        <w:tc>
          <w:tcPr>
            <w:tcW w:w="65"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1349" w:type="dxa"/>
            <w:tcBorders>
              <w:bottom w:val="double" w:sz="10" w:space="0" w:color="000000"/>
            </w:tcBorders>
            <w:shd w:fill="CCEEFF" w:val="clear"/>
            <w:tcMar>
              <w:bottom w:w="28" w:type="dxa"/>
            </w:tcMar>
            <w:vAlign w:val="center"/>
          </w:tcPr>
          <w:p>
            <w:pPr>
              <w:pStyle w:val="TableContents"/>
              <w:bidi w:val="0"/>
              <w:spacing w:before="0" w:after="283"/>
              <w:jc w:val="right"/>
              <w:rPr/>
            </w:pPr>
            <w:r>
              <w:rPr/>
              <w:t>163,183,801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5"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1349" w:type="dxa"/>
            <w:tcBorders>
              <w:bottom w:val="double" w:sz="10" w:space="0" w:color="000000"/>
            </w:tcBorders>
            <w:shd w:fill="CCEEFF" w:val="clear"/>
            <w:tcMar>
              <w:bottom w:w="28" w:type="dxa"/>
            </w:tcMar>
            <w:vAlign w:val="center"/>
          </w:tcPr>
          <w:p>
            <w:pPr>
              <w:pStyle w:val="TableContents"/>
              <w:bidi w:val="0"/>
              <w:spacing w:before="0" w:after="283"/>
              <w:jc w:val="right"/>
              <w:rPr/>
            </w:pPr>
            <w:r>
              <w:rPr/>
              <w:t>116,906,160</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(15) Stock-Based Compensation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July 2023, the Company’s Board of Directors adopted and stockholders approved the 2023 Incentive Equity Plan (the “2023 Plan”). The 2023 Plan became effective immediately upon the closing of the Amended and Restated Business Combination Agreement. Initially, a maximum number of 8,763,322 shares of the Company’s common stock may be issued under the 2023 Plan. In addition, the number of shares of the Company’s common stock reserved for issuance under the 2023 Plan automatically increases on January 1 of each year, effective January 1, 2024 through January 1, 2033, in an amount equal to the lesser of (1) 4% of the total number of shares of the Company’s common stock outstanding on December 31 of the preceding year, or (2) a lesser number of shares of the Company’s common stock determined by the Company’s Board of Directors prior to the date of the increase. The maximum number of shares of the Company’s common stock that may be issued on the exercise of incentive stock options (“ISOs”) under the 2023 Plan is three times the number of shares available for issuance upon the 2023 Plan becoming effective (or 26,289,966 shares).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sz w:val="20"/>
          <w:bdr w:val="single" w:sz="12" w:space="1" w:color="000000"/>
        </w:rPr>
      </w:pPr>
      <w:r>
        <w:rPr>
          <w:sz w:val="20"/>
          <w:bdr w:val="single" w:sz="12" w:space="1" w:color="000000"/>
        </w:rPr>
        <w:t>F-103</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Historically, awards were granted under the Amended and Restated Complete Solaria Omnibus Incentive Plan (“2022 Plan”), the Complete Solar 2011 Stock Plan (“2011 Plan”), the Solaria Corporation 2016 Stock Plan (“2016 Plan”) and the Solaria Corporation 2006 Stock Plan (“2006 Plan”) (collectively with the 2023 Plan, “the Plans”). Under the Plans, the Company has granted service-based stock options and restricted stock units (“RSUs”). Compensation expense for stock options under the Company’s cliff vesting schedule is generally recognized equally over the vesting period of five years. RSUs granted during the fiscal year ended December 28, 2025 are also generally recognized under the cliff vesting schedule that is recognized equally over the vesting period of five years.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information below summarizes the stock option activity under the Plans.</w:t>
      </w:r>
    </w:p>
    <w:p>
      <w:pPr>
        <w:pStyle w:val="TextBody"/>
        <w:bidi w:val="0"/>
        <w:spacing w:before="0" w:after="0"/>
        <w:ind w:left="0" w:right="0" w:hanging="0"/>
        <w:jc w:val="both"/>
        <w:rPr>
          <w:caps w:val="false"/>
          <w:smallCaps w:val="false"/>
        </w:rPr>
      </w:pPr>
      <w:r>
        <w:rPr>
          <w:caps w:val="false"/>
          <w:smallCaps w:val="false"/>
        </w:rPr>
        <w:t> </w:t>
      </w:r>
    </w:p>
    <w:tbl>
      <w:tblPr>
        <w:tblW w:w="9975" w:type="dxa"/>
        <w:jc w:val="left"/>
        <w:tblInd w:w="0" w:type="dxa"/>
        <w:tblLayout w:type="fixed"/>
        <w:tblCellMar>
          <w:top w:w="0" w:type="dxa"/>
          <w:left w:w="0" w:type="dxa"/>
          <w:bottom w:w="0" w:type="dxa"/>
          <w:right w:w="0" w:type="dxa"/>
        </w:tblCellMar>
      </w:tblPr>
      <w:tblGrid>
        <w:gridCol w:w="4850"/>
        <w:gridCol w:w="60"/>
        <w:gridCol w:w="60"/>
        <w:gridCol w:w="1100"/>
        <w:gridCol w:w="95"/>
        <w:gridCol w:w="60"/>
        <w:gridCol w:w="240"/>
        <w:gridCol w:w="755"/>
        <w:gridCol w:w="60"/>
        <w:gridCol w:w="60"/>
        <w:gridCol w:w="150"/>
        <w:gridCol w:w="1100"/>
        <w:gridCol w:w="60"/>
        <w:gridCol w:w="60"/>
        <w:gridCol w:w="238"/>
        <w:gridCol w:w="952"/>
        <w:gridCol w:w="75"/>
      </w:tblGrid>
      <w:tr>
        <w:trPr/>
        <w:tc>
          <w:tcPr>
            <w:tcW w:w="485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16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Number of</w:t>
              <w:br/>
              <w:t>Shares</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9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Weighted</w:t>
              <w:br/>
              <w:t>Average</w:t>
              <w:br/>
              <w:t>Exercise</w:t>
              <w:br/>
              <w:t>Price per</w:t>
              <w:br/>
              <w:t>Share</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5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Weighted</w:t>
              <w:br/>
              <w:t>Average</w:t>
              <w:br/>
              <w:t>Contractual</w:t>
              <w:br/>
              <w:t>Term</w:t>
              <w:br/>
              <w:t>(Years)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90"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Aggregate</w:t>
              <w:br/>
              <w:t>Intrinsic</w:t>
              <w:br/>
              <w:t>Value</w:t>
              <w:br/>
            </w:r>
            <w:r>
              <w:rPr>
                <w:rFonts w:ascii="Times New Roman;Times;Serif" w:hAnsi="Times New Roman;Times;Serif"/>
                <w:b/>
                <w:i/>
                <w:sz w:val="20"/>
              </w:rPr>
              <w:t>(in thousands)</w:t>
            </w:r>
          </w:p>
        </w:tc>
        <w:tc>
          <w:tcPr>
            <w:tcW w:w="75" w:type="dxa"/>
            <w:tcBorders/>
            <w:vAlign w:val="center"/>
          </w:tcPr>
          <w:p>
            <w:pPr>
              <w:pStyle w:val="TableContents"/>
              <w:bidi w:val="0"/>
              <w:spacing w:before="0" w:after="283"/>
              <w:ind w:left="0" w:right="0" w:hanging="180"/>
              <w:jc w:val="left"/>
              <w:rPr/>
            </w:pPr>
            <w:r>
              <w:rPr/>
              <w:t> </w:t>
            </w:r>
          </w:p>
        </w:tc>
      </w:tr>
      <w:tr>
        <w:trPr/>
        <w:tc>
          <w:tcPr>
            <w:tcW w:w="4850" w:type="dxa"/>
            <w:tcBorders/>
            <w:shd w:fill="CCEEFF" w:val="clear"/>
            <w:vAlign w:val="center"/>
          </w:tcPr>
          <w:p>
            <w:pPr>
              <w:pStyle w:val="TableContents"/>
              <w:bidi w:val="0"/>
              <w:spacing w:before="0" w:after="283"/>
              <w:jc w:val="left"/>
              <w:rPr/>
            </w:pPr>
            <w:r>
              <w:rPr/>
              <w:t>Outstanding – December 31, 2023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11,716,646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0" w:type="dxa"/>
            <w:tcBorders/>
            <w:shd w:fill="CCEEFF" w:val="clear"/>
            <w:vAlign w:val="center"/>
          </w:tcPr>
          <w:p>
            <w:pPr>
              <w:pStyle w:val="TableContents"/>
              <w:bidi w:val="0"/>
              <w:spacing w:before="0" w:after="283"/>
              <w:jc w:val="left"/>
              <w:rPr/>
            </w:pPr>
            <w:r>
              <w:rPr/>
              <w:t>$</w:t>
            </w:r>
          </w:p>
        </w:tc>
        <w:tc>
          <w:tcPr>
            <w:tcW w:w="755" w:type="dxa"/>
            <w:tcBorders/>
            <w:shd w:fill="CCEEFF" w:val="clear"/>
            <w:vAlign w:val="center"/>
          </w:tcPr>
          <w:p>
            <w:pPr>
              <w:pStyle w:val="TableContents"/>
              <w:bidi w:val="0"/>
              <w:spacing w:before="0" w:after="283"/>
              <w:jc w:val="right"/>
              <w:rPr/>
            </w:pPr>
            <w:r>
              <w:rPr/>
              <w:t>3.48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8.53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8" w:type="dxa"/>
            <w:tcBorders/>
            <w:shd w:fill="CCEEFF" w:val="clear"/>
            <w:vAlign w:val="center"/>
          </w:tcPr>
          <w:p>
            <w:pPr>
              <w:pStyle w:val="TableContents"/>
              <w:bidi w:val="0"/>
              <w:spacing w:before="0" w:after="283"/>
              <w:jc w:val="left"/>
              <w:rPr/>
            </w:pPr>
            <w:r>
              <w:rPr/>
              <w:t>$</w:t>
            </w:r>
          </w:p>
        </w:tc>
        <w:tc>
          <w:tcPr>
            <w:tcW w:w="952" w:type="dxa"/>
            <w:tcBorders/>
            <w:shd w:fill="CCEEFF" w:val="clear"/>
            <w:vAlign w:val="center"/>
          </w:tcPr>
          <w:p>
            <w:pPr>
              <w:pStyle w:val="TableContents"/>
              <w:bidi w:val="0"/>
              <w:spacing w:before="0" w:after="283"/>
              <w:jc w:val="right"/>
              <w:rPr/>
            </w:pPr>
            <w:r>
              <w:rPr/>
              <w:t>2,756</w:t>
            </w:r>
          </w:p>
        </w:tc>
        <w:tc>
          <w:tcPr>
            <w:tcW w:w="75" w:type="dxa"/>
            <w:tcBorders/>
            <w:shd w:fill="CCEEFF" w:val="clear"/>
            <w:vAlign w:val="center"/>
          </w:tcPr>
          <w:p>
            <w:pPr>
              <w:pStyle w:val="TableContents"/>
              <w:bidi w:val="0"/>
              <w:spacing w:before="0" w:after="283"/>
              <w:ind w:left="0" w:right="0" w:hanging="180"/>
              <w:jc w:val="left"/>
              <w:rPr/>
            </w:pPr>
            <w:r>
              <w:rPr/>
              <w:t> </w:t>
            </w:r>
          </w:p>
        </w:tc>
      </w:tr>
      <w:tr>
        <w:trPr/>
        <w:tc>
          <w:tcPr>
            <w:tcW w:w="4850" w:type="dxa"/>
            <w:tcBorders/>
            <w:shd w:fill="FFFFFF" w:val="clear"/>
            <w:vAlign w:val="center"/>
          </w:tcPr>
          <w:p>
            <w:pPr>
              <w:pStyle w:val="TableContents"/>
              <w:bidi w:val="0"/>
              <w:spacing w:before="0" w:after="283"/>
              <w:jc w:val="left"/>
              <w:rPr/>
            </w:pPr>
            <w:r>
              <w:rPr/>
              <w:t>Options granted</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6,121,251</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0.93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8" w:type="dxa"/>
            <w:tcBorders/>
            <w:shd w:fill="FFFFFF" w:val="clear"/>
            <w:vAlign w:val="center"/>
          </w:tcPr>
          <w:p>
            <w:pPr>
              <w:pStyle w:val="TableContents"/>
              <w:bidi w:val="0"/>
              <w:spacing w:before="0" w:after="283"/>
              <w:jc w:val="left"/>
              <w:rPr/>
            </w:pPr>
            <w:r>
              <w:rPr/>
              <w:t> </w:t>
            </w:r>
          </w:p>
        </w:tc>
        <w:tc>
          <w:tcPr>
            <w:tcW w:w="952" w:type="dxa"/>
            <w:tcBorders/>
            <w:shd w:fill="FFFFFF" w:val="clear"/>
            <w:vAlign w:val="center"/>
          </w:tcPr>
          <w:p>
            <w:pPr>
              <w:pStyle w:val="TableContents"/>
              <w:bidi w:val="0"/>
              <w:spacing w:before="0" w:after="283"/>
              <w:jc w:val="right"/>
              <w:rPr/>
            </w:pPr>
            <w:r>
              <w:rPr/>
              <w:t> </w:t>
            </w:r>
          </w:p>
        </w:tc>
        <w:tc>
          <w:tcPr>
            <w:tcW w:w="75" w:type="dxa"/>
            <w:tcBorders/>
            <w:shd w:fill="FFFFFF" w:val="clear"/>
            <w:vAlign w:val="center"/>
          </w:tcPr>
          <w:p>
            <w:pPr>
              <w:pStyle w:val="TableContents"/>
              <w:bidi w:val="0"/>
              <w:spacing w:before="0" w:after="283"/>
              <w:ind w:left="0" w:right="0" w:hanging="180"/>
              <w:jc w:val="left"/>
              <w:rPr/>
            </w:pPr>
            <w:r>
              <w:rPr/>
              <w:t> </w:t>
            </w:r>
          </w:p>
        </w:tc>
      </w:tr>
      <w:tr>
        <w:trPr/>
        <w:tc>
          <w:tcPr>
            <w:tcW w:w="4850" w:type="dxa"/>
            <w:tcBorders/>
            <w:shd w:fill="CCEEFF" w:val="clear"/>
            <w:vAlign w:val="center"/>
          </w:tcPr>
          <w:p>
            <w:pPr>
              <w:pStyle w:val="TableContents"/>
              <w:bidi w:val="0"/>
              <w:spacing w:before="0" w:after="283"/>
              <w:jc w:val="left"/>
              <w:rPr/>
            </w:pPr>
            <w:r>
              <w:rPr/>
              <w:t>Options exercised</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(398,883</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2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0.77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8" w:type="dxa"/>
            <w:tcBorders/>
            <w:shd w:fill="CCEEFF" w:val="clear"/>
            <w:vAlign w:val="center"/>
          </w:tcPr>
          <w:p>
            <w:pPr>
              <w:pStyle w:val="TableContents"/>
              <w:bidi w:val="0"/>
              <w:spacing w:before="0" w:after="283"/>
              <w:jc w:val="left"/>
              <w:rPr/>
            </w:pPr>
            <w:r>
              <w:rPr/>
              <w:t> </w:t>
            </w:r>
          </w:p>
        </w:tc>
        <w:tc>
          <w:tcPr>
            <w:tcW w:w="952" w:type="dxa"/>
            <w:tcBorders/>
            <w:shd w:fill="CCEEFF" w:val="clear"/>
            <w:vAlign w:val="center"/>
          </w:tcPr>
          <w:p>
            <w:pPr>
              <w:pStyle w:val="TableContents"/>
              <w:bidi w:val="0"/>
              <w:spacing w:before="0" w:after="283"/>
              <w:jc w:val="right"/>
              <w:rPr/>
            </w:pPr>
            <w:r>
              <w:rPr/>
              <w:t>39</w:t>
            </w:r>
          </w:p>
        </w:tc>
        <w:tc>
          <w:tcPr>
            <w:tcW w:w="75" w:type="dxa"/>
            <w:tcBorders/>
            <w:shd w:fill="CCEEFF" w:val="clear"/>
            <w:vAlign w:val="center"/>
          </w:tcPr>
          <w:p>
            <w:pPr>
              <w:pStyle w:val="TableContents"/>
              <w:bidi w:val="0"/>
              <w:spacing w:before="0" w:after="283"/>
              <w:ind w:left="0" w:right="0" w:hanging="180"/>
              <w:jc w:val="left"/>
              <w:rPr/>
            </w:pPr>
            <w:r>
              <w:rPr/>
              <w:t> </w:t>
            </w:r>
          </w:p>
        </w:tc>
      </w:tr>
      <w:tr>
        <w:trPr/>
        <w:tc>
          <w:tcPr>
            <w:tcW w:w="4850" w:type="dxa"/>
            <w:tcBorders/>
            <w:shd w:fill="FFFFFF" w:val="clear"/>
            <w:vAlign w:val="center"/>
          </w:tcPr>
          <w:p>
            <w:pPr>
              <w:pStyle w:val="TableContents"/>
              <w:bidi w:val="0"/>
              <w:spacing w:before="0" w:after="283"/>
              <w:jc w:val="left"/>
              <w:rPr/>
            </w:pPr>
            <w:r>
              <w:rPr/>
              <w:t>Options cancelled</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single" w:sz="12" w:space="0" w:color="000000"/>
            </w:tcBorders>
            <w:shd w:fill="FFFFFF" w:val="clear"/>
            <w:tcMar>
              <w:bottom w:w="28" w:type="dxa"/>
            </w:tcMar>
            <w:vAlign w:val="center"/>
          </w:tcPr>
          <w:p>
            <w:pPr>
              <w:pStyle w:val="TableContents"/>
              <w:bidi w:val="0"/>
              <w:spacing w:before="0" w:after="283"/>
              <w:jc w:val="right"/>
              <w:rPr/>
            </w:pPr>
            <w:r>
              <w:rPr/>
              <w:t>(7,441,781</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2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0.17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8" w:type="dxa"/>
            <w:tcBorders/>
            <w:shd w:fill="FFFFFF" w:val="clear"/>
            <w:vAlign w:val="center"/>
          </w:tcPr>
          <w:p>
            <w:pPr>
              <w:pStyle w:val="TableContents"/>
              <w:bidi w:val="0"/>
              <w:spacing w:before="0" w:after="283"/>
              <w:jc w:val="left"/>
              <w:rPr/>
            </w:pPr>
            <w:r>
              <w:rPr/>
              <w:t> </w:t>
            </w:r>
          </w:p>
        </w:tc>
        <w:tc>
          <w:tcPr>
            <w:tcW w:w="952" w:type="dxa"/>
            <w:tcBorders/>
            <w:shd w:fill="FFFFFF" w:val="clear"/>
            <w:vAlign w:val="center"/>
          </w:tcPr>
          <w:p>
            <w:pPr>
              <w:pStyle w:val="TableContents"/>
              <w:bidi w:val="0"/>
              <w:spacing w:before="0" w:after="283"/>
              <w:jc w:val="right"/>
              <w:rPr/>
            </w:pPr>
            <w:r>
              <w:rPr/>
              <w:t> </w:t>
            </w:r>
          </w:p>
        </w:tc>
        <w:tc>
          <w:tcPr>
            <w:tcW w:w="75" w:type="dxa"/>
            <w:tcBorders/>
            <w:shd w:fill="FFFFFF" w:val="clear"/>
            <w:vAlign w:val="center"/>
          </w:tcPr>
          <w:p>
            <w:pPr>
              <w:pStyle w:val="TableContents"/>
              <w:bidi w:val="0"/>
              <w:spacing w:before="0" w:after="283"/>
              <w:ind w:left="0" w:right="0" w:hanging="180"/>
              <w:jc w:val="left"/>
              <w:rPr/>
            </w:pPr>
            <w:r>
              <w:rPr/>
              <w:t> </w:t>
            </w:r>
          </w:p>
        </w:tc>
      </w:tr>
      <w:tr>
        <w:trPr/>
        <w:tc>
          <w:tcPr>
            <w:tcW w:w="4850" w:type="dxa"/>
            <w:tcBorders/>
            <w:shd w:fill="CCEEFF" w:val="clear"/>
            <w:vAlign w:val="center"/>
          </w:tcPr>
          <w:p>
            <w:pPr>
              <w:pStyle w:val="TableContents"/>
              <w:bidi w:val="0"/>
              <w:spacing w:before="0" w:after="283"/>
              <w:jc w:val="left"/>
              <w:rPr/>
            </w:pPr>
            <w:r>
              <w:rPr/>
              <w:t>Outstanding – December 29, 2024</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single" w:sz="12" w:space="0" w:color="000000"/>
            </w:tcBorders>
            <w:shd w:fill="CCEEFF" w:val="clear"/>
            <w:tcMar>
              <w:bottom w:w="28" w:type="dxa"/>
            </w:tcMar>
            <w:vAlign w:val="center"/>
          </w:tcPr>
          <w:p>
            <w:pPr>
              <w:pStyle w:val="TableContents"/>
              <w:bidi w:val="0"/>
              <w:spacing w:before="0" w:after="283"/>
              <w:jc w:val="right"/>
              <w:rPr/>
            </w:pPr>
            <w:r>
              <w:rPr/>
              <w:t>9,997,233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2.77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5.29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8" w:type="dxa"/>
            <w:tcBorders/>
            <w:shd w:fill="CCEEFF" w:val="clear"/>
            <w:vAlign w:val="center"/>
          </w:tcPr>
          <w:p>
            <w:pPr>
              <w:pStyle w:val="TableContents"/>
              <w:bidi w:val="0"/>
              <w:spacing w:before="0" w:after="283"/>
              <w:jc w:val="left"/>
              <w:rPr/>
            </w:pPr>
            <w:r>
              <w:rPr/>
              <w:t> </w:t>
            </w:r>
          </w:p>
        </w:tc>
        <w:tc>
          <w:tcPr>
            <w:tcW w:w="952" w:type="dxa"/>
            <w:tcBorders/>
            <w:shd w:fill="CCEEFF" w:val="clear"/>
            <w:vAlign w:val="center"/>
          </w:tcPr>
          <w:p>
            <w:pPr>
              <w:pStyle w:val="TableContents"/>
              <w:bidi w:val="0"/>
              <w:spacing w:before="0" w:after="283"/>
              <w:jc w:val="right"/>
              <w:rPr/>
            </w:pPr>
            <w:r>
              <w:rPr/>
              <w:t>6,356</w:t>
            </w:r>
          </w:p>
        </w:tc>
        <w:tc>
          <w:tcPr>
            <w:tcW w:w="75" w:type="dxa"/>
            <w:tcBorders/>
            <w:shd w:fill="CCEEFF" w:val="clear"/>
            <w:vAlign w:val="center"/>
          </w:tcPr>
          <w:p>
            <w:pPr>
              <w:pStyle w:val="TableContents"/>
              <w:bidi w:val="0"/>
              <w:spacing w:before="0" w:after="283"/>
              <w:ind w:left="0" w:right="0" w:hanging="180"/>
              <w:jc w:val="left"/>
              <w:rPr/>
            </w:pPr>
            <w:r>
              <w:rPr/>
              <w:t> </w:t>
            </w:r>
          </w:p>
        </w:tc>
      </w:tr>
      <w:tr>
        <w:trPr/>
        <w:tc>
          <w:tcPr>
            <w:tcW w:w="4850" w:type="dxa"/>
            <w:tcBorders/>
            <w:shd w:fill="FFFFFF" w:val="clear"/>
            <w:vAlign w:val="center"/>
          </w:tcPr>
          <w:p>
            <w:pPr>
              <w:pStyle w:val="TableContents"/>
              <w:bidi w:val="0"/>
              <w:spacing w:before="0" w:after="283"/>
              <w:jc w:val="left"/>
              <w:rPr/>
            </w:pPr>
            <w:r>
              <w:rPr/>
              <w:t>Options granted</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8" w:type="dxa"/>
            <w:tcBorders/>
            <w:shd w:fill="FFFFFF" w:val="clear"/>
            <w:vAlign w:val="center"/>
          </w:tcPr>
          <w:p>
            <w:pPr>
              <w:pStyle w:val="TableContents"/>
              <w:bidi w:val="0"/>
              <w:spacing w:before="0" w:after="283"/>
              <w:jc w:val="left"/>
              <w:rPr/>
            </w:pPr>
            <w:r>
              <w:rPr/>
              <w:t> </w:t>
            </w:r>
          </w:p>
        </w:tc>
        <w:tc>
          <w:tcPr>
            <w:tcW w:w="952" w:type="dxa"/>
            <w:tcBorders/>
            <w:shd w:fill="FFFFFF" w:val="clear"/>
            <w:vAlign w:val="center"/>
          </w:tcPr>
          <w:p>
            <w:pPr>
              <w:pStyle w:val="TableContents"/>
              <w:bidi w:val="0"/>
              <w:spacing w:before="0" w:after="283"/>
              <w:jc w:val="right"/>
              <w:rPr/>
            </w:pPr>
            <w:r>
              <w:rPr/>
              <w:t> </w:t>
            </w:r>
          </w:p>
        </w:tc>
        <w:tc>
          <w:tcPr>
            <w:tcW w:w="75" w:type="dxa"/>
            <w:tcBorders/>
            <w:shd w:fill="FFFFFF" w:val="clear"/>
            <w:vAlign w:val="center"/>
          </w:tcPr>
          <w:p>
            <w:pPr>
              <w:pStyle w:val="TableContents"/>
              <w:bidi w:val="0"/>
              <w:spacing w:before="0" w:after="283"/>
              <w:ind w:left="0" w:right="0" w:hanging="180"/>
              <w:jc w:val="left"/>
              <w:rPr/>
            </w:pPr>
            <w:r>
              <w:rPr/>
              <w:t> </w:t>
            </w:r>
          </w:p>
        </w:tc>
      </w:tr>
      <w:tr>
        <w:trPr/>
        <w:tc>
          <w:tcPr>
            <w:tcW w:w="4850" w:type="dxa"/>
            <w:tcBorders/>
            <w:shd w:fill="CCEEFF" w:val="clear"/>
            <w:vAlign w:val="center"/>
          </w:tcPr>
          <w:p>
            <w:pPr>
              <w:pStyle w:val="TableContents"/>
              <w:bidi w:val="0"/>
              <w:spacing w:before="0" w:after="283"/>
              <w:jc w:val="left"/>
              <w:rPr/>
            </w:pPr>
            <w:r>
              <w:rPr/>
              <w:t>Options exercised</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(712,467</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2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0.72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8" w:type="dxa"/>
            <w:tcBorders/>
            <w:shd w:fill="CCEEFF" w:val="clear"/>
            <w:vAlign w:val="center"/>
          </w:tcPr>
          <w:p>
            <w:pPr>
              <w:pStyle w:val="TableContents"/>
              <w:bidi w:val="0"/>
              <w:spacing w:before="0" w:after="283"/>
              <w:jc w:val="left"/>
              <w:rPr/>
            </w:pPr>
            <w:r>
              <w:rPr/>
              <w:t> </w:t>
            </w:r>
          </w:p>
        </w:tc>
        <w:tc>
          <w:tcPr>
            <w:tcW w:w="952" w:type="dxa"/>
            <w:tcBorders/>
            <w:shd w:fill="CCEEFF" w:val="clear"/>
            <w:vAlign w:val="center"/>
          </w:tcPr>
          <w:p>
            <w:pPr>
              <w:pStyle w:val="TableContents"/>
              <w:bidi w:val="0"/>
              <w:spacing w:before="0" w:after="283"/>
              <w:jc w:val="right"/>
              <w:rPr/>
            </w:pPr>
            <w:r>
              <w:rPr/>
              <w:t>83</w:t>
            </w:r>
          </w:p>
        </w:tc>
        <w:tc>
          <w:tcPr>
            <w:tcW w:w="75" w:type="dxa"/>
            <w:tcBorders/>
            <w:shd w:fill="CCEEFF" w:val="clear"/>
            <w:vAlign w:val="center"/>
          </w:tcPr>
          <w:p>
            <w:pPr>
              <w:pStyle w:val="TableContents"/>
              <w:bidi w:val="0"/>
              <w:spacing w:before="0" w:after="283"/>
              <w:ind w:left="0" w:right="0" w:hanging="180"/>
              <w:jc w:val="left"/>
              <w:rPr/>
            </w:pPr>
            <w:r>
              <w:rPr/>
              <w:t> </w:t>
            </w:r>
          </w:p>
        </w:tc>
      </w:tr>
      <w:tr>
        <w:trPr/>
        <w:tc>
          <w:tcPr>
            <w:tcW w:w="4850" w:type="dxa"/>
            <w:tcBorders/>
            <w:shd w:fill="FFFFFF" w:val="clear"/>
            <w:vAlign w:val="center"/>
          </w:tcPr>
          <w:p>
            <w:pPr>
              <w:pStyle w:val="TableContents"/>
              <w:bidi w:val="0"/>
              <w:spacing w:before="0" w:after="283"/>
              <w:jc w:val="left"/>
              <w:rPr/>
            </w:pPr>
            <w:r>
              <w:rPr/>
              <w:t>Options cancelled</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single" w:sz="12" w:space="0" w:color="000000"/>
            </w:tcBorders>
            <w:shd w:fill="FFFFFF" w:val="clear"/>
            <w:tcMar>
              <w:bottom w:w="28" w:type="dxa"/>
            </w:tcMar>
            <w:vAlign w:val="center"/>
          </w:tcPr>
          <w:p>
            <w:pPr>
              <w:pStyle w:val="TableContents"/>
              <w:bidi w:val="0"/>
              <w:spacing w:before="0" w:after="283"/>
              <w:jc w:val="right"/>
              <w:rPr/>
            </w:pPr>
            <w:r>
              <w:rPr/>
              <w:t>(4,354,466</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2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2.69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8" w:type="dxa"/>
            <w:tcBorders/>
            <w:shd w:fill="FFFFFF" w:val="clear"/>
            <w:vAlign w:val="center"/>
          </w:tcPr>
          <w:p>
            <w:pPr>
              <w:pStyle w:val="TableContents"/>
              <w:bidi w:val="0"/>
              <w:spacing w:before="0" w:after="283"/>
              <w:jc w:val="left"/>
              <w:rPr/>
            </w:pPr>
            <w:r>
              <w:rPr/>
              <w:t> </w:t>
            </w:r>
          </w:p>
        </w:tc>
        <w:tc>
          <w:tcPr>
            <w:tcW w:w="952" w:type="dxa"/>
            <w:tcBorders/>
            <w:shd w:fill="FFFFFF" w:val="clear"/>
            <w:vAlign w:val="center"/>
          </w:tcPr>
          <w:p>
            <w:pPr>
              <w:pStyle w:val="TableContents"/>
              <w:bidi w:val="0"/>
              <w:spacing w:before="0" w:after="283"/>
              <w:jc w:val="right"/>
              <w:rPr/>
            </w:pPr>
            <w:r>
              <w:rPr/>
              <w:t> </w:t>
            </w:r>
          </w:p>
        </w:tc>
        <w:tc>
          <w:tcPr>
            <w:tcW w:w="75" w:type="dxa"/>
            <w:tcBorders/>
            <w:shd w:fill="FFFFFF" w:val="clear"/>
            <w:vAlign w:val="center"/>
          </w:tcPr>
          <w:p>
            <w:pPr>
              <w:pStyle w:val="TableContents"/>
              <w:bidi w:val="0"/>
              <w:spacing w:before="0" w:after="283"/>
              <w:ind w:left="0" w:right="0" w:hanging="180"/>
              <w:jc w:val="left"/>
              <w:rPr/>
            </w:pPr>
            <w:r>
              <w:rPr/>
              <w:t> </w:t>
            </w:r>
          </w:p>
        </w:tc>
      </w:tr>
      <w:tr>
        <w:trPr/>
        <w:tc>
          <w:tcPr>
            <w:tcW w:w="4850" w:type="dxa"/>
            <w:tcBorders/>
            <w:shd w:fill="CCEEFF" w:val="clear"/>
            <w:vAlign w:val="center"/>
          </w:tcPr>
          <w:p>
            <w:pPr>
              <w:pStyle w:val="TableContents"/>
              <w:bidi w:val="0"/>
              <w:spacing w:before="0" w:after="283"/>
              <w:jc w:val="left"/>
              <w:rPr/>
            </w:pPr>
            <w:r>
              <w:rPr/>
              <w:t>Outstanding – December 28, 2025</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double" w:sz="10" w:space="0" w:color="000000"/>
            </w:tcBorders>
            <w:shd w:fill="CCEEFF" w:val="clear"/>
            <w:tcMar>
              <w:bottom w:w="28" w:type="dxa"/>
            </w:tcMar>
            <w:vAlign w:val="center"/>
          </w:tcPr>
          <w:p>
            <w:pPr>
              <w:pStyle w:val="TableContents"/>
              <w:bidi w:val="0"/>
              <w:spacing w:before="0" w:after="283"/>
              <w:jc w:val="right"/>
              <w:rPr/>
            </w:pPr>
            <w:r>
              <w:rPr/>
              <w:t>4,930,300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4.62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5.58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8" w:type="dxa"/>
            <w:tcBorders/>
            <w:shd w:fill="CCEEFF" w:val="clear"/>
            <w:vAlign w:val="center"/>
          </w:tcPr>
          <w:p>
            <w:pPr>
              <w:pStyle w:val="TableContents"/>
              <w:bidi w:val="0"/>
              <w:spacing w:before="0" w:after="283"/>
              <w:jc w:val="left"/>
              <w:rPr/>
            </w:pPr>
            <w:r>
              <w:rPr/>
              <w:t> </w:t>
            </w:r>
          </w:p>
        </w:tc>
        <w:tc>
          <w:tcPr>
            <w:tcW w:w="952" w:type="dxa"/>
            <w:tcBorders/>
            <w:shd w:fill="CCEEFF" w:val="clear"/>
            <w:vAlign w:val="center"/>
          </w:tcPr>
          <w:p>
            <w:pPr>
              <w:pStyle w:val="TableContents"/>
              <w:bidi w:val="0"/>
              <w:spacing w:before="0" w:after="283"/>
              <w:jc w:val="right"/>
              <w:rPr/>
            </w:pPr>
            <w:r>
              <w:rPr/>
              <w:t>1,903</w:t>
            </w:r>
          </w:p>
        </w:tc>
        <w:tc>
          <w:tcPr>
            <w:tcW w:w="75" w:type="dxa"/>
            <w:tcBorders/>
            <w:shd w:fill="CCEEFF" w:val="clear"/>
            <w:vAlign w:val="center"/>
          </w:tcPr>
          <w:p>
            <w:pPr>
              <w:pStyle w:val="TableContents"/>
              <w:bidi w:val="0"/>
              <w:spacing w:before="0" w:after="283"/>
              <w:ind w:left="0" w:right="0" w:hanging="180"/>
              <w:jc w:val="left"/>
              <w:rPr/>
            </w:pPr>
            <w:r>
              <w:rPr/>
              <w:t> </w:t>
            </w:r>
          </w:p>
        </w:tc>
      </w:tr>
      <w:tr>
        <w:trPr/>
        <w:tc>
          <w:tcPr>
            <w:tcW w:w="4850" w:type="dxa"/>
            <w:tcBorders/>
            <w:shd w:fill="FFFFFF" w:val="clear"/>
            <w:vAlign w:val="center"/>
          </w:tcPr>
          <w:p>
            <w:pPr>
              <w:pStyle w:val="TableContents"/>
              <w:bidi w:val="0"/>
              <w:spacing w:before="0" w:after="283"/>
              <w:jc w:val="left"/>
              <w:rPr/>
            </w:pPr>
            <w:r>
              <w:rPr/>
              <w:t>Vested and expected to vest— December 28, 2025</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10"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double" w:sz="10" w:space="0" w:color="000000"/>
            </w:tcBorders>
            <w:shd w:fill="FFFFFF" w:val="clear"/>
            <w:tcMar>
              <w:bottom w:w="28" w:type="dxa"/>
            </w:tcMar>
            <w:vAlign w:val="center"/>
          </w:tcPr>
          <w:p>
            <w:pPr>
              <w:pStyle w:val="TableContents"/>
              <w:bidi w:val="0"/>
              <w:spacing w:before="0" w:after="283"/>
              <w:jc w:val="right"/>
              <w:rPr/>
            </w:pPr>
            <w:r>
              <w:rPr/>
              <w:t>4,930,300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4.62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5.58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8" w:type="dxa"/>
            <w:tcBorders/>
            <w:shd w:fill="FFFFFF" w:val="clear"/>
            <w:vAlign w:val="center"/>
          </w:tcPr>
          <w:p>
            <w:pPr>
              <w:pStyle w:val="TableContents"/>
              <w:bidi w:val="0"/>
              <w:spacing w:before="0" w:after="283"/>
              <w:jc w:val="left"/>
              <w:rPr/>
            </w:pPr>
            <w:r>
              <w:rPr/>
              <w:t> </w:t>
            </w:r>
          </w:p>
        </w:tc>
        <w:tc>
          <w:tcPr>
            <w:tcW w:w="952" w:type="dxa"/>
            <w:tcBorders/>
            <w:shd w:fill="FFFFFF" w:val="clear"/>
            <w:vAlign w:val="center"/>
          </w:tcPr>
          <w:p>
            <w:pPr>
              <w:pStyle w:val="TableContents"/>
              <w:bidi w:val="0"/>
              <w:spacing w:before="0" w:after="283"/>
              <w:jc w:val="right"/>
              <w:rPr/>
            </w:pPr>
            <w:r>
              <w:rPr/>
              <w:t>1,903</w:t>
            </w:r>
          </w:p>
        </w:tc>
        <w:tc>
          <w:tcPr>
            <w:tcW w:w="75" w:type="dxa"/>
            <w:tcBorders/>
            <w:shd w:fill="FFFFFF" w:val="clear"/>
            <w:vAlign w:val="center"/>
          </w:tcPr>
          <w:p>
            <w:pPr>
              <w:pStyle w:val="TableContents"/>
              <w:bidi w:val="0"/>
              <w:spacing w:before="0" w:after="283"/>
              <w:ind w:left="0" w:right="0" w:hanging="180"/>
              <w:jc w:val="left"/>
              <w:rPr/>
            </w:pPr>
            <w:r>
              <w:rPr/>
              <w:t> </w:t>
            </w:r>
          </w:p>
        </w:tc>
      </w:tr>
      <w:tr>
        <w:trPr/>
        <w:tc>
          <w:tcPr>
            <w:tcW w:w="4850" w:type="dxa"/>
            <w:tcBorders/>
            <w:shd w:fill="CCEEFF" w:val="clear"/>
            <w:vAlign w:val="center"/>
          </w:tcPr>
          <w:p>
            <w:pPr>
              <w:pStyle w:val="TableContents"/>
              <w:bidi w:val="0"/>
              <w:spacing w:before="0" w:after="283"/>
              <w:jc w:val="left"/>
              <w:rPr/>
            </w:pPr>
            <w:r>
              <w:rPr/>
              <w:t>Vested and exercisable— December 28, 2025</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double" w:sz="10" w:space="0" w:color="000000"/>
            </w:tcBorders>
            <w:shd w:fill="CCEEFF" w:val="clear"/>
            <w:tcMar>
              <w:bottom w:w="28" w:type="dxa"/>
            </w:tcMar>
            <w:vAlign w:val="center"/>
          </w:tcPr>
          <w:p>
            <w:pPr>
              <w:pStyle w:val="TableContents"/>
              <w:bidi w:val="0"/>
              <w:spacing w:before="0" w:after="283"/>
              <w:jc w:val="right"/>
              <w:rPr/>
            </w:pPr>
            <w:r>
              <w:rPr/>
              <w:t>1,909,809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5.94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5.87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8" w:type="dxa"/>
            <w:tcBorders/>
            <w:shd w:fill="CCEEFF" w:val="clear"/>
            <w:vAlign w:val="center"/>
          </w:tcPr>
          <w:p>
            <w:pPr>
              <w:pStyle w:val="TableContents"/>
              <w:bidi w:val="0"/>
              <w:spacing w:before="0" w:after="283"/>
              <w:jc w:val="left"/>
              <w:rPr/>
            </w:pPr>
            <w:r>
              <w:rPr/>
              <w:t> </w:t>
            </w:r>
          </w:p>
        </w:tc>
        <w:tc>
          <w:tcPr>
            <w:tcW w:w="952" w:type="dxa"/>
            <w:tcBorders/>
            <w:shd w:fill="CCEEFF" w:val="clear"/>
            <w:vAlign w:val="center"/>
          </w:tcPr>
          <w:p>
            <w:pPr>
              <w:pStyle w:val="TableContents"/>
              <w:bidi w:val="0"/>
              <w:spacing w:before="0" w:after="283"/>
              <w:jc w:val="right"/>
              <w:rPr/>
            </w:pPr>
            <w:r>
              <w:rPr/>
              <w:t>635</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aggregate fair value of the Company’s stock options that vested during the fiscal years ended 2025 and 2024 was $0.4 million and $1.9 million, respectively.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information below summarizes the RSU activity.</w:t>
      </w:r>
    </w:p>
    <w:p>
      <w:pPr>
        <w:pStyle w:val="TextBody"/>
        <w:bidi w:val="0"/>
        <w:spacing w:before="0" w:after="0"/>
        <w:ind w:left="0" w:right="0" w:hanging="0"/>
        <w:jc w:val="both"/>
        <w:rPr>
          <w:caps w:val="false"/>
          <w:smallCaps w:val="false"/>
        </w:rPr>
      </w:pPr>
      <w:r>
        <w:rPr>
          <w:caps w:val="false"/>
          <w:smallCaps w:val="false"/>
        </w:rPr>
        <w:t> </w:t>
      </w:r>
    </w:p>
    <w:tbl>
      <w:tblPr>
        <w:tblW w:w="4909" w:type="dxa"/>
        <w:jc w:val="left"/>
        <w:tblInd w:w="0" w:type="dxa"/>
        <w:tblLayout w:type="fixed"/>
        <w:tblCellMar>
          <w:top w:w="0" w:type="dxa"/>
          <w:left w:w="0" w:type="dxa"/>
          <w:bottom w:w="0" w:type="dxa"/>
          <w:right w:w="0" w:type="dxa"/>
        </w:tblCellMar>
      </w:tblPr>
      <w:tblGrid>
        <w:gridCol w:w="2615"/>
        <w:gridCol w:w="60"/>
        <w:gridCol w:w="60"/>
        <w:gridCol w:w="950"/>
        <w:gridCol w:w="80"/>
        <w:gridCol w:w="60"/>
        <w:gridCol w:w="222"/>
        <w:gridCol w:w="787"/>
        <w:gridCol w:w="75"/>
      </w:tblGrid>
      <w:tr>
        <w:trPr/>
        <w:tc>
          <w:tcPr>
            <w:tcW w:w="261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010"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Number of</w:t>
              <w:br/>
              <w:t>RSUs</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09"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 xml:space="preserve">Weighted </w:t>
              <w:br/>
              <w:t xml:space="preserve">Average </w:t>
              <w:br/>
              <w:t xml:space="preserve">Grant Date </w:t>
              <w:br/>
              <w:t>Fair Value</w:t>
            </w:r>
          </w:p>
        </w:tc>
        <w:tc>
          <w:tcPr>
            <w:tcW w:w="75" w:type="dxa"/>
            <w:tcBorders/>
            <w:vAlign w:val="center"/>
          </w:tcPr>
          <w:p>
            <w:pPr>
              <w:pStyle w:val="TableContents"/>
              <w:bidi w:val="0"/>
              <w:spacing w:before="0" w:after="283"/>
              <w:jc w:val="left"/>
              <w:rPr/>
            </w:pPr>
            <w:r>
              <w:rPr/>
              <w:t> </w:t>
            </w:r>
          </w:p>
        </w:tc>
      </w:tr>
      <w:tr>
        <w:trPr/>
        <w:tc>
          <w:tcPr>
            <w:tcW w:w="261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Unvested at December 31, 2023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5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58,097</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2"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787"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2.07</w:t>
            </w:r>
          </w:p>
        </w:tc>
        <w:tc>
          <w:tcPr>
            <w:tcW w:w="75" w:type="dxa"/>
            <w:tcBorders/>
            <w:shd w:fill="CCEEFF" w:val="clear"/>
            <w:vAlign w:val="center"/>
          </w:tcPr>
          <w:p>
            <w:pPr>
              <w:pStyle w:val="TableContents"/>
              <w:bidi w:val="0"/>
              <w:spacing w:before="0" w:after="283"/>
              <w:jc w:val="left"/>
              <w:rPr/>
            </w:pPr>
            <w:r>
              <w:rPr/>
              <w:t> </w:t>
            </w:r>
          </w:p>
        </w:tc>
      </w:tr>
      <w:tr>
        <w:trPr/>
        <w:tc>
          <w:tcPr>
            <w:tcW w:w="261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Granted</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50"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2,593,097</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22" w:type="dxa"/>
            <w:tcBorders/>
            <w:shd w:fill="FFFFFF" w:val="clear"/>
            <w:vAlign w:val="center"/>
          </w:tcPr>
          <w:p>
            <w:pPr>
              <w:pStyle w:val="TableContents"/>
              <w:bidi w:val="0"/>
              <w:spacing w:before="0" w:after="283"/>
              <w:jc w:val="left"/>
              <w:rPr/>
            </w:pPr>
            <w:r>
              <w:rPr/>
              <w:t> </w:t>
            </w:r>
          </w:p>
        </w:tc>
        <w:tc>
          <w:tcPr>
            <w:tcW w:w="787"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1.78</w:t>
            </w:r>
          </w:p>
        </w:tc>
        <w:tc>
          <w:tcPr>
            <w:tcW w:w="75" w:type="dxa"/>
            <w:tcBorders/>
            <w:shd w:fill="FFFFFF" w:val="clear"/>
            <w:vAlign w:val="center"/>
          </w:tcPr>
          <w:p>
            <w:pPr>
              <w:pStyle w:val="TableContents"/>
              <w:bidi w:val="0"/>
              <w:spacing w:before="0" w:after="283"/>
              <w:jc w:val="left"/>
              <w:rPr/>
            </w:pPr>
            <w:r>
              <w:rPr/>
              <w:t> </w:t>
            </w:r>
          </w:p>
        </w:tc>
      </w:tr>
      <w:tr>
        <w:trPr/>
        <w:tc>
          <w:tcPr>
            <w:tcW w:w="261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Vested and released</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5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(669,059</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222" w:type="dxa"/>
            <w:tcBorders/>
            <w:shd w:fill="CCEEFF" w:val="clear"/>
            <w:vAlign w:val="center"/>
          </w:tcPr>
          <w:p>
            <w:pPr>
              <w:pStyle w:val="TableContents"/>
              <w:bidi w:val="0"/>
              <w:spacing w:before="0" w:after="283"/>
              <w:jc w:val="left"/>
              <w:rPr/>
            </w:pPr>
            <w:r>
              <w:rPr/>
              <w:t> </w:t>
            </w:r>
          </w:p>
        </w:tc>
        <w:tc>
          <w:tcPr>
            <w:tcW w:w="787"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1.73</w:t>
            </w:r>
          </w:p>
        </w:tc>
        <w:tc>
          <w:tcPr>
            <w:tcW w:w="75" w:type="dxa"/>
            <w:tcBorders/>
            <w:shd w:fill="CCEEFF" w:val="clear"/>
            <w:vAlign w:val="center"/>
          </w:tcPr>
          <w:p>
            <w:pPr>
              <w:pStyle w:val="TableContents"/>
              <w:bidi w:val="0"/>
              <w:spacing w:before="0" w:after="283"/>
              <w:jc w:val="left"/>
              <w:rPr/>
            </w:pPr>
            <w:r>
              <w:rPr/>
              <w:t> </w:t>
            </w:r>
          </w:p>
        </w:tc>
      </w:tr>
      <w:tr>
        <w:trPr/>
        <w:tc>
          <w:tcPr>
            <w:tcW w:w="261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Cancelled or forfeited</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950"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22" w:type="dxa"/>
            <w:tcBorders/>
            <w:shd w:fill="FFFFFF" w:val="clear"/>
            <w:vAlign w:val="center"/>
          </w:tcPr>
          <w:p>
            <w:pPr>
              <w:pStyle w:val="TableContents"/>
              <w:bidi w:val="0"/>
              <w:spacing w:before="0" w:after="283"/>
              <w:jc w:val="left"/>
              <w:rPr/>
            </w:pPr>
            <w:r>
              <w:rPr/>
              <w:t> </w:t>
            </w:r>
          </w:p>
        </w:tc>
        <w:tc>
          <w:tcPr>
            <w:tcW w:w="787" w:type="dxa"/>
            <w:tcBorders/>
            <w:shd w:fill="FFFFFF" w:val="clear"/>
            <w:vAlign w:val="center"/>
          </w:tcPr>
          <w:p>
            <w:pPr>
              <w:pStyle w:val="TableContents"/>
              <w:bidi w:val="0"/>
              <w:spacing w:before="0" w:after="283"/>
              <w:jc w:val="right"/>
              <w:rPr/>
            </w:pPr>
            <w:r>
              <w:rPr/>
              <w:t>—</w:t>
            </w:r>
          </w:p>
        </w:tc>
        <w:tc>
          <w:tcPr>
            <w:tcW w:w="75" w:type="dxa"/>
            <w:tcBorders/>
            <w:shd w:fill="FFFFFF" w:val="clear"/>
            <w:vAlign w:val="center"/>
          </w:tcPr>
          <w:p>
            <w:pPr>
              <w:pStyle w:val="TableContents"/>
              <w:bidi w:val="0"/>
              <w:spacing w:before="0" w:after="283"/>
              <w:jc w:val="left"/>
              <w:rPr/>
            </w:pPr>
            <w:r>
              <w:rPr/>
              <w:t> </w:t>
            </w:r>
          </w:p>
        </w:tc>
      </w:tr>
      <w:tr>
        <w:trPr/>
        <w:tc>
          <w:tcPr>
            <w:tcW w:w="261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Unvested at December 29, 2024</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50"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1,982,135</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2" w:type="dxa"/>
            <w:tcBorders/>
            <w:shd w:fill="CCEEFF" w:val="clear"/>
            <w:vAlign w:val="center"/>
          </w:tcPr>
          <w:p>
            <w:pPr>
              <w:pStyle w:val="TableContents"/>
              <w:bidi w:val="0"/>
              <w:spacing w:before="0" w:after="283"/>
              <w:jc w:val="left"/>
              <w:rPr/>
            </w:pPr>
            <w:r>
              <w:rPr/>
              <w:t> </w:t>
            </w:r>
          </w:p>
        </w:tc>
        <w:tc>
          <w:tcPr>
            <w:tcW w:w="787"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1.79</w:t>
            </w:r>
          </w:p>
        </w:tc>
        <w:tc>
          <w:tcPr>
            <w:tcW w:w="75" w:type="dxa"/>
            <w:tcBorders/>
            <w:shd w:fill="CCEEFF" w:val="clear"/>
            <w:vAlign w:val="center"/>
          </w:tcPr>
          <w:p>
            <w:pPr>
              <w:pStyle w:val="TableContents"/>
              <w:bidi w:val="0"/>
              <w:spacing w:before="0" w:after="283"/>
              <w:jc w:val="left"/>
              <w:rPr/>
            </w:pPr>
            <w:r>
              <w:rPr/>
              <w:t> </w:t>
            </w:r>
          </w:p>
        </w:tc>
      </w:tr>
      <w:tr>
        <w:trPr/>
        <w:tc>
          <w:tcPr>
            <w:tcW w:w="261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Granted</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50"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22,235,871</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22" w:type="dxa"/>
            <w:tcBorders/>
            <w:shd w:fill="FFFFFF" w:val="clear"/>
            <w:vAlign w:val="center"/>
          </w:tcPr>
          <w:p>
            <w:pPr>
              <w:pStyle w:val="TableContents"/>
              <w:bidi w:val="0"/>
              <w:spacing w:before="0" w:after="283"/>
              <w:jc w:val="left"/>
              <w:rPr/>
            </w:pPr>
            <w:r>
              <w:rPr/>
              <w:t> </w:t>
            </w:r>
          </w:p>
        </w:tc>
        <w:tc>
          <w:tcPr>
            <w:tcW w:w="787" w:type="dxa"/>
            <w:tcBorders/>
            <w:shd w:fill="FFFFFF" w:val="clear"/>
            <w:vAlign w:val="center"/>
          </w:tcPr>
          <w:p>
            <w:pPr>
              <w:pStyle w:val="TableContents"/>
              <w:bidi w:val="0"/>
              <w:spacing w:before="0" w:after="283"/>
              <w:jc w:val="right"/>
              <w:rPr/>
            </w:pPr>
            <w:r>
              <w:rPr/>
              <w:t>1.73</w:t>
            </w:r>
          </w:p>
        </w:tc>
        <w:tc>
          <w:tcPr>
            <w:tcW w:w="75" w:type="dxa"/>
            <w:tcBorders/>
            <w:shd w:fill="FFFFFF" w:val="clear"/>
            <w:vAlign w:val="center"/>
          </w:tcPr>
          <w:p>
            <w:pPr>
              <w:pStyle w:val="TableContents"/>
              <w:bidi w:val="0"/>
              <w:spacing w:before="0" w:after="283"/>
              <w:jc w:val="left"/>
              <w:rPr/>
            </w:pPr>
            <w:r>
              <w:rPr/>
              <w:t> </w:t>
            </w:r>
          </w:p>
        </w:tc>
      </w:tr>
      <w:tr>
        <w:trPr/>
        <w:tc>
          <w:tcPr>
            <w:tcW w:w="261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Vested and released</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5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(4,632,212</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222" w:type="dxa"/>
            <w:tcBorders/>
            <w:shd w:fill="CCEEFF" w:val="clear"/>
            <w:vAlign w:val="center"/>
          </w:tcPr>
          <w:p>
            <w:pPr>
              <w:pStyle w:val="TableContents"/>
              <w:bidi w:val="0"/>
              <w:spacing w:before="0" w:after="283"/>
              <w:jc w:val="left"/>
              <w:rPr/>
            </w:pPr>
            <w:r>
              <w:rPr/>
              <w:t> </w:t>
            </w:r>
          </w:p>
        </w:tc>
        <w:tc>
          <w:tcPr>
            <w:tcW w:w="787"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1.75</w:t>
            </w:r>
          </w:p>
        </w:tc>
        <w:tc>
          <w:tcPr>
            <w:tcW w:w="75" w:type="dxa"/>
            <w:tcBorders/>
            <w:shd w:fill="CCEEFF" w:val="clear"/>
            <w:vAlign w:val="center"/>
          </w:tcPr>
          <w:p>
            <w:pPr>
              <w:pStyle w:val="TableContents"/>
              <w:bidi w:val="0"/>
              <w:spacing w:before="0" w:after="283"/>
              <w:jc w:val="left"/>
              <w:rPr/>
            </w:pPr>
            <w:r>
              <w:rPr/>
              <w:t> </w:t>
            </w:r>
          </w:p>
        </w:tc>
      </w:tr>
      <w:tr>
        <w:trPr/>
        <w:tc>
          <w:tcPr>
            <w:tcW w:w="261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Cancelled or forfeited</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950"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(5,351,434</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222" w:type="dxa"/>
            <w:tcBorders/>
            <w:shd w:fill="FFFFFF" w:val="clear"/>
            <w:vAlign w:val="center"/>
          </w:tcPr>
          <w:p>
            <w:pPr>
              <w:pStyle w:val="TableContents"/>
              <w:bidi w:val="0"/>
              <w:spacing w:before="0" w:after="283"/>
              <w:jc w:val="left"/>
              <w:rPr/>
            </w:pPr>
            <w:r>
              <w:rPr/>
              <w:t> </w:t>
            </w:r>
          </w:p>
        </w:tc>
        <w:tc>
          <w:tcPr>
            <w:tcW w:w="787"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1.74</w:t>
            </w:r>
          </w:p>
        </w:tc>
        <w:tc>
          <w:tcPr>
            <w:tcW w:w="75" w:type="dxa"/>
            <w:tcBorders/>
            <w:shd w:fill="FFFFFF" w:val="clear"/>
            <w:vAlign w:val="center"/>
          </w:tcPr>
          <w:p>
            <w:pPr>
              <w:pStyle w:val="TableContents"/>
              <w:bidi w:val="0"/>
              <w:spacing w:before="0" w:after="283"/>
              <w:jc w:val="left"/>
              <w:rPr/>
            </w:pPr>
            <w:r>
              <w:rPr/>
              <w:t> </w:t>
            </w:r>
          </w:p>
        </w:tc>
      </w:tr>
      <w:tr>
        <w:trPr/>
        <w:tc>
          <w:tcPr>
            <w:tcW w:w="261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Unvested at December 28, 2025</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12" w:space="0" w:color="000000"/>
            </w:tcBorders>
            <w:shd w:fill="CCEEFF" w:val="clear"/>
            <w:tcMar>
              <w:bottom w:w="28" w:type="dxa"/>
            </w:tcMar>
            <w:vAlign w:val="center"/>
          </w:tcPr>
          <w:p>
            <w:pPr>
              <w:pStyle w:val="TableContents"/>
              <w:bidi w:val="0"/>
              <w:spacing w:before="0" w:after="283"/>
              <w:jc w:val="left"/>
              <w:rPr/>
            </w:pPr>
            <w:r>
              <w:rPr/>
              <w:t> </w:t>
            </w:r>
          </w:p>
        </w:tc>
        <w:tc>
          <w:tcPr>
            <w:tcW w:w="950" w:type="dxa"/>
            <w:tcBorders>
              <w:bottom w:val="doub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14,234,360</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2" w:type="dxa"/>
            <w:tcBorders/>
            <w:shd w:fill="CCEEFF" w:val="clear"/>
            <w:vAlign w:val="center"/>
          </w:tcPr>
          <w:p>
            <w:pPr>
              <w:pStyle w:val="TableContents"/>
              <w:bidi w:val="0"/>
              <w:spacing w:before="0" w:after="283"/>
              <w:jc w:val="left"/>
              <w:rPr/>
            </w:pPr>
            <w:r>
              <w:rPr/>
              <w:t> </w:t>
            </w:r>
          </w:p>
        </w:tc>
        <w:tc>
          <w:tcPr>
            <w:tcW w:w="787"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1.73</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aggregate fair value of the Company’s RSUs that vested during the fiscal years ended 2025 and 2024 was $8.1 million and $1.2 million, respectively.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Determination of Fair Value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estimated the grant-date fair value of stock options using the Black-Scholes-Merton option-pricing model. The determination of the fair value of each stock award using this option-pricing model is affected by the Company’s assumptions regarding a number of complex and subjective variables. These variables include, but are not limited to, the expected stock price volatility over the term of the awards. Stock-based compensation is measured at the grant date based on the fair value of the award and is recognized as expense on a straight-line basis over the requisite service period, which is generally the vesting period of the respective award.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12" w:space="1" w:color="000000"/>
        </w:rPr>
      </w:pPr>
      <w:r>
        <w:rPr>
          <w:sz w:val="20"/>
          <w:bdr w:val="single" w:sz="12" w:space="1" w:color="000000"/>
        </w:rPr>
        <w:t>F-104</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assumptions were used to calculate the fair value of stock-based compensation for the options granted in the fiscal year ended December 29, 2024:</w:t>
      </w:r>
    </w:p>
    <w:p>
      <w:pPr>
        <w:pStyle w:val="TextBody"/>
        <w:bidi w:val="0"/>
        <w:spacing w:before="0" w:after="0"/>
        <w:ind w:left="0" w:right="0" w:hanging="0"/>
        <w:jc w:val="left"/>
        <w:rPr>
          <w:caps w:val="false"/>
          <w:smallCaps w:val="false"/>
        </w:rPr>
      </w:pPr>
      <w:r>
        <w:rPr>
          <w:caps w:val="false"/>
          <w:smallCaps w:val="false"/>
        </w:rPr>
        <w:t> </w:t>
      </w:r>
    </w:p>
    <w:tbl>
      <w:tblPr>
        <w:tblW w:w="3675" w:type="dxa"/>
        <w:jc w:val="left"/>
        <w:tblInd w:w="0" w:type="dxa"/>
        <w:tblLayout w:type="fixed"/>
        <w:tblCellMar>
          <w:top w:w="0" w:type="dxa"/>
          <w:left w:w="0" w:type="dxa"/>
          <w:bottom w:w="0" w:type="dxa"/>
          <w:right w:w="0" w:type="dxa"/>
        </w:tblCellMar>
      </w:tblPr>
      <w:tblGrid>
        <w:gridCol w:w="2000"/>
        <w:gridCol w:w="60"/>
        <w:gridCol w:w="60"/>
        <w:gridCol w:w="1355"/>
        <w:gridCol w:w="200"/>
      </w:tblGrid>
      <w:tr>
        <w:trPr/>
        <w:tc>
          <w:tcPr>
            <w:tcW w:w="200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Expected term (in years)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5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5.00 – 6.32</w:t>
            </w:r>
          </w:p>
        </w:tc>
        <w:tc>
          <w:tcPr>
            <w:tcW w:w="200" w:type="dxa"/>
            <w:tcBorders/>
            <w:shd w:fill="CCEEFF" w:val="clear"/>
            <w:vAlign w:val="center"/>
          </w:tcPr>
          <w:p>
            <w:pPr>
              <w:pStyle w:val="TableContents"/>
              <w:bidi w:val="0"/>
              <w:spacing w:before="0" w:after="283"/>
              <w:jc w:val="left"/>
              <w:rPr/>
            </w:pPr>
            <w:r>
              <w:rPr/>
              <w:t> </w:t>
            </w:r>
          </w:p>
        </w:tc>
      </w:tr>
      <w:tr>
        <w:trPr/>
        <w:tc>
          <w:tcPr>
            <w:tcW w:w="200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Expected volatility</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5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 xml:space="preserve">58.45% – 62.39 </w:t>
            </w:r>
          </w:p>
        </w:tc>
        <w:tc>
          <w:tcPr>
            <w:tcW w:w="20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200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Risk-free interest rate</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5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3.81% – 4.71</w:t>
            </w:r>
          </w:p>
        </w:tc>
        <w:tc>
          <w:tcPr>
            <w:tcW w:w="20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200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Expected dividends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5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0.0</w:t>
            </w:r>
          </w:p>
        </w:tc>
        <w:tc>
          <w:tcPr>
            <w:tcW w:w="20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Expected term</w:t>
      </w:r>
      <w:r>
        <w:rPr>
          <w:rFonts w:ascii="Times New Roman;Times;Serif" w:hAnsi="Times New Roman;Times;Serif"/>
          <w:b w:val="false"/>
          <w:i w:val="false"/>
          <w:caps w:val="false"/>
          <w:smallCaps w:val="false"/>
          <w:sz w:val="20"/>
        </w:rPr>
        <w:t xml:space="preserve"> — The Company uses the simplified method to calculate the expected term of stock option grants to employees as the Company does not have sufficient comparable historical exercise data to provide a reasonable basis upon which to estimate the expected term of stock options granted to employees. The expected term equals the arithmetic average of the vesting term and the original contractual term of the option (generally 10 years).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Expected volatility</w:t>
      </w:r>
      <w:r>
        <w:rPr>
          <w:rFonts w:ascii="Times New Roman;Times;Serif" w:hAnsi="Times New Roman;Times;Serif"/>
          <w:b w:val="false"/>
          <w:i w:val="false"/>
          <w:caps w:val="false"/>
          <w:smallCaps w:val="false"/>
          <w:sz w:val="20"/>
        </w:rPr>
        <w:t xml:space="preserve"> — Due to the Company’s limited operating history and a lack of company specific historical and implied volatility data, the Company has based its estimate of expected volatility on the historical volatility of a group of peer companies that are publicly traded. The historical volatility data was computed using the daily closing prices for the selected companies’ shares during the equivalent period of the calculated expected term of the stock-based awards.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Risk-free interest rate</w:t>
      </w:r>
      <w:r>
        <w:rPr>
          <w:rFonts w:ascii="Times New Roman;Times;Serif" w:hAnsi="Times New Roman;Times;Serif"/>
          <w:b w:val="false"/>
          <w:i w:val="false"/>
          <w:caps w:val="false"/>
          <w:smallCaps w:val="false"/>
          <w:sz w:val="20"/>
        </w:rPr>
        <w:t xml:space="preserve"> — The risk-free rate assumption is based on U.S. Treasury instruments with maturities similar to the expected term of the Company’s stock options.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Expected dividends</w:t>
      </w:r>
      <w:r>
        <w:rPr>
          <w:rFonts w:ascii="Times New Roman;Times;Serif" w:hAnsi="Times New Roman;Times;Serif"/>
          <w:b w:val="false"/>
          <w:i w:val="false"/>
          <w:caps w:val="false"/>
          <w:smallCaps w:val="false"/>
          <w:sz w:val="20"/>
        </w:rPr>
        <w:t xml:space="preserve"> — The Company has not issued any dividends in its history and does not expect to issue dividends over the life of the options and therefore has estimated the dividend yield to be zero.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Fair value of common stock</w:t>
      </w:r>
      <w:r>
        <w:rPr>
          <w:rFonts w:ascii="Times New Roman;Times;Serif" w:hAnsi="Times New Roman;Times;Serif"/>
          <w:b w:val="false"/>
          <w:i w:val="false"/>
          <w:caps w:val="false"/>
          <w:smallCaps w:val="false"/>
          <w:sz w:val="20"/>
        </w:rPr>
        <w:t xml:space="preserve"> — The fair value of the shares of common stock underlying the stock-based awards is based on the price of the Company’s common stock in the open market on the date of the grant.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Stock-based compensation expense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following table summarizes stock-based compensation expense and its allocation within the accompanying consolidated statements of operations and comprehensive loss </w:t>
      </w:r>
      <w:r>
        <w:rPr>
          <w:rFonts w:ascii="Times New Roman;Times;Serif" w:hAnsi="Times New Roman;Times;Serif"/>
          <w:b w:val="false"/>
          <w:i/>
          <w:caps w:val="false"/>
          <w:smallCaps w:val="false"/>
          <w:sz w:val="20"/>
        </w:rPr>
        <w:t>(in thousands)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tbl>
      <w:tblPr>
        <w:tblW w:w="6992" w:type="dxa"/>
        <w:jc w:val="left"/>
        <w:tblInd w:w="0" w:type="dxa"/>
        <w:tblLayout w:type="fixed"/>
        <w:tblCellMar>
          <w:top w:w="0" w:type="dxa"/>
          <w:left w:w="0" w:type="dxa"/>
          <w:bottom w:w="0" w:type="dxa"/>
          <w:right w:w="0" w:type="dxa"/>
        </w:tblCellMar>
      </w:tblPr>
      <w:tblGrid>
        <w:gridCol w:w="3890"/>
        <w:gridCol w:w="60"/>
        <w:gridCol w:w="241"/>
        <w:gridCol w:w="1173"/>
        <w:gridCol w:w="69"/>
        <w:gridCol w:w="69"/>
        <w:gridCol w:w="283"/>
        <w:gridCol w:w="1132"/>
        <w:gridCol w:w="75"/>
      </w:tblGrid>
      <w:tr>
        <w:trPr/>
        <w:tc>
          <w:tcPr>
            <w:tcW w:w="389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967"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Fiscal Year Ended</w:t>
            </w:r>
          </w:p>
        </w:tc>
        <w:tc>
          <w:tcPr>
            <w:tcW w:w="75" w:type="dxa"/>
            <w:tcBorders/>
            <w:vAlign w:val="center"/>
          </w:tcPr>
          <w:p>
            <w:pPr>
              <w:pStyle w:val="TableContents"/>
              <w:bidi w:val="0"/>
              <w:spacing w:before="0" w:after="283"/>
              <w:jc w:val="left"/>
              <w:rPr/>
            </w:pPr>
            <w:r>
              <w:rPr/>
              <w:t> </w:t>
            </w:r>
          </w:p>
        </w:tc>
      </w:tr>
      <w:tr>
        <w:trPr/>
        <w:tc>
          <w:tcPr>
            <w:tcW w:w="389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14" w:type="dxa"/>
            <w:gridSpan w:val="2"/>
            <w:tcBorders/>
            <w:vAlign w:val="center"/>
          </w:tcPr>
          <w:p>
            <w:pPr>
              <w:pStyle w:val="TableContents"/>
              <w:bidi w:val="0"/>
              <w:spacing w:before="0" w:after="283"/>
              <w:jc w:val="center"/>
              <w:rPr>
                <w:b/>
              </w:rPr>
            </w:pPr>
            <w:r>
              <w:rPr>
                <w:b/>
              </w:rPr>
              <w:t>December 28,</w:t>
            </w:r>
          </w:p>
        </w:tc>
        <w:tc>
          <w:tcPr>
            <w:tcW w:w="69" w:type="dxa"/>
            <w:tcBorders/>
            <w:vAlign w:val="center"/>
          </w:tcPr>
          <w:p>
            <w:pPr>
              <w:pStyle w:val="TableContents"/>
              <w:bidi w:val="0"/>
              <w:spacing w:before="0" w:after="283"/>
              <w:jc w:val="left"/>
              <w:rPr/>
            </w:pPr>
            <w:r>
              <w:rPr/>
              <w:t> </w:t>
            </w:r>
          </w:p>
        </w:tc>
        <w:tc>
          <w:tcPr>
            <w:tcW w:w="69" w:type="dxa"/>
            <w:tcBorders/>
            <w:vAlign w:val="center"/>
          </w:tcPr>
          <w:p>
            <w:pPr>
              <w:pStyle w:val="TableContents"/>
              <w:bidi w:val="0"/>
              <w:spacing w:before="0" w:after="283"/>
              <w:jc w:val="left"/>
              <w:rPr/>
            </w:pPr>
            <w:r>
              <w:rPr/>
              <w:t> </w:t>
            </w:r>
          </w:p>
        </w:tc>
        <w:tc>
          <w:tcPr>
            <w:tcW w:w="1415" w:type="dxa"/>
            <w:gridSpan w:val="2"/>
            <w:tcBorders/>
            <w:vAlign w:val="center"/>
          </w:tcPr>
          <w:p>
            <w:pPr>
              <w:pStyle w:val="TableContents"/>
              <w:bidi w:val="0"/>
              <w:spacing w:before="0" w:after="283"/>
              <w:jc w:val="center"/>
              <w:rPr>
                <w:b/>
              </w:rPr>
            </w:pPr>
            <w:r>
              <w:rPr>
                <w:b/>
              </w:rPr>
              <w:t>December 29,</w:t>
            </w:r>
          </w:p>
        </w:tc>
        <w:tc>
          <w:tcPr>
            <w:tcW w:w="75" w:type="dxa"/>
            <w:tcBorders/>
            <w:vAlign w:val="center"/>
          </w:tcPr>
          <w:p>
            <w:pPr>
              <w:pStyle w:val="TableContents"/>
              <w:bidi w:val="0"/>
              <w:spacing w:before="0" w:after="283"/>
              <w:jc w:val="left"/>
              <w:rPr/>
            </w:pPr>
            <w:r>
              <w:rPr/>
              <w:t> </w:t>
            </w:r>
          </w:p>
        </w:tc>
      </w:tr>
      <w:tr>
        <w:trPr/>
        <w:tc>
          <w:tcPr>
            <w:tcW w:w="389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14"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2025</w:t>
            </w:r>
          </w:p>
        </w:tc>
        <w:tc>
          <w:tcPr>
            <w:tcW w:w="69" w:type="dxa"/>
            <w:tcBorders/>
            <w:vAlign w:val="center"/>
          </w:tcPr>
          <w:p>
            <w:pPr>
              <w:pStyle w:val="TableContents"/>
              <w:bidi w:val="0"/>
              <w:spacing w:before="0" w:after="283"/>
              <w:jc w:val="left"/>
              <w:rPr/>
            </w:pPr>
            <w:r>
              <w:rPr/>
              <w:t> </w:t>
            </w:r>
          </w:p>
        </w:tc>
        <w:tc>
          <w:tcPr>
            <w:tcW w:w="69" w:type="dxa"/>
            <w:tcBorders/>
            <w:vAlign w:val="center"/>
          </w:tcPr>
          <w:p>
            <w:pPr>
              <w:pStyle w:val="TableContents"/>
              <w:bidi w:val="0"/>
              <w:spacing w:before="0" w:after="283"/>
              <w:jc w:val="left"/>
              <w:rPr/>
            </w:pPr>
            <w:r>
              <w:rPr/>
              <w:t> </w:t>
            </w:r>
          </w:p>
        </w:tc>
        <w:tc>
          <w:tcPr>
            <w:tcW w:w="141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2024</w:t>
            </w:r>
          </w:p>
        </w:tc>
        <w:tc>
          <w:tcPr>
            <w:tcW w:w="75" w:type="dxa"/>
            <w:tcBorders/>
            <w:vAlign w:val="center"/>
          </w:tcPr>
          <w:p>
            <w:pPr>
              <w:pStyle w:val="TableContents"/>
              <w:bidi w:val="0"/>
              <w:spacing w:before="0" w:after="283"/>
              <w:ind w:left="0" w:right="0" w:hanging="180"/>
              <w:jc w:val="left"/>
              <w:rPr/>
            </w:pPr>
            <w:r>
              <w:rPr/>
              <w:t> </w:t>
            </w:r>
          </w:p>
        </w:tc>
      </w:tr>
      <w:tr>
        <w:trPr/>
        <w:tc>
          <w:tcPr>
            <w:tcW w:w="3890" w:type="dxa"/>
            <w:tcBorders/>
            <w:shd w:fill="CCEEFF" w:val="clear"/>
            <w:vAlign w:val="center"/>
          </w:tcPr>
          <w:p>
            <w:pPr>
              <w:pStyle w:val="TableContents"/>
              <w:bidi w:val="0"/>
              <w:spacing w:before="0" w:after="283"/>
              <w:jc w:val="left"/>
              <w:rPr/>
            </w:pPr>
            <w:r>
              <w:rPr/>
              <w:t>Cost of revenues</w:t>
            </w:r>
          </w:p>
        </w:tc>
        <w:tc>
          <w:tcPr>
            <w:tcW w:w="60" w:type="dxa"/>
            <w:tcBorders/>
            <w:shd w:fill="CCEEFF" w:val="clear"/>
            <w:vAlign w:val="center"/>
          </w:tcPr>
          <w:p>
            <w:pPr>
              <w:pStyle w:val="TableContents"/>
              <w:bidi w:val="0"/>
              <w:spacing w:before="0" w:after="283"/>
              <w:jc w:val="left"/>
              <w:rPr/>
            </w:pPr>
            <w:r>
              <w:rPr/>
              <w:t> </w:t>
            </w:r>
          </w:p>
        </w:tc>
        <w:tc>
          <w:tcPr>
            <w:tcW w:w="241" w:type="dxa"/>
            <w:tcBorders/>
            <w:shd w:fill="CCEEFF" w:val="clear"/>
            <w:vAlign w:val="center"/>
          </w:tcPr>
          <w:p>
            <w:pPr>
              <w:pStyle w:val="TableContents"/>
              <w:bidi w:val="0"/>
              <w:spacing w:before="0" w:after="283"/>
              <w:jc w:val="left"/>
              <w:rPr/>
            </w:pPr>
            <w:r>
              <w:rPr/>
              <w:t>$</w:t>
            </w:r>
          </w:p>
        </w:tc>
        <w:tc>
          <w:tcPr>
            <w:tcW w:w="1173" w:type="dxa"/>
            <w:tcBorders/>
            <w:shd w:fill="CCEEFF" w:val="clear"/>
            <w:vAlign w:val="center"/>
          </w:tcPr>
          <w:p>
            <w:pPr>
              <w:pStyle w:val="TableContents"/>
              <w:bidi w:val="0"/>
              <w:spacing w:before="0" w:after="283"/>
              <w:jc w:val="right"/>
              <w:rPr/>
            </w:pPr>
            <w:r>
              <w:rPr/>
              <w:t>3,003</w:t>
            </w:r>
          </w:p>
        </w:tc>
        <w:tc>
          <w:tcPr>
            <w:tcW w:w="69" w:type="dxa"/>
            <w:tcBorders/>
            <w:shd w:fill="CCEEFF" w:val="clear"/>
            <w:vAlign w:val="center"/>
          </w:tcPr>
          <w:p>
            <w:pPr>
              <w:pStyle w:val="TableContents"/>
              <w:bidi w:val="0"/>
              <w:spacing w:before="0" w:after="283"/>
              <w:jc w:val="left"/>
              <w:rPr/>
            </w:pPr>
            <w:r>
              <w:rPr/>
              <w:t> </w:t>
            </w:r>
          </w:p>
        </w:tc>
        <w:tc>
          <w:tcPr>
            <w:tcW w:w="69" w:type="dxa"/>
            <w:tcBorders/>
            <w:shd w:fill="CCEEFF" w:val="clear"/>
            <w:vAlign w:val="center"/>
          </w:tcPr>
          <w:p>
            <w:pPr>
              <w:pStyle w:val="TableContents"/>
              <w:bidi w:val="0"/>
              <w:spacing w:before="0" w:after="283"/>
              <w:jc w:val="left"/>
              <w:rPr/>
            </w:pPr>
            <w:r>
              <w:rPr/>
              <w:t> </w:t>
            </w:r>
          </w:p>
        </w:tc>
        <w:tc>
          <w:tcPr>
            <w:tcW w:w="283" w:type="dxa"/>
            <w:tcBorders/>
            <w:shd w:fill="CCEEFF" w:val="clear"/>
            <w:vAlign w:val="center"/>
          </w:tcPr>
          <w:p>
            <w:pPr>
              <w:pStyle w:val="TableContents"/>
              <w:bidi w:val="0"/>
              <w:spacing w:before="0" w:after="283"/>
              <w:jc w:val="left"/>
              <w:rPr/>
            </w:pPr>
            <w:r>
              <w:rPr/>
              <w:t>$</w:t>
            </w:r>
          </w:p>
        </w:tc>
        <w:tc>
          <w:tcPr>
            <w:tcW w:w="1132" w:type="dxa"/>
            <w:tcBorders/>
            <w:shd w:fill="CCEEFF" w:val="clear"/>
            <w:vAlign w:val="center"/>
          </w:tcPr>
          <w:p>
            <w:pPr>
              <w:pStyle w:val="TableContents"/>
              <w:bidi w:val="0"/>
              <w:spacing w:before="0" w:after="283"/>
              <w:jc w:val="right"/>
              <w:rPr/>
            </w:pPr>
            <w:r>
              <w:rPr/>
              <w:t>157</w:t>
            </w:r>
          </w:p>
        </w:tc>
        <w:tc>
          <w:tcPr>
            <w:tcW w:w="75" w:type="dxa"/>
            <w:tcBorders/>
            <w:shd w:fill="CCEEFF" w:val="clear"/>
            <w:vAlign w:val="center"/>
          </w:tcPr>
          <w:p>
            <w:pPr>
              <w:pStyle w:val="TableContents"/>
              <w:bidi w:val="0"/>
              <w:spacing w:before="0" w:after="283"/>
              <w:ind w:left="0" w:right="0" w:hanging="180"/>
              <w:jc w:val="left"/>
              <w:rPr/>
            </w:pPr>
            <w:r>
              <w:rPr/>
              <w:t> </w:t>
            </w:r>
          </w:p>
        </w:tc>
      </w:tr>
      <w:tr>
        <w:trPr/>
        <w:tc>
          <w:tcPr>
            <w:tcW w:w="3890" w:type="dxa"/>
            <w:tcBorders/>
            <w:shd w:fill="FFFFFF" w:val="clear"/>
            <w:vAlign w:val="center"/>
          </w:tcPr>
          <w:p>
            <w:pPr>
              <w:pStyle w:val="TableContents"/>
              <w:bidi w:val="0"/>
              <w:spacing w:before="0" w:after="283"/>
              <w:jc w:val="left"/>
              <w:rPr/>
            </w:pPr>
            <w:r>
              <w:rPr/>
              <w:t>Sales and marketing</w:t>
            </w:r>
          </w:p>
        </w:tc>
        <w:tc>
          <w:tcPr>
            <w:tcW w:w="60" w:type="dxa"/>
            <w:tcBorders/>
            <w:shd w:fill="FFFFFF" w:val="clear"/>
            <w:vAlign w:val="center"/>
          </w:tcPr>
          <w:p>
            <w:pPr>
              <w:pStyle w:val="TableContents"/>
              <w:bidi w:val="0"/>
              <w:spacing w:before="0" w:after="283"/>
              <w:jc w:val="left"/>
              <w:rPr/>
            </w:pPr>
            <w:r>
              <w:rPr/>
              <w:t> </w:t>
            </w:r>
          </w:p>
        </w:tc>
        <w:tc>
          <w:tcPr>
            <w:tcW w:w="241" w:type="dxa"/>
            <w:tcBorders/>
            <w:shd w:fill="FFFFFF" w:val="clear"/>
            <w:vAlign w:val="center"/>
          </w:tcPr>
          <w:p>
            <w:pPr>
              <w:pStyle w:val="TableContents"/>
              <w:bidi w:val="0"/>
              <w:spacing w:before="0" w:after="283"/>
              <w:jc w:val="left"/>
              <w:rPr/>
            </w:pPr>
            <w:r>
              <w:rPr/>
              <w:t> </w:t>
            </w:r>
          </w:p>
        </w:tc>
        <w:tc>
          <w:tcPr>
            <w:tcW w:w="1173" w:type="dxa"/>
            <w:tcBorders/>
            <w:shd w:fill="FFFFFF" w:val="clear"/>
            <w:vAlign w:val="center"/>
          </w:tcPr>
          <w:p>
            <w:pPr>
              <w:pStyle w:val="TableContents"/>
              <w:bidi w:val="0"/>
              <w:spacing w:before="0" w:after="283"/>
              <w:jc w:val="right"/>
              <w:rPr/>
            </w:pPr>
            <w:r>
              <w:rPr/>
              <w:t>2,618</w:t>
            </w:r>
          </w:p>
        </w:tc>
        <w:tc>
          <w:tcPr>
            <w:tcW w:w="69" w:type="dxa"/>
            <w:tcBorders/>
            <w:shd w:fill="FFFFFF" w:val="clear"/>
            <w:vAlign w:val="center"/>
          </w:tcPr>
          <w:p>
            <w:pPr>
              <w:pStyle w:val="TableContents"/>
              <w:bidi w:val="0"/>
              <w:spacing w:before="0" w:after="283"/>
              <w:jc w:val="left"/>
              <w:rPr/>
            </w:pPr>
            <w:r>
              <w:rPr/>
              <w:t> </w:t>
            </w:r>
          </w:p>
        </w:tc>
        <w:tc>
          <w:tcPr>
            <w:tcW w:w="69" w:type="dxa"/>
            <w:tcBorders/>
            <w:shd w:fill="FFFFFF" w:val="clear"/>
            <w:vAlign w:val="center"/>
          </w:tcPr>
          <w:p>
            <w:pPr>
              <w:pStyle w:val="TableContents"/>
              <w:bidi w:val="0"/>
              <w:spacing w:before="0" w:after="283"/>
              <w:jc w:val="left"/>
              <w:rPr/>
            </w:pPr>
            <w:r>
              <w:rPr/>
              <w:t> </w:t>
            </w:r>
          </w:p>
        </w:tc>
        <w:tc>
          <w:tcPr>
            <w:tcW w:w="283" w:type="dxa"/>
            <w:tcBorders/>
            <w:shd w:fill="FFFFFF" w:val="clear"/>
            <w:vAlign w:val="center"/>
          </w:tcPr>
          <w:p>
            <w:pPr>
              <w:pStyle w:val="TableContents"/>
              <w:bidi w:val="0"/>
              <w:spacing w:before="0" w:after="283"/>
              <w:jc w:val="left"/>
              <w:rPr/>
            </w:pPr>
            <w:r>
              <w:rPr/>
              <w:t> </w:t>
            </w:r>
          </w:p>
        </w:tc>
        <w:tc>
          <w:tcPr>
            <w:tcW w:w="1132" w:type="dxa"/>
            <w:tcBorders/>
            <w:shd w:fill="FFFFFF" w:val="clear"/>
            <w:vAlign w:val="center"/>
          </w:tcPr>
          <w:p>
            <w:pPr>
              <w:pStyle w:val="TableContents"/>
              <w:bidi w:val="0"/>
              <w:spacing w:before="0" w:after="283"/>
              <w:jc w:val="right"/>
              <w:rPr/>
            </w:pPr>
            <w:r>
              <w:rPr/>
              <w:t>598</w:t>
            </w:r>
          </w:p>
        </w:tc>
        <w:tc>
          <w:tcPr>
            <w:tcW w:w="75" w:type="dxa"/>
            <w:tcBorders/>
            <w:shd w:fill="FFFFFF" w:val="clear"/>
            <w:vAlign w:val="center"/>
          </w:tcPr>
          <w:p>
            <w:pPr>
              <w:pStyle w:val="TableContents"/>
              <w:bidi w:val="0"/>
              <w:spacing w:before="0" w:after="283"/>
              <w:ind w:left="0" w:right="0" w:hanging="180"/>
              <w:jc w:val="left"/>
              <w:rPr/>
            </w:pPr>
            <w:r>
              <w:rPr/>
              <w:t> </w:t>
            </w:r>
          </w:p>
        </w:tc>
      </w:tr>
      <w:tr>
        <w:trPr/>
        <w:tc>
          <w:tcPr>
            <w:tcW w:w="3890" w:type="dxa"/>
            <w:tcBorders/>
            <w:shd w:fill="CCEEFF" w:val="clear"/>
            <w:vAlign w:val="center"/>
          </w:tcPr>
          <w:p>
            <w:pPr>
              <w:pStyle w:val="TableContents"/>
              <w:bidi w:val="0"/>
              <w:spacing w:before="0" w:after="283"/>
              <w:jc w:val="left"/>
              <w:rPr/>
            </w:pPr>
            <w:r>
              <w:rPr/>
              <w:t>General and administrative</w:t>
            </w:r>
          </w:p>
        </w:tc>
        <w:tc>
          <w:tcPr>
            <w:tcW w:w="60" w:type="dxa"/>
            <w:tcBorders/>
            <w:shd w:fill="CCEEFF" w:val="clear"/>
            <w:vAlign w:val="center"/>
          </w:tcPr>
          <w:p>
            <w:pPr>
              <w:pStyle w:val="TableContents"/>
              <w:bidi w:val="0"/>
              <w:spacing w:before="0" w:after="283"/>
              <w:jc w:val="left"/>
              <w:rPr/>
            </w:pPr>
            <w:r>
              <w:rPr/>
              <w:t> </w:t>
            </w:r>
          </w:p>
        </w:tc>
        <w:tc>
          <w:tcPr>
            <w:tcW w:w="241"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73" w:type="dxa"/>
            <w:tcBorders>
              <w:bottom w:val="single" w:sz="12" w:space="0" w:color="000000"/>
            </w:tcBorders>
            <w:shd w:fill="CCEEFF" w:val="clear"/>
            <w:tcMar>
              <w:bottom w:w="28" w:type="dxa"/>
            </w:tcMar>
            <w:vAlign w:val="center"/>
          </w:tcPr>
          <w:p>
            <w:pPr>
              <w:pStyle w:val="TableContents"/>
              <w:bidi w:val="0"/>
              <w:spacing w:before="0" w:after="283"/>
              <w:jc w:val="right"/>
              <w:rPr/>
            </w:pPr>
            <w:r>
              <w:rPr/>
              <w:t>4,867</w:t>
            </w:r>
          </w:p>
        </w:tc>
        <w:tc>
          <w:tcPr>
            <w:tcW w:w="69" w:type="dxa"/>
            <w:tcBorders/>
            <w:shd w:fill="CCEEFF" w:val="clear"/>
            <w:vAlign w:val="center"/>
          </w:tcPr>
          <w:p>
            <w:pPr>
              <w:pStyle w:val="TableContents"/>
              <w:bidi w:val="0"/>
              <w:spacing w:before="0" w:after="283"/>
              <w:jc w:val="left"/>
              <w:rPr/>
            </w:pPr>
            <w:r>
              <w:rPr/>
              <w:t> </w:t>
            </w:r>
          </w:p>
        </w:tc>
        <w:tc>
          <w:tcPr>
            <w:tcW w:w="69" w:type="dxa"/>
            <w:tcBorders/>
            <w:shd w:fill="CCEEFF" w:val="clear"/>
            <w:vAlign w:val="center"/>
          </w:tcPr>
          <w:p>
            <w:pPr>
              <w:pStyle w:val="TableContents"/>
              <w:bidi w:val="0"/>
              <w:spacing w:before="0" w:after="283"/>
              <w:jc w:val="left"/>
              <w:rPr/>
            </w:pPr>
            <w:r>
              <w:rPr/>
              <w:t> </w:t>
            </w:r>
          </w:p>
        </w:tc>
        <w:tc>
          <w:tcPr>
            <w:tcW w:w="283"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32" w:type="dxa"/>
            <w:tcBorders>
              <w:bottom w:val="single" w:sz="12" w:space="0" w:color="000000"/>
            </w:tcBorders>
            <w:shd w:fill="CCEEFF" w:val="clear"/>
            <w:tcMar>
              <w:bottom w:w="28" w:type="dxa"/>
            </w:tcMar>
            <w:vAlign w:val="center"/>
          </w:tcPr>
          <w:p>
            <w:pPr>
              <w:pStyle w:val="TableContents"/>
              <w:bidi w:val="0"/>
              <w:spacing w:before="0" w:after="283"/>
              <w:jc w:val="right"/>
              <w:rPr/>
            </w:pPr>
            <w:r>
              <w:rPr/>
              <w:t>2,312</w:t>
            </w:r>
          </w:p>
        </w:tc>
        <w:tc>
          <w:tcPr>
            <w:tcW w:w="75" w:type="dxa"/>
            <w:tcBorders/>
            <w:shd w:fill="CCEEFF" w:val="clear"/>
            <w:vAlign w:val="center"/>
          </w:tcPr>
          <w:p>
            <w:pPr>
              <w:pStyle w:val="TableContents"/>
              <w:bidi w:val="0"/>
              <w:spacing w:before="0" w:after="283"/>
              <w:ind w:left="0" w:right="0" w:hanging="180"/>
              <w:jc w:val="left"/>
              <w:rPr/>
            </w:pPr>
            <w:r>
              <w:rPr/>
              <w:t> </w:t>
            </w:r>
          </w:p>
        </w:tc>
      </w:tr>
      <w:tr>
        <w:trPr/>
        <w:tc>
          <w:tcPr>
            <w:tcW w:w="3890" w:type="dxa"/>
            <w:tcBorders/>
            <w:shd w:fill="FFFFFF" w:val="clear"/>
            <w:vAlign w:val="center"/>
          </w:tcPr>
          <w:p>
            <w:pPr>
              <w:pStyle w:val="TableContents"/>
              <w:bidi w:val="0"/>
              <w:spacing w:before="0" w:after="283"/>
              <w:jc w:val="left"/>
              <w:rPr/>
            </w:pPr>
            <w:r>
              <w:rPr/>
              <w:t>Total stock-based compensation expense</w:t>
            </w:r>
          </w:p>
        </w:tc>
        <w:tc>
          <w:tcPr>
            <w:tcW w:w="60" w:type="dxa"/>
            <w:tcBorders/>
            <w:shd w:fill="FFFFFF" w:val="clear"/>
            <w:vAlign w:val="center"/>
          </w:tcPr>
          <w:p>
            <w:pPr>
              <w:pStyle w:val="TableContents"/>
              <w:bidi w:val="0"/>
              <w:spacing w:before="0" w:after="283"/>
              <w:jc w:val="left"/>
              <w:rPr/>
            </w:pPr>
            <w:r>
              <w:rPr/>
              <w:t> </w:t>
            </w:r>
          </w:p>
        </w:tc>
        <w:tc>
          <w:tcPr>
            <w:tcW w:w="241" w:type="dxa"/>
            <w:tcBorders>
              <w:bottom w:val="double" w:sz="10" w:space="0" w:color="000000"/>
            </w:tcBorders>
            <w:shd w:fill="FFFFFF" w:val="clear"/>
            <w:tcMar>
              <w:bottom w:w="28" w:type="dxa"/>
            </w:tcMar>
            <w:vAlign w:val="center"/>
          </w:tcPr>
          <w:p>
            <w:pPr>
              <w:pStyle w:val="TableContents"/>
              <w:bidi w:val="0"/>
              <w:spacing w:before="0" w:after="283"/>
              <w:jc w:val="left"/>
              <w:rPr/>
            </w:pPr>
            <w:r>
              <w:rPr/>
              <w:t>$</w:t>
            </w:r>
          </w:p>
        </w:tc>
        <w:tc>
          <w:tcPr>
            <w:tcW w:w="1173" w:type="dxa"/>
            <w:tcBorders>
              <w:bottom w:val="double" w:sz="10" w:space="0" w:color="000000"/>
            </w:tcBorders>
            <w:shd w:fill="FFFFFF" w:val="clear"/>
            <w:tcMar>
              <w:bottom w:w="28" w:type="dxa"/>
            </w:tcMar>
            <w:vAlign w:val="center"/>
          </w:tcPr>
          <w:p>
            <w:pPr>
              <w:pStyle w:val="TableContents"/>
              <w:bidi w:val="0"/>
              <w:spacing w:before="0" w:after="283"/>
              <w:jc w:val="right"/>
              <w:rPr/>
            </w:pPr>
            <w:r>
              <w:rPr/>
              <w:t>10,488</w:t>
            </w:r>
          </w:p>
        </w:tc>
        <w:tc>
          <w:tcPr>
            <w:tcW w:w="69" w:type="dxa"/>
            <w:tcBorders/>
            <w:shd w:fill="FFFFFF" w:val="clear"/>
            <w:vAlign w:val="center"/>
          </w:tcPr>
          <w:p>
            <w:pPr>
              <w:pStyle w:val="TableContents"/>
              <w:bidi w:val="0"/>
              <w:spacing w:before="0" w:after="283"/>
              <w:jc w:val="left"/>
              <w:rPr/>
            </w:pPr>
            <w:r>
              <w:rPr/>
              <w:t> </w:t>
            </w:r>
          </w:p>
        </w:tc>
        <w:tc>
          <w:tcPr>
            <w:tcW w:w="69" w:type="dxa"/>
            <w:tcBorders/>
            <w:shd w:fill="FFFFFF" w:val="clear"/>
            <w:vAlign w:val="center"/>
          </w:tcPr>
          <w:p>
            <w:pPr>
              <w:pStyle w:val="TableContents"/>
              <w:bidi w:val="0"/>
              <w:spacing w:before="0" w:after="283"/>
              <w:jc w:val="left"/>
              <w:rPr/>
            </w:pPr>
            <w:r>
              <w:rPr/>
              <w:t> </w:t>
            </w:r>
          </w:p>
        </w:tc>
        <w:tc>
          <w:tcPr>
            <w:tcW w:w="283" w:type="dxa"/>
            <w:tcBorders>
              <w:bottom w:val="double" w:sz="10" w:space="0" w:color="000000"/>
            </w:tcBorders>
            <w:shd w:fill="FFFFFF" w:val="clear"/>
            <w:tcMar>
              <w:bottom w:w="28" w:type="dxa"/>
            </w:tcMar>
            <w:vAlign w:val="center"/>
          </w:tcPr>
          <w:p>
            <w:pPr>
              <w:pStyle w:val="TableContents"/>
              <w:bidi w:val="0"/>
              <w:spacing w:before="0" w:after="283"/>
              <w:jc w:val="left"/>
              <w:rPr/>
            </w:pPr>
            <w:r>
              <w:rPr/>
              <w:t>$</w:t>
            </w:r>
          </w:p>
        </w:tc>
        <w:tc>
          <w:tcPr>
            <w:tcW w:w="1132" w:type="dxa"/>
            <w:tcBorders>
              <w:bottom w:val="double" w:sz="10" w:space="0" w:color="000000"/>
            </w:tcBorders>
            <w:shd w:fill="FFFFFF" w:val="clear"/>
            <w:tcMar>
              <w:bottom w:w="28" w:type="dxa"/>
            </w:tcMar>
            <w:vAlign w:val="center"/>
          </w:tcPr>
          <w:p>
            <w:pPr>
              <w:pStyle w:val="TableContents"/>
              <w:bidi w:val="0"/>
              <w:spacing w:before="0" w:after="283"/>
              <w:jc w:val="right"/>
              <w:rPr/>
            </w:pPr>
            <w:r>
              <w:rPr/>
              <w:t>3,067</w:t>
            </w:r>
          </w:p>
        </w:tc>
        <w:tc>
          <w:tcPr>
            <w:tcW w:w="75"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December 28, 2025, there was a total of $1.1 million and $23.1 million of unrecognized stock-based compensation costs related to service-based options and RSUs, respectively. Such compensation cost is expected to be recognized over a weighted-average period of approximately 2.4 years and 4.0 years, respectively.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fiscal 2024, the Company’s Board of Directors approved the modification to accelerate the vesting of 788,192 options, for employees that were terminated. Additionally, the Board of Directors approved an extension of the post termination exercise period for 4,343,172 vested options of terminated employees in the fiscal years ended December 29, 2024. In connection with the modifications, the Company recorded incremental stock-based compensation expense of $0.7 million in the fiscal year ended December 29, 2024.</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sz w:val="20"/>
          <w:bdr w:val="single" w:sz="12" w:space="1" w:color="000000"/>
        </w:rPr>
      </w:pPr>
      <w:r>
        <w:rPr>
          <w:sz w:val="20"/>
          <w:bdr w:val="single" w:sz="12" w:space="1" w:color="000000"/>
        </w:rPr>
        <w:t>F-105</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(16) Basic and Diluted Net Loss Per Share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uses the two-class method to calculate net loss per share. No dividends were declared or paid in the fiscal years ended December 28, 2025, or December 29, 2024.</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following table sets forth the computation of the Company’s basic and diluted net loss per share attributable to common stockholders </w:t>
      </w:r>
      <w:r>
        <w:rPr>
          <w:rFonts w:ascii="Times New Roman;Times;Serif" w:hAnsi="Times New Roman;Times;Serif"/>
          <w:b w:val="false"/>
          <w:i/>
          <w:caps w:val="false"/>
          <w:smallCaps w:val="false"/>
          <w:sz w:val="20"/>
        </w:rPr>
        <w:t>(in thousands, except share and per share amounts)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066"/>
        <w:gridCol w:w="60"/>
        <w:gridCol w:w="157"/>
        <w:gridCol w:w="1249"/>
        <w:gridCol w:w="95"/>
        <w:gridCol w:w="60"/>
        <w:gridCol w:w="157"/>
        <w:gridCol w:w="1249"/>
        <w:gridCol w:w="112"/>
      </w:tblGrid>
      <w:tr>
        <w:trPr/>
        <w:tc>
          <w:tcPr>
            <w:tcW w:w="7066"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2967"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Fiscal Year Ended</w:t>
            </w:r>
          </w:p>
        </w:tc>
        <w:tc>
          <w:tcPr>
            <w:tcW w:w="112" w:type="dxa"/>
            <w:tcBorders/>
            <w:vAlign w:val="center"/>
          </w:tcPr>
          <w:p>
            <w:pPr>
              <w:pStyle w:val="TableContents"/>
              <w:bidi w:val="0"/>
              <w:spacing w:before="0" w:after="283"/>
              <w:jc w:val="left"/>
              <w:rPr/>
            </w:pPr>
            <w:r>
              <w:rPr/>
              <w:t> </w:t>
            </w:r>
          </w:p>
        </w:tc>
      </w:tr>
      <w:tr>
        <w:trPr/>
        <w:tc>
          <w:tcPr>
            <w:tcW w:w="7066"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406" w:type="dxa"/>
            <w:gridSpan w:val="2"/>
            <w:tcBorders/>
            <w:vAlign w:val="center"/>
          </w:tcPr>
          <w:p>
            <w:pPr>
              <w:pStyle w:val="TableContents"/>
              <w:bidi w:val="0"/>
              <w:spacing w:before="0" w:after="283"/>
              <w:jc w:val="center"/>
              <w:rPr>
                <w:b/>
              </w:rPr>
            </w:pPr>
            <w:r>
              <w:rPr>
                <w:b/>
              </w:rPr>
              <w:t>December 28,</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6" w:type="dxa"/>
            <w:gridSpan w:val="2"/>
            <w:tcBorders/>
            <w:vAlign w:val="center"/>
          </w:tcPr>
          <w:p>
            <w:pPr>
              <w:pStyle w:val="TableContents"/>
              <w:bidi w:val="0"/>
              <w:spacing w:before="0" w:after="283"/>
              <w:jc w:val="center"/>
              <w:rPr>
                <w:b/>
              </w:rPr>
            </w:pPr>
            <w:r>
              <w:rPr>
                <w:b/>
              </w:rPr>
              <w:t>December 29,</w:t>
            </w:r>
          </w:p>
        </w:tc>
        <w:tc>
          <w:tcPr>
            <w:tcW w:w="112" w:type="dxa"/>
            <w:tcBorders/>
            <w:vAlign w:val="center"/>
          </w:tcPr>
          <w:p>
            <w:pPr>
              <w:pStyle w:val="TableContents"/>
              <w:bidi w:val="0"/>
              <w:spacing w:before="0" w:after="283"/>
              <w:jc w:val="left"/>
              <w:rPr/>
            </w:pPr>
            <w:r>
              <w:rPr/>
              <w:t> </w:t>
            </w:r>
          </w:p>
        </w:tc>
      </w:tr>
      <w:tr>
        <w:trPr/>
        <w:tc>
          <w:tcPr>
            <w:tcW w:w="7066"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406"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2025</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6"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2024</w:t>
            </w:r>
          </w:p>
        </w:tc>
        <w:tc>
          <w:tcPr>
            <w:tcW w:w="112" w:type="dxa"/>
            <w:tcBorders/>
            <w:vAlign w:val="center"/>
          </w:tcPr>
          <w:p>
            <w:pPr>
              <w:pStyle w:val="TableContents"/>
              <w:bidi w:val="0"/>
              <w:spacing w:before="0" w:after="283"/>
              <w:jc w:val="left"/>
              <w:rPr/>
            </w:pPr>
            <w:r>
              <w:rPr/>
              <w:t> </w:t>
            </w:r>
          </w:p>
        </w:tc>
      </w:tr>
      <w:tr>
        <w:trPr/>
        <w:tc>
          <w:tcPr>
            <w:tcW w:w="7066" w:type="dxa"/>
            <w:tcBorders/>
            <w:vAlign w:val="center"/>
          </w:tcPr>
          <w:p>
            <w:pPr>
              <w:pStyle w:val="TableContents"/>
              <w:bidi w:val="0"/>
              <w:spacing w:before="0" w:after="283"/>
              <w:jc w:val="left"/>
              <w:rPr>
                <w:b/>
              </w:rPr>
            </w:pPr>
            <w:r>
              <w:rPr>
                <w:b/>
              </w:rPr>
              <w:t>Numerator for basic loss per share:</w:t>
            </w:r>
          </w:p>
        </w:tc>
        <w:tc>
          <w:tcPr>
            <w:tcW w:w="60" w:type="dxa"/>
            <w:tcBorders/>
            <w:vAlign w:val="center"/>
          </w:tcPr>
          <w:p>
            <w:pPr>
              <w:pStyle w:val="TableContents"/>
              <w:bidi w:val="0"/>
              <w:spacing w:before="0" w:after="283"/>
              <w:jc w:val="left"/>
              <w:rPr/>
            </w:pPr>
            <w:r>
              <w:rPr/>
              <w:t> </w:t>
            </w:r>
          </w:p>
        </w:tc>
        <w:tc>
          <w:tcPr>
            <w:tcW w:w="1406" w:type="dxa"/>
            <w:gridSpan w:val="2"/>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6" w:type="dxa"/>
            <w:gridSpan w:val="2"/>
            <w:tcBorders/>
            <w:vAlign w:val="center"/>
          </w:tcPr>
          <w:p>
            <w:pPr>
              <w:pStyle w:val="TableContents"/>
              <w:bidi w:val="0"/>
              <w:spacing w:before="0" w:after="283"/>
              <w:jc w:val="left"/>
              <w:rPr/>
            </w:pPr>
            <w:r>
              <w:rPr/>
              <w:t> </w:t>
            </w:r>
          </w:p>
        </w:tc>
        <w:tc>
          <w:tcPr>
            <w:tcW w:w="112" w:type="dxa"/>
            <w:tcBorders/>
            <w:vAlign w:val="center"/>
          </w:tcPr>
          <w:p>
            <w:pPr>
              <w:pStyle w:val="TableContents"/>
              <w:bidi w:val="0"/>
              <w:spacing w:before="0" w:after="283"/>
              <w:jc w:val="left"/>
              <w:rPr/>
            </w:pPr>
            <w:r>
              <w:rPr/>
              <w:t> </w:t>
            </w:r>
          </w:p>
        </w:tc>
      </w:tr>
      <w:tr>
        <w:trPr/>
        <w:tc>
          <w:tcPr>
            <w:tcW w:w="7066" w:type="dxa"/>
            <w:tcBorders/>
            <w:shd w:fill="CCEEFF" w:val="clear"/>
            <w:vAlign w:val="center"/>
          </w:tcPr>
          <w:p>
            <w:pPr>
              <w:pStyle w:val="TableContents"/>
              <w:bidi w:val="0"/>
              <w:spacing w:before="0" w:after="283"/>
              <w:jc w:val="left"/>
              <w:rPr/>
            </w:pPr>
            <w:r>
              <w:rPr/>
              <w:t>Net loss from continuing operations</w:t>
            </w:r>
          </w:p>
        </w:tc>
        <w:tc>
          <w:tcPr>
            <w:tcW w:w="60" w:type="dxa"/>
            <w:tcBorders/>
            <w:shd w:fill="CCEEFF" w:val="clear"/>
            <w:vAlign w:val="center"/>
          </w:tcPr>
          <w:p>
            <w:pPr>
              <w:pStyle w:val="TableContents"/>
              <w:bidi w:val="0"/>
              <w:spacing w:before="0" w:after="283"/>
              <w:jc w:val="left"/>
              <w:rPr/>
            </w:pPr>
            <w:r>
              <w:rPr/>
              <w:t> </w:t>
            </w:r>
          </w:p>
        </w:tc>
        <w:tc>
          <w:tcPr>
            <w:tcW w:w="157" w:type="dxa"/>
            <w:tcBorders/>
            <w:shd w:fill="CCEEFF" w:val="clear"/>
            <w:vAlign w:val="center"/>
          </w:tcPr>
          <w:p>
            <w:pPr>
              <w:pStyle w:val="TableContents"/>
              <w:bidi w:val="0"/>
              <w:spacing w:before="0" w:after="283"/>
              <w:jc w:val="left"/>
              <w:rPr/>
            </w:pPr>
            <w:r>
              <w:rPr/>
              <w:t>$</w:t>
            </w:r>
          </w:p>
        </w:tc>
        <w:tc>
          <w:tcPr>
            <w:tcW w:w="1249" w:type="dxa"/>
            <w:tcBorders/>
            <w:shd w:fill="CCEEFF" w:val="clear"/>
            <w:vAlign w:val="center"/>
          </w:tcPr>
          <w:p>
            <w:pPr>
              <w:pStyle w:val="TableContents"/>
              <w:bidi w:val="0"/>
              <w:spacing w:before="0" w:after="283"/>
              <w:jc w:val="right"/>
              <w:rPr/>
            </w:pPr>
            <w:r>
              <w:rPr/>
              <w:t>(44,254</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57" w:type="dxa"/>
            <w:tcBorders/>
            <w:shd w:fill="CCEEFF" w:val="clear"/>
            <w:vAlign w:val="center"/>
          </w:tcPr>
          <w:p>
            <w:pPr>
              <w:pStyle w:val="TableContents"/>
              <w:bidi w:val="0"/>
              <w:spacing w:before="0" w:after="283"/>
              <w:jc w:val="left"/>
              <w:rPr/>
            </w:pPr>
            <w:r>
              <w:rPr/>
              <w:t>$</w:t>
            </w:r>
          </w:p>
        </w:tc>
        <w:tc>
          <w:tcPr>
            <w:tcW w:w="1249" w:type="dxa"/>
            <w:tcBorders/>
            <w:shd w:fill="CCEEFF" w:val="clear"/>
            <w:vAlign w:val="center"/>
          </w:tcPr>
          <w:p>
            <w:pPr>
              <w:pStyle w:val="TableContents"/>
              <w:bidi w:val="0"/>
              <w:spacing w:before="0" w:after="283"/>
              <w:jc w:val="right"/>
              <w:rPr/>
            </w:pPr>
            <w:r>
              <w:rPr/>
              <w:t>(54,444</w:t>
            </w:r>
          </w:p>
        </w:tc>
        <w:tc>
          <w:tcPr>
            <w:tcW w:w="112" w:type="dxa"/>
            <w:tcBorders/>
            <w:shd w:fill="CCEEFF" w:val="clear"/>
            <w:vAlign w:val="center"/>
          </w:tcPr>
          <w:p>
            <w:pPr>
              <w:pStyle w:val="TableContents"/>
              <w:bidi w:val="0"/>
              <w:spacing w:before="0" w:after="283"/>
              <w:jc w:val="left"/>
              <w:rPr/>
            </w:pPr>
            <w:r>
              <w:rPr/>
              <w:t>)</w:t>
            </w:r>
          </w:p>
        </w:tc>
      </w:tr>
      <w:tr>
        <w:trPr/>
        <w:tc>
          <w:tcPr>
            <w:tcW w:w="7066" w:type="dxa"/>
            <w:tcBorders/>
            <w:shd w:fill="FFFFFF" w:val="clear"/>
            <w:vAlign w:val="center"/>
          </w:tcPr>
          <w:p>
            <w:pPr>
              <w:pStyle w:val="TableContents"/>
              <w:bidi w:val="0"/>
              <w:spacing w:before="0" w:after="283"/>
              <w:jc w:val="left"/>
              <w:rPr/>
            </w:pPr>
            <w:r>
              <w:rPr/>
              <w:t>Net loss from discontinued operations</w:t>
            </w:r>
          </w:p>
        </w:tc>
        <w:tc>
          <w:tcPr>
            <w:tcW w:w="60" w:type="dxa"/>
            <w:tcBorders/>
            <w:shd w:fill="FFFFFF" w:val="clear"/>
            <w:vAlign w:val="center"/>
          </w:tcPr>
          <w:p>
            <w:pPr>
              <w:pStyle w:val="TableContents"/>
              <w:bidi w:val="0"/>
              <w:spacing w:before="0" w:after="283"/>
              <w:jc w:val="left"/>
              <w:rPr/>
            </w:pPr>
            <w:r>
              <w:rPr/>
              <w:t> </w:t>
            </w:r>
          </w:p>
        </w:tc>
        <w:tc>
          <w:tcPr>
            <w:tcW w:w="157"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49" w:type="dxa"/>
            <w:tcBorders>
              <w:bottom w:val="single" w:sz="12" w:space="0" w:color="000000"/>
            </w:tcBorders>
            <w:shd w:fill="FFFFFF" w:val="clear"/>
            <w:tcMar>
              <w:bottom w:w="28" w:type="dxa"/>
            </w:tcMar>
            <w:vAlign w:val="center"/>
          </w:tcPr>
          <w:p>
            <w:pPr>
              <w:pStyle w:val="TableContents"/>
              <w:bidi w:val="0"/>
              <w:spacing w:before="0" w:after="283"/>
              <w:jc w:val="right"/>
              <w:rPr/>
            </w:pPr>
            <w:r>
              <w:rPr/>
              <w:t>(1,100</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57"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49" w:type="dxa"/>
            <w:tcBorders>
              <w:bottom w:val="single" w:sz="12" w:space="0" w:color="000000"/>
            </w:tcBorders>
            <w:shd w:fill="FFFFFF" w:val="clear"/>
            <w:tcMar>
              <w:bottom w:w="28" w:type="dxa"/>
            </w:tcMar>
            <w:vAlign w:val="center"/>
          </w:tcPr>
          <w:p>
            <w:pPr>
              <w:pStyle w:val="TableContents"/>
              <w:bidi w:val="0"/>
              <w:spacing w:before="0" w:after="283"/>
              <w:jc w:val="right"/>
              <w:rPr/>
            </w:pPr>
            <w:r>
              <w:rPr/>
              <w:t>(2,007</w:t>
            </w:r>
          </w:p>
        </w:tc>
        <w:tc>
          <w:tcPr>
            <w:tcW w:w="112" w:type="dxa"/>
            <w:tcBorders/>
            <w:shd w:fill="FFFFFF" w:val="clear"/>
            <w:vAlign w:val="center"/>
          </w:tcPr>
          <w:p>
            <w:pPr>
              <w:pStyle w:val="TableContents"/>
              <w:bidi w:val="0"/>
              <w:spacing w:before="0" w:after="283"/>
              <w:jc w:val="left"/>
              <w:rPr/>
            </w:pPr>
            <w:r>
              <w:rPr/>
              <w:t>)</w:t>
            </w:r>
          </w:p>
        </w:tc>
      </w:tr>
      <w:tr>
        <w:trPr/>
        <w:tc>
          <w:tcPr>
            <w:tcW w:w="7066" w:type="dxa"/>
            <w:tcBorders/>
            <w:shd w:fill="CCEEFF" w:val="clear"/>
            <w:vAlign w:val="center"/>
          </w:tcPr>
          <w:p>
            <w:pPr>
              <w:pStyle w:val="TableContents"/>
              <w:bidi w:val="0"/>
              <w:spacing w:before="0" w:after="283"/>
              <w:jc w:val="left"/>
              <w:rPr/>
            </w:pPr>
            <w:r>
              <w:rPr/>
              <w:t>Net loss</w:t>
            </w:r>
          </w:p>
        </w:tc>
        <w:tc>
          <w:tcPr>
            <w:tcW w:w="60" w:type="dxa"/>
            <w:tcBorders/>
            <w:shd w:fill="CCEEFF" w:val="clear"/>
            <w:vAlign w:val="center"/>
          </w:tcPr>
          <w:p>
            <w:pPr>
              <w:pStyle w:val="TableContents"/>
              <w:bidi w:val="0"/>
              <w:spacing w:before="0" w:after="283"/>
              <w:jc w:val="left"/>
              <w:rPr/>
            </w:pPr>
            <w:r>
              <w:rPr/>
              <w:t> </w:t>
            </w:r>
          </w:p>
        </w:tc>
        <w:tc>
          <w:tcPr>
            <w:tcW w:w="157"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49" w:type="dxa"/>
            <w:tcBorders>
              <w:bottom w:val="single" w:sz="12" w:space="0" w:color="000000"/>
            </w:tcBorders>
            <w:shd w:fill="CCEEFF" w:val="clear"/>
            <w:tcMar>
              <w:bottom w:w="28" w:type="dxa"/>
            </w:tcMar>
            <w:vAlign w:val="center"/>
          </w:tcPr>
          <w:p>
            <w:pPr>
              <w:pStyle w:val="TableContents"/>
              <w:bidi w:val="0"/>
              <w:spacing w:before="0" w:after="283"/>
              <w:jc w:val="right"/>
              <w:rPr/>
            </w:pPr>
            <w:r>
              <w:rPr/>
              <w:t>(45,354</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57"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49" w:type="dxa"/>
            <w:tcBorders>
              <w:bottom w:val="single" w:sz="12" w:space="0" w:color="000000"/>
            </w:tcBorders>
            <w:shd w:fill="CCEEFF" w:val="clear"/>
            <w:tcMar>
              <w:bottom w:w="28" w:type="dxa"/>
            </w:tcMar>
            <w:vAlign w:val="center"/>
          </w:tcPr>
          <w:p>
            <w:pPr>
              <w:pStyle w:val="TableContents"/>
              <w:bidi w:val="0"/>
              <w:spacing w:before="0" w:after="283"/>
              <w:jc w:val="right"/>
              <w:rPr/>
            </w:pPr>
            <w:r>
              <w:rPr/>
              <w:t>(56,451</w:t>
            </w:r>
          </w:p>
        </w:tc>
        <w:tc>
          <w:tcPr>
            <w:tcW w:w="112" w:type="dxa"/>
            <w:tcBorders/>
            <w:shd w:fill="CCEEFF" w:val="clear"/>
            <w:vAlign w:val="center"/>
          </w:tcPr>
          <w:p>
            <w:pPr>
              <w:pStyle w:val="TableContents"/>
              <w:bidi w:val="0"/>
              <w:spacing w:before="0" w:after="283"/>
              <w:jc w:val="left"/>
              <w:rPr/>
            </w:pPr>
            <w:r>
              <w:rPr/>
              <w:t>)</w:t>
            </w:r>
          </w:p>
        </w:tc>
      </w:tr>
      <w:tr>
        <w:trPr/>
        <w:tc>
          <w:tcPr>
            <w:tcW w:w="7066" w:type="dxa"/>
            <w:tcBorders/>
            <w:shd w:fill="FFFFFF" w:val="clear"/>
            <w:vAlign w:val="center"/>
          </w:tcPr>
          <w:p>
            <w:pPr>
              <w:pStyle w:val="TableContents"/>
              <w:bidi w:val="0"/>
              <w:spacing w:before="0" w:after="283"/>
              <w:jc w:val="left"/>
              <w:rPr>
                <w:b/>
              </w:rPr>
            </w:pPr>
            <w:r>
              <w:rPr>
                <w:b/>
              </w:rPr>
              <w:t>Numerator for diluted loss per share</w:t>
            </w:r>
          </w:p>
        </w:tc>
        <w:tc>
          <w:tcPr>
            <w:tcW w:w="60" w:type="dxa"/>
            <w:tcBorders/>
            <w:shd w:fill="FFFFFF" w:val="clear"/>
            <w:vAlign w:val="center"/>
          </w:tcPr>
          <w:p>
            <w:pPr>
              <w:pStyle w:val="TableContents"/>
              <w:bidi w:val="0"/>
              <w:spacing w:before="0" w:after="283"/>
              <w:jc w:val="left"/>
              <w:rPr/>
            </w:pPr>
            <w:r>
              <w:rPr/>
              <w:t> </w:t>
            </w:r>
          </w:p>
        </w:tc>
        <w:tc>
          <w:tcPr>
            <w:tcW w:w="157" w:type="dxa"/>
            <w:tcBorders/>
            <w:shd w:fill="FFFFFF" w:val="clear"/>
            <w:vAlign w:val="center"/>
          </w:tcPr>
          <w:p>
            <w:pPr>
              <w:pStyle w:val="TableContents"/>
              <w:bidi w:val="0"/>
              <w:spacing w:before="0" w:after="283"/>
              <w:jc w:val="left"/>
              <w:rPr/>
            </w:pPr>
            <w:r>
              <w:rPr/>
              <w:t> </w:t>
            </w:r>
          </w:p>
        </w:tc>
        <w:tc>
          <w:tcPr>
            <w:tcW w:w="1249"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7" w:type="dxa"/>
            <w:tcBorders/>
            <w:shd w:fill="FFFFFF" w:val="clear"/>
            <w:vAlign w:val="center"/>
          </w:tcPr>
          <w:p>
            <w:pPr>
              <w:pStyle w:val="TableContents"/>
              <w:bidi w:val="0"/>
              <w:spacing w:before="0" w:after="283"/>
              <w:jc w:val="left"/>
              <w:rPr/>
            </w:pPr>
            <w:r>
              <w:rPr/>
              <w:t> </w:t>
            </w:r>
          </w:p>
        </w:tc>
        <w:tc>
          <w:tcPr>
            <w:tcW w:w="1249" w:type="dxa"/>
            <w:tcBorders/>
            <w:shd w:fill="FFFFFF" w:val="clear"/>
            <w:vAlign w:val="center"/>
          </w:tcPr>
          <w:p>
            <w:pPr>
              <w:pStyle w:val="TableContents"/>
              <w:bidi w:val="0"/>
              <w:spacing w:before="0" w:after="283"/>
              <w:jc w:val="right"/>
              <w:rPr/>
            </w:pPr>
            <w:r>
              <w:rPr/>
              <w:t> </w:t>
            </w:r>
          </w:p>
        </w:tc>
        <w:tc>
          <w:tcPr>
            <w:tcW w:w="112" w:type="dxa"/>
            <w:tcBorders/>
            <w:shd w:fill="FFFFFF" w:val="clear"/>
            <w:vAlign w:val="center"/>
          </w:tcPr>
          <w:p>
            <w:pPr>
              <w:pStyle w:val="TableContents"/>
              <w:bidi w:val="0"/>
              <w:spacing w:before="0" w:after="283"/>
              <w:jc w:val="left"/>
              <w:rPr/>
            </w:pPr>
            <w:r>
              <w:rPr/>
              <w:t> </w:t>
            </w:r>
          </w:p>
        </w:tc>
      </w:tr>
      <w:tr>
        <w:trPr/>
        <w:tc>
          <w:tcPr>
            <w:tcW w:w="7066" w:type="dxa"/>
            <w:tcBorders/>
            <w:shd w:fill="CCEEFF" w:val="clear"/>
            <w:vAlign w:val="center"/>
          </w:tcPr>
          <w:p>
            <w:pPr>
              <w:pStyle w:val="TableContents"/>
              <w:bidi w:val="0"/>
              <w:spacing w:before="0" w:after="283"/>
              <w:jc w:val="left"/>
              <w:rPr/>
            </w:pPr>
            <w:r>
              <w:rPr/>
              <w:t>Impact of September 2024 Notes derivative liability and interest expense, net of tax</w:t>
            </w:r>
          </w:p>
        </w:tc>
        <w:tc>
          <w:tcPr>
            <w:tcW w:w="60" w:type="dxa"/>
            <w:tcBorders/>
            <w:shd w:fill="CCEEFF" w:val="clear"/>
            <w:vAlign w:val="center"/>
          </w:tcPr>
          <w:p>
            <w:pPr>
              <w:pStyle w:val="TableContents"/>
              <w:bidi w:val="0"/>
              <w:spacing w:before="0" w:after="283"/>
              <w:jc w:val="left"/>
              <w:rPr/>
            </w:pPr>
            <w:r>
              <w:rPr/>
              <w:t> </w:t>
            </w:r>
          </w:p>
        </w:tc>
        <w:tc>
          <w:tcPr>
            <w:tcW w:w="157"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49"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7"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49" w:type="dxa"/>
            <w:tcBorders>
              <w:bottom w:val="single" w:sz="12" w:space="0" w:color="000000"/>
            </w:tcBorders>
            <w:shd w:fill="CCEEFF" w:val="clear"/>
            <w:tcMar>
              <w:bottom w:w="28" w:type="dxa"/>
            </w:tcMar>
            <w:vAlign w:val="center"/>
          </w:tcPr>
          <w:p>
            <w:pPr>
              <w:pStyle w:val="TableContents"/>
              <w:bidi w:val="0"/>
              <w:spacing w:before="0" w:after="283"/>
              <w:jc w:val="right"/>
              <w:rPr/>
            </w:pPr>
            <w:r>
              <w:rPr/>
              <w:t>(35,886</w:t>
            </w:r>
          </w:p>
        </w:tc>
        <w:tc>
          <w:tcPr>
            <w:tcW w:w="112" w:type="dxa"/>
            <w:tcBorders/>
            <w:shd w:fill="CCEEFF" w:val="clear"/>
            <w:vAlign w:val="center"/>
          </w:tcPr>
          <w:p>
            <w:pPr>
              <w:pStyle w:val="TableContents"/>
              <w:bidi w:val="0"/>
              <w:spacing w:before="0" w:after="283"/>
              <w:jc w:val="left"/>
              <w:rPr/>
            </w:pPr>
            <w:r>
              <w:rPr/>
              <w:t>)</w:t>
            </w:r>
          </w:p>
        </w:tc>
      </w:tr>
      <w:tr>
        <w:trPr/>
        <w:tc>
          <w:tcPr>
            <w:tcW w:w="7066" w:type="dxa"/>
            <w:tcBorders/>
            <w:shd w:fill="FFFFFF" w:val="clear"/>
            <w:vAlign w:val="center"/>
          </w:tcPr>
          <w:p>
            <w:pPr>
              <w:pStyle w:val="TableContents"/>
              <w:bidi w:val="0"/>
              <w:spacing w:before="0" w:after="283"/>
              <w:jc w:val="left"/>
              <w:rPr/>
            </w:pPr>
            <w:r>
              <w:rPr/>
              <w:t>Net loss</w:t>
            </w:r>
          </w:p>
        </w:tc>
        <w:tc>
          <w:tcPr>
            <w:tcW w:w="60" w:type="dxa"/>
            <w:tcBorders/>
            <w:shd w:fill="FFFFFF" w:val="clear"/>
            <w:vAlign w:val="center"/>
          </w:tcPr>
          <w:p>
            <w:pPr>
              <w:pStyle w:val="TableContents"/>
              <w:bidi w:val="0"/>
              <w:spacing w:before="0" w:after="283"/>
              <w:jc w:val="left"/>
              <w:rPr/>
            </w:pPr>
            <w:r>
              <w:rPr/>
              <w:t> </w:t>
            </w:r>
          </w:p>
        </w:tc>
        <w:tc>
          <w:tcPr>
            <w:tcW w:w="157" w:type="dxa"/>
            <w:tcBorders>
              <w:bottom w:val="double" w:sz="10" w:space="0" w:color="000000"/>
            </w:tcBorders>
            <w:shd w:fill="FFFFFF" w:val="clear"/>
            <w:tcMar>
              <w:bottom w:w="28" w:type="dxa"/>
            </w:tcMar>
            <w:vAlign w:val="center"/>
          </w:tcPr>
          <w:p>
            <w:pPr>
              <w:pStyle w:val="TableContents"/>
              <w:bidi w:val="0"/>
              <w:spacing w:before="0" w:after="283"/>
              <w:jc w:val="left"/>
              <w:rPr/>
            </w:pPr>
            <w:r>
              <w:rPr/>
              <w:t>$</w:t>
            </w:r>
          </w:p>
        </w:tc>
        <w:tc>
          <w:tcPr>
            <w:tcW w:w="1249" w:type="dxa"/>
            <w:tcBorders>
              <w:bottom w:val="double" w:sz="10" w:space="0" w:color="000000"/>
            </w:tcBorders>
            <w:shd w:fill="FFFFFF" w:val="clear"/>
            <w:tcMar>
              <w:bottom w:w="28" w:type="dxa"/>
            </w:tcMar>
            <w:vAlign w:val="center"/>
          </w:tcPr>
          <w:p>
            <w:pPr>
              <w:pStyle w:val="TableContents"/>
              <w:bidi w:val="0"/>
              <w:spacing w:before="0" w:after="283"/>
              <w:jc w:val="right"/>
              <w:rPr/>
            </w:pPr>
            <w:r>
              <w:rPr/>
              <w:t>(45,354</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57" w:type="dxa"/>
            <w:tcBorders>
              <w:bottom w:val="double" w:sz="10" w:space="0" w:color="000000"/>
            </w:tcBorders>
            <w:shd w:fill="FFFFFF" w:val="clear"/>
            <w:tcMar>
              <w:bottom w:w="28" w:type="dxa"/>
            </w:tcMar>
            <w:vAlign w:val="center"/>
          </w:tcPr>
          <w:p>
            <w:pPr>
              <w:pStyle w:val="TableContents"/>
              <w:bidi w:val="0"/>
              <w:spacing w:before="0" w:after="283"/>
              <w:jc w:val="left"/>
              <w:rPr/>
            </w:pPr>
            <w:r>
              <w:rPr/>
              <w:t>$</w:t>
            </w:r>
          </w:p>
        </w:tc>
        <w:tc>
          <w:tcPr>
            <w:tcW w:w="1249" w:type="dxa"/>
            <w:tcBorders>
              <w:bottom w:val="double" w:sz="10" w:space="0" w:color="000000"/>
            </w:tcBorders>
            <w:shd w:fill="FFFFFF" w:val="clear"/>
            <w:tcMar>
              <w:bottom w:w="28" w:type="dxa"/>
            </w:tcMar>
            <w:vAlign w:val="center"/>
          </w:tcPr>
          <w:p>
            <w:pPr>
              <w:pStyle w:val="TableContents"/>
              <w:bidi w:val="0"/>
              <w:spacing w:before="0" w:after="283"/>
              <w:jc w:val="right"/>
              <w:rPr/>
            </w:pPr>
            <w:r>
              <w:rPr/>
              <w:t>(92,337</w:t>
            </w:r>
          </w:p>
        </w:tc>
        <w:tc>
          <w:tcPr>
            <w:tcW w:w="112" w:type="dxa"/>
            <w:tcBorders/>
            <w:shd w:fill="FFFFFF" w:val="clear"/>
            <w:vAlign w:val="center"/>
          </w:tcPr>
          <w:p>
            <w:pPr>
              <w:pStyle w:val="TableContents"/>
              <w:bidi w:val="0"/>
              <w:spacing w:before="0" w:after="283"/>
              <w:jc w:val="left"/>
              <w:rPr/>
            </w:pPr>
            <w:r>
              <w:rPr/>
              <w:t>)</w:t>
            </w:r>
          </w:p>
        </w:tc>
      </w:tr>
      <w:tr>
        <w:trPr/>
        <w:tc>
          <w:tcPr>
            <w:tcW w:w="7066" w:type="dxa"/>
            <w:tcBorders/>
            <w:shd w:fill="CCEEFF" w:val="clear"/>
            <w:vAlign w:val="center"/>
          </w:tcPr>
          <w:p>
            <w:pPr>
              <w:pStyle w:val="TableContents"/>
              <w:bidi w:val="0"/>
              <w:spacing w:before="0" w:after="283"/>
              <w:jc w:val="left"/>
              <w:rPr>
                <w:b/>
              </w:rPr>
            </w:pPr>
            <w:r>
              <w:rPr>
                <w:b/>
              </w:rPr>
              <w:t>Denominator:</w:t>
            </w:r>
          </w:p>
        </w:tc>
        <w:tc>
          <w:tcPr>
            <w:tcW w:w="60" w:type="dxa"/>
            <w:tcBorders/>
            <w:shd w:fill="CCEEFF" w:val="clear"/>
            <w:vAlign w:val="center"/>
          </w:tcPr>
          <w:p>
            <w:pPr>
              <w:pStyle w:val="TableContents"/>
              <w:bidi w:val="0"/>
              <w:spacing w:before="0" w:after="283"/>
              <w:jc w:val="left"/>
              <w:rPr/>
            </w:pPr>
            <w:r>
              <w:rPr/>
              <w:t> </w:t>
            </w:r>
          </w:p>
        </w:tc>
        <w:tc>
          <w:tcPr>
            <w:tcW w:w="157" w:type="dxa"/>
            <w:tcBorders/>
            <w:shd w:fill="CCEEFF" w:val="clear"/>
            <w:vAlign w:val="center"/>
          </w:tcPr>
          <w:p>
            <w:pPr>
              <w:pStyle w:val="TableContents"/>
              <w:bidi w:val="0"/>
              <w:spacing w:before="0" w:after="283"/>
              <w:jc w:val="left"/>
              <w:rPr/>
            </w:pPr>
            <w:r>
              <w:rPr/>
              <w:t> </w:t>
            </w:r>
          </w:p>
        </w:tc>
        <w:tc>
          <w:tcPr>
            <w:tcW w:w="1249"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7" w:type="dxa"/>
            <w:tcBorders/>
            <w:shd w:fill="CCEEFF" w:val="clear"/>
            <w:vAlign w:val="center"/>
          </w:tcPr>
          <w:p>
            <w:pPr>
              <w:pStyle w:val="TableContents"/>
              <w:bidi w:val="0"/>
              <w:spacing w:before="0" w:after="283"/>
              <w:jc w:val="left"/>
              <w:rPr/>
            </w:pPr>
            <w:r>
              <w:rPr/>
              <w:t> </w:t>
            </w:r>
          </w:p>
        </w:tc>
        <w:tc>
          <w:tcPr>
            <w:tcW w:w="1249" w:type="dxa"/>
            <w:tcBorders/>
            <w:shd w:fill="CCEEFF" w:val="clear"/>
            <w:vAlign w:val="center"/>
          </w:tcPr>
          <w:p>
            <w:pPr>
              <w:pStyle w:val="TableContents"/>
              <w:bidi w:val="0"/>
              <w:spacing w:before="0" w:after="283"/>
              <w:jc w:val="right"/>
              <w:rPr/>
            </w:pPr>
            <w:r>
              <w:rPr/>
              <w:t> </w:t>
            </w:r>
          </w:p>
        </w:tc>
        <w:tc>
          <w:tcPr>
            <w:tcW w:w="112" w:type="dxa"/>
            <w:tcBorders/>
            <w:shd w:fill="CCEEFF" w:val="clear"/>
            <w:vAlign w:val="center"/>
          </w:tcPr>
          <w:p>
            <w:pPr>
              <w:pStyle w:val="TableContents"/>
              <w:bidi w:val="0"/>
              <w:spacing w:before="0" w:after="283"/>
              <w:jc w:val="left"/>
              <w:rPr/>
            </w:pPr>
            <w:r>
              <w:rPr/>
              <w:t> </w:t>
            </w:r>
          </w:p>
        </w:tc>
      </w:tr>
      <w:tr>
        <w:trPr/>
        <w:tc>
          <w:tcPr>
            <w:tcW w:w="7066" w:type="dxa"/>
            <w:tcBorders/>
            <w:shd w:fill="FFFFFF" w:val="clear"/>
            <w:vAlign w:val="center"/>
          </w:tcPr>
          <w:p>
            <w:pPr>
              <w:pStyle w:val="TableContents"/>
              <w:bidi w:val="0"/>
              <w:spacing w:before="0" w:after="283"/>
              <w:jc w:val="left"/>
              <w:rPr/>
            </w:pPr>
            <w:r>
              <w:rPr/>
              <w:t>Weighted average shares:</w:t>
            </w:r>
          </w:p>
        </w:tc>
        <w:tc>
          <w:tcPr>
            <w:tcW w:w="60" w:type="dxa"/>
            <w:tcBorders/>
            <w:shd w:fill="FFFFFF" w:val="clear"/>
            <w:vAlign w:val="center"/>
          </w:tcPr>
          <w:p>
            <w:pPr>
              <w:pStyle w:val="TableContents"/>
              <w:bidi w:val="0"/>
              <w:spacing w:before="0" w:after="283"/>
              <w:jc w:val="left"/>
              <w:rPr/>
            </w:pPr>
            <w:r>
              <w:rPr/>
              <w:t> </w:t>
            </w:r>
          </w:p>
        </w:tc>
        <w:tc>
          <w:tcPr>
            <w:tcW w:w="157" w:type="dxa"/>
            <w:tcBorders/>
            <w:shd w:fill="FFFFFF" w:val="clear"/>
            <w:vAlign w:val="center"/>
          </w:tcPr>
          <w:p>
            <w:pPr>
              <w:pStyle w:val="TableContents"/>
              <w:bidi w:val="0"/>
              <w:spacing w:before="0" w:after="283"/>
              <w:jc w:val="left"/>
              <w:rPr/>
            </w:pPr>
            <w:r>
              <w:rPr/>
              <w:t> </w:t>
            </w:r>
          </w:p>
        </w:tc>
        <w:tc>
          <w:tcPr>
            <w:tcW w:w="1249"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7" w:type="dxa"/>
            <w:tcBorders/>
            <w:shd w:fill="FFFFFF" w:val="clear"/>
            <w:vAlign w:val="center"/>
          </w:tcPr>
          <w:p>
            <w:pPr>
              <w:pStyle w:val="TableContents"/>
              <w:bidi w:val="0"/>
              <w:spacing w:before="0" w:after="283"/>
              <w:jc w:val="left"/>
              <w:rPr/>
            </w:pPr>
            <w:r>
              <w:rPr/>
              <w:t> </w:t>
            </w:r>
          </w:p>
        </w:tc>
        <w:tc>
          <w:tcPr>
            <w:tcW w:w="1249" w:type="dxa"/>
            <w:tcBorders/>
            <w:shd w:fill="FFFFFF" w:val="clear"/>
            <w:vAlign w:val="center"/>
          </w:tcPr>
          <w:p>
            <w:pPr>
              <w:pStyle w:val="TableContents"/>
              <w:bidi w:val="0"/>
              <w:spacing w:before="0" w:after="283"/>
              <w:jc w:val="right"/>
              <w:rPr/>
            </w:pPr>
            <w:r>
              <w:rPr/>
              <w:t> </w:t>
            </w:r>
          </w:p>
        </w:tc>
        <w:tc>
          <w:tcPr>
            <w:tcW w:w="112" w:type="dxa"/>
            <w:tcBorders/>
            <w:shd w:fill="FFFFFF" w:val="clear"/>
            <w:vAlign w:val="center"/>
          </w:tcPr>
          <w:p>
            <w:pPr>
              <w:pStyle w:val="TableContents"/>
              <w:bidi w:val="0"/>
              <w:spacing w:before="0" w:after="283"/>
              <w:jc w:val="left"/>
              <w:rPr/>
            </w:pPr>
            <w:r>
              <w:rPr/>
              <w:t> </w:t>
            </w:r>
          </w:p>
        </w:tc>
      </w:tr>
      <w:tr>
        <w:trPr/>
        <w:tc>
          <w:tcPr>
            <w:tcW w:w="7066" w:type="dxa"/>
            <w:tcBorders/>
            <w:shd w:fill="CCEEFF" w:val="clear"/>
            <w:vAlign w:val="center"/>
          </w:tcPr>
          <w:p>
            <w:pPr>
              <w:pStyle w:val="TableContents"/>
              <w:bidi w:val="0"/>
              <w:spacing w:before="0" w:after="283"/>
              <w:jc w:val="left"/>
              <w:rPr/>
            </w:pPr>
            <w:r>
              <w:rPr/>
              <w:t>Denominator for basic loss per share</w:t>
            </w:r>
          </w:p>
        </w:tc>
        <w:tc>
          <w:tcPr>
            <w:tcW w:w="60" w:type="dxa"/>
            <w:tcBorders/>
            <w:shd w:fill="CCEEFF" w:val="clear"/>
            <w:vAlign w:val="center"/>
          </w:tcPr>
          <w:p>
            <w:pPr>
              <w:pStyle w:val="TableContents"/>
              <w:bidi w:val="0"/>
              <w:spacing w:before="0" w:after="283"/>
              <w:jc w:val="left"/>
              <w:rPr/>
            </w:pPr>
            <w:r>
              <w:rPr/>
              <w:t> </w:t>
            </w:r>
          </w:p>
        </w:tc>
        <w:tc>
          <w:tcPr>
            <w:tcW w:w="157" w:type="dxa"/>
            <w:tcBorders/>
            <w:shd w:fill="CCEEFF" w:val="clear"/>
            <w:vAlign w:val="center"/>
          </w:tcPr>
          <w:p>
            <w:pPr>
              <w:pStyle w:val="TableContents"/>
              <w:bidi w:val="0"/>
              <w:spacing w:before="0" w:after="283"/>
              <w:jc w:val="left"/>
              <w:rPr/>
            </w:pPr>
            <w:r>
              <w:rPr/>
              <w:t> </w:t>
            </w:r>
          </w:p>
        </w:tc>
        <w:tc>
          <w:tcPr>
            <w:tcW w:w="1249" w:type="dxa"/>
            <w:tcBorders/>
            <w:shd w:fill="CCEEFF" w:val="clear"/>
            <w:vAlign w:val="center"/>
          </w:tcPr>
          <w:p>
            <w:pPr>
              <w:pStyle w:val="TableContents"/>
              <w:bidi w:val="0"/>
              <w:spacing w:before="0" w:after="283"/>
              <w:jc w:val="right"/>
              <w:rPr/>
            </w:pPr>
            <w:r>
              <w:rPr/>
              <w:t>87,108,928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7" w:type="dxa"/>
            <w:tcBorders/>
            <w:shd w:fill="CCEEFF" w:val="clear"/>
            <w:vAlign w:val="center"/>
          </w:tcPr>
          <w:p>
            <w:pPr>
              <w:pStyle w:val="TableContents"/>
              <w:bidi w:val="0"/>
              <w:spacing w:before="0" w:after="283"/>
              <w:jc w:val="left"/>
              <w:rPr/>
            </w:pPr>
            <w:r>
              <w:rPr/>
              <w:t> </w:t>
            </w:r>
          </w:p>
        </w:tc>
        <w:tc>
          <w:tcPr>
            <w:tcW w:w="1249" w:type="dxa"/>
            <w:tcBorders/>
            <w:shd w:fill="CCEEFF" w:val="clear"/>
            <w:vAlign w:val="center"/>
          </w:tcPr>
          <w:p>
            <w:pPr>
              <w:pStyle w:val="TableContents"/>
              <w:bidi w:val="0"/>
              <w:spacing w:before="0" w:after="283"/>
              <w:jc w:val="right"/>
              <w:rPr/>
            </w:pPr>
            <w:r>
              <w:rPr/>
              <w:t>66,655,837</w:t>
            </w:r>
          </w:p>
        </w:tc>
        <w:tc>
          <w:tcPr>
            <w:tcW w:w="112" w:type="dxa"/>
            <w:tcBorders/>
            <w:shd w:fill="CCEEFF" w:val="clear"/>
            <w:vAlign w:val="center"/>
          </w:tcPr>
          <w:p>
            <w:pPr>
              <w:pStyle w:val="TableContents"/>
              <w:bidi w:val="0"/>
              <w:spacing w:before="0" w:after="283"/>
              <w:jc w:val="left"/>
              <w:rPr/>
            </w:pPr>
            <w:r>
              <w:rPr/>
              <w:t> </w:t>
            </w:r>
          </w:p>
        </w:tc>
      </w:tr>
      <w:tr>
        <w:trPr/>
        <w:tc>
          <w:tcPr>
            <w:tcW w:w="7066" w:type="dxa"/>
            <w:tcBorders/>
            <w:shd w:fill="FFFFFF" w:val="clear"/>
            <w:vAlign w:val="center"/>
          </w:tcPr>
          <w:p>
            <w:pPr>
              <w:pStyle w:val="TableContents"/>
              <w:bidi w:val="0"/>
              <w:spacing w:before="0" w:after="283"/>
              <w:jc w:val="left"/>
              <w:rPr/>
            </w:pPr>
            <w:r>
              <w:rPr/>
              <w:t>Effect of dilutive securities:</w:t>
            </w:r>
          </w:p>
        </w:tc>
        <w:tc>
          <w:tcPr>
            <w:tcW w:w="60" w:type="dxa"/>
            <w:tcBorders/>
            <w:shd w:fill="FFFFFF" w:val="clear"/>
            <w:vAlign w:val="center"/>
          </w:tcPr>
          <w:p>
            <w:pPr>
              <w:pStyle w:val="TableContents"/>
              <w:bidi w:val="0"/>
              <w:spacing w:before="0" w:after="283"/>
              <w:jc w:val="left"/>
              <w:rPr/>
            </w:pPr>
            <w:r>
              <w:rPr/>
              <w:t> </w:t>
            </w:r>
          </w:p>
        </w:tc>
        <w:tc>
          <w:tcPr>
            <w:tcW w:w="157" w:type="dxa"/>
            <w:tcBorders/>
            <w:shd w:fill="FFFFFF" w:val="clear"/>
            <w:vAlign w:val="center"/>
          </w:tcPr>
          <w:p>
            <w:pPr>
              <w:pStyle w:val="TableContents"/>
              <w:bidi w:val="0"/>
              <w:spacing w:before="0" w:after="283"/>
              <w:jc w:val="left"/>
              <w:rPr/>
            </w:pPr>
            <w:r>
              <w:rPr/>
              <w:t> </w:t>
            </w:r>
          </w:p>
        </w:tc>
        <w:tc>
          <w:tcPr>
            <w:tcW w:w="1249"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7" w:type="dxa"/>
            <w:tcBorders/>
            <w:shd w:fill="FFFFFF" w:val="clear"/>
            <w:vAlign w:val="center"/>
          </w:tcPr>
          <w:p>
            <w:pPr>
              <w:pStyle w:val="TableContents"/>
              <w:bidi w:val="0"/>
              <w:spacing w:before="0" w:after="283"/>
              <w:jc w:val="left"/>
              <w:rPr/>
            </w:pPr>
            <w:r>
              <w:rPr/>
              <w:t> </w:t>
            </w:r>
          </w:p>
        </w:tc>
        <w:tc>
          <w:tcPr>
            <w:tcW w:w="1249" w:type="dxa"/>
            <w:tcBorders/>
            <w:shd w:fill="FFFFFF" w:val="clear"/>
            <w:vAlign w:val="center"/>
          </w:tcPr>
          <w:p>
            <w:pPr>
              <w:pStyle w:val="TableContents"/>
              <w:bidi w:val="0"/>
              <w:spacing w:before="0" w:after="283"/>
              <w:jc w:val="right"/>
              <w:rPr/>
            </w:pPr>
            <w:r>
              <w:rPr/>
              <w:t> </w:t>
            </w:r>
          </w:p>
        </w:tc>
        <w:tc>
          <w:tcPr>
            <w:tcW w:w="112" w:type="dxa"/>
            <w:tcBorders/>
            <w:shd w:fill="FFFFFF" w:val="clear"/>
            <w:vAlign w:val="center"/>
          </w:tcPr>
          <w:p>
            <w:pPr>
              <w:pStyle w:val="TableContents"/>
              <w:bidi w:val="0"/>
              <w:spacing w:before="0" w:after="283"/>
              <w:jc w:val="left"/>
              <w:rPr/>
            </w:pPr>
            <w:r>
              <w:rPr/>
              <w:t> </w:t>
            </w:r>
          </w:p>
        </w:tc>
      </w:tr>
      <w:tr>
        <w:trPr/>
        <w:tc>
          <w:tcPr>
            <w:tcW w:w="7066" w:type="dxa"/>
            <w:tcBorders/>
            <w:shd w:fill="CCEEFF" w:val="clear"/>
            <w:vAlign w:val="center"/>
          </w:tcPr>
          <w:p>
            <w:pPr>
              <w:pStyle w:val="TableContents"/>
              <w:bidi w:val="0"/>
              <w:spacing w:before="0" w:after="283"/>
              <w:jc w:val="left"/>
              <w:rPr/>
            </w:pPr>
            <w:r>
              <w:rPr/>
              <w:t>September 2024 Notes derivative liability</w:t>
            </w:r>
          </w:p>
        </w:tc>
        <w:tc>
          <w:tcPr>
            <w:tcW w:w="60" w:type="dxa"/>
            <w:tcBorders/>
            <w:shd w:fill="CCEEFF" w:val="clear"/>
            <w:vAlign w:val="center"/>
          </w:tcPr>
          <w:p>
            <w:pPr>
              <w:pStyle w:val="TableContents"/>
              <w:bidi w:val="0"/>
              <w:spacing w:before="0" w:after="283"/>
              <w:jc w:val="left"/>
              <w:rPr/>
            </w:pPr>
            <w:r>
              <w:rPr/>
              <w:t> </w:t>
            </w:r>
          </w:p>
        </w:tc>
        <w:tc>
          <w:tcPr>
            <w:tcW w:w="157"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49"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7"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49" w:type="dxa"/>
            <w:tcBorders>
              <w:bottom w:val="single" w:sz="12" w:space="0" w:color="000000"/>
            </w:tcBorders>
            <w:shd w:fill="CCEEFF" w:val="clear"/>
            <w:tcMar>
              <w:bottom w:w="28" w:type="dxa"/>
            </w:tcMar>
            <w:vAlign w:val="center"/>
          </w:tcPr>
          <w:p>
            <w:pPr>
              <w:pStyle w:val="TableContents"/>
              <w:bidi w:val="0"/>
              <w:spacing w:before="0" w:after="283"/>
              <w:jc w:val="right"/>
              <w:rPr/>
            </w:pPr>
            <w:r>
              <w:rPr/>
              <w:t>9,137,711</w:t>
            </w:r>
          </w:p>
        </w:tc>
        <w:tc>
          <w:tcPr>
            <w:tcW w:w="112" w:type="dxa"/>
            <w:tcBorders/>
            <w:shd w:fill="CCEEFF" w:val="clear"/>
            <w:vAlign w:val="center"/>
          </w:tcPr>
          <w:p>
            <w:pPr>
              <w:pStyle w:val="TableContents"/>
              <w:bidi w:val="0"/>
              <w:spacing w:before="0" w:after="283"/>
              <w:jc w:val="left"/>
              <w:rPr/>
            </w:pPr>
            <w:r>
              <w:rPr/>
              <w:t> </w:t>
            </w:r>
          </w:p>
        </w:tc>
      </w:tr>
      <w:tr>
        <w:trPr/>
        <w:tc>
          <w:tcPr>
            <w:tcW w:w="7066" w:type="dxa"/>
            <w:tcBorders/>
            <w:shd w:fill="FFFFFF" w:val="clear"/>
            <w:vAlign w:val="center"/>
          </w:tcPr>
          <w:p>
            <w:pPr>
              <w:pStyle w:val="TableContents"/>
              <w:bidi w:val="0"/>
              <w:spacing w:before="0" w:after="283"/>
              <w:jc w:val="left"/>
              <w:rPr/>
            </w:pPr>
            <w:r>
              <w:rPr/>
              <w:t>Denominator for diluted loss per share</w:t>
            </w:r>
          </w:p>
        </w:tc>
        <w:tc>
          <w:tcPr>
            <w:tcW w:w="60" w:type="dxa"/>
            <w:tcBorders/>
            <w:shd w:fill="FFFFFF" w:val="clear"/>
            <w:vAlign w:val="center"/>
          </w:tcPr>
          <w:p>
            <w:pPr>
              <w:pStyle w:val="TableContents"/>
              <w:bidi w:val="0"/>
              <w:spacing w:before="0" w:after="283"/>
              <w:jc w:val="left"/>
              <w:rPr/>
            </w:pPr>
            <w:r>
              <w:rPr/>
              <w:t> </w:t>
            </w:r>
          </w:p>
        </w:tc>
        <w:tc>
          <w:tcPr>
            <w:tcW w:w="157" w:type="dxa"/>
            <w:tcBorders>
              <w:bottom w:val="double" w:sz="10" w:space="0" w:color="000000"/>
            </w:tcBorders>
            <w:shd w:fill="FFFFFF" w:val="clear"/>
            <w:tcMar>
              <w:bottom w:w="28" w:type="dxa"/>
            </w:tcMar>
            <w:vAlign w:val="center"/>
          </w:tcPr>
          <w:p>
            <w:pPr>
              <w:pStyle w:val="TableContents"/>
              <w:bidi w:val="0"/>
              <w:spacing w:before="0" w:after="283"/>
              <w:jc w:val="left"/>
              <w:rPr/>
            </w:pPr>
            <w:r>
              <w:rPr/>
              <w:t> </w:t>
            </w:r>
          </w:p>
        </w:tc>
        <w:tc>
          <w:tcPr>
            <w:tcW w:w="1249" w:type="dxa"/>
            <w:tcBorders>
              <w:bottom w:val="double" w:sz="10" w:space="0" w:color="000000"/>
            </w:tcBorders>
            <w:shd w:fill="FFFFFF" w:val="clear"/>
            <w:tcMar>
              <w:bottom w:w="28" w:type="dxa"/>
            </w:tcMar>
            <w:vAlign w:val="center"/>
          </w:tcPr>
          <w:p>
            <w:pPr>
              <w:pStyle w:val="TableContents"/>
              <w:bidi w:val="0"/>
              <w:spacing w:before="0" w:after="283"/>
              <w:jc w:val="right"/>
              <w:rPr/>
            </w:pPr>
            <w:r>
              <w:rPr/>
              <w:t>87,108,928</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7" w:type="dxa"/>
            <w:tcBorders>
              <w:bottom w:val="double" w:sz="10" w:space="0" w:color="000000"/>
            </w:tcBorders>
            <w:shd w:fill="FFFFFF" w:val="clear"/>
            <w:tcMar>
              <w:bottom w:w="28" w:type="dxa"/>
            </w:tcMar>
            <w:vAlign w:val="center"/>
          </w:tcPr>
          <w:p>
            <w:pPr>
              <w:pStyle w:val="TableContents"/>
              <w:bidi w:val="0"/>
              <w:spacing w:before="0" w:after="283"/>
              <w:jc w:val="left"/>
              <w:rPr/>
            </w:pPr>
            <w:r>
              <w:rPr/>
              <w:t> </w:t>
            </w:r>
          </w:p>
        </w:tc>
        <w:tc>
          <w:tcPr>
            <w:tcW w:w="1249" w:type="dxa"/>
            <w:tcBorders>
              <w:bottom w:val="double" w:sz="10" w:space="0" w:color="000000"/>
            </w:tcBorders>
            <w:shd w:fill="FFFFFF" w:val="clear"/>
            <w:tcMar>
              <w:bottom w:w="28" w:type="dxa"/>
            </w:tcMar>
            <w:vAlign w:val="center"/>
          </w:tcPr>
          <w:p>
            <w:pPr>
              <w:pStyle w:val="TableContents"/>
              <w:bidi w:val="0"/>
              <w:spacing w:before="0" w:after="283"/>
              <w:jc w:val="right"/>
              <w:rPr/>
            </w:pPr>
            <w:r>
              <w:rPr/>
              <w:t>75,793,548</w:t>
            </w:r>
          </w:p>
        </w:tc>
        <w:tc>
          <w:tcPr>
            <w:tcW w:w="112" w:type="dxa"/>
            <w:tcBorders/>
            <w:shd w:fill="FFFFFF" w:val="clear"/>
            <w:vAlign w:val="center"/>
          </w:tcPr>
          <w:p>
            <w:pPr>
              <w:pStyle w:val="TableContents"/>
              <w:bidi w:val="0"/>
              <w:spacing w:before="0" w:after="283"/>
              <w:jc w:val="left"/>
              <w:rPr/>
            </w:pPr>
            <w:r>
              <w:rPr/>
              <w:t> </w:t>
            </w:r>
          </w:p>
        </w:tc>
      </w:tr>
      <w:tr>
        <w:trPr/>
        <w:tc>
          <w:tcPr>
            <w:tcW w:w="7066" w:type="dxa"/>
            <w:tcBorders/>
            <w:shd w:fill="CCEEFF" w:val="clear"/>
            <w:vAlign w:val="center"/>
          </w:tcPr>
          <w:p>
            <w:pPr>
              <w:pStyle w:val="TableContents"/>
              <w:bidi w:val="0"/>
              <w:spacing w:before="0" w:after="283"/>
              <w:jc w:val="left"/>
              <w:rPr>
                <w:b/>
              </w:rPr>
            </w:pPr>
            <w:r>
              <w:rPr>
                <w:b/>
              </w:rPr>
              <w:t>Net loss per share:</w:t>
            </w:r>
          </w:p>
        </w:tc>
        <w:tc>
          <w:tcPr>
            <w:tcW w:w="60" w:type="dxa"/>
            <w:tcBorders/>
            <w:shd w:fill="CCEEFF" w:val="clear"/>
            <w:vAlign w:val="center"/>
          </w:tcPr>
          <w:p>
            <w:pPr>
              <w:pStyle w:val="TableContents"/>
              <w:bidi w:val="0"/>
              <w:spacing w:before="0" w:after="283"/>
              <w:jc w:val="left"/>
              <w:rPr/>
            </w:pPr>
            <w:r>
              <w:rPr/>
              <w:t> </w:t>
            </w:r>
          </w:p>
        </w:tc>
        <w:tc>
          <w:tcPr>
            <w:tcW w:w="157" w:type="dxa"/>
            <w:tcBorders/>
            <w:shd w:fill="CCEEFF" w:val="clear"/>
            <w:vAlign w:val="center"/>
          </w:tcPr>
          <w:p>
            <w:pPr>
              <w:pStyle w:val="TableContents"/>
              <w:bidi w:val="0"/>
              <w:spacing w:before="0" w:after="283"/>
              <w:jc w:val="left"/>
              <w:rPr/>
            </w:pPr>
            <w:r>
              <w:rPr/>
              <w:t> </w:t>
            </w:r>
          </w:p>
        </w:tc>
        <w:tc>
          <w:tcPr>
            <w:tcW w:w="1249"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7" w:type="dxa"/>
            <w:tcBorders/>
            <w:shd w:fill="CCEEFF" w:val="clear"/>
            <w:vAlign w:val="center"/>
          </w:tcPr>
          <w:p>
            <w:pPr>
              <w:pStyle w:val="TableContents"/>
              <w:bidi w:val="0"/>
              <w:spacing w:before="0" w:after="283"/>
              <w:jc w:val="left"/>
              <w:rPr/>
            </w:pPr>
            <w:r>
              <w:rPr/>
              <w:t> </w:t>
            </w:r>
          </w:p>
        </w:tc>
        <w:tc>
          <w:tcPr>
            <w:tcW w:w="1249" w:type="dxa"/>
            <w:tcBorders/>
            <w:shd w:fill="CCEEFF" w:val="clear"/>
            <w:vAlign w:val="center"/>
          </w:tcPr>
          <w:p>
            <w:pPr>
              <w:pStyle w:val="TableContents"/>
              <w:bidi w:val="0"/>
              <w:spacing w:before="0" w:after="283"/>
              <w:jc w:val="right"/>
              <w:rPr/>
            </w:pPr>
            <w:r>
              <w:rPr/>
              <w:t> </w:t>
            </w:r>
          </w:p>
        </w:tc>
        <w:tc>
          <w:tcPr>
            <w:tcW w:w="112" w:type="dxa"/>
            <w:tcBorders/>
            <w:shd w:fill="CCEEFF" w:val="clear"/>
            <w:vAlign w:val="center"/>
          </w:tcPr>
          <w:p>
            <w:pPr>
              <w:pStyle w:val="TableContents"/>
              <w:bidi w:val="0"/>
              <w:spacing w:before="0" w:after="283"/>
              <w:jc w:val="left"/>
              <w:rPr/>
            </w:pPr>
            <w:r>
              <w:rPr/>
              <w:t> </w:t>
            </w:r>
          </w:p>
        </w:tc>
      </w:tr>
      <w:tr>
        <w:trPr/>
        <w:tc>
          <w:tcPr>
            <w:tcW w:w="7066" w:type="dxa"/>
            <w:tcBorders/>
            <w:shd w:fill="FFFFFF" w:val="clear"/>
            <w:vAlign w:val="center"/>
          </w:tcPr>
          <w:p>
            <w:pPr>
              <w:pStyle w:val="TableContents"/>
              <w:bidi w:val="0"/>
              <w:spacing w:before="0" w:after="283"/>
              <w:jc w:val="left"/>
              <w:rPr/>
            </w:pPr>
            <w:r>
              <w:rPr/>
              <w:t>Basic:</w:t>
            </w:r>
          </w:p>
        </w:tc>
        <w:tc>
          <w:tcPr>
            <w:tcW w:w="60" w:type="dxa"/>
            <w:tcBorders/>
            <w:shd w:fill="FFFFFF" w:val="clear"/>
            <w:vAlign w:val="center"/>
          </w:tcPr>
          <w:p>
            <w:pPr>
              <w:pStyle w:val="TableContents"/>
              <w:bidi w:val="0"/>
              <w:spacing w:before="0" w:after="283"/>
              <w:jc w:val="left"/>
              <w:rPr/>
            </w:pPr>
            <w:r>
              <w:rPr/>
              <w:t> </w:t>
            </w:r>
          </w:p>
        </w:tc>
        <w:tc>
          <w:tcPr>
            <w:tcW w:w="157" w:type="dxa"/>
            <w:tcBorders/>
            <w:shd w:fill="FFFFFF" w:val="clear"/>
            <w:vAlign w:val="center"/>
          </w:tcPr>
          <w:p>
            <w:pPr>
              <w:pStyle w:val="TableContents"/>
              <w:bidi w:val="0"/>
              <w:spacing w:before="0" w:after="283"/>
              <w:jc w:val="left"/>
              <w:rPr/>
            </w:pPr>
            <w:r>
              <w:rPr/>
              <w:t> </w:t>
            </w:r>
          </w:p>
        </w:tc>
        <w:tc>
          <w:tcPr>
            <w:tcW w:w="1249"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7" w:type="dxa"/>
            <w:tcBorders/>
            <w:shd w:fill="FFFFFF" w:val="clear"/>
            <w:vAlign w:val="center"/>
          </w:tcPr>
          <w:p>
            <w:pPr>
              <w:pStyle w:val="TableContents"/>
              <w:bidi w:val="0"/>
              <w:spacing w:before="0" w:after="283"/>
              <w:jc w:val="left"/>
              <w:rPr/>
            </w:pPr>
            <w:r>
              <w:rPr/>
              <w:t> </w:t>
            </w:r>
          </w:p>
        </w:tc>
        <w:tc>
          <w:tcPr>
            <w:tcW w:w="1249" w:type="dxa"/>
            <w:tcBorders/>
            <w:shd w:fill="FFFFFF" w:val="clear"/>
            <w:vAlign w:val="center"/>
          </w:tcPr>
          <w:p>
            <w:pPr>
              <w:pStyle w:val="TableContents"/>
              <w:bidi w:val="0"/>
              <w:spacing w:before="0" w:after="283"/>
              <w:jc w:val="right"/>
              <w:rPr/>
            </w:pPr>
            <w:r>
              <w:rPr/>
              <w:t> </w:t>
            </w:r>
          </w:p>
        </w:tc>
        <w:tc>
          <w:tcPr>
            <w:tcW w:w="112" w:type="dxa"/>
            <w:tcBorders/>
            <w:shd w:fill="FFFFFF" w:val="clear"/>
            <w:vAlign w:val="center"/>
          </w:tcPr>
          <w:p>
            <w:pPr>
              <w:pStyle w:val="TableContents"/>
              <w:bidi w:val="0"/>
              <w:spacing w:before="0" w:after="283"/>
              <w:jc w:val="left"/>
              <w:rPr/>
            </w:pPr>
            <w:r>
              <w:rPr/>
              <w:t> </w:t>
            </w:r>
          </w:p>
        </w:tc>
      </w:tr>
      <w:tr>
        <w:trPr/>
        <w:tc>
          <w:tcPr>
            <w:tcW w:w="7066" w:type="dxa"/>
            <w:tcBorders/>
            <w:shd w:fill="CCEEFF" w:val="clear"/>
            <w:vAlign w:val="center"/>
          </w:tcPr>
          <w:p>
            <w:pPr>
              <w:pStyle w:val="TableContents"/>
              <w:bidi w:val="0"/>
              <w:spacing w:before="0" w:after="283"/>
              <w:jc w:val="left"/>
              <w:rPr/>
            </w:pPr>
            <w:r>
              <w:rPr/>
              <w:t>Continuing operations</w:t>
            </w:r>
          </w:p>
        </w:tc>
        <w:tc>
          <w:tcPr>
            <w:tcW w:w="60" w:type="dxa"/>
            <w:tcBorders/>
            <w:shd w:fill="CCEEFF" w:val="clear"/>
            <w:vAlign w:val="center"/>
          </w:tcPr>
          <w:p>
            <w:pPr>
              <w:pStyle w:val="TableContents"/>
              <w:bidi w:val="0"/>
              <w:spacing w:before="0" w:after="283"/>
              <w:jc w:val="left"/>
              <w:rPr/>
            </w:pPr>
            <w:r>
              <w:rPr/>
              <w:t> </w:t>
            </w:r>
          </w:p>
        </w:tc>
        <w:tc>
          <w:tcPr>
            <w:tcW w:w="157" w:type="dxa"/>
            <w:tcBorders/>
            <w:shd w:fill="CCEEFF" w:val="clear"/>
            <w:vAlign w:val="center"/>
          </w:tcPr>
          <w:p>
            <w:pPr>
              <w:pStyle w:val="TableContents"/>
              <w:bidi w:val="0"/>
              <w:spacing w:before="0" w:after="283"/>
              <w:jc w:val="left"/>
              <w:rPr/>
            </w:pPr>
            <w:r>
              <w:rPr/>
              <w:t>$</w:t>
            </w:r>
          </w:p>
        </w:tc>
        <w:tc>
          <w:tcPr>
            <w:tcW w:w="1249" w:type="dxa"/>
            <w:tcBorders/>
            <w:shd w:fill="CCEEFF" w:val="clear"/>
            <w:vAlign w:val="center"/>
          </w:tcPr>
          <w:p>
            <w:pPr>
              <w:pStyle w:val="TableContents"/>
              <w:bidi w:val="0"/>
              <w:spacing w:before="0" w:after="283"/>
              <w:jc w:val="right"/>
              <w:rPr/>
            </w:pPr>
            <w:r>
              <w:rPr/>
              <w:t>(0.51</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57" w:type="dxa"/>
            <w:tcBorders/>
            <w:shd w:fill="CCEEFF" w:val="clear"/>
            <w:vAlign w:val="center"/>
          </w:tcPr>
          <w:p>
            <w:pPr>
              <w:pStyle w:val="TableContents"/>
              <w:bidi w:val="0"/>
              <w:spacing w:before="0" w:after="283"/>
              <w:jc w:val="left"/>
              <w:rPr/>
            </w:pPr>
            <w:r>
              <w:rPr/>
              <w:t>$</w:t>
            </w:r>
          </w:p>
        </w:tc>
        <w:tc>
          <w:tcPr>
            <w:tcW w:w="1249" w:type="dxa"/>
            <w:tcBorders/>
            <w:shd w:fill="CCEEFF" w:val="clear"/>
            <w:vAlign w:val="center"/>
          </w:tcPr>
          <w:p>
            <w:pPr>
              <w:pStyle w:val="TableContents"/>
              <w:bidi w:val="0"/>
              <w:spacing w:before="0" w:after="283"/>
              <w:jc w:val="right"/>
              <w:rPr/>
            </w:pPr>
            <w:r>
              <w:rPr/>
              <w:t>(0.82</w:t>
            </w:r>
          </w:p>
        </w:tc>
        <w:tc>
          <w:tcPr>
            <w:tcW w:w="112" w:type="dxa"/>
            <w:tcBorders/>
            <w:shd w:fill="CCEEFF" w:val="clear"/>
            <w:vAlign w:val="center"/>
          </w:tcPr>
          <w:p>
            <w:pPr>
              <w:pStyle w:val="TableContents"/>
              <w:bidi w:val="0"/>
              <w:spacing w:before="0" w:after="283"/>
              <w:jc w:val="left"/>
              <w:rPr/>
            </w:pPr>
            <w:r>
              <w:rPr/>
              <w:t>)</w:t>
            </w:r>
          </w:p>
        </w:tc>
      </w:tr>
      <w:tr>
        <w:trPr/>
        <w:tc>
          <w:tcPr>
            <w:tcW w:w="7066" w:type="dxa"/>
            <w:tcBorders/>
            <w:shd w:fill="FFFFFF" w:val="clear"/>
            <w:vAlign w:val="center"/>
          </w:tcPr>
          <w:p>
            <w:pPr>
              <w:pStyle w:val="TableContents"/>
              <w:bidi w:val="0"/>
              <w:spacing w:before="0" w:after="283"/>
              <w:jc w:val="left"/>
              <w:rPr/>
            </w:pPr>
            <w:r>
              <w:rPr/>
              <w:t>Discontinued operations</w:t>
            </w:r>
          </w:p>
        </w:tc>
        <w:tc>
          <w:tcPr>
            <w:tcW w:w="60" w:type="dxa"/>
            <w:tcBorders/>
            <w:shd w:fill="FFFFFF" w:val="clear"/>
            <w:vAlign w:val="center"/>
          </w:tcPr>
          <w:p>
            <w:pPr>
              <w:pStyle w:val="TableContents"/>
              <w:bidi w:val="0"/>
              <w:spacing w:before="0" w:after="283"/>
              <w:jc w:val="left"/>
              <w:rPr/>
            </w:pPr>
            <w:r>
              <w:rPr/>
              <w:t> </w:t>
            </w:r>
          </w:p>
        </w:tc>
        <w:tc>
          <w:tcPr>
            <w:tcW w:w="157"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49" w:type="dxa"/>
            <w:tcBorders>
              <w:bottom w:val="single" w:sz="12" w:space="0" w:color="000000"/>
            </w:tcBorders>
            <w:shd w:fill="FFFFFF" w:val="clear"/>
            <w:tcMar>
              <w:bottom w:w="28" w:type="dxa"/>
            </w:tcMar>
            <w:vAlign w:val="center"/>
          </w:tcPr>
          <w:p>
            <w:pPr>
              <w:pStyle w:val="TableContents"/>
              <w:bidi w:val="0"/>
              <w:spacing w:before="0" w:after="283"/>
              <w:jc w:val="right"/>
              <w:rPr/>
            </w:pPr>
            <w:r>
              <w:rPr/>
              <w:t>(0.01</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57"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49" w:type="dxa"/>
            <w:tcBorders>
              <w:bottom w:val="single" w:sz="12" w:space="0" w:color="000000"/>
            </w:tcBorders>
            <w:shd w:fill="FFFFFF" w:val="clear"/>
            <w:tcMar>
              <w:bottom w:w="28" w:type="dxa"/>
            </w:tcMar>
            <w:vAlign w:val="center"/>
          </w:tcPr>
          <w:p>
            <w:pPr>
              <w:pStyle w:val="TableContents"/>
              <w:bidi w:val="0"/>
              <w:spacing w:before="0" w:after="283"/>
              <w:jc w:val="right"/>
              <w:rPr/>
            </w:pPr>
            <w:r>
              <w:rPr/>
              <w:t>(0.03</w:t>
            </w:r>
          </w:p>
        </w:tc>
        <w:tc>
          <w:tcPr>
            <w:tcW w:w="112" w:type="dxa"/>
            <w:tcBorders/>
            <w:shd w:fill="FFFFFF" w:val="clear"/>
            <w:vAlign w:val="center"/>
          </w:tcPr>
          <w:p>
            <w:pPr>
              <w:pStyle w:val="TableContents"/>
              <w:bidi w:val="0"/>
              <w:spacing w:before="0" w:after="283"/>
              <w:jc w:val="left"/>
              <w:rPr/>
            </w:pPr>
            <w:r>
              <w:rPr/>
              <w:t>)</w:t>
            </w:r>
          </w:p>
        </w:tc>
      </w:tr>
      <w:tr>
        <w:trPr/>
        <w:tc>
          <w:tcPr>
            <w:tcW w:w="7066" w:type="dxa"/>
            <w:tcBorders/>
            <w:shd w:fill="CCEEFF" w:val="clear"/>
            <w:vAlign w:val="center"/>
          </w:tcPr>
          <w:p>
            <w:pPr>
              <w:pStyle w:val="TableContents"/>
              <w:bidi w:val="0"/>
              <w:spacing w:before="0" w:after="283"/>
              <w:jc w:val="left"/>
              <w:rPr/>
            </w:pPr>
            <w:r>
              <w:rPr/>
              <w:t>Net loss</w:t>
            </w:r>
          </w:p>
        </w:tc>
        <w:tc>
          <w:tcPr>
            <w:tcW w:w="60" w:type="dxa"/>
            <w:tcBorders/>
            <w:shd w:fill="CCEEFF" w:val="clear"/>
            <w:vAlign w:val="center"/>
          </w:tcPr>
          <w:p>
            <w:pPr>
              <w:pStyle w:val="TableContents"/>
              <w:bidi w:val="0"/>
              <w:spacing w:before="0" w:after="283"/>
              <w:jc w:val="left"/>
              <w:rPr/>
            </w:pPr>
            <w:r>
              <w:rPr/>
              <w:t> </w:t>
            </w:r>
          </w:p>
        </w:tc>
        <w:tc>
          <w:tcPr>
            <w:tcW w:w="157"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249" w:type="dxa"/>
            <w:tcBorders>
              <w:bottom w:val="double" w:sz="10" w:space="0" w:color="000000"/>
            </w:tcBorders>
            <w:shd w:fill="CCEEFF" w:val="clear"/>
            <w:tcMar>
              <w:bottom w:w="28" w:type="dxa"/>
            </w:tcMar>
            <w:vAlign w:val="center"/>
          </w:tcPr>
          <w:p>
            <w:pPr>
              <w:pStyle w:val="TableContents"/>
              <w:bidi w:val="0"/>
              <w:spacing w:before="0" w:after="283"/>
              <w:jc w:val="right"/>
              <w:rPr/>
            </w:pPr>
            <w:r>
              <w:rPr/>
              <w:t>(0.52</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57"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249" w:type="dxa"/>
            <w:tcBorders>
              <w:bottom w:val="double" w:sz="10" w:space="0" w:color="000000"/>
            </w:tcBorders>
            <w:shd w:fill="CCEEFF" w:val="clear"/>
            <w:tcMar>
              <w:bottom w:w="28" w:type="dxa"/>
            </w:tcMar>
            <w:vAlign w:val="center"/>
          </w:tcPr>
          <w:p>
            <w:pPr>
              <w:pStyle w:val="TableContents"/>
              <w:bidi w:val="0"/>
              <w:spacing w:before="0" w:after="283"/>
              <w:jc w:val="right"/>
              <w:rPr/>
            </w:pPr>
            <w:r>
              <w:rPr/>
              <w:t>(0.85</w:t>
            </w:r>
          </w:p>
        </w:tc>
        <w:tc>
          <w:tcPr>
            <w:tcW w:w="112" w:type="dxa"/>
            <w:tcBorders/>
            <w:shd w:fill="CCEEFF" w:val="clear"/>
            <w:vAlign w:val="center"/>
          </w:tcPr>
          <w:p>
            <w:pPr>
              <w:pStyle w:val="TableContents"/>
              <w:bidi w:val="0"/>
              <w:spacing w:before="0" w:after="283"/>
              <w:jc w:val="left"/>
              <w:rPr/>
            </w:pPr>
            <w:r>
              <w:rPr/>
              <w:t>)</w:t>
            </w:r>
          </w:p>
        </w:tc>
      </w:tr>
      <w:tr>
        <w:trPr/>
        <w:tc>
          <w:tcPr>
            <w:tcW w:w="7066" w:type="dxa"/>
            <w:tcBorders/>
            <w:shd w:fill="FFFFFF" w:val="clear"/>
            <w:vAlign w:val="center"/>
          </w:tcPr>
          <w:p>
            <w:pPr>
              <w:pStyle w:val="TableContents"/>
              <w:bidi w:val="0"/>
              <w:spacing w:before="0" w:after="283"/>
              <w:jc w:val="left"/>
              <w:rPr/>
            </w:pPr>
            <w:r>
              <w:rPr/>
              <w:t>Diluted</w:t>
            </w:r>
          </w:p>
        </w:tc>
        <w:tc>
          <w:tcPr>
            <w:tcW w:w="60" w:type="dxa"/>
            <w:tcBorders/>
            <w:shd w:fill="FFFFFF" w:val="clear"/>
            <w:vAlign w:val="center"/>
          </w:tcPr>
          <w:p>
            <w:pPr>
              <w:pStyle w:val="TableContents"/>
              <w:bidi w:val="0"/>
              <w:spacing w:before="0" w:after="283"/>
              <w:jc w:val="left"/>
              <w:rPr/>
            </w:pPr>
            <w:r>
              <w:rPr/>
              <w:t> </w:t>
            </w:r>
          </w:p>
        </w:tc>
        <w:tc>
          <w:tcPr>
            <w:tcW w:w="157" w:type="dxa"/>
            <w:tcBorders/>
            <w:shd w:fill="FFFFFF" w:val="clear"/>
            <w:vAlign w:val="center"/>
          </w:tcPr>
          <w:p>
            <w:pPr>
              <w:pStyle w:val="TableContents"/>
              <w:bidi w:val="0"/>
              <w:spacing w:before="0" w:after="283"/>
              <w:jc w:val="left"/>
              <w:rPr/>
            </w:pPr>
            <w:r>
              <w:rPr/>
              <w:t> </w:t>
            </w:r>
          </w:p>
        </w:tc>
        <w:tc>
          <w:tcPr>
            <w:tcW w:w="1249"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7" w:type="dxa"/>
            <w:tcBorders/>
            <w:shd w:fill="FFFFFF" w:val="clear"/>
            <w:vAlign w:val="center"/>
          </w:tcPr>
          <w:p>
            <w:pPr>
              <w:pStyle w:val="TableContents"/>
              <w:bidi w:val="0"/>
              <w:spacing w:before="0" w:after="283"/>
              <w:jc w:val="left"/>
              <w:rPr/>
            </w:pPr>
            <w:r>
              <w:rPr/>
              <w:t> </w:t>
            </w:r>
          </w:p>
        </w:tc>
        <w:tc>
          <w:tcPr>
            <w:tcW w:w="1249" w:type="dxa"/>
            <w:tcBorders/>
            <w:shd w:fill="FFFFFF" w:val="clear"/>
            <w:vAlign w:val="center"/>
          </w:tcPr>
          <w:p>
            <w:pPr>
              <w:pStyle w:val="TableContents"/>
              <w:bidi w:val="0"/>
              <w:spacing w:before="0" w:after="283"/>
              <w:jc w:val="right"/>
              <w:rPr/>
            </w:pPr>
            <w:r>
              <w:rPr/>
              <w:t> </w:t>
            </w:r>
          </w:p>
        </w:tc>
        <w:tc>
          <w:tcPr>
            <w:tcW w:w="112" w:type="dxa"/>
            <w:tcBorders/>
            <w:shd w:fill="FFFFFF" w:val="clear"/>
            <w:vAlign w:val="center"/>
          </w:tcPr>
          <w:p>
            <w:pPr>
              <w:pStyle w:val="TableContents"/>
              <w:bidi w:val="0"/>
              <w:spacing w:before="0" w:after="283"/>
              <w:jc w:val="left"/>
              <w:rPr/>
            </w:pPr>
            <w:r>
              <w:rPr/>
              <w:t> </w:t>
            </w:r>
          </w:p>
        </w:tc>
      </w:tr>
      <w:tr>
        <w:trPr/>
        <w:tc>
          <w:tcPr>
            <w:tcW w:w="7066" w:type="dxa"/>
            <w:tcBorders/>
            <w:shd w:fill="CCEEFF" w:val="clear"/>
            <w:vAlign w:val="center"/>
          </w:tcPr>
          <w:p>
            <w:pPr>
              <w:pStyle w:val="TableContents"/>
              <w:bidi w:val="0"/>
              <w:spacing w:before="0" w:after="283"/>
              <w:jc w:val="left"/>
              <w:rPr/>
            </w:pPr>
            <w:r>
              <w:rPr/>
              <w:t>Continuing operations</w:t>
            </w:r>
          </w:p>
        </w:tc>
        <w:tc>
          <w:tcPr>
            <w:tcW w:w="60" w:type="dxa"/>
            <w:tcBorders/>
            <w:shd w:fill="CCEEFF" w:val="clear"/>
            <w:vAlign w:val="center"/>
          </w:tcPr>
          <w:p>
            <w:pPr>
              <w:pStyle w:val="TableContents"/>
              <w:bidi w:val="0"/>
              <w:spacing w:before="0" w:after="283"/>
              <w:jc w:val="left"/>
              <w:rPr/>
            </w:pPr>
            <w:r>
              <w:rPr/>
              <w:t> </w:t>
            </w:r>
          </w:p>
        </w:tc>
        <w:tc>
          <w:tcPr>
            <w:tcW w:w="157" w:type="dxa"/>
            <w:tcBorders/>
            <w:shd w:fill="CCEEFF" w:val="clear"/>
            <w:vAlign w:val="center"/>
          </w:tcPr>
          <w:p>
            <w:pPr>
              <w:pStyle w:val="TableContents"/>
              <w:bidi w:val="0"/>
              <w:spacing w:before="0" w:after="283"/>
              <w:jc w:val="left"/>
              <w:rPr/>
            </w:pPr>
            <w:r>
              <w:rPr/>
              <w:t>$</w:t>
            </w:r>
          </w:p>
        </w:tc>
        <w:tc>
          <w:tcPr>
            <w:tcW w:w="1249" w:type="dxa"/>
            <w:tcBorders/>
            <w:shd w:fill="CCEEFF" w:val="clear"/>
            <w:vAlign w:val="center"/>
          </w:tcPr>
          <w:p>
            <w:pPr>
              <w:pStyle w:val="TableContents"/>
              <w:bidi w:val="0"/>
              <w:spacing w:before="0" w:after="283"/>
              <w:jc w:val="right"/>
              <w:rPr/>
            </w:pPr>
            <w:r>
              <w:rPr/>
              <w:t>(0.51</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57" w:type="dxa"/>
            <w:tcBorders/>
            <w:shd w:fill="CCEEFF" w:val="clear"/>
            <w:vAlign w:val="center"/>
          </w:tcPr>
          <w:p>
            <w:pPr>
              <w:pStyle w:val="TableContents"/>
              <w:bidi w:val="0"/>
              <w:spacing w:before="0" w:after="283"/>
              <w:jc w:val="left"/>
              <w:rPr/>
            </w:pPr>
            <w:r>
              <w:rPr/>
              <w:t>$</w:t>
            </w:r>
          </w:p>
        </w:tc>
        <w:tc>
          <w:tcPr>
            <w:tcW w:w="1249" w:type="dxa"/>
            <w:tcBorders/>
            <w:shd w:fill="CCEEFF" w:val="clear"/>
            <w:vAlign w:val="center"/>
          </w:tcPr>
          <w:p>
            <w:pPr>
              <w:pStyle w:val="TableContents"/>
              <w:bidi w:val="0"/>
              <w:spacing w:before="0" w:after="283"/>
              <w:jc w:val="right"/>
              <w:rPr/>
            </w:pPr>
            <w:r>
              <w:rPr/>
              <w:t>(1.19</w:t>
            </w:r>
          </w:p>
        </w:tc>
        <w:tc>
          <w:tcPr>
            <w:tcW w:w="112" w:type="dxa"/>
            <w:tcBorders/>
            <w:shd w:fill="CCEEFF" w:val="clear"/>
            <w:vAlign w:val="center"/>
          </w:tcPr>
          <w:p>
            <w:pPr>
              <w:pStyle w:val="TableContents"/>
              <w:bidi w:val="0"/>
              <w:spacing w:before="0" w:after="283"/>
              <w:jc w:val="left"/>
              <w:rPr/>
            </w:pPr>
            <w:r>
              <w:rPr/>
              <w:t>)</w:t>
            </w:r>
          </w:p>
        </w:tc>
      </w:tr>
      <w:tr>
        <w:trPr/>
        <w:tc>
          <w:tcPr>
            <w:tcW w:w="7066" w:type="dxa"/>
            <w:tcBorders/>
            <w:shd w:fill="FFFFFF" w:val="clear"/>
            <w:vAlign w:val="center"/>
          </w:tcPr>
          <w:p>
            <w:pPr>
              <w:pStyle w:val="TableContents"/>
              <w:bidi w:val="0"/>
              <w:spacing w:before="0" w:after="283"/>
              <w:jc w:val="left"/>
              <w:rPr/>
            </w:pPr>
            <w:r>
              <w:rPr/>
              <w:t>Discontinued operations</w:t>
            </w:r>
          </w:p>
        </w:tc>
        <w:tc>
          <w:tcPr>
            <w:tcW w:w="60" w:type="dxa"/>
            <w:tcBorders/>
            <w:shd w:fill="FFFFFF" w:val="clear"/>
            <w:vAlign w:val="center"/>
          </w:tcPr>
          <w:p>
            <w:pPr>
              <w:pStyle w:val="TableContents"/>
              <w:bidi w:val="0"/>
              <w:spacing w:before="0" w:after="283"/>
              <w:jc w:val="left"/>
              <w:rPr/>
            </w:pPr>
            <w:r>
              <w:rPr/>
              <w:t> </w:t>
            </w:r>
          </w:p>
        </w:tc>
        <w:tc>
          <w:tcPr>
            <w:tcW w:w="157"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49" w:type="dxa"/>
            <w:tcBorders>
              <w:bottom w:val="single" w:sz="12" w:space="0" w:color="000000"/>
            </w:tcBorders>
            <w:shd w:fill="FFFFFF" w:val="clear"/>
            <w:tcMar>
              <w:bottom w:w="28" w:type="dxa"/>
            </w:tcMar>
            <w:vAlign w:val="center"/>
          </w:tcPr>
          <w:p>
            <w:pPr>
              <w:pStyle w:val="TableContents"/>
              <w:bidi w:val="0"/>
              <w:spacing w:before="0" w:after="283"/>
              <w:jc w:val="right"/>
              <w:rPr/>
            </w:pPr>
            <w:r>
              <w:rPr/>
              <w:t>(0.01</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57"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49" w:type="dxa"/>
            <w:tcBorders>
              <w:bottom w:val="single" w:sz="12" w:space="0" w:color="000000"/>
            </w:tcBorders>
            <w:shd w:fill="FFFFFF" w:val="clear"/>
            <w:tcMar>
              <w:bottom w:w="28" w:type="dxa"/>
            </w:tcMar>
            <w:vAlign w:val="center"/>
          </w:tcPr>
          <w:p>
            <w:pPr>
              <w:pStyle w:val="TableContents"/>
              <w:bidi w:val="0"/>
              <w:spacing w:before="0" w:after="283"/>
              <w:jc w:val="right"/>
              <w:rPr/>
            </w:pPr>
            <w:r>
              <w:rPr/>
              <w:t>(0.03</w:t>
            </w:r>
          </w:p>
        </w:tc>
        <w:tc>
          <w:tcPr>
            <w:tcW w:w="112" w:type="dxa"/>
            <w:tcBorders/>
            <w:shd w:fill="FFFFFF" w:val="clear"/>
            <w:vAlign w:val="center"/>
          </w:tcPr>
          <w:p>
            <w:pPr>
              <w:pStyle w:val="TableContents"/>
              <w:bidi w:val="0"/>
              <w:spacing w:before="0" w:after="283"/>
              <w:jc w:val="left"/>
              <w:rPr/>
            </w:pPr>
            <w:r>
              <w:rPr/>
              <w:t>)</w:t>
            </w:r>
          </w:p>
        </w:tc>
      </w:tr>
      <w:tr>
        <w:trPr/>
        <w:tc>
          <w:tcPr>
            <w:tcW w:w="7066" w:type="dxa"/>
            <w:tcBorders/>
            <w:shd w:fill="CCEEFF" w:val="clear"/>
            <w:vAlign w:val="center"/>
          </w:tcPr>
          <w:p>
            <w:pPr>
              <w:pStyle w:val="TableContents"/>
              <w:bidi w:val="0"/>
              <w:spacing w:before="0" w:after="283"/>
              <w:jc w:val="left"/>
              <w:rPr/>
            </w:pPr>
            <w:r>
              <w:rPr/>
              <w:t>Net loss</w:t>
            </w:r>
          </w:p>
        </w:tc>
        <w:tc>
          <w:tcPr>
            <w:tcW w:w="60" w:type="dxa"/>
            <w:tcBorders/>
            <w:shd w:fill="CCEEFF" w:val="clear"/>
            <w:vAlign w:val="center"/>
          </w:tcPr>
          <w:p>
            <w:pPr>
              <w:pStyle w:val="TableContents"/>
              <w:bidi w:val="0"/>
              <w:spacing w:before="0" w:after="283"/>
              <w:jc w:val="left"/>
              <w:rPr/>
            </w:pPr>
            <w:r>
              <w:rPr/>
              <w:t> </w:t>
            </w:r>
          </w:p>
        </w:tc>
        <w:tc>
          <w:tcPr>
            <w:tcW w:w="157"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249" w:type="dxa"/>
            <w:tcBorders>
              <w:bottom w:val="double" w:sz="10" w:space="0" w:color="000000"/>
            </w:tcBorders>
            <w:shd w:fill="CCEEFF" w:val="clear"/>
            <w:tcMar>
              <w:bottom w:w="28" w:type="dxa"/>
            </w:tcMar>
            <w:vAlign w:val="center"/>
          </w:tcPr>
          <w:p>
            <w:pPr>
              <w:pStyle w:val="TableContents"/>
              <w:bidi w:val="0"/>
              <w:spacing w:before="0" w:after="283"/>
              <w:jc w:val="right"/>
              <w:rPr/>
            </w:pPr>
            <w:r>
              <w:rPr/>
              <w:t>(0.52</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57"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249" w:type="dxa"/>
            <w:tcBorders>
              <w:bottom w:val="double" w:sz="10" w:space="0" w:color="000000"/>
            </w:tcBorders>
            <w:shd w:fill="CCEEFF" w:val="clear"/>
            <w:tcMar>
              <w:bottom w:w="28" w:type="dxa"/>
            </w:tcMar>
            <w:vAlign w:val="center"/>
          </w:tcPr>
          <w:p>
            <w:pPr>
              <w:pStyle w:val="TableContents"/>
              <w:bidi w:val="0"/>
              <w:spacing w:before="0" w:after="283"/>
              <w:jc w:val="right"/>
              <w:rPr/>
            </w:pPr>
            <w:r>
              <w:rPr/>
              <w:t>(1.22</w:t>
            </w:r>
          </w:p>
        </w:tc>
        <w:tc>
          <w:tcPr>
            <w:tcW w:w="112" w:type="dxa"/>
            <w:tcBorders/>
            <w:shd w:fill="CCEEFF" w:val="clear"/>
            <w:vAlign w:val="center"/>
          </w:tcPr>
          <w:p>
            <w:pPr>
              <w:pStyle w:val="TableContents"/>
              <w:bidi w:val="0"/>
              <w:spacing w:before="0" w:after="283"/>
              <w:jc w:val="left"/>
              <w:rPr/>
            </w:pPr>
            <w:r>
              <w:rPr/>
              <w: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computation of basic net loss per share attributable to common stockholders is inclusive of warrants with an insignificant exercise price and the minimum number of shares to be issued in connection with the deferred consideration related to the Ambia acquisition. The Company’s calculation of the weighted average shares outstanding with an insignificant exercise price was 234,610 and 3,427,324 warrants (which assumes that the warrants were outstanding as of the beginning of the period or the date of the grant, whichever is earlier) for the fiscal years ended December 28, 2025, and December 29, 2024, respectively. The computation of diluted net loss per share attributable to common stockholders is inclusive of the impact of the Company’s September 2024 Notes (which were dilutive) using the if-converted method for the year ended December 29, 2024.</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sz w:val="20"/>
          <w:bdr w:val="single" w:sz="12" w:space="1" w:color="000000"/>
        </w:rPr>
      </w:pPr>
      <w:r>
        <w:rPr>
          <w:sz w:val="20"/>
          <w:bdr w:val="single" w:sz="12" w:space="1" w:color="000000"/>
        </w:rPr>
        <w:t>F-106</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presents the potential common shares outstanding that were excluded from the computation of diluted net loss per share of common stock as of the periods presented because including them would have been anti-dilutive:</w:t>
      </w:r>
    </w:p>
    <w:p>
      <w:pPr>
        <w:pStyle w:val="TextBody"/>
        <w:bidi w:val="0"/>
        <w:spacing w:before="0" w:after="0"/>
        <w:ind w:left="0" w:right="0" w:hanging="0"/>
        <w:jc w:val="both"/>
        <w:rPr>
          <w:caps w:val="false"/>
          <w:smallCaps w:val="false"/>
        </w:rPr>
      </w:pPr>
      <w:r>
        <w:rPr>
          <w:caps w:val="false"/>
          <w:smallCaps w:val="false"/>
        </w:rPr>
        <w:t> </w:t>
      </w:r>
    </w:p>
    <w:tbl>
      <w:tblPr>
        <w:tblW w:w="9283" w:type="dxa"/>
        <w:jc w:val="left"/>
        <w:tblInd w:w="0" w:type="dxa"/>
        <w:tblLayout w:type="fixed"/>
        <w:tblCellMar>
          <w:top w:w="0" w:type="dxa"/>
          <w:left w:w="0" w:type="dxa"/>
          <w:bottom w:w="0" w:type="dxa"/>
          <w:right w:w="0" w:type="dxa"/>
        </w:tblCellMar>
      </w:tblPr>
      <w:tblGrid>
        <w:gridCol w:w="6200"/>
        <w:gridCol w:w="60"/>
        <w:gridCol w:w="65"/>
        <w:gridCol w:w="1349"/>
        <w:gridCol w:w="60"/>
        <w:gridCol w:w="60"/>
        <w:gridCol w:w="73"/>
        <w:gridCol w:w="1341"/>
        <w:gridCol w:w="75"/>
      </w:tblGrid>
      <w:tr>
        <w:trPr/>
        <w:tc>
          <w:tcPr>
            <w:tcW w:w="62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948"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Fiscal Year Ended</w:t>
            </w:r>
          </w:p>
        </w:tc>
        <w:tc>
          <w:tcPr>
            <w:tcW w:w="75" w:type="dxa"/>
            <w:tcBorders/>
            <w:vAlign w:val="center"/>
          </w:tcPr>
          <w:p>
            <w:pPr>
              <w:pStyle w:val="TableContents"/>
              <w:bidi w:val="0"/>
              <w:spacing w:before="0" w:after="283"/>
              <w:jc w:val="left"/>
              <w:rPr/>
            </w:pPr>
            <w:r>
              <w:rPr/>
              <w:t> </w:t>
            </w:r>
          </w:p>
        </w:tc>
      </w:tr>
      <w:tr>
        <w:trPr/>
        <w:tc>
          <w:tcPr>
            <w:tcW w:w="62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14" w:type="dxa"/>
            <w:gridSpan w:val="2"/>
            <w:tcBorders/>
            <w:vAlign w:val="center"/>
          </w:tcPr>
          <w:p>
            <w:pPr>
              <w:pStyle w:val="TableContents"/>
              <w:bidi w:val="0"/>
              <w:spacing w:before="0" w:after="283"/>
              <w:jc w:val="center"/>
              <w:rPr>
                <w:b/>
              </w:rPr>
            </w:pPr>
            <w:r>
              <w:rPr>
                <w:b/>
              </w:rPr>
              <w:t>December 28,</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14" w:type="dxa"/>
            <w:gridSpan w:val="2"/>
            <w:tcBorders/>
            <w:vAlign w:val="center"/>
          </w:tcPr>
          <w:p>
            <w:pPr>
              <w:pStyle w:val="TableContents"/>
              <w:bidi w:val="0"/>
              <w:spacing w:before="0" w:after="283"/>
              <w:jc w:val="center"/>
              <w:rPr>
                <w:b/>
              </w:rPr>
            </w:pPr>
            <w:r>
              <w:rPr>
                <w:b/>
              </w:rPr>
              <w:t>December 29,</w:t>
            </w:r>
          </w:p>
        </w:tc>
        <w:tc>
          <w:tcPr>
            <w:tcW w:w="75" w:type="dxa"/>
            <w:tcBorders/>
            <w:vAlign w:val="center"/>
          </w:tcPr>
          <w:p>
            <w:pPr>
              <w:pStyle w:val="TableContents"/>
              <w:bidi w:val="0"/>
              <w:spacing w:before="0" w:after="283"/>
              <w:jc w:val="left"/>
              <w:rPr/>
            </w:pPr>
            <w:r>
              <w:rPr/>
              <w:t> </w:t>
            </w:r>
          </w:p>
        </w:tc>
      </w:tr>
      <w:tr>
        <w:trPr/>
        <w:tc>
          <w:tcPr>
            <w:tcW w:w="62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14"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14"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2024</w:t>
            </w:r>
          </w:p>
        </w:tc>
        <w:tc>
          <w:tcPr>
            <w:tcW w:w="75" w:type="dxa"/>
            <w:tcBorders/>
            <w:vAlign w:val="center"/>
          </w:tcPr>
          <w:p>
            <w:pPr>
              <w:pStyle w:val="TableContents"/>
              <w:bidi w:val="0"/>
              <w:spacing w:before="0" w:after="283"/>
              <w:ind w:left="0" w:right="0" w:hanging="180"/>
              <w:jc w:val="left"/>
              <w:rPr/>
            </w:pPr>
            <w:r>
              <w:rPr/>
              <w:t> </w:t>
            </w:r>
          </w:p>
        </w:tc>
      </w:tr>
      <w:tr>
        <w:trPr/>
        <w:tc>
          <w:tcPr>
            <w:tcW w:w="6200" w:type="dxa"/>
            <w:tcBorders/>
            <w:shd w:fill="CCEEFF" w:val="clear"/>
            <w:vAlign w:val="center"/>
          </w:tcPr>
          <w:p>
            <w:pPr>
              <w:pStyle w:val="TableContents"/>
              <w:bidi w:val="0"/>
              <w:spacing w:before="0" w:after="283"/>
              <w:jc w:val="left"/>
              <w:rPr/>
            </w:pPr>
            <w:r>
              <w:rPr/>
              <w:t>Common stock warrants</w:t>
            </w:r>
          </w:p>
        </w:tc>
        <w:tc>
          <w:tcPr>
            <w:tcW w:w="60"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jc w:val="left"/>
              <w:rPr/>
            </w:pPr>
            <w:r>
              <w:rPr/>
              <w:t> </w:t>
            </w:r>
          </w:p>
        </w:tc>
        <w:tc>
          <w:tcPr>
            <w:tcW w:w="1349" w:type="dxa"/>
            <w:tcBorders/>
            <w:shd w:fill="CCEEFF" w:val="clear"/>
            <w:vAlign w:val="center"/>
          </w:tcPr>
          <w:p>
            <w:pPr>
              <w:pStyle w:val="TableContents"/>
              <w:bidi w:val="0"/>
              <w:spacing w:before="0" w:after="283"/>
              <w:jc w:val="right"/>
              <w:rPr/>
            </w:pPr>
            <w:r>
              <w:rPr/>
              <w:t>218,847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3" w:type="dxa"/>
            <w:tcBorders/>
            <w:shd w:fill="CCEEFF" w:val="clear"/>
            <w:vAlign w:val="center"/>
          </w:tcPr>
          <w:p>
            <w:pPr>
              <w:pStyle w:val="TableContents"/>
              <w:bidi w:val="0"/>
              <w:spacing w:before="0" w:after="283"/>
              <w:jc w:val="left"/>
              <w:rPr/>
            </w:pPr>
            <w:r>
              <w:rPr/>
              <w:t> </w:t>
            </w:r>
          </w:p>
        </w:tc>
        <w:tc>
          <w:tcPr>
            <w:tcW w:w="1341" w:type="dxa"/>
            <w:tcBorders/>
            <w:shd w:fill="CCEEFF" w:val="clear"/>
            <w:vAlign w:val="center"/>
          </w:tcPr>
          <w:p>
            <w:pPr>
              <w:pStyle w:val="TableContents"/>
              <w:bidi w:val="0"/>
              <w:spacing w:before="0" w:after="283"/>
              <w:jc w:val="right"/>
              <w:rPr/>
            </w:pPr>
            <w:r>
              <w:rPr/>
              <w:t>25,434,069</w:t>
            </w:r>
          </w:p>
        </w:tc>
        <w:tc>
          <w:tcPr>
            <w:tcW w:w="75" w:type="dxa"/>
            <w:tcBorders/>
            <w:shd w:fill="CCEEFF" w:val="clear"/>
            <w:vAlign w:val="center"/>
          </w:tcPr>
          <w:p>
            <w:pPr>
              <w:pStyle w:val="TableContents"/>
              <w:bidi w:val="0"/>
              <w:spacing w:before="0" w:after="283"/>
              <w:ind w:left="0" w:right="0" w:hanging="180"/>
              <w:jc w:val="left"/>
              <w:rPr/>
            </w:pPr>
            <w:r>
              <w:rPr/>
              <w:t> </w:t>
            </w:r>
          </w:p>
        </w:tc>
      </w:tr>
      <w:tr>
        <w:trPr/>
        <w:tc>
          <w:tcPr>
            <w:tcW w:w="6200" w:type="dxa"/>
            <w:tcBorders/>
            <w:shd w:fill="FFFFFF" w:val="clear"/>
            <w:vAlign w:val="center"/>
          </w:tcPr>
          <w:p>
            <w:pPr>
              <w:pStyle w:val="TableContents"/>
              <w:bidi w:val="0"/>
              <w:spacing w:before="0" w:after="283"/>
              <w:jc w:val="left"/>
              <w:rPr/>
            </w:pPr>
            <w:r>
              <w:rPr/>
              <w:t>Convertible notes</w:t>
            </w:r>
          </w:p>
        </w:tc>
        <w:tc>
          <w:tcPr>
            <w:tcW w:w="60" w:type="dxa"/>
            <w:tcBorders/>
            <w:shd w:fill="FFFFFF" w:val="clear"/>
            <w:vAlign w:val="center"/>
          </w:tcPr>
          <w:p>
            <w:pPr>
              <w:pStyle w:val="TableContents"/>
              <w:bidi w:val="0"/>
              <w:spacing w:before="0" w:after="283"/>
              <w:jc w:val="left"/>
              <w:rPr/>
            </w:pPr>
            <w:r>
              <w:rPr/>
              <w:t> </w:t>
            </w:r>
          </w:p>
        </w:tc>
        <w:tc>
          <w:tcPr>
            <w:tcW w:w="65" w:type="dxa"/>
            <w:tcBorders/>
            <w:shd w:fill="FFFFFF" w:val="clear"/>
            <w:vAlign w:val="center"/>
          </w:tcPr>
          <w:p>
            <w:pPr>
              <w:pStyle w:val="TableContents"/>
              <w:bidi w:val="0"/>
              <w:spacing w:before="0" w:after="283"/>
              <w:jc w:val="left"/>
              <w:rPr/>
            </w:pPr>
            <w:r>
              <w:rPr/>
              <w:t> </w:t>
            </w:r>
          </w:p>
        </w:tc>
        <w:tc>
          <w:tcPr>
            <w:tcW w:w="1349" w:type="dxa"/>
            <w:tcBorders/>
            <w:shd w:fill="FFFFFF" w:val="clear"/>
            <w:vAlign w:val="center"/>
          </w:tcPr>
          <w:p>
            <w:pPr>
              <w:pStyle w:val="TableContents"/>
              <w:bidi w:val="0"/>
              <w:spacing w:before="0" w:after="283"/>
              <w:jc w:val="right"/>
              <w:rPr/>
            </w:pPr>
            <w:r>
              <w:rPr/>
              <w:t>82,460,428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3" w:type="dxa"/>
            <w:tcBorders/>
            <w:shd w:fill="FFFFFF" w:val="clear"/>
            <w:vAlign w:val="center"/>
          </w:tcPr>
          <w:p>
            <w:pPr>
              <w:pStyle w:val="TableContents"/>
              <w:bidi w:val="0"/>
              <w:spacing w:before="0" w:after="283"/>
              <w:jc w:val="left"/>
              <w:rPr/>
            </w:pPr>
            <w:r>
              <w:rPr/>
              <w:t> </w:t>
            </w:r>
          </w:p>
        </w:tc>
        <w:tc>
          <w:tcPr>
            <w:tcW w:w="1341" w:type="dxa"/>
            <w:tcBorders/>
            <w:shd w:fill="FFFFFF" w:val="clear"/>
            <w:vAlign w:val="center"/>
          </w:tcPr>
          <w:p>
            <w:pPr>
              <w:pStyle w:val="TableContents"/>
              <w:bidi w:val="0"/>
              <w:spacing w:before="0" w:after="283"/>
              <w:jc w:val="right"/>
              <w:rPr/>
            </w:pPr>
            <w:r>
              <w:rPr/>
              <w:t>27,364,717</w:t>
            </w:r>
          </w:p>
        </w:tc>
        <w:tc>
          <w:tcPr>
            <w:tcW w:w="75" w:type="dxa"/>
            <w:tcBorders/>
            <w:shd w:fill="FFFFFF" w:val="clear"/>
            <w:vAlign w:val="center"/>
          </w:tcPr>
          <w:p>
            <w:pPr>
              <w:pStyle w:val="TableContents"/>
              <w:bidi w:val="0"/>
              <w:spacing w:before="0" w:after="283"/>
              <w:ind w:left="0" w:right="0" w:hanging="180"/>
              <w:jc w:val="left"/>
              <w:rPr/>
            </w:pPr>
            <w:r>
              <w:rPr/>
              <w:t> </w:t>
            </w:r>
          </w:p>
        </w:tc>
      </w:tr>
      <w:tr>
        <w:trPr/>
        <w:tc>
          <w:tcPr>
            <w:tcW w:w="6200" w:type="dxa"/>
            <w:tcBorders/>
            <w:shd w:fill="CCEEFF" w:val="clear"/>
            <w:vAlign w:val="center"/>
          </w:tcPr>
          <w:p>
            <w:pPr>
              <w:pStyle w:val="TableContents"/>
              <w:bidi w:val="0"/>
              <w:spacing w:before="0" w:after="283"/>
              <w:jc w:val="left"/>
              <w:rPr/>
            </w:pPr>
            <w:r>
              <w:rPr/>
              <w:t>Stock options and RSUs issued and outstanding</w:t>
            </w:r>
          </w:p>
        </w:tc>
        <w:tc>
          <w:tcPr>
            <w:tcW w:w="60"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jc w:val="left"/>
              <w:rPr/>
            </w:pPr>
            <w:r>
              <w:rPr/>
              <w:t> </w:t>
            </w:r>
          </w:p>
        </w:tc>
        <w:tc>
          <w:tcPr>
            <w:tcW w:w="1349" w:type="dxa"/>
            <w:tcBorders/>
            <w:shd w:fill="CCEEFF" w:val="clear"/>
            <w:vAlign w:val="center"/>
          </w:tcPr>
          <w:p>
            <w:pPr>
              <w:pStyle w:val="TableContents"/>
              <w:bidi w:val="0"/>
              <w:spacing w:before="0" w:after="283"/>
              <w:jc w:val="right"/>
              <w:rPr/>
            </w:pPr>
            <w:r>
              <w:rPr/>
              <w:t>8,084,064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3" w:type="dxa"/>
            <w:tcBorders/>
            <w:shd w:fill="CCEEFF" w:val="clear"/>
            <w:vAlign w:val="center"/>
          </w:tcPr>
          <w:p>
            <w:pPr>
              <w:pStyle w:val="TableContents"/>
              <w:bidi w:val="0"/>
              <w:spacing w:before="0" w:after="283"/>
              <w:jc w:val="left"/>
              <w:rPr/>
            </w:pPr>
            <w:r>
              <w:rPr/>
              <w:t> </w:t>
            </w:r>
          </w:p>
        </w:tc>
        <w:tc>
          <w:tcPr>
            <w:tcW w:w="1341" w:type="dxa"/>
            <w:tcBorders/>
            <w:shd w:fill="CCEEFF" w:val="clear"/>
            <w:vAlign w:val="center"/>
          </w:tcPr>
          <w:p>
            <w:pPr>
              <w:pStyle w:val="TableContents"/>
              <w:bidi w:val="0"/>
              <w:spacing w:before="0" w:after="283"/>
              <w:jc w:val="right"/>
              <w:rPr/>
            </w:pPr>
            <w:r>
              <w:rPr/>
              <w:t>11,979,368</w:t>
            </w:r>
          </w:p>
        </w:tc>
        <w:tc>
          <w:tcPr>
            <w:tcW w:w="75" w:type="dxa"/>
            <w:tcBorders/>
            <w:shd w:fill="CCEEFF" w:val="clear"/>
            <w:vAlign w:val="center"/>
          </w:tcPr>
          <w:p>
            <w:pPr>
              <w:pStyle w:val="TableContents"/>
              <w:bidi w:val="0"/>
              <w:spacing w:before="0" w:after="283"/>
              <w:ind w:left="0" w:right="0" w:hanging="180"/>
              <w:jc w:val="left"/>
              <w:rPr/>
            </w:pPr>
            <w:r>
              <w:rPr/>
              <w:t> </w:t>
            </w:r>
          </w:p>
        </w:tc>
      </w:tr>
      <w:tr>
        <w:trPr/>
        <w:tc>
          <w:tcPr>
            <w:tcW w:w="6200" w:type="dxa"/>
            <w:tcBorders/>
            <w:shd w:fill="FFFFFF" w:val="clear"/>
            <w:vAlign w:val="center"/>
          </w:tcPr>
          <w:p>
            <w:pPr>
              <w:pStyle w:val="TableContents"/>
              <w:bidi w:val="0"/>
              <w:spacing w:before="0" w:after="283"/>
              <w:jc w:val="left"/>
              <w:rPr/>
            </w:pPr>
            <w:r>
              <w:rPr/>
              <w:t>Third SAFE Agreement</w:t>
            </w:r>
          </w:p>
        </w:tc>
        <w:tc>
          <w:tcPr>
            <w:tcW w:w="60" w:type="dxa"/>
            <w:tcBorders/>
            <w:shd w:fill="FFFFFF" w:val="clear"/>
            <w:vAlign w:val="center"/>
          </w:tcPr>
          <w:p>
            <w:pPr>
              <w:pStyle w:val="TableContents"/>
              <w:bidi w:val="0"/>
              <w:spacing w:before="0" w:after="283"/>
              <w:jc w:val="left"/>
              <w:rPr/>
            </w:pPr>
            <w:r>
              <w:rPr/>
              <w:t> </w:t>
            </w:r>
          </w:p>
        </w:tc>
        <w:tc>
          <w:tcPr>
            <w:tcW w:w="65" w:type="dxa"/>
            <w:tcBorders/>
            <w:shd w:fill="FFFFFF" w:val="clear"/>
            <w:vAlign w:val="center"/>
          </w:tcPr>
          <w:p>
            <w:pPr>
              <w:pStyle w:val="TableContents"/>
              <w:bidi w:val="0"/>
              <w:spacing w:before="0" w:after="283"/>
              <w:jc w:val="left"/>
              <w:rPr/>
            </w:pPr>
            <w:r>
              <w:rPr/>
              <w:t> </w:t>
            </w:r>
          </w:p>
        </w:tc>
        <w:tc>
          <w:tcPr>
            <w:tcW w:w="1349" w:type="dxa"/>
            <w:tcBorders/>
            <w:shd w:fill="FFFFFF" w:val="clear"/>
            <w:vAlign w:val="center"/>
          </w:tcPr>
          <w:p>
            <w:pPr>
              <w:pStyle w:val="TableContents"/>
              <w:bidi w:val="0"/>
              <w:spacing w:before="0" w:after="283"/>
              <w:jc w:val="right"/>
              <w:rPr/>
            </w:pPr>
            <w:r>
              <w:rPr/>
              <w:t>2,750,000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3" w:type="dxa"/>
            <w:tcBorders/>
            <w:shd w:fill="FFFFFF" w:val="clear"/>
            <w:vAlign w:val="center"/>
          </w:tcPr>
          <w:p>
            <w:pPr>
              <w:pStyle w:val="TableContents"/>
              <w:bidi w:val="0"/>
              <w:spacing w:before="0" w:after="283"/>
              <w:jc w:val="left"/>
              <w:rPr/>
            </w:pPr>
            <w:r>
              <w:rPr/>
              <w:t> </w:t>
            </w:r>
          </w:p>
        </w:tc>
        <w:tc>
          <w:tcPr>
            <w:tcW w:w="1341" w:type="dxa"/>
            <w:tcBorders/>
            <w:shd w:fill="FFFFFF" w:val="clear"/>
            <w:vAlign w:val="center"/>
          </w:tcPr>
          <w:p>
            <w:pPr>
              <w:pStyle w:val="TableContents"/>
              <w:bidi w:val="0"/>
              <w:spacing w:before="0" w:after="283"/>
              <w:jc w:val="right"/>
              <w:rPr/>
            </w:pPr>
            <w:r>
              <w:rPr/>
              <w:t>—</w:t>
            </w:r>
          </w:p>
        </w:tc>
        <w:tc>
          <w:tcPr>
            <w:tcW w:w="75" w:type="dxa"/>
            <w:tcBorders/>
            <w:shd w:fill="FFFFFF" w:val="clear"/>
            <w:vAlign w:val="center"/>
          </w:tcPr>
          <w:p>
            <w:pPr>
              <w:pStyle w:val="TableContents"/>
              <w:bidi w:val="0"/>
              <w:spacing w:before="0" w:after="283"/>
              <w:ind w:left="0" w:right="0" w:hanging="180"/>
              <w:jc w:val="left"/>
              <w:rPr/>
            </w:pPr>
            <w:r>
              <w:rPr/>
              <w:t> </w:t>
            </w:r>
          </w:p>
        </w:tc>
      </w:tr>
      <w:tr>
        <w:trPr/>
        <w:tc>
          <w:tcPr>
            <w:tcW w:w="6200" w:type="dxa"/>
            <w:tcBorders/>
            <w:shd w:fill="CCEEFF" w:val="clear"/>
            <w:vAlign w:val="center"/>
          </w:tcPr>
          <w:p>
            <w:pPr>
              <w:pStyle w:val="TableContents"/>
              <w:bidi w:val="0"/>
              <w:spacing w:before="0" w:after="283"/>
              <w:jc w:val="left"/>
              <w:rPr/>
            </w:pPr>
            <w:r>
              <w:rPr/>
              <w:t>Deferred consideration shares</w:t>
            </w:r>
          </w:p>
        </w:tc>
        <w:tc>
          <w:tcPr>
            <w:tcW w:w="60" w:type="dxa"/>
            <w:tcBorders/>
            <w:shd w:fill="CCEEFF" w:val="clear"/>
            <w:vAlign w:val="center"/>
          </w:tcPr>
          <w:p>
            <w:pPr>
              <w:pStyle w:val="TableContents"/>
              <w:bidi w:val="0"/>
              <w:spacing w:before="0" w:after="283"/>
              <w:jc w:val="left"/>
              <w:rPr/>
            </w:pPr>
            <w:r>
              <w:rPr/>
              <w:t> </w:t>
            </w:r>
          </w:p>
        </w:tc>
        <w:tc>
          <w:tcPr>
            <w:tcW w:w="65"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349" w:type="dxa"/>
            <w:tcBorders>
              <w:bottom w:val="single" w:sz="12" w:space="0" w:color="000000"/>
            </w:tcBorders>
            <w:shd w:fill="CCEEFF" w:val="clear"/>
            <w:tcMar>
              <w:bottom w:w="28" w:type="dxa"/>
            </w:tcMar>
            <w:vAlign w:val="center"/>
          </w:tcPr>
          <w:p>
            <w:pPr>
              <w:pStyle w:val="TableContents"/>
              <w:bidi w:val="0"/>
              <w:spacing w:before="0" w:after="283"/>
              <w:jc w:val="right"/>
              <w:rPr/>
            </w:pPr>
            <w:r>
              <w:rPr/>
              <w:t>11,640,506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3"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341"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75" w:type="dxa"/>
            <w:tcBorders/>
            <w:shd w:fill="CCEEFF" w:val="clear"/>
            <w:vAlign w:val="center"/>
          </w:tcPr>
          <w:p>
            <w:pPr>
              <w:pStyle w:val="TableContents"/>
              <w:bidi w:val="0"/>
              <w:spacing w:before="0" w:after="283"/>
              <w:ind w:left="0" w:right="0" w:hanging="180"/>
              <w:jc w:val="left"/>
              <w:rPr/>
            </w:pPr>
            <w:r>
              <w:rPr/>
              <w:t> </w:t>
            </w:r>
          </w:p>
        </w:tc>
      </w:tr>
      <w:tr>
        <w:trPr/>
        <w:tc>
          <w:tcPr>
            <w:tcW w:w="6200" w:type="dxa"/>
            <w:tcBorders/>
            <w:shd w:fill="FFFFFF" w:val="clear"/>
            <w:vAlign w:val="center"/>
          </w:tcPr>
          <w:p>
            <w:pPr>
              <w:pStyle w:val="TableContents"/>
              <w:bidi w:val="0"/>
              <w:spacing w:before="0" w:after="283"/>
              <w:jc w:val="left"/>
              <w:rPr/>
            </w:pPr>
            <w:r>
              <w:rPr/>
              <w:t>Potential common shares excluded from diluted net loss per share</w:t>
            </w:r>
          </w:p>
        </w:tc>
        <w:tc>
          <w:tcPr>
            <w:tcW w:w="60" w:type="dxa"/>
            <w:tcBorders/>
            <w:shd w:fill="FFFFFF" w:val="clear"/>
            <w:vAlign w:val="center"/>
          </w:tcPr>
          <w:p>
            <w:pPr>
              <w:pStyle w:val="TableContents"/>
              <w:bidi w:val="0"/>
              <w:spacing w:before="0" w:after="283"/>
              <w:jc w:val="left"/>
              <w:rPr/>
            </w:pPr>
            <w:r>
              <w:rPr/>
              <w:t> </w:t>
            </w:r>
          </w:p>
        </w:tc>
        <w:tc>
          <w:tcPr>
            <w:tcW w:w="65" w:type="dxa"/>
            <w:tcBorders>
              <w:bottom w:val="double" w:sz="10" w:space="0" w:color="000000"/>
            </w:tcBorders>
            <w:shd w:fill="FFFFFF" w:val="clear"/>
            <w:tcMar>
              <w:bottom w:w="28" w:type="dxa"/>
            </w:tcMar>
            <w:vAlign w:val="center"/>
          </w:tcPr>
          <w:p>
            <w:pPr>
              <w:pStyle w:val="TableContents"/>
              <w:bidi w:val="0"/>
              <w:spacing w:before="0" w:after="283"/>
              <w:jc w:val="left"/>
              <w:rPr/>
            </w:pPr>
            <w:r>
              <w:rPr/>
              <w:t> </w:t>
            </w:r>
          </w:p>
        </w:tc>
        <w:tc>
          <w:tcPr>
            <w:tcW w:w="1349" w:type="dxa"/>
            <w:tcBorders>
              <w:bottom w:val="double" w:sz="10" w:space="0" w:color="000000"/>
            </w:tcBorders>
            <w:shd w:fill="FFFFFF" w:val="clear"/>
            <w:tcMar>
              <w:bottom w:w="28" w:type="dxa"/>
            </w:tcMar>
            <w:vAlign w:val="center"/>
          </w:tcPr>
          <w:p>
            <w:pPr>
              <w:pStyle w:val="TableContents"/>
              <w:bidi w:val="0"/>
              <w:spacing w:before="0" w:after="283"/>
              <w:jc w:val="right"/>
              <w:rPr/>
            </w:pPr>
            <w:r>
              <w:rPr/>
              <w:t>105,153,845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3" w:type="dxa"/>
            <w:tcBorders>
              <w:bottom w:val="double" w:sz="10" w:space="0" w:color="000000"/>
            </w:tcBorders>
            <w:shd w:fill="FFFFFF" w:val="clear"/>
            <w:tcMar>
              <w:bottom w:w="28" w:type="dxa"/>
            </w:tcMar>
            <w:vAlign w:val="center"/>
          </w:tcPr>
          <w:p>
            <w:pPr>
              <w:pStyle w:val="TableContents"/>
              <w:bidi w:val="0"/>
              <w:spacing w:before="0" w:after="283"/>
              <w:jc w:val="left"/>
              <w:rPr/>
            </w:pPr>
            <w:r>
              <w:rPr/>
              <w:t> </w:t>
            </w:r>
          </w:p>
        </w:tc>
        <w:tc>
          <w:tcPr>
            <w:tcW w:w="1341" w:type="dxa"/>
            <w:tcBorders>
              <w:bottom w:val="double" w:sz="10" w:space="0" w:color="000000"/>
            </w:tcBorders>
            <w:shd w:fill="FFFFFF" w:val="clear"/>
            <w:tcMar>
              <w:bottom w:w="28" w:type="dxa"/>
            </w:tcMar>
            <w:vAlign w:val="center"/>
          </w:tcPr>
          <w:p>
            <w:pPr>
              <w:pStyle w:val="TableContents"/>
              <w:bidi w:val="0"/>
              <w:spacing w:before="0" w:after="283"/>
              <w:jc w:val="right"/>
              <w:rPr/>
            </w:pPr>
            <w:r>
              <w:rPr/>
              <w:t>64,778,154</w:t>
            </w:r>
          </w:p>
        </w:tc>
        <w:tc>
          <w:tcPr>
            <w:tcW w:w="75"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(17) Segment Information</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5571"/>
        <w:gridCol w:w="60"/>
        <w:gridCol w:w="172"/>
        <w:gridCol w:w="988"/>
        <w:gridCol w:w="95"/>
        <w:gridCol w:w="60"/>
        <w:gridCol w:w="170"/>
        <w:gridCol w:w="978"/>
        <w:gridCol w:w="60"/>
        <w:gridCol w:w="60"/>
        <w:gridCol w:w="140"/>
        <w:gridCol w:w="680"/>
        <w:gridCol w:w="60"/>
        <w:gridCol w:w="60"/>
        <w:gridCol w:w="140"/>
        <w:gridCol w:w="800"/>
        <w:gridCol w:w="111"/>
      </w:tblGrid>
      <w:tr>
        <w:trPr/>
        <w:tc>
          <w:tcPr>
            <w:tcW w:w="5571"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463" w:type="dxa"/>
            <w:gridSpan w:val="14"/>
            <w:tcBorders>
              <w:bottom w:val="single" w:sz="12" w:space="0" w:color="000000"/>
            </w:tcBorders>
            <w:tcMar>
              <w:bottom w:w="28" w:type="dxa"/>
            </w:tcMar>
            <w:vAlign w:val="center"/>
          </w:tcPr>
          <w:p>
            <w:pPr>
              <w:pStyle w:val="TableContents"/>
              <w:bidi w:val="0"/>
              <w:spacing w:before="0" w:after="283"/>
              <w:jc w:val="center"/>
              <w:rPr>
                <w:b/>
              </w:rPr>
            </w:pPr>
            <w:r>
              <w:rPr>
                <w:b/>
              </w:rPr>
              <w:t>Fiscal Year Ended December 28, 2025</w:t>
            </w:r>
          </w:p>
        </w:tc>
        <w:tc>
          <w:tcPr>
            <w:tcW w:w="111" w:type="dxa"/>
            <w:tcBorders/>
            <w:vAlign w:val="center"/>
          </w:tcPr>
          <w:p>
            <w:pPr>
              <w:pStyle w:val="TableContents"/>
              <w:bidi w:val="0"/>
              <w:spacing w:before="0" w:after="283"/>
              <w:jc w:val="left"/>
              <w:rPr/>
            </w:pPr>
            <w:r>
              <w:rPr/>
              <w:t> </w:t>
            </w:r>
          </w:p>
        </w:tc>
      </w:tr>
      <w:tr>
        <w:trPr/>
        <w:tc>
          <w:tcPr>
            <w:tcW w:w="5571" w:type="dxa"/>
            <w:tcBorders>
              <w:bottom w:val="single" w:sz="12" w:space="0" w:color="000000"/>
            </w:tcBorders>
            <w:tcMar>
              <w:bottom w:w="28" w:type="dxa"/>
            </w:tcMar>
            <w:vAlign w:val="center"/>
          </w:tcPr>
          <w:p>
            <w:pPr>
              <w:pStyle w:val="TableContents"/>
              <w:bidi w:val="0"/>
              <w:spacing w:before="0" w:after="283"/>
              <w:jc w:val="left"/>
              <w:rPr>
                <w:b/>
                <w:i/>
              </w:rPr>
            </w:pPr>
            <w:r>
              <w:rPr>
                <w:b/>
                <w:i/>
              </w:rPr>
              <w:t>(in thousands)</w:t>
            </w:r>
          </w:p>
        </w:tc>
        <w:tc>
          <w:tcPr>
            <w:tcW w:w="60" w:type="dxa"/>
            <w:tcBorders/>
            <w:vAlign w:val="center"/>
          </w:tcPr>
          <w:p>
            <w:pPr>
              <w:pStyle w:val="TableContents"/>
              <w:bidi w:val="0"/>
              <w:spacing w:before="0" w:after="283"/>
              <w:jc w:val="left"/>
              <w:rPr/>
            </w:pPr>
            <w:r>
              <w:rPr/>
              <w:t> </w:t>
            </w:r>
          </w:p>
        </w:tc>
        <w:tc>
          <w:tcPr>
            <w:tcW w:w="116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Residential</w:t>
              <w:br/>
              <w:t>Solar</w:t>
              <w:br/>
              <w:t>Installation</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48"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 xml:space="preserve">New Homes </w:t>
              <w:br/>
              <w:t>Business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2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Dealer</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4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Total</w:t>
            </w:r>
          </w:p>
        </w:tc>
        <w:tc>
          <w:tcPr>
            <w:tcW w:w="111" w:type="dxa"/>
            <w:tcBorders/>
            <w:vAlign w:val="center"/>
          </w:tcPr>
          <w:p>
            <w:pPr>
              <w:pStyle w:val="TableContents"/>
              <w:bidi w:val="0"/>
              <w:spacing w:before="0" w:after="283"/>
              <w:jc w:val="left"/>
              <w:rPr/>
            </w:pPr>
            <w:r>
              <w:rPr/>
              <w:t> </w:t>
            </w:r>
          </w:p>
        </w:tc>
      </w:tr>
      <w:tr>
        <w:trPr/>
        <w:tc>
          <w:tcPr>
            <w:tcW w:w="5571" w:type="dxa"/>
            <w:tcBorders/>
            <w:shd w:fill="CCEEFF" w:val="clear"/>
            <w:vAlign w:val="center"/>
          </w:tcPr>
          <w:p>
            <w:pPr>
              <w:pStyle w:val="TableContents"/>
              <w:bidi w:val="0"/>
              <w:spacing w:before="0" w:after="283"/>
              <w:jc w:val="left"/>
              <w:rPr/>
            </w:pPr>
            <w:r>
              <w:rPr/>
              <w:t>Operating revenues</w:t>
            </w:r>
          </w:p>
        </w:tc>
        <w:tc>
          <w:tcPr>
            <w:tcW w:w="60" w:type="dxa"/>
            <w:tcBorders/>
            <w:shd w:fill="CCEEFF" w:val="clear"/>
            <w:vAlign w:val="center"/>
          </w:tcPr>
          <w:p>
            <w:pPr>
              <w:pStyle w:val="TableContents"/>
              <w:bidi w:val="0"/>
              <w:spacing w:before="0" w:after="283"/>
              <w:jc w:val="left"/>
              <w:rPr/>
            </w:pPr>
            <w:r>
              <w:rPr/>
              <w:t> </w:t>
            </w:r>
          </w:p>
        </w:tc>
        <w:tc>
          <w:tcPr>
            <w:tcW w:w="172" w:type="dxa"/>
            <w:tcBorders/>
            <w:shd w:fill="CCEEFF" w:val="clear"/>
            <w:vAlign w:val="center"/>
          </w:tcPr>
          <w:p>
            <w:pPr>
              <w:pStyle w:val="TableContents"/>
              <w:bidi w:val="0"/>
              <w:spacing w:before="0" w:after="283"/>
              <w:jc w:val="left"/>
              <w:rPr/>
            </w:pPr>
            <w:r>
              <w:rPr/>
              <w:t>$</w:t>
            </w:r>
          </w:p>
        </w:tc>
        <w:tc>
          <w:tcPr>
            <w:tcW w:w="988" w:type="dxa"/>
            <w:tcBorders/>
            <w:shd w:fill="CCEEFF" w:val="clear"/>
            <w:vAlign w:val="center"/>
          </w:tcPr>
          <w:p>
            <w:pPr>
              <w:pStyle w:val="TableContents"/>
              <w:bidi w:val="0"/>
              <w:spacing w:before="0" w:after="283"/>
              <w:jc w:val="right"/>
              <w:rPr/>
            </w:pPr>
            <w:r>
              <w:rPr/>
              <w:t>160,987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978" w:type="dxa"/>
            <w:tcBorders/>
            <w:shd w:fill="CCEEFF" w:val="clear"/>
            <w:vAlign w:val="center"/>
          </w:tcPr>
          <w:p>
            <w:pPr>
              <w:pStyle w:val="TableContents"/>
              <w:bidi w:val="0"/>
              <w:spacing w:before="0" w:after="283"/>
              <w:jc w:val="right"/>
              <w:rPr/>
            </w:pPr>
            <w:r>
              <w:rPr/>
              <w:t>124,595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680" w:type="dxa"/>
            <w:tcBorders/>
            <w:shd w:fill="CCEEFF" w:val="clear"/>
            <w:vAlign w:val="center"/>
          </w:tcPr>
          <w:p>
            <w:pPr>
              <w:pStyle w:val="TableContents"/>
              <w:bidi w:val="0"/>
              <w:spacing w:before="0" w:after="283"/>
              <w:jc w:val="right"/>
              <w:rPr/>
            </w:pPr>
            <w:r>
              <w:rPr/>
              <w:t>14,418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800" w:type="dxa"/>
            <w:tcBorders/>
            <w:shd w:fill="CCEEFF" w:val="clear"/>
            <w:vAlign w:val="center"/>
          </w:tcPr>
          <w:p>
            <w:pPr>
              <w:pStyle w:val="TableContents"/>
              <w:bidi w:val="0"/>
              <w:spacing w:before="0" w:after="283"/>
              <w:jc w:val="right"/>
              <w:rPr/>
            </w:pPr>
            <w:r>
              <w:rPr/>
              <w:t>300,000</w:t>
            </w:r>
          </w:p>
        </w:tc>
        <w:tc>
          <w:tcPr>
            <w:tcW w:w="111" w:type="dxa"/>
            <w:tcBorders/>
            <w:shd w:fill="CCEEFF" w:val="clear"/>
            <w:vAlign w:val="center"/>
          </w:tcPr>
          <w:p>
            <w:pPr>
              <w:pStyle w:val="TableContents"/>
              <w:bidi w:val="0"/>
              <w:spacing w:before="0" w:after="283"/>
              <w:jc w:val="left"/>
              <w:rPr/>
            </w:pPr>
            <w:r>
              <w:rPr/>
              <w:t> </w:t>
            </w:r>
          </w:p>
        </w:tc>
      </w:tr>
      <w:tr>
        <w:trPr/>
        <w:tc>
          <w:tcPr>
            <w:tcW w:w="5571"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2" w:type="dxa"/>
            <w:tcBorders/>
            <w:shd w:fill="FFFFFF" w:val="clear"/>
            <w:vAlign w:val="center"/>
          </w:tcPr>
          <w:p>
            <w:pPr>
              <w:pStyle w:val="TableContents"/>
              <w:bidi w:val="0"/>
              <w:spacing w:before="0" w:after="283"/>
              <w:jc w:val="left"/>
              <w:rPr/>
            </w:pPr>
            <w:r>
              <w:rPr/>
              <w:t> </w:t>
            </w:r>
          </w:p>
        </w:tc>
        <w:tc>
          <w:tcPr>
            <w:tcW w:w="988"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978"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 </w:t>
            </w:r>
          </w:p>
        </w:tc>
        <w:tc>
          <w:tcPr>
            <w:tcW w:w="111" w:type="dxa"/>
            <w:tcBorders/>
            <w:shd w:fill="FFFFFF" w:val="clear"/>
            <w:vAlign w:val="center"/>
          </w:tcPr>
          <w:p>
            <w:pPr>
              <w:pStyle w:val="TableContents"/>
              <w:bidi w:val="0"/>
              <w:spacing w:before="0" w:after="283"/>
              <w:jc w:val="left"/>
              <w:rPr/>
            </w:pPr>
            <w:r>
              <w:rPr/>
              <w:t> </w:t>
            </w:r>
          </w:p>
        </w:tc>
      </w:tr>
      <w:tr>
        <w:trPr/>
        <w:tc>
          <w:tcPr>
            <w:tcW w:w="5571" w:type="dxa"/>
            <w:tcBorders/>
            <w:shd w:fill="CCEEFF" w:val="clear"/>
            <w:vAlign w:val="center"/>
          </w:tcPr>
          <w:p>
            <w:pPr>
              <w:pStyle w:val="TableContents"/>
              <w:bidi w:val="0"/>
              <w:spacing w:before="0" w:after="283"/>
              <w:jc w:val="left"/>
              <w:rPr/>
            </w:pPr>
            <w:r>
              <w:rPr/>
              <w:t>Less:</w:t>
            </w:r>
          </w:p>
        </w:tc>
        <w:tc>
          <w:tcPr>
            <w:tcW w:w="60" w:type="dxa"/>
            <w:tcBorders/>
            <w:shd w:fill="CCEEFF" w:val="clear"/>
            <w:vAlign w:val="center"/>
          </w:tcPr>
          <w:p>
            <w:pPr>
              <w:pStyle w:val="TableContents"/>
              <w:bidi w:val="0"/>
              <w:spacing w:before="0" w:after="283"/>
              <w:jc w:val="left"/>
              <w:rPr/>
            </w:pPr>
            <w:r>
              <w:rPr/>
              <w:t> </w:t>
            </w:r>
          </w:p>
        </w:tc>
        <w:tc>
          <w:tcPr>
            <w:tcW w:w="172" w:type="dxa"/>
            <w:tcBorders/>
            <w:shd w:fill="CCEEFF" w:val="clear"/>
            <w:vAlign w:val="center"/>
          </w:tcPr>
          <w:p>
            <w:pPr>
              <w:pStyle w:val="TableContents"/>
              <w:bidi w:val="0"/>
              <w:spacing w:before="0" w:after="283"/>
              <w:jc w:val="left"/>
              <w:rPr/>
            </w:pPr>
            <w:r>
              <w:rPr/>
              <w:t> </w:t>
            </w:r>
          </w:p>
        </w:tc>
        <w:tc>
          <w:tcPr>
            <w:tcW w:w="988"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978"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 </w:t>
            </w:r>
          </w:p>
        </w:tc>
        <w:tc>
          <w:tcPr>
            <w:tcW w:w="111" w:type="dxa"/>
            <w:tcBorders/>
            <w:shd w:fill="CCEEFF" w:val="clear"/>
            <w:vAlign w:val="center"/>
          </w:tcPr>
          <w:p>
            <w:pPr>
              <w:pStyle w:val="TableContents"/>
              <w:bidi w:val="0"/>
              <w:spacing w:before="0" w:after="283"/>
              <w:jc w:val="left"/>
              <w:rPr/>
            </w:pPr>
            <w:r>
              <w:rPr/>
              <w:t> </w:t>
            </w:r>
          </w:p>
        </w:tc>
      </w:tr>
      <w:tr>
        <w:trPr/>
        <w:tc>
          <w:tcPr>
            <w:tcW w:w="5571"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Cost of revenues </w:t>
            </w:r>
            <w:r>
              <w:rPr>
                <w:rFonts w:ascii="Times New Roman;Times;Serif" w:hAnsi="Times New Roman;Times;Serif"/>
                <w:position w:val="7"/>
                <w:sz w:val="16"/>
                <w:sz w:val="20"/>
              </w:rPr>
              <w:t>(1)</w:t>
            </w:r>
          </w:p>
        </w:tc>
        <w:tc>
          <w:tcPr>
            <w:tcW w:w="60" w:type="dxa"/>
            <w:tcBorders/>
            <w:shd w:fill="FFFFFF" w:val="clear"/>
            <w:vAlign w:val="center"/>
          </w:tcPr>
          <w:p>
            <w:pPr>
              <w:pStyle w:val="TableContents"/>
              <w:bidi w:val="0"/>
              <w:spacing w:before="0" w:after="283"/>
              <w:jc w:val="left"/>
              <w:rPr/>
            </w:pPr>
            <w:r>
              <w:rPr/>
              <w:t> </w:t>
            </w:r>
          </w:p>
        </w:tc>
        <w:tc>
          <w:tcPr>
            <w:tcW w:w="172" w:type="dxa"/>
            <w:tcBorders/>
            <w:shd w:fill="FFFFFF" w:val="clear"/>
            <w:vAlign w:val="center"/>
          </w:tcPr>
          <w:p>
            <w:pPr>
              <w:pStyle w:val="TableContents"/>
              <w:bidi w:val="0"/>
              <w:spacing w:before="0" w:after="283"/>
              <w:jc w:val="left"/>
              <w:rPr/>
            </w:pPr>
            <w:r>
              <w:rPr/>
              <w:t> </w:t>
            </w:r>
          </w:p>
        </w:tc>
        <w:tc>
          <w:tcPr>
            <w:tcW w:w="988" w:type="dxa"/>
            <w:tcBorders/>
            <w:shd w:fill="FFFFFF" w:val="clear"/>
            <w:vAlign w:val="center"/>
          </w:tcPr>
          <w:p>
            <w:pPr>
              <w:pStyle w:val="TableContents"/>
              <w:bidi w:val="0"/>
              <w:spacing w:before="0" w:after="283"/>
              <w:jc w:val="right"/>
              <w:rPr/>
            </w:pPr>
            <w:r>
              <w:rPr/>
              <w:t>88,400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978" w:type="dxa"/>
            <w:tcBorders/>
            <w:shd w:fill="FFFFFF" w:val="clear"/>
            <w:vAlign w:val="center"/>
          </w:tcPr>
          <w:p>
            <w:pPr>
              <w:pStyle w:val="TableContents"/>
              <w:bidi w:val="0"/>
              <w:spacing w:before="0" w:after="283"/>
              <w:jc w:val="right"/>
              <w:rPr/>
            </w:pPr>
            <w:r>
              <w:rPr/>
              <w:t>82,288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pPr>
            <w:r>
              <w:rPr/>
              <w:t>100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 </w:t>
            </w:r>
          </w:p>
        </w:tc>
        <w:tc>
          <w:tcPr>
            <w:tcW w:w="111" w:type="dxa"/>
            <w:tcBorders/>
            <w:shd w:fill="FFFFFF" w:val="clear"/>
            <w:vAlign w:val="center"/>
          </w:tcPr>
          <w:p>
            <w:pPr>
              <w:pStyle w:val="TableContents"/>
              <w:bidi w:val="0"/>
              <w:spacing w:before="0" w:after="283"/>
              <w:jc w:val="left"/>
              <w:rPr/>
            </w:pPr>
            <w:r>
              <w:rPr/>
              <w:t> </w:t>
            </w:r>
          </w:p>
        </w:tc>
      </w:tr>
      <w:tr>
        <w:trPr/>
        <w:tc>
          <w:tcPr>
            <w:tcW w:w="5571" w:type="dxa"/>
            <w:tcBorders/>
            <w:shd w:fill="CCEEFF" w:val="clear"/>
            <w:vAlign w:val="center"/>
          </w:tcPr>
          <w:p>
            <w:pPr>
              <w:pStyle w:val="TableContents"/>
              <w:bidi w:val="0"/>
              <w:spacing w:before="0" w:after="283"/>
              <w:jc w:val="left"/>
              <w:rPr/>
            </w:pPr>
            <w:r>
              <w:rPr/>
              <w:t>Sales commissions</w:t>
            </w:r>
          </w:p>
        </w:tc>
        <w:tc>
          <w:tcPr>
            <w:tcW w:w="60" w:type="dxa"/>
            <w:tcBorders/>
            <w:shd w:fill="CCEEFF" w:val="clear"/>
            <w:vAlign w:val="center"/>
          </w:tcPr>
          <w:p>
            <w:pPr>
              <w:pStyle w:val="TableContents"/>
              <w:bidi w:val="0"/>
              <w:spacing w:before="0" w:after="283"/>
              <w:jc w:val="left"/>
              <w:rPr/>
            </w:pPr>
            <w:r>
              <w:rPr/>
              <w:t> </w:t>
            </w:r>
          </w:p>
        </w:tc>
        <w:tc>
          <w:tcPr>
            <w:tcW w:w="172" w:type="dxa"/>
            <w:tcBorders/>
            <w:shd w:fill="CCEEFF" w:val="clear"/>
            <w:vAlign w:val="center"/>
          </w:tcPr>
          <w:p>
            <w:pPr>
              <w:pStyle w:val="TableContents"/>
              <w:bidi w:val="0"/>
              <w:spacing w:before="0" w:after="283"/>
              <w:jc w:val="left"/>
              <w:rPr/>
            </w:pPr>
            <w:r>
              <w:rPr/>
              <w:t> </w:t>
            </w:r>
          </w:p>
        </w:tc>
        <w:tc>
          <w:tcPr>
            <w:tcW w:w="988" w:type="dxa"/>
            <w:tcBorders/>
            <w:shd w:fill="CCEEFF" w:val="clear"/>
            <w:vAlign w:val="center"/>
          </w:tcPr>
          <w:p>
            <w:pPr>
              <w:pStyle w:val="TableContents"/>
              <w:bidi w:val="0"/>
              <w:spacing w:before="0" w:after="283"/>
              <w:jc w:val="right"/>
              <w:rPr/>
            </w:pPr>
            <w:r>
              <w:rPr/>
              <w:t>26,298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978" w:type="dxa"/>
            <w:tcBorders/>
            <w:shd w:fill="CCEEFF" w:val="clear"/>
            <w:vAlign w:val="center"/>
          </w:tcPr>
          <w:p>
            <w:pPr>
              <w:pStyle w:val="TableContents"/>
              <w:bidi w:val="0"/>
              <w:spacing w:before="0" w:after="283"/>
              <w:jc w:val="right"/>
              <w:rPr/>
            </w:pPr>
            <w:r>
              <w:rPr/>
              <w:t>5,032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5,679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 </w:t>
            </w:r>
          </w:p>
        </w:tc>
        <w:tc>
          <w:tcPr>
            <w:tcW w:w="111" w:type="dxa"/>
            <w:tcBorders/>
            <w:shd w:fill="CCEEFF" w:val="clear"/>
            <w:vAlign w:val="center"/>
          </w:tcPr>
          <w:p>
            <w:pPr>
              <w:pStyle w:val="TableContents"/>
              <w:bidi w:val="0"/>
              <w:spacing w:before="0" w:after="283"/>
              <w:jc w:val="left"/>
              <w:rPr/>
            </w:pPr>
            <w:r>
              <w:rPr/>
              <w:t> </w:t>
            </w:r>
          </w:p>
        </w:tc>
      </w:tr>
      <w:tr>
        <w:trPr/>
        <w:tc>
          <w:tcPr>
            <w:tcW w:w="5571" w:type="dxa"/>
            <w:tcBorders/>
            <w:shd w:fill="FFFFFF" w:val="clear"/>
            <w:vAlign w:val="center"/>
          </w:tcPr>
          <w:p>
            <w:pPr>
              <w:pStyle w:val="TableContents"/>
              <w:bidi w:val="0"/>
              <w:spacing w:before="0" w:after="283"/>
              <w:jc w:val="left"/>
              <w:rPr/>
            </w:pPr>
            <w:r>
              <w:rPr/>
              <w:t>Sales and marketing</w:t>
            </w:r>
          </w:p>
        </w:tc>
        <w:tc>
          <w:tcPr>
            <w:tcW w:w="60" w:type="dxa"/>
            <w:tcBorders/>
            <w:shd w:fill="FFFFFF" w:val="clear"/>
            <w:vAlign w:val="center"/>
          </w:tcPr>
          <w:p>
            <w:pPr>
              <w:pStyle w:val="TableContents"/>
              <w:bidi w:val="0"/>
              <w:spacing w:before="0" w:after="283"/>
              <w:jc w:val="left"/>
              <w:rPr/>
            </w:pPr>
            <w:r>
              <w:rPr/>
              <w:t> </w:t>
            </w:r>
          </w:p>
        </w:tc>
        <w:tc>
          <w:tcPr>
            <w:tcW w:w="172" w:type="dxa"/>
            <w:tcBorders/>
            <w:shd w:fill="FFFFFF" w:val="clear"/>
            <w:vAlign w:val="center"/>
          </w:tcPr>
          <w:p>
            <w:pPr>
              <w:pStyle w:val="TableContents"/>
              <w:bidi w:val="0"/>
              <w:spacing w:before="0" w:after="283"/>
              <w:jc w:val="left"/>
              <w:rPr/>
            </w:pPr>
            <w:r>
              <w:rPr/>
              <w:t> </w:t>
            </w:r>
          </w:p>
        </w:tc>
        <w:tc>
          <w:tcPr>
            <w:tcW w:w="988" w:type="dxa"/>
            <w:tcBorders/>
            <w:shd w:fill="FFFFFF" w:val="clear"/>
            <w:vAlign w:val="center"/>
          </w:tcPr>
          <w:p>
            <w:pPr>
              <w:pStyle w:val="TableContents"/>
              <w:bidi w:val="0"/>
              <w:spacing w:before="0" w:after="283"/>
              <w:jc w:val="right"/>
              <w:rPr/>
            </w:pPr>
            <w:r>
              <w:rPr/>
              <w:t>25,154</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978" w:type="dxa"/>
            <w:tcBorders/>
            <w:shd w:fill="FFFFFF" w:val="clear"/>
            <w:vAlign w:val="center"/>
          </w:tcPr>
          <w:p>
            <w:pPr>
              <w:pStyle w:val="TableContents"/>
              <w:bidi w:val="0"/>
              <w:spacing w:before="0" w:after="283"/>
              <w:jc w:val="right"/>
              <w:rPr/>
            </w:pPr>
            <w:r>
              <w:rPr/>
              <w:t>3,253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pPr>
            <w:r>
              <w:rPr/>
              <w:t>623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 </w:t>
            </w:r>
          </w:p>
        </w:tc>
        <w:tc>
          <w:tcPr>
            <w:tcW w:w="111" w:type="dxa"/>
            <w:tcBorders/>
            <w:shd w:fill="FFFFFF" w:val="clear"/>
            <w:vAlign w:val="center"/>
          </w:tcPr>
          <w:p>
            <w:pPr>
              <w:pStyle w:val="TableContents"/>
              <w:bidi w:val="0"/>
              <w:spacing w:before="0" w:after="283"/>
              <w:jc w:val="left"/>
              <w:rPr/>
            </w:pPr>
            <w:r>
              <w:rPr/>
              <w:t> </w:t>
            </w:r>
          </w:p>
        </w:tc>
      </w:tr>
      <w:tr>
        <w:trPr/>
        <w:tc>
          <w:tcPr>
            <w:tcW w:w="5571"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General and administrative </w:t>
            </w:r>
            <w:r>
              <w:rPr>
                <w:rFonts w:ascii="Times New Roman;Times;Serif" w:hAnsi="Times New Roman;Times;Serif"/>
                <w:position w:val="7"/>
                <w:sz w:val="16"/>
                <w:sz w:val="20"/>
              </w:rPr>
              <w:t>(1)</w:t>
            </w:r>
          </w:p>
        </w:tc>
        <w:tc>
          <w:tcPr>
            <w:tcW w:w="60" w:type="dxa"/>
            <w:tcBorders/>
            <w:shd w:fill="CCEEFF" w:val="clear"/>
            <w:vAlign w:val="center"/>
          </w:tcPr>
          <w:p>
            <w:pPr>
              <w:pStyle w:val="TableContents"/>
              <w:bidi w:val="0"/>
              <w:spacing w:before="0" w:after="283"/>
              <w:jc w:val="left"/>
              <w:rPr/>
            </w:pPr>
            <w:r>
              <w:rPr/>
              <w:t> </w:t>
            </w:r>
          </w:p>
        </w:tc>
        <w:tc>
          <w:tcPr>
            <w:tcW w:w="172"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88" w:type="dxa"/>
            <w:tcBorders>
              <w:bottom w:val="single" w:sz="12" w:space="0" w:color="000000"/>
            </w:tcBorders>
            <w:shd w:fill="CCEEFF" w:val="clear"/>
            <w:tcMar>
              <w:bottom w:w="28" w:type="dxa"/>
            </w:tcMar>
            <w:vAlign w:val="center"/>
          </w:tcPr>
          <w:p>
            <w:pPr>
              <w:pStyle w:val="TableContents"/>
              <w:bidi w:val="0"/>
              <w:spacing w:before="0" w:after="283"/>
              <w:jc w:val="right"/>
              <w:rPr/>
            </w:pPr>
            <w:r>
              <w:rPr/>
              <w:t>58,597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78" w:type="dxa"/>
            <w:tcBorders>
              <w:bottom w:val="single" w:sz="12" w:space="0" w:color="000000"/>
            </w:tcBorders>
            <w:shd w:fill="CCEEFF" w:val="clear"/>
            <w:tcMar>
              <w:bottom w:w="28" w:type="dxa"/>
            </w:tcMar>
            <w:vAlign w:val="center"/>
          </w:tcPr>
          <w:p>
            <w:pPr>
              <w:pStyle w:val="TableContents"/>
              <w:bidi w:val="0"/>
              <w:spacing w:before="0" w:after="283"/>
              <w:jc w:val="right"/>
              <w:rPr/>
            </w:pPr>
            <w:r>
              <w:rPr/>
              <w:t>29,648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680" w:type="dxa"/>
            <w:tcBorders>
              <w:bottom w:val="single" w:sz="12" w:space="0" w:color="000000"/>
            </w:tcBorders>
            <w:shd w:fill="CCEEFF" w:val="clear"/>
            <w:tcMar>
              <w:bottom w:w="28" w:type="dxa"/>
            </w:tcMar>
            <w:vAlign w:val="center"/>
          </w:tcPr>
          <w:p>
            <w:pPr>
              <w:pStyle w:val="TableContents"/>
              <w:bidi w:val="0"/>
              <w:spacing w:before="0" w:after="283"/>
              <w:jc w:val="right"/>
              <w:rPr/>
            </w:pPr>
            <w:r>
              <w:rPr/>
              <w:t>1,859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00" w:type="dxa"/>
            <w:tcBorders>
              <w:bottom w:val="single" w:sz="12" w:space="0" w:color="000000"/>
            </w:tcBorders>
            <w:shd w:fill="CCEEFF" w:val="clear"/>
            <w:tcMar>
              <w:bottom w:w="28" w:type="dxa"/>
            </w:tcMar>
            <w:vAlign w:val="center"/>
          </w:tcPr>
          <w:p>
            <w:pPr>
              <w:pStyle w:val="TableContents"/>
              <w:bidi w:val="0"/>
              <w:spacing w:before="0" w:after="283"/>
              <w:jc w:val="right"/>
              <w:rPr/>
            </w:pPr>
            <w:r>
              <w:rPr/>
              <w:t> </w:t>
            </w:r>
          </w:p>
        </w:tc>
        <w:tc>
          <w:tcPr>
            <w:tcW w:w="111" w:type="dxa"/>
            <w:tcBorders/>
            <w:shd w:fill="CCEEFF" w:val="clear"/>
            <w:vAlign w:val="center"/>
          </w:tcPr>
          <w:p>
            <w:pPr>
              <w:pStyle w:val="TableContents"/>
              <w:bidi w:val="0"/>
              <w:spacing w:before="0" w:after="283"/>
              <w:jc w:val="left"/>
              <w:rPr/>
            </w:pPr>
            <w:r>
              <w:rPr/>
              <w:t> </w:t>
            </w:r>
          </w:p>
        </w:tc>
      </w:tr>
      <w:tr>
        <w:trPr/>
        <w:tc>
          <w:tcPr>
            <w:tcW w:w="5571" w:type="dxa"/>
            <w:tcBorders/>
            <w:shd w:fill="FFFFFF" w:val="clear"/>
            <w:vAlign w:val="center"/>
          </w:tcPr>
          <w:p>
            <w:pPr>
              <w:pStyle w:val="TableContents"/>
              <w:bidi w:val="0"/>
              <w:spacing w:before="0" w:after="283"/>
              <w:jc w:val="left"/>
              <w:rPr/>
            </w:pPr>
            <w:r>
              <w:rPr/>
              <w:t>Segment operating income (loss)</w:t>
            </w:r>
          </w:p>
        </w:tc>
        <w:tc>
          <w:tcPr>
            <w:tcW w:w="60" w:type="dxa"/>
            <w:tcBorders/>
            <w:shd w:fill="FFFFFF" w:val="clear"/>
            <w:vAlign w:val="center"/>
          </w:tcPr>
          <w:p>
            <w:pPr>
              <w:pStyle w:val="TableContents"/>
              <w:bidi w:val="0"/>
              <w:spacing w:before="0" w:after="283"/>
              <w:jc w:val="left"/>
              <w:rPr/>
            </w:pPr>
            <w:r>
              <w:rPr/>
              <w:t> </w:t>
            </w:r>
          </w:p>
        </w:tc>
        <w:tc>
          <w:tcPr>
            <w:tcW w:w="172"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988" w:type="dxa"/>
            <w:tcBorders>
              <w:bottom w:val="single" w:sz="12" w:space="0" w:color="000000"/>
            </w:tcBorders>
            <w:shd w:fill="FFFFFF" w:val="clear"/>
            <w:tcMar>
              <w:bottom w:w="28" w:type="dxa"/>
            </w:tcMar>
            <w:vAlign w:val="center"/>
          </w:tcPr>
          <w:p>
            <w:pPr>
              <w:pStyle w:val="TableContents"/>
              <w:bidi w:val="0"/>
              <w:spacing w:before="0" w:after="283"/>
              <w:jc w:val="right"/>
              <w:rPr/>
            </w:pPr>
            <w:r>
              <w:rPr/>
              <w:t>(37,462</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7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978" w:type="dxa"/>
            <w:tcBorders>
              <w:bottom w:val="single" w:sz="12" w:space="0" w:color="000000"/>
            </w:tcBorders>
            <w:shd w:fill="FFFFFF" w:val="clear"/>
            <w:tcMar>
              <w:bottom w:w="28" w:type="dxa"/>
            </w:tcMar>
            <w:vAlign w:val="center"/>
          </w:tcPr>
          <w:p>
            <w:pPr>
              <w:pStyle w:val="TableContents"/>
              <w:bidi w:val="0"/>
              <w:spacing w:before="0" w:after="283"/>
              <w:jc w:val="right"/>
              <w:rPr/>
            </w:pPr>
            <w:r>
              <w:rPr/>
              <w:t>4,374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680" w:type="dxa"/>
            <w:tcBorders>
              <w:bottom w:val="single" w:sz="12" w:space="0" w:color="000000"/>
            </w:tcBorders>
            <w:shd w:fill="FFFFFF" w:val="clear"/>
            <w:tcMar>
              <w:bottom w:w="28" w:type="dxa"/>
            </w:tcMar>
            <w:vAlign w:val="center"/>
          </w:tcPr>
          <w:p>
            <w:pPr>
              <w:pStyle w:val="TableContents"/>
              <w:bidi w:val="0"/>
              <w:spacing w:before="0" w:after="283"/>
              <w:jc w:val="right"/>
              <w:rPr/>
            </w:pPr>
            <w:r>
              <w:rPr/>
              <w:t>6,157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800" w:type="dxa"/>
            <w:tcBorders>
              <w:bottom w:val="single" w:sz="12" w:space="0" w:color="000000"/>
            </w:tcBorders>
            <w:shd w:fill="FFFFFF" w:val="clear"/>
            <w:tcMar>
              <w:bottom w:w="28" w:type="dxa"/>
            </w:tcMar>
            <w:vAlign w:val="center"/>
          </w:tcPr>
          <w:p>
            <w:pPr>
              <w:pStyle w:val="TableContents"/>
              <w:bidi w:val="0"/>
              <w:spacing w:before="0" w:after="283"/>
              <w:jc w:val="right"/>
              <w:rPr/>
            </w:pPr>
            <w:r>
              <w:rPr/>
              <w:t>(26,931</w:t>
            </w:r>
          </w:p>
        </w:tc>
        <w:tc>
          <w:tcPr>
            <w:tcW w:w="111" w:type="dxa"/>
            <w:tcBorders/>
            <w:shd w:fill="FFFFFF" w:val="clear"/>
            <w:vAlign w:val="center"/>
          </w:tcPr>
          <w:p>
            <w:pPr>
              <w:pStyle w:val="TableContents"/>
              <w:bidi w:val="0"/>
              <w:spacing w:before="0" w:after="283"/>
              <w:jc w:val="left"/>
              <w:rPr/>
            </w:pPr>
            <w:r>
              <w:rPr/>
              <w:t>)</w:t>
            </w:r>
          </w:p>
        </w:tc>
      </w:tr>
      <w:tr>
        <w:trPr/>
        <w:tc>
          <w:tcPr>
            <w:tcW w:w="5571"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2" w:type="dxa"/>
            <w:tcBorders/>
            <w:shd w:fill="CCEEFF" w:val="clear"/>
            <w:vAlign w:val="center"/>
          </w:tcPr>
          <w:p>
            <w:pPr>
              <w:pStyle w:val="TableContents"/>
              <w:bidi w:val="0"/>
              <w:spacing w:before="0" w:after="283"/>
              <w:jc w:val="left"/>
              <w:rPr/>
            </w:pPr>
            <w:r>
              <w:rPr/>
              <w:t> </w:t>
            </w:r>
          </w:p>
        </w:tc>
        <w:tc>
          <w:tcPr>
            <w:tcW w:w="988"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978"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 </w:t>
            </w:r>
          </w:p>
        </w:tc>
        <w:tc>
          <w:tcPr>
            <w:tcW w:w="111" w:type="dxa"/>
            <w:tcBorders/>
            <w:shd w:fill="CCEEFF" w:val="clear"/>
            <w:vAlign w:val="center"/>
          </w:tcPr>
          <w:p>
            <w:pPr>
              <w:pStyle w:val="TableContents"/>
              <w:bidi w:val="0"/>
              <w:spacing w:before="0" w:after="283"/>
              <w:ind w:left="0" w:right="0" w:hanging="180"/>
              <w:jc w:val="left"/>
              <w:rPr/>
            </w:pPr>
            <w:r>
              <w:rPr/>
              <w:t> </w:t>
            </w:r>
          </w:p>
        </w:tc>
      </w:tr>
      <w:tr>
        <w:trPr/>
        <w:tc>
          <w:tcPr>
            <w:tcW w:w="5571" w:type="dxa"/>
            <w:tcBorders/>
            <w:shd w:fill="FFFFFF" w:val="clear"/>
            <w:vAlign w:val="center"/>
          </w:tcPr>
          <w:p>
            <w:pPr>
              <w:pStyle w:val="TableContents"/>
              <w:bidi w:val="0"/>
              <w:spacing w:before="0" w:after="283"/>
              <w:jc w:val="left"/>
              <w:rPr>
                <w:i/>
              </w:rPr>
            </w:pPr>
            <w:r>
              <w:rPr>
                <w:i/>
              </w:rPr>
              <w:t>Reconciliation of segment income (loss) from continuing operations before income taxes:</w:t>
            </w:r>
          </w:p>
        </w:tc>
        <w:tc>
          <w:tcPr>
            <w:tcW w:w="60" w:type="dxa"/>
            <w:tcBorders/>
            <w:shd w:fill="FFFFFF" w:val="clear"/>
            <w:vAlign w:val="center"/>
          </w:tcPr>
          <w:p>
            <w:pPr>
              <w:pStyle w:val="TableContents"/>
              <w:bidi w:val="0"/>
              <w:spacing w:before="0" w:after="283"/>
              <w:jc w:val="left"/>
              <w:rPr/>
            </w:pPr>
            <w:r>
              <w:rPr/>
              <w:t> </w:t>
            </w:r>
          </w:p>
        </w:tc>
        <w:tc>
          <w:tcPr>
            <w:tcW w:w="172" w:type="dxa"/>
            <w:tcBorders/>
            <w:shd w:fill="FFFFFF" w:val="clear"/>
            <w:vAlign w:val="center"/>
          </w:tcPr>
          <w:p>
            <w:pPr>
              <w:pStyle w:val="TableContents"/>
              <w:bidi w:val="0"/>
              <w:spacing w:before="0" w:after="283"/>
              <w:jc w:val="left"/>
              <w:rPr/>
            </w:pPr>
            <w:r>
              <w:rPr/>
              <w:t> </w:t>
            </w:r>
          </w:p>
        </w:tc>
        <w:tc>
          <w:tcPr>
            <w:tcW w:w="988"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978"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 </w:t>
            </w:r>
          </w:p>
        </w:tc>
        <w:tc>
          <w:tcPr>
            <w:tcW w:w="111" w:type="dxa"/>
            <w:tcBorders/>
            <w:shd w:fill="FFFFFF" w:val="clear"/>
            <w:vAlign w:val="center"/>
          </w:tcPr>
          <w:p>
            <w:pPr>
              <w:pStyle w:val="TableContents"/>
              <w:bidi w:val="0"/>
              <w:spacing w:before="0" w:after="283"/>
              <w:ind w:left="0" w:right="0" w:hanging="180"/>
              <w:jc w:val="left"/>
              <w:rPr/>
            </w:pPr>
            <w:r>
              <w:rPr/>
              <w:t> </w:t>
            </w:r>
          </w:p>
        </w:tc>
      </w:tr>
      <w:tr>
        <w:trPr/>
        <w:tc>
          <w:tcPr>
            <w:tcW w:w="5571" w:type="dxa"/>
            <w:tcBorders/>
            <w:shd w:fill="CCEEFF" w:val="clear"/>
            <w:vAlign w:val="center"/>
          </w:tcPr>
          <w:p>
            <w:pPr>
              <w:pStyle w:val="TableContents"/>
              <w:bidi w:val="0"/>
              <w:spacing w:before="0" w:after="283"/>
              <w:jc w:val="left"/>
              <w:rPr/>
            </w:pPr>
            <w:r>
              <w:rPr/>
              <w:t>Unallocated amounts:</w:t>
            </w:r>
          </w:p>
        </w:tc>
        <w:tc>
          <w:tcPr>
            <w:tcW w:w="60" w:type="dxa"/>
            <w:tcBorders/>
            <w:shd w:fill="CCEEFF" w:val="clear"/>
            <w:vAlign w:val="center"/>
          </w:tcPr>
          <w:p>
            <w:pPr>
              <w:pStyle w:val="TableContents"/>
              <w:bidi w:val="0"/>
              <w:spacing w:before="0" w:after="283"/>
              <w:jc w:val="left"/>
              <w:rPr/>
            </w:pPr>
            <w:r>
              <w:rPr/>
              <w:t> </w:t>
            </w:r>
          </w:p>
        </w:tc>
        <w:tc>
          <w:tcPr>
            <w:tcW w:w="172" w:type="dxa"/>
            <w:tcBorders/>
            <w:shd w:fill="CCEEFF" w:val="clear"/>
            <w:vAlign w:val="center"/>
          </w:tcPr>
          <w:p>
            <w:pPr>
              <w:pStyle w:val="TableContents"/>
              <w:bidi w:val="0"/>
              <w:spacing w:before="0" w:after="283"/>
              <w:jc w:val="left"/>
              <w:rPr/>
            </w:pPr>
            <w:r>
              <w:rPr/>
              <w:t> </w:t>
            </w:r>
          </w:p>
        </w:tc>
        <w:tc>
          <w:tcPr>
            <w:tcW w:w="988"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978"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 </w:t>
            </w:r>
          </w:p>
        </w:tc>
        <w:tc>
          <w:tcPr>
            <w:tcW w:w="111" w:type="dxa"/>
            <w:tcBorders/>
            <w:shd w:fill="CCEEFF" w:val="clear"/>
            <w:vAlign w:val="center"/>
          </w:tcPr>
          <w:p>
            <w:pPr>
              <w:pStyle w:val="TableContents"/>
              <w:bidi w:val="0"/>
              <w:spacing w:before="0" w:after="283"/>
              <w:jc w:val="left"/>
              <w:rPr/>
            </w:pPr>
            <w:r>
              <w:rPr/>
              <w:t> </w:t>
            </w:r>
          </w:p>
        </w:tc>
      </w:tr>
      <w:tr>
        <w:trPr/>
        <w:tc>
          <w:tcPr>
            <w:tcW w:w="5571" w:type="dxa"/>
            <w:tcBorders/>
            <w:shd w:fill="FFFFFF" w:val="clear"/>
            <w:vAlign w:val="center"/>
          </w:tcPr>
          <w:p>
            <w:pPr>
              <w:pStyle w:val="TableContents"/>
              <w:bidi w:val="0"/>
              <w:spacing w:before="0" w:after="283"/>
              <w:jc w:val="left"/>
              <w:rPr/>
            </w:pPr>
            <w:r>
              <w:rPr/>
              <w:t>Interest expense</w:t>
            </w:r>
          </w:p>
        </w:tc>
        <w:tc>
          <w:tcPr>
            <w:tcW w:w="60" w:type="dxa"/>
            <w:tcBorders/>
            <w:shd w:fill="FFFFFF" w:val="clear"/>
            <w:vAlign w:val="center"/>
          </w:tcPr>
          <w:p>
            <w:pPr>
              <w:pStyle w:val="TableContents"/>
              <w:bidi w:val="0"/>
              <w:spacing w:before="0" w:after="283"/>
              <w:jc w:val="left"/>
              <w:rPr/>
            </w:pPr>
            <w:r>
              <w:rPr/>
              <w:t> </w:t>
            </w:r>
          </w:p>
        </w:tc>
        <w:tc>
          <w:tcPr>
            <w:tcW w:w="172" w:type="dxa"/>
            <w:tcBorders/>
            <w:shd w:fill="FFFFFF" w:val="clear"/>
            <w:vAlign w:val="center"/>
          </w:tcPr>
          <w:p>
            <w:pPr>
              <w:pStyle w:val="TableContents"/>
              <w:bidi w:val="0"/>
              <w:spacing w:before="0" w:after="283"/>
              <w:jc w:val="left"/>
              <w:rPr/>
            </w:pPr>
            <w:r>
              <w:rPr/>
              <w:t> </w:t>
            </w:r>
          </w:p>
        </w:tc>
        <w:tc>
          <w:tcPr>
            <w:tcW w:w="988"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978"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(25,095</w:t>
            </w:r>
          </w:p>
        </w:tc>
        <w:tc>
          <w:tcPr>
            <w:tcW w:w="111" w:type="dxa"/>
            <w:tcBorders/>
            <w:shd w:fill="FFFFFF" w:val="clear"/>
            <w:vAlign w:val="center"/>
          </w:tcPr>
          <w:p>
            <w:pPr>
              <w:pStyle w:val="TableContents"/>
              <w:bidi w:val="0"/>
              <w:spacing w:before="0" w:after="283"/>
              <w:jc w:val="left"/>
              <w:rPr/>
            </w:pPr>
            <w:r>
              <w:rPr/>
              <w:t>)</w:t>
            </w:r>
          </w:p>
        </w:tc>
      </w:tr>
      <w:tr>
        <w:trPr/>
        <w:tc>
          <w:tcPr>
            <w:tcW w:w="5571" w:type="dxa"/>
            <w:tcBorders/>
            <w:shd w:fill="CCEEFF" w:val="clear"/>
            <w:vAlign w:val="center"/>
          </w:tcPr>
          <w:p>
            <w:pPr>
              <w:pStyle w:val="TableContents"/>
              <w:bidi w:val="0"/>
              <w:spacing w:before="0" w:after="283"/>
              <w:jc w:val="left"/>
              <w:rPr/>
            </w:pPr>
            <w:r>
              <w:rPr/>
              <w:t>Interest income</w:t>
            </w:r>
          </w:p>
        </w:tc>
        <w:tc>
          <w:tcPr>
            <w:tcW w:w="60" w:type="dxa"/>
            <w:tcBorders/>
            <w:shd w:fill="CCEEFF" w:val="clear"/>
            <w:vAlign w:val="center"/>
          </w:tcPr>
          <w:p>
            <w:pPr>
              <w:pStyle w:val="TableContents"/>
              <w:bidi w:val="0"/>
              <w:spacing w:before="0" w:after="283"/>
              <w:jc w:val="left"/>
              <w:rPr/>
            </w:pPr>
            <w:r>
              <w:rPr/>
              <w:t> </w:t>
            </w:r>
          </w:p>
        </w:tc>
        <w:tc>
          <w:tcPr>
            <w:tcW w:w="172" w:type="dxa"/>
            <w:tcBorders/>
            <w:shd w:fill="CCEEFF" w:val="clear"/>
            <w:vAlign w:val="center"/>
          </w:tcPr>
          <w:p>
            <w:pPr>
              <w:pStyle w:val="TableContents"/>
              <w:bidi w:val="0"/>
              <w:spacing w:before="0" w:after="283"/>
              <w:jc w:val="left"/>
              <w:rPr/>
            </w:pPr>
            <w:r>
              <w:rPr/>
              <w:t> </w:t>
            </w:r>
          </w:p>
        </w:tc>
        <w:tc>
          <w:tcPr>
            <w:tcW w:w="988"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978"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3</w:t>
            </w:r>
          </w:p>
        </w:tc>
        <w:tc>
          <w:tcPr>
            <w:tcW w:w="111" w:type="dxa"/>
            <w:tcBorders/>
            <w:shd w:fill="CCEEFF" w:val="clear"/>
            <w:vAlign w:val="center"/>
          </w:tcPr>
          <w:p>
            <w:pPr>
              <w:pStyle w:val="TableContents"/>
              <w:bidi w:val="0"/>
              <w:spacing w:before="0" w:after="283"/>
              <w:jc w:val="left"/>
              <w:rPr/>
            </w:pPr>
            <w:r>
              <w:rPr/>
              <w:t> </w:t>
            </w:r>
          </w:p>
        </w:tc>
      </w:tr>
      <w:tr>
        <w:trPr/>
        <w:tc>
          <w:tcPr>
            <w:tcW w:w="5571" w:type="dxa"/>
            <w:tcBorders/>
            <w:shd w:fill="FFFFFF" w:val="clear"/>
            <w:vAlign w:val="center"/>
          </w:tcPr>
          <w:p>
            <w:pPr>
              <w:pStyle w:val="TableContents"/>
              <w:bidi w:val="0"/>
              <w:spacing w:before="0" w:after="283"/>
              <w:jc w:val="left"/>
              <w:rPr/>
            </w:pPr>
            <w:r>
              <w:rPr/>
              <w:t>Other non-operating income, net</w:t>
            </w:r>
          </w:p>
        </w:tc>
        <w:tc>
          <w:tcPr>
            <w:tcW w:w="60" w:type="dxa"/>
            <w:tcBorders/>
            <w:shd w:fill="FFFFFF" w:val="clear"/>
            <w:vAlign w:val="center"/>
          </w:tcPr>
          <w:p>
            <w:pPr>
              <w:pStyle w:val="TableContents"/>
              <w:bidi w:val="0"/>
              <w:spacing w:before="0" w:after="283"/>
              <w:jc w:val="left"/>
              <w:rPr/>
            </w:pPr>
            <w:r>
              <w:rPr/>
              <w:t> </w:t>
            </w:r>
          </w:p>
        </w:tc>
        <w:tc>
          <w:tcPr>
            <w:tcW w:w="172" w:type="dxa"/>
            <w:tcBorders/>
            <w:shd w:fill="FFFFFF" w:val="clear"/>
            <w:vAlign w:val="center"/>
          </w:tcPr>
          <w:p>
            <w:pPr>
              <w:pStyle w:val="TableContents"/>
              <w:bidi w:val="0"/>
              <w:spacing w:before="0" w:after="283"/>
              <w:jc w:val="left"/>
              <w:rPr/>
            </w:pPr>
            <w:r>
              <w:rPr/>
              <w:t> </w:t>
            </w:r>
          </w:p>
        </w:tc>
        <w:tc>
          <w:tcPr>
            <w:tcW w:w="988"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978"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800" w:type="dxa"/>
            <w:tcBorders>
              <w:bottom w:val="single" w:sz="12" w:space="0" w:color="000000"/>
            </w:tcBorders>
            <w:shd w:fill="FFFFFF" w:val="clear"/>
            <w:tcMar>
              <w:bottom w:w="28" w:type="dxa"/>
            </w:tcMar>
            <w:vAlign w:val="center"/>
          </w:tcPr>
          <w:p>
            <w:pPr>
              <w:pStyle w:val="TableContents"/>
              <w:bidi w:val="0"/>
              <w:spacing w:before="0" w:after="283"/>
              <w:jc w:val="right"/>
              <w:rPr/>
            </w:pPr>
            <w:r>
              <w:rPr/>
              <w:t>9,347</w:t>
            </w:r>
          </w:p>
        </w:tc>
        <w:tc>
          <w:tcPr>
            <w:tcW w:w="111" w:type="dxa"/>
            <w:tcBorders/>
            <w:shd w:fill="FFFFFF" w:val="clear"/>
            <w:vAlign w:val="center"/>
          </w:tcPr>
          <w:p>
            <w:pPr>
              <w:pStyle w:val="TableContents"/>
              <w:bidi w:val="0"/>
              <w:spacing w:before="0" w:after="283"/>
              <w:ind w:left="0" w:right="0" w:hanging="180"/>
              <w:jc w:val="left"/>
              <w:rPr/>
            </w:pPr>
            <w:r>
              <w:rPr/>
              <w:t> </w:t>
            </w:r>
          </w:p>
        </w:tc>
      </w:tr>
      <w:tr>
        <w:trPr/>
        <w:tc>
          <w:tcPr>
            <w:tcW w:w="5571" w:type="dxa"/>
            <w:tcBorders/>
            <w:shd w:fill="CCEEFF" w:val="clear"/>
            <w:vAlign w:val="center"/>
          </w:tcPr>
          <w:p>
            <w:pPr>
              <w:pStyle w:val="TableContents"/>
              <w:bidi w:val="0"/>
              <w:spacing w:before="0" w:after="283"/>
              <w:jc w:val="left"/>
              <w:rPr/>
            </w:pPr>
            <w:r>
              <w:rPr/>
              <w:t>Loss from continuing operations before taxes</w:t>
            </w:r>
          </w:p>
        </w:tc>
        <w:tc>
          <w:tcPr>
            <w:tcW w:w="60" w:type="dxa"/>
            <w:tcBorders/>
            <w:shd w:fill="CCEEFF" w:val="clear"/>
            <w:vAlign w:val="center"/>
          </w:tcPr>
          <w:p>
            <w:pPr>
              <w:pStyle w:val="TableContents"/>
              <w:bidi w:val="0"/>
              <w:spacing w:before="0" w:after="283"/>
              <w:jc w:val="left"/>
              <w:rPr/>
            </w:pPr>
            <w:r>
              <w:rPr/>
              <w:t> </w:t>
            </w:r>
          </w:p>
        </w:tc>
        <w:tc>
          <w:tcPr>
            <w:tcW w:w="172" w:type="dxa"/>
            <w:tcBorders/>
            <w:shd w:fill="CCEEFF" w:val="clear"/>
            <w:vAlign w:val="center"/>
          </w:tcPr>
          <w:p>
            <w:pPr>
              <w:pStyle w:val="TableContents"/>
              <w:bidi w:val="0"/>
              <w:spacing w:before="0" w:after="283"/>
              <w:jc w:val="left"/>
              <w:rPr/>
            </w:pPr>
            <w:r>
              <w:rPr/>
              <w:t> </w:t>
            </w:r>
          </w:p>
        </w:tc>
        <w:tc>
          <w:tcPr>
            <w:tcW w:w="988"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978"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800" w:type="dxa"/>
            <w:tcBorders>
              <w:bottom w:val="double" w:sz="10" w:space="0" w:color="000000"/>
            </w:tcBorders>
            <w:shd w:fill="CCEEFF" w:val="clear"/>
            <w:tcMar>
              <w:bottom w:w="28" w:type="dxa"/>
            </w:tcMar>
            <w:vAlign w:val="center"/>
          </w:tcPr>
          <w:p>
            <w:pPr>
              <w:pStyle w:val="TableContents"/>
              <w:bidi w:val="0"/>
              <w:spacing w:before="0" w:after="283"/>
              <w:jc w:val="right"/>
              <w:rPr/>
            </w:pPr>
            <w:r>
              <w:rPr/>
              <w:t>(42,676</w:t>
            </w:r>
          </w:p>
        </w:tc>
        <w:tc>
          <w:tcPr>
            <w:tcW w:w="111" w:type="dxa"/>
            <w:tcBorders/>
            <w:shd w:fill="CCEEFF" w:val="clear"/>
            <w:vAlign w:val="center"/>
          </w:tcPr>
          <w:p>
            <w:pPr>
              <w:pStyle w:val="TableContents"/>
              <w:bidi w:val="0"/>
              <w:spacing w:before="0" w:after="283"/>
              <w:jc w:val="left"/>
              <w:rPr/>
            </w:pPr>
            <w:r>
              <w:rPr/>
              <w:t>)</w:t>
            </w:r>
          </w:p>
        </w:tc>
      </w:tr>
    </w:tbl>
    <w:p>
      <w:pPr>
        <w:pStyle w:val="TextBody"/>
        <w:bidi w:val="0"/>
        <w:spacing w:before="0" w:after="0"/>
        <w:ind w:left="0" w:right="0" w:hanging="0"/>
        <w:jc w:val="both"/>
        <w:rPr>
          <w:caps w:val="false"/>
          <w:smallCaps w:val="false"/>
        </w:rPr>
      </w:pPr>
      <w:r>
        <w:rPr>
          <w:caps w:val="false"/>
          <w:smallCaps w:val="false"/>
        </w:rPr>
        <w:t> </w:t>
      </w:r>
    </w:p>
    <w:tbl>
      <w:tblPr>
        <w:tblW w:w="7840" w:type="dxa"/>
        <w:jc w:val="left"/>
        <w:tblInd w:w="0" w:type="dxa"/>
        <w:tblLayout w:type="fixed"/>
        <w:tblCellMar>
          <w:top w:w="0" w:type="dxa"/>
          <w:left w:w="0" w:type="dxa"/>
          <w:bottom w:w="0" w:type="dxa"/>
          <w:right w:w="0" w:type="dxa"/>
        </w:tblCellMar>
      </w:tblPr>
      <w:tblGrid>
        <w:gridCol w:w="245"/>
        <w:gridCol w:w="7595"/>
      </w:tblGrid>
      <w:tr>
        <w:trPr/>
        <w:tc>
          <w:tcPr>
            <w:tcW w:w="245" w:type="dxa"/>
            <w:tcBorders/>
            <w:vAlign w:val="center"/>
          </w:tcPr>
          <w:p>
            <w:pPr>
              <w:pStyle w:val="TableContents"/>
              <w:bidi w:val="0"/>
              <w:spacing w:before="0" w:after="283"/>
              <w:jc w:val="left"/>
              <w:rPr>
                <w:rFonts w:ascii="Times New Roman;Times;Serif" w:hAnsi="Times New Roman;Times;Serif"/>
                <w:position w:val="7"/>
                <w:sz w:val="16"/>
                <w:sz w:val="20"/>
              </w:rPr>
            </w:pPr>
            <w:r>
              <w:rPr>
                <w:rFonts w:ascii="Times New Roman;Times;Serif" w:hAnsi="Times New Roman;Times;Serif"/>
                <w:position w:val="7"/>
                <w:sz w:val="16"/>
                <w:sz w:val="20"/>
              </w:rPr>
              <w:t>(1)</w:t>
            </w:r>
          </w:p>
        </w:tc>
        <w:tc>
          <w:tcPr>
            <w:tcW w:w="759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For the year ended December 28, 2025, depreciation and amortization expense was as follows</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3750"/>
        <w:gridCol w:w="60"/>
        <w:gridCol w:w="824"/>
        <w:gridCol w:w="1884"/>
        <w:gridCol w:w="60"/>
        <w:gridCol w:w="60"/>
        <w:gridCol w:w="605"/>
        <w:gridCol w:w="1390"/>
        <w:gridCol w:w="60"/>
        <w:gridCol w:w="60"/>
        <w:gridCol w:w="211"/>
        <w:gridCol w:w="484"/>
        <w:gridCol w:w="60"/>
        <w:gridCol w:w="60"/>
        <w:gridCol w:w="170"/>
        <w:gridCol w:w="390"/>
        <w:gridCol w:w="77"/>
      </w:tblGrid>
      <w:tr>
        <w:trPr/>
        <w:tc>
          <w:tcPr>
            <w:tcW w:w="3750" w:type="dxa"/>
            <w:tcBorders>
              <w:bottom w:val="single" w:sz="12" w:space="0" w:color="000000"/>
            </w:tcBorders>
            <w:vAlign w:val="center"/>
          </w:tcPr>
          <w:p>
            <w:pPr>
              <w:pStyle w:val="TableContents"/>
              <w:bidi w:val="0"/>
              <w:spacing w:before="0" w:after="283"/>
              <w:jc w:val="left"/>
              <w:rPr>
                <w:b/>
                <w:i/>
              </w:rPr>
            </w:pPr>
            <w:r>
              <w:rPr>
                <w:b/>
                <w:i/>
              </w:rPr>
              <w:t>(in millions)</w:t>
            </w:r>
          </w:p>
        </w:tc>
        <w:tc>
          <w:tcPr>
            <w:tcW w:w="60" w:type="dxa"/>
            <w:tcBorders/>
            <w:tcMar>
              <w:bottom w:w="0" w:type="dxa"/>
            </w:tcMar>
            <w:vAlign w:val="center"/>
          </w:tcPr>
          <w:p>
            <w:pPr>
              <w:pStyle w:val="TableContents"/>
              <w:bidi w:val="0"/>
              <w:spacing w:before="0" w:after="283"/>
              <w:jc w:val="left"/>
              <w:rPr/>
            </w:pPr>
            <w:r>
              <w:rPr/>
              <w:t> </w:t>
            </w:r>
          </w:p>
        </w:tc>
        <w:tc>
          <w:tcPr>
            <w:tcW w:w="2708" w:type="dxa"/>
            <w:gridSpan w:val="2"/>
            <w:tcBorders>
              <w:bottom w:val="single" w:sz="12" w:space="0" w:color="000000"/>
            </w:tcBorders>
            <w:vAlign w:val="center"/>
          </w:tcPr>
          <w:p>
            <w:pPr>
              <w:pStyle w:val="TableContents"/>
              <w:bidi w:val="0"/>
              <w:spacing w:before="0" w:after="283"/>
              <w:jc w:val="center"/>
              <w:rPr>
                <w:b/>
              </w:rPr>
            </w:pPr>
            <w:r>
              <w:rPr>
                <w:b/>
              </w:rPr>
              <w:t>Residential Solar Installation</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995" w:type="dxa"/>
            <w:gridSpan w:val="2"/>
            <w:tcBorders>
              <w:bottom w:val="single" w:sz="12" w:space="0" w:color="000000"/>
            </w:tcBorders>
            <w:vAlign w:val="center"/>
          </w:tcPr>
          <w:p>
            <w:pPr>
              <w:pStyle w:val="TableContents"/>
              <w:bidi w:val="0"/>
              <w:spacing w:before="0" w:after="283"/>
              <w:jc w:val="center"/>
              <w:rPr>
                <w:b/>
              </w:rPr>
            </w:pPr>
            <w:r>
              <w:rPr>
                <w:b/>
              </w:rPr>
              <w:t>New Homes Business</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695" w:type="dxa"/>
            <w:gridSpan w:val="2"/>
            <w:tcBorders>
              <w:bottom w:val="single" w:sz="12" w:space="0" w:color="000000"/>
            </w:tcBorders>
            <w:vAlign w:val="center"/>
          </w:tcPr>
          <w:p>
            <w:pPr>
              <w:pStyle w:val="TableContents"/>
              <w:bidi w:val="0"/>
              <w:spacing w:before="0" w:after="283"/>
              <w:jc w:val="center"/>
              <w:rPr>
                <w:b/>
              </w:rPr>
            </w:pPr>
            <w:r>
              <w:rPr>
                <w:b/>
              </w:rPr>
              <w:t>Dealer</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560" w:type="dxa"/>
            <w:gridSpan w:val="2"/>
            <w:tcBorders>
              <w:bottom w:val="single" w:sz="12" w:space="0" w:color="000000"/>
            </w:tcBorders>
            <w:vAlign w:val="center"/>
          </w:tcPr>
          <w:p>
            <w:pPr>
              <w:pStyle w:val="TableContents"/>
              <w:bidi w:val="0"/>
              <w:spacing w:before="0" w:after="283"/>
              <w:jc w:val="center"/>
              <w:rPr>
                <w:b/>
              </w:rPr>
            </w:pPr>
            <w:r>
              <w:rPr>
                <w:b/>
              </w:rPr>
              <w:t>Total</w:t>
            </w:r>
          </w:p>
        </w:tc>
        <w:tc>
          <w:tcPr>
            <w:tcW w:w="77" w:type="dxa"/>
            <w:tcBorders/>
            <w:tcMar>
              <w:bottom w:w="0" w:type="dxa"/>
            </w:tcMar>
            <w:vAlign w:val="center"/>
          </w:tcPr>
          <w:p>
            <w:pPr>
              <w:pStyle w:val="TableContents"/>
              <w:bidi w:val="0"/>
              <w:spacing w:before="0" w:after="283"/>
              <w:jc w:val="left"/>
              <w:rPr/>
            </w:pPr>
            <w:r>
              <w:rPr/>
              <w:t> </w:t>
            </w:r>
          </w:p>
        </w:tc>
      </w:tr>
      <w:tr>
        <w:trPr/>
        <w:tc>
          <w:tcPr>
            <w:tcW w:w="3750" w:type="dxa"/>
            <w:tcBorders/>
            <w:tcMar>
              <w:bottom w:w="0" w:type="dxa"/>
            </w:tcMar>
            <w:vAlign w:val="center"/>
          </w:tcPr>
          <w:p>
            <w:pPr>
              <w:pStyle w:val="TableContents"/>
              <w:bidi w:val="0"/>
              <w:spacing w:before="0" w:after="283"/>
              <w:jc w:val="left"/>
              <w:rPr/>
            </w:pPr>
            <w:r>
              <w:rPr/>
              <w:t>Depreciation and amortization classified in:</w:t>
            </w:r>
          </w:p>
        </w:tc>
        <w:tc>
          <w:tcPr>
            <w:tcW w:w="60" w:type="dxa"/>
            <w:tcBorders/>
            <w:tcMar>
              <w:bottom w:w="0" w:type="dxa"/>
            </w:tcMar>
            <w:vAlign w:val="center"/>
          </w:tcPr>
          <w:p>
            <w:pPr>
              <w:pStyle w:val="TableContents"/>
              <w:bidi w:val="0"/>
              <w:spacing w:before="0" w:after="283"/>
              <w:jc w:val="left"/>
              <w:rPr/>
            </w:pPr>
            <w:r>
              <w:rPr/>
              <w:t> </w:t>
            </w:r>
          </w:p>
        </w:tc>
        <w:tc>
          <w:tcPr>
            <w:tcW w:w="2708" w:type="dxa"/>
            <w:gridSpan w:val="2"/>
            <w:tcBorders/>
            <w:tcMar>
              <w:bottom w:w="0" w:type="dxa"/>
            </w:tcMar>
            <w:vAlign w:val="center"/>
          </w:tcPr>
          <w:p>
            <w:pPr>
              <w:pStyle w:val="TableContents"/>
              <w:bidi w:val="0"/>
              <w:spacing w:before="0" w:after="283"/>
              <w:jc w:val="right"/>
              <w:rPr/>
            </w:pPr>
            <w:r>
              <w:rPr/>
              <w:t> </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995" w:type="dxa"/>
            <w:gridSpan w:val="2"/>
            <w:tcBorders/>
            <w:tcMar>
              <w:bottom w:w="0" w:type="dxa"/>
            </w:tcMar>
            <w:vAlign w:val="center"/>
          </w:tcPr>
          <w:p>
            <w:pPr>
              <w:pStyle w:val="TableContents"/>
              <w:bidi w:val="0"/>
              <w:spacing w:before="0" w:after="283"/>
              <w:jc w:val="right"/>
              <w:rPr/>
            </w:pPr>
            <w:r>
              <w:rPr/>
              <w:t> </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695" w:type="dxa"/>
            <w:gridSpan w:val="2"/>
            <w:tcBorders/>
            <w:tcMar>
              <w:bottom w:w="0" w:type="dxa"/>
            </w:tcMar>
            <w:vAlign w:val="center"/>
          </w:tcPr>
          <w:p>
            <w:pPr>
              <w:pStyle w:val="TableContents"/>
              <w:bidi w:val="0"/>
              <w:spacing w:before="0" w:after="283"/>
              <w:jc w:val="right"/>
              <w:rPr/>
            </w:pPr>
            <w:r>
              <w:rPr/>
              <w:t> </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560" w:type="dxa"/>
            <w:gridSpan w:val="2"/>
            <w:tcBorders/>
            <w:tcMar>
              <w:bottom w:w="0" w:type="dxa"/>
            </w:tcMar>
            <w:vAlign w:val="center"/>
          </w:tcPr>
          <w:p>
            <w:pPr>
              <w:pStyle w:val="TableContents"/>
              <w:bidi w:val="0"/>
              <w:spacing w:before="0" w:after="283"/>
              <w:jc w:val="right"/>
              <w:rPr/>
            </w:pPr>
            <w:r>
              <w:rPr/>
              <w:t> </w:t>
            </w:r>
          </w:p>
        </w:tc>
        <w:tc>
          <w:tcPr>
            <w:tcW w:w="77" w:type="dxa"/>
            <w:tcBorders/>
            <w:tcMar>
              <w:bottom w:w="0" w:type="dxa"/>
            </w:tcMar>
            <w:vAlign w:val="center"/>
          </w:tcPr>
          <w:p>
            <w:pPr>
              <w:pStyle w:val="TableContents"/>
              <w:bidi w:val="0"/>
              <w:spacing w:before="0" w:after="283"/>
              <w:jc w:val="left"/>
              <w:rPr/>
            </w:pPr>
            <w:r>
              <w:rPr/>
              <w:t> </w:t>
            </w:r>
          </w:p>
        </w:tc>
      </w:tr>
      <w:tr>
        <w:trPr/>
        <w:tc>
          <w:tcPr>
            <w:tcW w:w="3750" w:type="dxa"/>
            <w:tcBorders/>
            <w:shd w:fill="CCEEFF" w:val="clear"/>
            <w:tcMar>
              <w:bottom w:w="0" w:type="dxa"/>
            </w:tcMar>
            <w:vAlign w:val="center"/>
          </w:tcPr>
          <w:p>
            <w:pPr>
              <w:pStyle w:val="TableContents"/>
              <w:bidi w:val="0"/>
              <w:spacing w:before="0" w:after="283"/>
              <w:jc w:val="left"/>
              <w:rPr/>
            </w:pPr>
            <w:r>
              <w:rPr/>
              <w:t>Cost of revenues</w:t>
            </w:r>
          </w:p>
        </w:tc>
        <w:tc>
          <w:tcPr>
            <w:tcW w:w="60" w:type="dxa"/>
            <w:tcBorders/>
            <w:shd w:fill="CCEEFF" w:val="clear"/>
            <w:tcMar>
              <w:bottom w:w="0" w:type="dxa"/>
            </w:tcMar>
            <w:vAlign w:val="center"/>
          </w:tcPr>
          <w:p>
            <w:pPr>
              <w:pStyle w:val="TableContents"/>
              <w:bidi w:val="0"/>
              <w:spacing w:before="0" w:after="283"/>
              <w:jc w:val="left"/>
              <w:rPr/>
            </w:pPr>
            <w:r>
              <w:rPr/>
              <w:t> </w:t>
            </w:r>
          </w:p>
        </w:tc>
        <w:tc>
          <w:tcPr>
            <w:tcW w:w="824" w:type="dxa"/>
            <w:tcBorders/>
            <w:shd w:fill="CCEEFF" w:val="clear"/>
            <w:tcMar>
              <w:bottom w:w="0" w:type="dxa"/>
            </w:tcMar>
            <w:vAlign w:val="center"/>
          </w:tcPr>
          <w:p>
            <w:pPr>
              <w:pStyle w:val="TableContents"/>
              <w:bidi w:val="0"/>
              <w:spacing w:before="0" w:after="283"/>
              <w:jc w:val="left"/>
              <w:rPr/>
            </w:pPr>
            <w:r>
              <w:rPr/>
              <w:t>$</w:t>
            </w:r>
          </w:p>
        </w:tc>
        <w:tc>
          <w:tcPr>
            <w:tcW w:w="1884" w:type="dxa"/>
            <w:tcBorders/>
            <w:shd w:fill="CCEEFF" w:val="clear"/>
            <w:tcMar>
              <w:bottom w:w="0" w:type="dxa"/>
            </w:tcMar>
            <w:vAlign w:val="center"/>
          </w:tcPr>
          <w:p>
            <w:pPr>
              <w:pStyle w:val="TableContents"/>
              <w:bidi w:val="0"/>
              <w:spacing w:before="0" w:after="283"/>
              <w:jc w:val="right"/>
              <w:rPr/>
            </w:pPr>
            <w:r>
              <w:rPr/>
              <w:t>2.0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5" w:type="dxa"/>
            <w:tcBorders/>
            <w:shd w:fill="CCEEFF" w:val="clear"/>
            <w:tcMar>
              <w:bottom w:w="0" w:type="dxa"/>
            </w:tcMar>
            <w:vAlign w:val="center"/>
          </w:tcPr>
          <w:p>
            <w:pPr>
              <w:pStyle w:val="TableContents"/>
              <w:bidi w:val="0"/>
              <w:spacing w:before="0" w:after="283"/>
              <w:jc w:val="left"/>
              <w:rPr/>
            </w:pPr>
            <w:r>
              <w:rPr/>
              <w:t>$</w:t>
            </w:r>
          </w:p>
        </w:tc>
        <w:tc>
          <w:tcPr>
            <w:tcW w:w="1390" w:type="dxa"/>
            <w:tcBorders/>
            <w:shd w:fill="CCEEFF" w:val="clear"/>
            <w:tcMar>
              <w:bottom w:w="0" w:type="dxa"/>
            </w:tcMar>
            <w:vAlign w:val="center"/>
          </w:tcPr>
          <w:p>
            <w:pPr>
              <w:pStyle w:val="TableContents"/>
              <w:bidi w:val="0"/>
              <w:spacing w:before="0" w:after="283"/>
              <w:jc w:val="right"/>
              <w:rPr/>
            </w:pPr>
            <w:r>
              <w:rPr/>
              <w:t>0.1</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11" w:type="dxa"/>
            <w:tcBorders/>
            <w:shd w:fill="CCEEFF" w:val="clear"/>
            <w:tcMar>
              <w:bottom w:w="0" w:type="dxa"/>
            </w:tcMar>
            <w:vAlign w:val="center"/>
          </w:tcPr>
          <w:p>
            <w:pPr>
              <w:pStyle w:val="TableContents"/>
              <w:bidi w:val="0"/>
              <w:spacing w:before="0" w:after="283"/>
              <w:jc w:val="left"/>
              <w:rPr/>
            </w:pPr>
            <w:r>
              <w:rPr/>
              <w:t>$</w:t>
            </w:r>
          </w:p>
        </w:tc>
        <w:tc>
          <w:tcPr>
            <w:tcW w:w="484" w:type="dxa"/>
            <w:tcBorders/>
            <w:shd w:fill="CCEEFF" w:val="clear"/>
            <w:tcMar>
              <w:bottom w:w="0" w:type="dxa"/>
            </w:tcMar>
            <w:vAlign w:val="center"/>
          </w:tcPr>
          <w:p>
            <w:pPr>
              <w:pStyle w:val="TableContents"/>
              <w:bidi w:val="0"/>
              <w:spacing w:before="0" w:after="283"/>
              <w:jc w:val="right"/>
              <w:rPr/>
            </w:pPr>
            <w:r>
              <w:rPr/>
              <w:t>0.1</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70" w:type="dxa"/>
            <w:tcBorders/>
            <w:shd w:fill="CCEEFF" w:val="clear"/>
            <w:tcMar>
              <w:bottom w:w="0" w:type="dxa"/>
            </w:tcMar>
            <w:vAlign w:val="center"/>
          </w:tcPr>
          <w:p>
            <w:pPr>
              <w:pStyle w:val="TableContents"/>
              <w:bidi w:val="0"/>
              <w:spacing w:before="0" w:after="283"/>
              <w:jc w:val="left"/>
              <w:rPr/>
            </w:pPr>
            <w:r>
              <w:rPr/>
              <w:t>$</w:t>
            </w:r>
          </w:p>
        </w:tc>
        <w:tc>
          <w:tcPr>
            <w:tcW w:w="390" w:type="dxa"/>
            <w:tcBorders/>
            <w:shd w:fill="CCEEFF" w:val="clear"/>
            <w:tcMar>
              <w:bottom w:w="0" w:type="dxa"/>
            </w:tcMar>
            <w:vAlign w:val="center"/>
          </w:tcPr>
          <w:p>
            <w:pPr>
              <w:pStyle w:val="TableContents"/>
              <w:bidi w:val="0"/>
              <w:spacing w:before="0" w:after="283"/>
              <w:jc w:val="right"/>
              <w:rPr/>
            </w:pPr>
            <w:r>
              <w:rPr/>
              <w:t>2.2</w:t>
            </w:r>
          </w:p>
        </w:tc>
        <w:tc>
          <w:tcPr>
            <w:tcW w:w="77" w:type="dxa"/>
            <w:tcBorders/>
            <w:shd w:fill="CCEEFF" w:val="clear"/>
            <w:tcMar>
              <w:bottom w:w="0" w:type="dxa"/>
            </w:tcMar>
            <w:vAlign w:val="center"/>
          </w:tcPr>
          <w:p>
            <w:pPr>
              <w:pStyle w:val="TableContents"/>
              <w:bidi w:val="0"/>
              <w:spacing w:before="0" w:after="283"/>
              <w:jc w:val="left"/>
              <w:rPr/>
            </w:pPr>
            <w:r>
              <w:rPr/>
              <w:t> </w:t>
            </w:r>
          </w:p>
        </w:tc>
      </w:tr>
      <w:tr>
        <w:trPr/>
        <w:tc>
          <w:tcPr>
            <w:tcW w:w="3750" w:type="dxa"/>
            <w:tcBorders/>
            <w:shd w:fill="FFFFFF" w:val="clear"/>
            <w:tcMar>
              <w:bottom w:w="0" w:type="dxa"/>
            </w:tcMar>
            <w:vAlign w:val="center"/>
          </w:tcPr>
          <w:p>
            <w:pPr>
              <w:pStyle w:val="TableContents"/>
              <w:bidi w:val="0"/>
              <w:spacing w:before="0" w:after="283"/>
              <w:jc w:val="left"/>
              <w:rPr/>
            </w:pPr>
            <w:r>
              <w:rPr/>
              <w:t>General and administrative</w:t>
            </w:r>
          </w:p>
        </w:tc>
        <w:tc>
          <w:tcPr>
            <w:tcW w:w="60" w:type="dxa"/>
            <w:tcBorders/>
            <w:shd w:fill="FFFFFF" w:val="clear"/>
            <w:tcMar>
              <w:bottom w:w="0" w:type="dxa"/>
            </w:tcMar>
            <w:vAlign w:val="center"/>
          </w:tcPr>
          <w:p>
            <w:pPr>
              <w:pStyle w:val="TableContents"/>
              <w:bidi w:val="0"/>
              <w:spacing w:before="0" w:after="283"/>
              <w:jc w:val="left"/>
              <w:rPr/>
            </w:pPr>
            <w:r>
              <w:rPr/>
              <w:t> </w:t>
            </w:r>
          </w:p>
        </w:tc>
        <w:tc>
          <w:tcPr>
            <w:tcW w:w="824" w:type="dxa"/>
            <w:tcBorders>
              <w:bottom w:val="single" w:sz="12" w:space="0" w:color="000000"/>
            </w:tcBorders>
            <w:shd w:fill="FFFFFF" w:val="clear"/>
            <w:vAlign w:val="center"/>
          </w:tcPr>
          <w:p>
            <w:pPr>
              <w:pStyle w:val="TableContents"/>
              <w:bidi w:val="0"/>
              <w:spacing w:before="0" w:after="283"/>
              <w:jc w:val="left"/>
              <w:rPr/>
            </w:pPr>
            <w:r>
              <w:rPr/>
              <w:t> </w:t>
            </w:r>
          </w:p>
        </w:tc>
        <w:tc>
          <w:tcPr>
            <w:tcW w:w="1884" w:type="dxa"/>
            <w:tcBorders>
              <w:bottom w:val="single" w:sz="12" w:space="0" w:color="000000"/>
            </w:tcBorders>
            <w:shd w:fill="FFFFFF" w:val="clear"/>
            <w:vAlign w:val="center"/>
          </w:tcPr>
          <w:p>
            <w:pPr>
              <w:pStyle w:val="TableContents"/>
              <w:bidi w:val="0"/>
              <w:spacing w:before="0" w:after="283"/>
              <w:jc w:val="right"/>
              <w:rPr/>
            </w:pPr>
            <w:r>
              <w:rPr/>
              <w:t>5.3</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5" w:type="dxa"/>
            <w:tcBorders>
              <w:bottom w:val="single" w:sz="12" w:space="0" w:color="000000"/>
            </w:tcBorders>
            <w:shd w:fill="FFFFFF" w:val="clear"/>
            <w:vAlign w:val="center"/>
          </w:tcPr>
          <w:p>
            <w:pPr>
              <w:pStyle w:val="TableContents"/>
              <w:bidi w:val="0"/>
              <w:spacing w:before="0" w:after="283"/>
              <w:jc w:val="left"/>
              <w:rPr/>
            </w:pPr>
            <w:r>
              <w:rPr/>
              <w:t> </w:t>
            </w:r>
          </w:p>
        </w:tc>
        <w:tc>
          <w:tcPr>
            <w:tcW w:w="1390" w:type="dxa"/>
            <w:tcBorders>
              <w:bottom w:val="single" w:sz="12" w:space="0" w:color="000000"/>
            </w:tcBorders>
            <w:shd w:fill="FFFFFF" w:val="clear"/>
            <w:vAlign w:val="center"/>
          </w:tcPr>
          <w:p>
            <w:pPr>
              <w:pStyle w:val="TableContents"/>
              <w:bidi w:val="0"/>
              <w:spacing w:before="0" w:after="283"/>
              <w:jc w:val="right"/>
              <w:rPr/>
            </w:pPr>
            <w:r>
              <w:rPr/>
              <w:t>0.8</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11" w:type="dxa"/>
            <w:tcBorders>
              <w:bottom w:val="single" w:sz="12" w:space="0" w:color="000000"/>
            </w:tcBorders>
            <w:shd w:fill="FFFFFF" w:val="clear"/>
            <w:vAlign w:val="center"/>
          </w:tcPr>
          <w:p>
            <w:pPr>
              <w:pStyle w:val="TableContents"/>
              <w:bidi w:val="0"/>
              <w:spacing w:before="0" w:after="283"/>
              <w:jc w:val="left"/>
              <w:rPr/>
            </w:pPr>
            <w:r>
              <w:rPr/>
              <w:t> </w:t>
            </w:r>
          </w:p>
        </w:tc>
        <w:tc>
          <w:tcPr>
            <w:tcW w:w="484" w:type="dxa"/>
            <w:tcBorders>
              <w:bottom w:val="single" w:sz="12" w:space="0" w:color="000000"/>
            </w:tcBorders>
            <w:shd w:fill="FFFFFF" w:val="clear"/>
            <w:vAlign w:val="center"/>
          </w:tcPr>
          <w:p>
            <w:pPr>
              <w:pStyle w:val="TableContents"/>
              <w:bidi w:val="0"/>
              <w:spacing w:before="0" w:after="283"/>
              <w:jc w:val="right"/>
              <w:rPr/>
            </w:pPr>
            <w:r>
              <w:rPr/>
              <w:t>0.9</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70" w:type="dxa"/>
            <w:tcBorders>
              <w:bottom w:val="single" w:sz="12" w:space="0" w:color="000000"/>
            </w:tcBorders>
            <w:shd w:fill="FFFFFF" w:val="clear"/>
            <w:vAlign w:val="center"/>
          </w:tcPr>
          <w:p>
            <w:pPr>
              <w:pStyle w:val="TableContents"/>
              <w:bidi w:val="0"/>
              <w:spacing w:before="0" w:after="283"/>
              <w:jc w:val="left"/>
              <w:rPr/>
            </w:pPr>
            <w:r>
              <w:rPr/>
              <w:t> </w:t>
            </w:r>
          </w:p>
        </w:tc>
        <w:tc>
          <w:tcPr>
            <w:tcW w:w="390" w:type="dxa"/>
            <w:tcBorders>
              <w:bottom w:val="single" w:sz="12" w:space="0" w:color="000000"/>
            </w:tcBorders>
            <w:shd w:fill="FFFFFF" w:val="clear"/>
            <w:vAlign w:val="center"/>
          </w:tcPr>
          <w:p>
            <w:pPr>
              <w:pStyle w:val="TableContents"/>
              <w:bidi w:val="0"/>
              <w:spacing w:before="0" w:after="283"/>
              <w:jc w:val="right"/>
              <w:rPr/>
            </w:pPr>
            <w:r>
              <w:rPr/>
              <w:t>7.0</w:t>
            </w:r>
          </w:p>
        </w:tc>
        <w:tc>
          <w:tcPr>
            <w:tcW w:w="77" w:type="dxa"/>
            <w:tcBorders/>
            <w:shd w:fill="FFFFFF" w:val="clear"/>
            <w:tcMar>
              <w:bottom w:w="0" w:type="dxa"/>
            </w:tcMar>
            <w:vAlign w:val="center"/>
          </w:tcPr>
          <w:p>
            <w:pPr>
              <w:pStyle w:val="TableContents"/>
              <w:bidi w:val="0"/>
              <w:spacing w:before="0" w:after="283"/>
              <w:jc w:val="left"/>
              <w:rPr/>
            </w:pPr>
            <w:r>
              <w:rPr/>
              <w:t> </w:t>
            </w:r>
          </w:p>
        </w:tc>
      </w:tr>
      <w:tr>
        <w:trPr/>
        <w:tc>
          <w:tcPr>
            <w:tcW w:w="3750" w:type="dxa"/>
            <w:tcBorders/>
            <w:shd w:fill="CCEEFF" w:val="clear"/>
            <w:tcMar>
              <w:bottom w:w="0" w:type="dxa"/>
            </w:tcMar>
            <w:vAlign w:val="center"/>
          </w:tcPr>
          <w:p>
            <w:pPr>
              <w:pStyle w:val="TableContents"/>
              <w:bidi w:val="0"/>
              <w:spacing w:before="0" w:after="283"/>
              <w:jc w:val="left"/>
              <w:rPr/>
            </w:pPr>
            <w:r>
              <w:rPr/>
              <w:t>Total</w:t>
            </w:r>
          </w:p>
        </w:tc>
        <w:tc>
          <w:tcPr>
            <w:tcW w:w="60" w:type="dxa"/>
            <w:tcBorders/>
            <w:shd w:fill="CCEEFF" w:val="clear"/>
            <w:tcMar>
              <w:bottom w:w="0" w:type="dxa"/>
            </w:tcMar>
            <w:vAlign w:val="center"/>
          </w:tcPr>
          <w:p>
            <w:pPr>
              <w:pStyle w:val="TableContents"/>
              <w:bidi w:val="0"/>
              <w:spacing w:before="0" w:after="283"/>
              <w:jc w:val="left"/>
              <w:rPr/>
            </w:pPr>
            <w:r>
              <w:rPr/>
              <w:t> </w:t>
            </w:r>
          </w:p>
        </w:tc>
        <w:tc>
          <w:tcPr>
            <w:tcW w:w="824" w:type="dxa"/>
            <w:tcBorders>
              <w:bottom w:val="double" w:sz="10" w:space="0" w:color="000000"/>
            </w:tcBorders>
            <w:shd w:fill="CCEEFF" w:val="clear"/>
            <w:vAlign w:val="center"/>
          </w:tcPr>
          <w:p>
            <w:pPr>
              <w:pStyle w:val="TableContents"/>
              <w:bidi w:val="0"/>
              <w:spacing w:before="0" w:after="283"/>
              <w:jc w:val="left"/>
              <w:rPr/>
            </w:pPr>
            <w:r>
              <w:rPr/>
              <w:t>$</w:t>
            </w:r>
          </w:p>
        </w:tc>
        <w:tc>
          <w:tcPr>
            <w:tcW w:w="1884" w:type="dxa"/>
            <w:tcBorders>
              <w:bottom w:val="double" w:sz="10" w:space="0" w:color="000000"/>
            </w:tcBorders>
            <w:shd w:fill="CCEEFF" w:val="clear"/>
            <w:vAlign w:val="center"/>
          </w:tcPr>
          <w:p>
            <w:pPr>
              <w:pStyle w:val="TableContents"/>
              <w:bidi w:val="0"/>
              <w:spacing w:before="0" w:after="283"/>
              <w:jc w:val="right"/>
              <w:rPr/>
            </w:pPr>
            <w:r>
              <w:rPr/>
              <w:t>7.3</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5" w:type="dxa"/>
            <w:tcBorders>
              <w:bottom w:val="double" w:sz="10" w:space="0" w:color="000000"/>
            </w:tcBorders>
            <w:shd w:fill="CCEEFF" w:val="clear"/>
            <w:vAlign w:val="center"/>
          </w:tcPr>
          <w:p>
            <w:pPr>
              <w:pStyle w:val="TableContents"/>
              <w:bidi w:val="0"/>
              <w:spacing w:before="0" w:after="283"/>
              <w:jc w:val="left"/>
              <w:rPr/>
            </w:pPr>
            <w:r>
              <w:rPr/>
              <w:t>$</w:t>
            </w:r>
          </w:p>
        </w:tc>
        <w:tc>
          <w:tcPr>
            <w:tcW w:w="1390" w:type="dxa"/>
            <w:tcBorders>
              <w:bottom w:val="double" w:sz="10" w:space="0" w:color="000000"/>
            </w:tcBorders>
            <w:shd w:fill="CCEEFF" w:val="clear"/>
            <w:vAlign w:val="center"/>
          </w:tcPr>
          <w:p>
            <w:pPr>
              <w:pStyle w:val="TableContents"/>
              <w:bidi w:val="0"/>
              <w:spacing w:before="0" w:after="283"/>
              <w:jc w:val="right"/>
              <w:rPr/>
            </w:pPr>
            <w:r>
              <w:rPr/>
              <w:t>0.9</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11" w:type="dxa"/>
            <w:tcBorders>
              <w:bottom w:val="double" w:sz="10" w:space="0" w:color="000000"/>
            </w:tcBorders>
            <w:shd w:fill="CCEEFF" w:val="clear"/>
            <w:vAlign w:val="center"/>
          </w:tcPr>
          <w:p>
            <w:pPr>
              <w:pStyle w:val="TableContents"/>
              <w:bidi w:val="0"/>
              <w:spacing w:before="0" w:after="283"/>
              <w:jc w:val="left"/>
              <w:rPr/>
            </w:pPr>
            <w:r>
              <w:rPr/>
              <w:t>$</w:t>
            </w:r>
          </w:p>
        </w:tc>
        <w:tc>
          <w:tcPr>
            <w:tcW w:w="484" w:type="dxa"/>
            <w:tcBorders>
              <w:bottom w:val="double" w:sz="10" w:space="0" w:color="000000"/>
            </w:tcBorders>
            <w:shd w:fill="CCEEFF" w:val="clear"/>
            <w:vAlign w:val="center"/>
          </w:tcPr>
          <w:p>
            <w:pPr>
              <w:pStyle w:val="TableContents"/>
              <w:bidi w:val="0"/>
              <w:spacing w:before="0" w:after="283"/>
              <w:jc w:val="right"/>
              <w:rPr/>
            </w:pPr>
            <w:r>
              <w:rPr/>
              <w:t>1.0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70" w:type="dxa"/>
            <w:tcBorders>
              <w:bottom w:val="double" w:sz="10" w:space="0" w:color="000000"/>
            </w:tcBorders>
            <w:shd w:fill="CCEEFF" w:val="clear"/>
            <w:vAlign w:val="center"/>
          </w:tcPr>
          <w:p>
            <w:pPr>
              <w:pStyle w:val="TableContents"/>
              <w:bidi w:val="0"/>
              <w:spacing w:before="0" w:after="283"/>
              <w:jc w:val="left"/>
              <w:rPr/>
            </w:pPr>
            <w:r>
              <w:rPr/>
              <w:t>$</w:t>
            </w:r>
          </w:p>
        </w:tc>
        <w:tc>
          <w:tcPr>
            <w:tcW w:w="390" w:type="dxa"/>
            <w:tcBorders>
              <w:bottom w:val="double" w:sz="10" w:space="0" w:color="000000"/>
            </w:tcBorders>
            <w:shd w:fill="CCEEFF" w:val="clear"/>
            <w:vAlign w:val="center"/>
          </w:tcPr>
          <w:p>
            <w:pPr>
              <w:pStyle w:val="TableContents"/>
              <w:bidi w:val="0"/>
              <w:spacing w:before="0" w:after="283"/>
              <w:jc w:val="right"/>
              <w:rPr/>
            </w:pPr>
            <w:r>
              <w:rPr/>
              <w:t>9.2</w:t>
            </w:r>
          </w:p>
        </w:tc>
        <w:tc>
          <w:tcPr>
            <w:tcW w:w="77" w:type="dxa"/>
            <w:tcBorders/>
            <w:shd w:fill="CCEEFF" w:val="clear"/>
            <w:tcMar>
              <w:bottom w:w="0" w:type="dxa"/>
            </w:tcMar>
            <w:vAlign w:val="center"/>
          </w:tcPr>
          <w:p>
            <w:pPr>
              <w:pStyle w:val="TableContents"/>
              <w:bidi w:val="0"/>
              <w:spacing w:before="0" w:after="283"/>
              <w:jc w:val="left"/>
              <w:rPr/>
            </w:pPr>
            <w:r>
              <w:rPr/>
              <w:t> </w:t>
            </w:r>
          </w:p>
        </w:tc>
      </w:tr>
    </w:tbl>
    <w:p>
      <w:pPr>
        <w:pStyle w:val="TextBody"/>
        <w:bidi w:val="0"/>
        <w:spacing w:before="0" w:after="283"/>
        <w:jc w:val="left"/>
        <w:rPr/>
      </w:pPr>
      <w:r>
        <w:rPr/>
        <w:t> </w:t>
      </w:r>
    </w:p>
    <w:p>
      <w:pPr>
        <w:pStyle w:val="TextBody"/>
        <w:bidi w:val="0"/>
        <w:spacing w:before="0" w:after="0"/>
        <w:jc w:val="center"/>
        <w:rPr>
          <w:sz w:val="20"/>
          <w:bdr w:val="single" w:sz="12" w:space="1" w:color="000000"/>
        </w:rPr>
      </w:pPr>
      <w:r>
        <w:rPr>
          <w:sz w:val="20"/>
          <w:bdr w:val="single" w:sz="12" w:space="1" w:color="000000"/>
        </w:rPr>
        <w:t>F-107</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151"/>
        <w:gridCol w:w="60"/>
        <w:gridCol w:w="184"/>
        <w:gridCol w:w="989"/>
        <w:gridCol w:w="118"/>
        <w:gridCol w:w="74"/>
        <w:gridCol w:w="204"/>
        <w:gridCol w:w="951"/>
        <w:gridCol w:w="118"/>
        <w:gridCol w:w="74"/>
        <w:gridCol w:w="173"/>
        <w:gridCol w:w="994"/>
        <w:gridCol w:w="115"/>
      </w:tblGrid>
      <w:tr>
        <w:trPr/>
        <w:tc>
          <w:tcPr>
            <w:tcW w:w="6151"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3879" w:type="dxa"/>
            <w:gridSpan w:val="10"/>
            <w:tcBorders>
              <w:bottom w:val="single" w:sz="12" w:space="0" w:color="000000"/>
            </w:tcBorders>
            <w:tcMar>
              <w:bottom w:w="28" w:type="dxa"/>
            </w:tcMar>
            <w:vAlign w:val="center"/>
          </w:tcPr>
          <w:p>
            <w:pPr>
              <w:pStyle w:val="TableContents"/>
              <w:bidi w:val="0"/>
              <w:spacing w:before="0" w:after="283"/>
              <w:jc w:val="center"/>
              <w:rPr>
                <w:b/>
              </w:rPr>
            </w:pPr>
            <w:r>
              <w:rPr>
                <w:b/>
              </w:rPr>
              <w:t>Fiscal Year Ended December 29, 2024</w:t>
            </w:r>
          </w:p>
        </w:tc>
        <w:tc>
          <w:tcPr>
            <w:tcW w:w="115" w:type="dxa"/>
            <w:tcBorders/>
            <w:vAlign w:val="center"/>
          </w:tcPr>
          <w:p>
            <w:pPr>
              <w:pStyle w:val="TableContents"/>
              <w:bidi w:val="0"/>
              <w:spacing w:before="0" w:after="283"/>
              <w:jc w:val="left"/>
              <w:rPr/>
            </w:pPr>
            <w:r>
              <w:rPr/>
              <w:t> </w:t>
            </w:r>
          </w:p>
        </w:tc>
      </w:tr>
      <w:tr>
        <w:trPr/>
        <w:tc>
          <w:tcPr>
            <w:tcW w:w="6151" w:type="dxa"/>
            <w:tcBorders>
              <w:bottom w:val="single" w:sz="12" w:space="0" w:color="000000"/>
            </w:tcBorders>
            <w:tcMar>
              <w:bottom w:w="28" w:type="dxa"/>
            </w:tcMar>
            <w:vAlign w:val="center"/>
          </w:tcPr>
          <w:p>
            <w:pPr>
              <w:pStyle w:val="TableContents"/>
              <w:bidi w:val="0"/>
              <w:spacing w:before="0" w:after="283"/>
              <w:jc w:val="left"/>
              <w:rPr>
                <w:b/>
                <w:i/>
              </w:rPr>
            </w:pPr>
            <w:r>
              <w:rPr>
                <w:b/>
                <w:i/>
              </w:rPr>
              <w:t>(in thousands)</w:t>
            </w:r>
          </w:p>
        </w:tc>
        <w:tc>
          <w:tcPr>
            <w:tcW w:w="60" w:type="dxa"/>
            <w:tcBorders/>
            <w:vAlign w:val="center"/>
          </w:tcPr>
          <w:p>
            <w:pPr>
              <w:pStyle w:val="TableContents"/>
              <w:bidi w:val="0"/>
              <w:spacing w:before="0" w:after="283"/>
              <w:jc w:val="left"/>
              <w:rPr/>
            </w:pPr>
            <w:r>
              <w:rPr/>
              <w:t> </w:t>
            </w:r>
          </w:p>
        </w:tc>
        <w:tc>
          <w:tcPr>
            <w:tcW w:w="1173"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Residential</w:t>
              <w:br/>
              <w:t>Solar</w:t>
              <w:br/>
              <w:t>Installation</w:t>
            </w:r>
          </w:p>
        </w:tc>
        <w:tc>
          <w:tcPr>
            <w:tcW w:w="118" w:type="dxa"/>
            <w:tcBorders/>
            <w:vAlign w:val="center"/>
          </w:tcPr>
          <w:p>
            <w:pPr>
              <w:pStyle w:val="TableContents"/>
              <w:bidi w:val="0"/>
              <w:spacing w:before="0" w:after="283"/>
              <w:jc w:val="left"/>
              <w:rPr/>
            </w:pPr>
            <w:r>
              <w:rPr/>
              <w:t> </w:t>
            </w:r>
          </w:p>
        </w:tc>
        <w:tc>
          <w:tcPr>
            <w:tcW w:w="74" w:type="dxa"/>
            <w:tcBorders/>
            <w:vAlign w:val="center"/>
          </w:tcPr>
          <w:p>
            <w:pPr>
              <w:pStyle w:val="TableContents"/>
              <w:bidi w:val="0"/>
              <w:spacing w:before="0" w:after="283"/>
              <w:jc w:val="left"/>
              <w:rPr/>
            </w:pPr>
            <w:r>
              <w:rPr/>
              <w:t> </w:t>
            </w:r>
          </w:p>
        </w:tc>
        <w:tc>
          <w:tcPr>
            <w:tcW w:w="115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New Homes</w:t>
              <w:br/>
              <w:t>Business</w:t>
            </w:r>
          </w:p>
        </w:tc>
        <w:tc>
          <w:tcPr>
            <w:tcW w:w="118" w:type="dxa"/>
            <w:tcBorders/>
            <w:vAlign w:val="center"/>
          </w:tcPr>
          <w:p>
            <w:pPr>
              <w:pStyle w:val="TableContents"/>
              <w:bidi w:val="0"/>
              <w:spacing w:before="0" w:after="283"/>
              <w:jc w:val="left"/>
              <w:rPr/>
            </w:pPr>
            <w:r>
              <w:rPr/>
              <w:t> </w:t>
            </w:r>
          </w:p>
        </w:tc>
        <w:tc>
          <w:tcPr>
            <w:tcW w:w="74" w:type="dxa"/>
            <w:tcBorders/>
            <w:vAlign w:val="center"/>
          </w:tcPr>
          <w:p>
            <w:pPr>
              <w:pStyle w:val="TableContents"/>
              <w:bidi w:val="0"/>
              <w:spacing w:before="0" w:after="283"/>
              <w:jc w:val="left"/>
              <w:rPr/>
            </w:pPr>
            <w:r>
              <w:rPr/>
              <w:t> </w:t>
            </w:r>
          </w:p>
        </w:tc>
        <w:tc>
          <w:tcPr>
            <w:tcW w:w="1167"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Total</w:t>
            </w:r>
          </w:p>
        </w:tc>
        <w:tc>
          <w:tcPr>
            <w:tcW w:w="115" w:type="dxa"/>
            <w:tcBorders/>
            <w:vAlign w:val="center"/>
          </w:tcPr>
          <w:p>
            <w:pPr>
              <w:pStyle w:val="TableContents"/>
              <w:bidi w:val="0"/>
              <w:spacing w:before="0" w:after="283"/>
              <w:ind w:left="0" w:right="0" w:hanging="180"/>
              <w:jc w:val="left"/>
              <w:rPr/>
            </w:pPr>
            <w:r>
              <w:rPr/>
              <w:t> </w:t>
            </w:r>
          </w:p>
        </w:tc>
      </w:tr>
      <w:tr>
        <w:trPr/>
        <w:tc>
          <w:tcPr>
            <w:tcW w:w="6151" w:type="dxa"/>
            <w:tcBorders/>
            <w:shd w:fill="CCEEFF" w:val="clear"/>
            <w:vAlign w:val="center"/>
          </w:tcPr>
          <w:p>
            <w:pPr>
              <w:pStyle w:val="TableContents"/>
              <w:bidi w:val="0"/>
              <w:spacing w:before="0" w:after="283"/>
              <w:jc w:val="left"/>
              <w:rPr/>
            </w:pPr>
            <w:r>
              <w:rPr/>
              <w:t>Operating revenues</w:t>
            </w:r>
          </w:p>
        </w:tc>
        <w:tc>
          <w:tcPr>
            <w:tcW w:w="60" w:type="dxa"/>
            <w:tcBorders/>
            <w:shd w:fill="CCEEFF" w:val="clear"/>
            <w:vAlign w:val="center"/>
          </w:tcPr>
          <w:p>
            <w:pPr>
              <w:pStyle w:val="TableContents"/>
              <w:bidi w:val="0"/>
              <w:spacing w:before="0" w:after="283"/>
              <w:jc w:val="left"/>
              <w:rPr/>
            </w:pPr>
            <w:r>
              <w:rPr/>
              <w:t> </w:t>
            </w:r>
          </w:p>
        </w:tc>
        <w:tc>
          <w:tcPr>
            <w:tcW w:w="184" w:type="dxa"/>
            <w:tcBorders/>
            <w:shd w:fill="CCEEFF" w:val="clear"/>
            <w:vAlign w:val="center"/>
          </w:tcPr>
          <w:p>
            <w:pPr>
              <w:pStyle w:val="TableContents"/>
              <w:bidi w:val="0"/>
              <w:spacing w:before="0" w:after="283"/>
              <w:jc w:val="left"/>
              <w:rPr/>
            </w:pPr>
            <w:r>
              <w:rPr/>
              <w:t>$</w:t>
            </w:r>
          </w:p>
        </w:tc>
        <w:tc>
          <w:tcPr>
            <w:tcW w:w="989" w:type="dxa"/>
            <w:tcBorders/>
            <w:shd w:fill="CCEEFF" w:val="clear"/>
            <w:vAlign w:val="center"/>
          </w:tcPr>
          <w:p>
            <w:pPr>
              <w:pStyle w:val="TableContents"/>
              <w:bidi w:val="0"/>
              <w:spacing w:before="0" w:after="283"/>
              <w:jc w:val="right"/>
              <w:rPr/>
            </w:pPr>
            <w:r>
              <w:rPr/>
              <w:t>67,460</w:t>
            </w:r>
          </w:p>
        </w:tc>
        <w:tc>
          <w:tcPr>
            <w:tcW w:w="118" w:type="dxa"/>
            <w:tcBorders/>
            <w:shd w:fill="CCEEFF" w:val="clear"/>
            <w:vAlign w:val="center"/>
          </w:tcPr>
          <w:p>
            <w:pPr>
              <w:pStyle w:val="TableContents"/>
              <w:bidi w:val="0"/>
              <w:spacing w:before="0" w:after="283"/>
              <w:jc w:val="left"/>
              <w:rPr/>
            </w:pPr>
            <w:r>
              <w:rPr/>
              <w:t> </w:t>
            </w:r>
          </w:p>
        </w:tc>
        <w:tc>
          <w:tcPr>
            <w:tcW w:w="74" w:type="dxa"/>
            <w:tcBorders/>
            <w:shd w:fill="CCEEFF" w:val="clear"/>
            <w:vAlign w:val="center"/>
          </w:tcPr>
          <w:p>
            <w:pPr>
              <w:pStyle w:val="TableContents"/>
              <w:bidi w:val="0"/>
              <w:spacing w:before="0" w:after="283"/>
              <w:jc w:val="left"/>
              <w:rPr/>
            </w:pPr>
            <w:r>
              <w:rPr/>
              <w:t> </w:t>
            </w:r>
          </w:p>
        </w:tc>
        <w:tc>
          <w:tcPr>
            <w:tcW w:w="204" w:type="dxa"/>
            <w:tcBorders/>
            <w:shd w:fill="CCEEFF" w:val="clear"/>
            <w:vAlign w:val="center"/>
          </w:tcPr>
          <w:p>
            <w:pPr>
              <w:pStyle w:val="TableContents"/>
              <w:bidi w:val="0"/>
              <w:spacing w:before="0" w:after="283"/>
              <w:jc w:val="left"/>
              <w:rPr/>
            </w:pPr>
            <w:r>
              <w:rPr/>
              <w:t>$</w:t>
            </w:r>
          </w:p>
        </w:tc>
        <w:tc>
          <w:tcPr>
            <w:tcW w:w="951" w:type="dxa"/>
            <w:tcBorders/>
            <w:shd w:fill="CCEEFF" w:val="clear"/>
            <w:vAlign w:val="center"/>
          </w:tcPr>
          <w:p>
            <w:pPr>
              <w:pStyle w:val="TableContents"/>
              <w:bidi w:val="0"/>
              <w:spacing w:before="0" w:after="283"/>
              <w:jc w:val="right"/>
              <w:rPr/>
            </w:pPr>
            <w:r>
              <w:rPr/>
              <w:t>41,282</w:t>
            </w:r>
          </w:p>
        </w:tc>
        <w:tc>
          <w:tcPr>
            <w:tcW w:w="118" w:type="dxa"/>
            <w:tcBorders/>
            <w:shd w:fill="CCEEFF" w:val="clear"/>
            <w:vAlign w:val="center"/>
          </w:tcPr>
          <w:p>
            <w:pPr>
              <w:pStyle w:val="TableContents"/>
              <w:bidi w:val="0"/>
              <w:spacing w:before="0" w:after="283"/>
              <w:jc w:val="left"/>
              <w:rPr/>
            </w:pPr>
            <w:r>
              <w:rPr/>
              <w:t> </w:t>
            </w:r>
          </w:p>
        </w:tc>
        <w:tc>
          <w:tcPr>
            <w:tcW w:w="74" w:type="dxa"/>
            <w:tcBorders/>
            <w:shd w:fill="CCEEFF" w:val="clear"/>
            <w:vAlign w:val="center"/>
          </w:tcPr>
          <w:p>
            <w:pPr>
              <w:pStyle w:val="TableContents"/>
              <w:bidi w:val="0"/>
              <w:spacing w:before="0" w:after="283"/>
              <w:jc w:val="left"/>
              <w:rPr/>
            </w:pPr>
            <w:r>
              <w:rPr/>
              <w:t> </w:t>
            </w:r>
          </w:p>
        </w:tc>
        <w:tc>
          <w:tcPr>
            <w:tcW w:w="173" w:type="dxa"/>
            <w:tcBorders/>
            <w:shd w:fill="CCEEFF" w:val="clear"/>
            <w:vAlign w:val="center"/>
          </w:tcPr>
          <w:p>
            <w:pPr>
              <w:pStyle w:val="TableContents"/>
              <w:bidi w:val="0"/>
              <w:spacing w:before="0" w:after="283"/>
              <w:jc w:val="left"/>
              <w:rPr/>
            </w:pPr>
            <w:r>
              <w:rPr/>
              <w:t>$</w:t>
            </w:r>
          </w:p>
        </w:tc>
        <w:tc>
          <w:tcPr>
            <w:tcW w:w="994" w:type="dxa"/>
            <w:tcBorders/>
            <w:shd w:fill="CCEEFF" w:val="clear"/>
            <w:vAlign w:val="center"/>
          </w:tcPr>
          <w:p>
            <w:pPr>
              <w:pStyle w:val="TableContents"/>
              <w:bidi w:val="0"/>
              <w:spacing w:before="0" w:after="283"/>
              <w:jc w:val="right"/>
              <w:rPr/>
            </w:pPr>
            <w:r>
              <w:rPr/>
              <w:t>108,742</w:t>
            </w:r>
          </w:p>
        </w:tc>
        <w:tc>
          <w:tcPr>
            <w:tcW w:w="115" w:type="dxa"/>
            <w:tcBorders/>
            <w:shd w:fill="CCEEFF" w:val="clear"/>
            <w:vAlign w:val="center"/>
          </w:tcPr>
          <w:p>
            <w:pPr>
              <w:pStyle w:val="TableContents"/>
              <w:bidi w:val="0"/>
              <w:spacing w:before="0" w:after="283"/>
              <w:ind w:left="0" w:right="0" w:hanging="180"/>
              <w:jc w:val="left"/>
              <w:rPr/>
            </w:pPr>
            <w:r>
              <w:rPr/>
              <w:t> </w:t>
            </w:r>
          </w:p>
        </w:tc>
      </w:tr>
      <w:tr>
        <w:trPr/>
        <w:tc>
          <w:tcPr>
            <w:tcW w:w="6151"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4" w:type="dxa"/>
            <w:tcBorders/>
            <w:shd w:fill="FFFFFF" w:val="clear"/>
            <w:vAlign w:val="center"/>
          </w:tcPr>
          <w:p>
            <w:pPr>
              <w:pStyle w:val="TableContents"/>
              <w:bidi w:val="0"/>
              <w:spacing w:before="0" w:after="283"/>
              <w:jc w:val="left"/>
              <w:rPr/>
            </w:pPr>
            <w:r>
              <w:rPr/>
              <w:t> </w:t>
            </w:r>
          </w:p>
        </w:tc>
        <w:tc>
          <w:tcPr>
            <w:tcW w:w="989" w:type="dxa"/>
            <w:tcBorders/>
            <w:shd w:fill="FFFFFF" w:val="clear"/>
            <w:vAlign w:val="center"/>
          </w:tcPr>
          <w:p>
            <w:pPr>
              <w:pStyle w:val="TableContents"/>
              <w:bidi w:val="0"/>
              <w:spacing w:before="0" w:after="283"/>
              <w:jc w:val="right"/>
              <w:rPr/>
            </w:pPr>
            <w:r>
              <w:rPr/>
              <w:t> </w:t>
            </w:r>
          </w:p>
        </w:tc>
        <w:tc>
          <w:tcPr>
            <w:tcW w:w="118" w:type="dxa"/>
            <w:tcBorders/>
            <w:shd w:fill="FFFFFF" w:val="clear"/>
            <w:vAlign w:val="center"/>
          </w:tcPr>
          <w:p>
            <w:pPr>
              <w:pStyle w:val="TableContents"/>
              <w:bidi w:val="0"/>
              <w:spacing w:before="0" w:after="283"/>
              <w:jc w:val="left"/>
              <w:rPr/>
            </w:pPr>
            <w:r>
              <w:rPr/>
              <w:t> </w:t>
            </w:r>
          </w:p>
        </w:tc>
        <w:tc>
          <w:tcPr>
            <w:tcW w:w="74" w:type="dxa"/>
            <w:tcBorders/>
            <w:shd w:fill="FFFFFF" w:val="clear"/>
            <w:vAlign w:val="center"/>
          </w:tcPr>
          <w:p>
            <w:pPr>
              <w:pStyle w:val="TableContents"/>
              <w:bidi w:val="0"/>
              <w:spacing w:before="0" w:after="283"/>
              <w:jc w:val="left"/>
              <w:rPr/>
            </w:pPr>
            <w:r>
              <w:rPr/>
              <w:t> </w:t>
            </w:r>
          </w:p>
        </w:tc>
        <w:tc>
          <w:tcPr>
            <w:tcW w:w="204" w:type="dxa"/>
            <w:tcBorders/>
            <w:shd w:fill="FFFFFF" w:val="clear"/>
            <w:vAlign w:val="center"/>
          </w:tcPr>
          <w:p>
            <w:pPr>
              <w:pStyle w:val="TableContents"/>
              <w:bidi w:val="0"/>
              <w:spacing w:before="0" w:after="283"/>
              <w:jc w:val="left"/>
              <w:rPr/>
            </w:pPr>
            <w:r>
              <w:rPr/>
              <w:t> </w:t>
            </w:r>
          </w:p>
        </w:tc>
        <w:tc>
          <w:tcPr>
            <w:tcW w:w="951" w:type="dxa"/>
            <w:tcBorders/>
            <w:shd w:fill="FFFFFF" w:val="clear"/>
            <w:vAlign w:val="center"/>
          </w:tcPr>
          <w:p>
            <w:pPr>
              <w:pStyle w:val="TableContents"/>
              <w:bidi w:val="0"/>
              <w:spacing w:before="0" w:after="283"/>
              <w:jc w:val="right"/>
              <w:rPr/>
            </w:pPr>
            <w:r>
              <w:rPr/>
              <w:t> </w:t>
            </w:r>
          </w:p>
        </w:tc>
        <w:tc>
          <w:tcPr>
            <w:tcW w:w="118" w:type="dxa"/>
            <w:tcBorders/>
            <w:shd w:fill="FFFFFF" w:val="clear"/>
            <w:vAlign w:val="center"/>
          </w:tcPr>
          <w:p>
            <w:pPr>
              <w:pStyle w:val="TableContents"/>
              <w:bidi w:val="0"/>
              <w:spacing w:before="0" w:after="283"/>
              <w:jc w:val="left"/>
              <w:rPr/>
            </w:pPr>
            <w:r>
              <w:rPr/>
              <w:t> </w:t>
            </w:r>
          </w:p>
        </w:tc>
        <w:tc>
          <w:tcPr>
            <w:tcW w:w="74" w:type="dxa"/>
            <w:tcBorders/>
            <w:shd w:fill="FFFFFF" w:val="clear"/>
            <w:vAlign w:val="center"/>
          </w:tcPr>
          <w:p>
            <w:pPr>
              <w:pStyle w:val="TableContents"/>
              <w:bidi w:val="0"/>
              <w:spacing w:before="0" w:after="283"/>
              <w:jc w:val="left"/>
              <w:rPr/>
            </w:pPr>
            <w:r>
              <w:rPr/>
              <w:t> </w:t>
            </w:r>
          </w:p>
        </w:tc>
        <w:tc>
          <w:tcPr>
            <w:tcW w:w="173" w:type="dxa"/>
            <w:tcBorders/>
            <w:shd w:fill="FFFFFF" w:val="clear"/>
            <w:vAlign w:val="center"/>
          </w:tcPr>
          <w:p>
            <w:pPr>
              <w:pStyle w:val="TableContents"/>
              <w:bidi w:val="0"/>
              <w:spacing w:before="0" w:after="283"/>
              <w:jc w:val="left"/>
              <w:rPr/>
            </w:pPr>
            <w:r>
              <w:rPr/>
              <w:t> </w:t>
            </w:r>
          </w:p>
        </w:tc>
        <w:tc>
          <w:tcPr>
            <w:tcW w:w="994" w:type="dxa"/>
            <w:tcBorders/>
            <w:shd w:fill="FFFFFF" w:val="clear"/>
            <w:vAlign w:val="center"/>
          </w:tcPr>
          <w:p>
            <w:pPr>
              <w:pStyle w:val="TableContents"/>
              <w:bidi w:val="0"/>
              <w:spacing w:before="0" w:after="283"/>
              <w:jc w:val="right"/>
              <w:rPr/>
            </w:pPr>
            <w:r>
              <w:rPr/>
              <w:t> </w:t>
            </w:r>
          </w:p>
        </w:tc>
        <w:tc>
          <w:tcPr>
            <w:tcW w:w="115" w:type="dxa"/>
            <w:tcBorders/>
            <w:shd w:fill="FFFFFF" w:val="clear"/>
            <w:vAlign w:val="center"/>
          </w:tcPr>
          <w:p>
            <w:pPr>
              <w:pStyle w:val="TableContents"/>
              <w:bidi w:val="0"/>
              <w:spacing w:before="0" w:after="283"/>
              <w:ind w:left="0" w:right="0" w:hanging="180"/>
              <w:jc w:val="left"/>
              <w:rPr/>
            </w:pPr>
            <w:r>
              <w:rPr/>
              <w:t> </w:t>
            </w:r>
          </w:p>
        </w:tc>
      </w:tr>
      <w:tr>
        <w:trPr/>
        <w:tc>
          <w:tcPr>
            <w:tcW w:w="6151" w:type="dxa"/>
            <w:tcBorders/>
            <w:shd w:fill="CCEEFF" w:val="clear"/>
            <w:vAlign w:val="center"/>
          </w:tcPr>
          <w:p>
            <w:pPr>
              <w:pStyle w:val="TableContents"/>
              <w:bidi w:val="0"/>
              <w:spacing w:before="0" w:after="283"/>
              <w:jc w:val="left"/>
              <w:rPr/>
            </w:pPr>
            <w:r>
              <w:rPr/>
              <w:t>Less:</w:t>
            </w:r>
          </w:p>
        </w:tc>
        <w:tc>
          <w:tcPr>
            <w:tcW w:w="60" w:type="dxa"/>
            <w:tcBorders/>
            <w:shd w:fill="CCEEFF" w:val="clear"/>
            <w:vAlign w:val="center"/>
          </w:tcPr>
          <w:p>
            <w:pPr>
              <w:pStyle w:val="TableContents"/>
              <w:bidi w:val="0"/>
              <w:spacing w:before="0" w:after="283"/>
              <w:jc w:val="left"/>
              <w:rPr/>
            </w:pPr>
            <w:r>
              <w:rPr/>
              <w:t> </w:t>
            </w:r>
          </w:p>
        </w:tc>
        <w:tc>
          <w:tcPr>
            <w:tcW w:w="184" w:type="dxa"/>
            <w:tcBorders/>
            <w:shd w:fill="CCEEFF" w:val="clear"/>
            <w:vAlign w:val="center"/>
          </w:tcPr>
          <w:p>
            <w:pPr>
              <w:pStyle w:val="TableContents"/>
              <w:bidi w:val="0"/>
              <w:spacing w:before="0" w:after="283"/>
              <w:jc w:val="left"/>
              <w:rPr/>
            </w:pPr>
            <w:r>
              <w:rPr/>
              <w:t> </w:t>
            </w:r>
          </w:p>
        </w:tc>
        <w:tc>
          <w:tcPr>
            <w:tcW w:w="989" w:type="dxa"/>
            <w:tcBorders/>
            <w:shd w:fill="CCEEFF" w:val="clear"/>
            <w:vAlign w:val="center"/>
          </w:tcPr>
          <w:p>
            <w:pPr>
              <w:pStyle w:val="TableContents"/>
              <w:bidi w:val="0"/>
              <w:spacing w:before="0" w:after="283"/>
              <w:jc w:val="right"/>
              <w:rPr/>
            </w:pPr>
            <w:r>
              <w:rPr/>
              <w:t> </w:t>
            </w:r>
          </w:p>
        </w:tc>
        <w:tc>
          <w:tcPr>
            <w:tcW w:w="118" w:type="dxa"/>
            <w:tcBorders/>
            <w:shd w:fill="CCEEFF" w:val="clear"/>
            <w:vAlign w:val="center"/>
          </w:tcPr>
          <w:p>
            <w:pPr>
              <w:pStyle w:val="TableContents"/>
              <w:bidi w:val="0"/>
              <w:spacing w:before="0" w:after="283"/>
              <w:jc w:val="left"/>
              <w:rPr/>
            </w:pPr>
            <w:r>
              <w:rPr/>
              <w:t> </w:t>
            </w:r>
          </w:p>
        </w:tc>
        <w:tc>
          <w:tcPr>
            <w:tcW w:w="74" w:type="dxa"/>
            <w:tcBorders/>
            <w:shd w:fill="CCEEFF" w:val="clear"/>
            <w:vAlign w:val="center"/>
          </w:tcPr>
          <w:p>
            <w:pPr>
              <w:pStyle w:val="TableContents"/>
              <w:bidi w:val="0"/>
              <w:spacing w:before="0" w:after="283"/>
              <w:jc w:val="left"/>
              <w:rPr/>
            </w:pPr>
            <w:r>
              <w:rPr/>
              <w:t> </w:t>
            </w:r>
          </w:p>
        </w:tc>
        <w:tc>
          <w:tcPr>
            <w:tcW w:w="204" w:type="dxa"/>
            <w:tcBorders/>
            <w:shd w:fill="CCEEFF" w:val="clear"/>
            <w:vAlign w:val="center"/>
          </w:tcPr>
          <w:p>
            <w:pPr>
              <w:pStyle w:val="TableContents"/>
              <w:bidi w:val="0"/>
              <w:spacing w:before="0" w:after="283"/>
              <w:jc w:val="left"/>
              <w:rPr/>
            </w:pPr>
            <w:r>
              <w:rPr/>
              <w:t> </w:t>
            </w:r>
          </w:p>
        </w:tc>
        <w:tc>
          <w:tcPr>
            <w:tcW w:w="951" w:type="dxa"/>
            <w:tcBorders/>
            <w:shd w:fill="CCEEFF" w:val="clear"/>
            <w:vAlign w:val="center"/>
          </w:tcPr>
          <w:p>
            <w:pPr>
              <w:pStyle w:val="TableContents"/>
              <w:bidi w:val="0"/>
              <w:spacing w:before="0" w:after="283"/>
              <w:jc w:val="right"/>
              <w:rPr/>
            </w:pPr>
            <w:r>
              <w:rPr/>
              <w:t> </w:t>
            </w:r>
          </w:p>
        </w:tc>
        <w:tc>
          <w:tcPr>
            <w:tcW w:w="118" w:type="dxa"/>
            <w:tcBorders/>
            <w:shd w:fill="CCEEFF" w:val="clear"/>
            <w:vAlign w:val="center"/>
          </w:tcPr>
          <w:p>
            <w:pPr>
              <w:pStyle w:val="TableContents"/>
              <w:bidi w:val="0"/>
              <w:spacing w:before="0" w:after="283"/>
              <w:jc w:val="left"/>
              <w:rPr/>
            </w:pPr>
            <w:r>
              <w:rPr/>
              <w:t> </w:t>
            </w:r>
          </w:p>
        </w:tc>
        <w:tc>
          <w:tcPr>
            <w:tcW w:w="74" w:type="dxa"/>
            <w:tcBorders/>
            <w:shd w:fill="CCEEFF" w:val="clear"/>
            <w:vAlign w:val="center"/>
          </w:tcPr>
          <w:p>
            <w:pPr>
              <w:pStyle w:val="TableContents"/>
              <w:bidi w:val="0"/>
              <w:spacing w:before="0" w:after="283"/>
              <w:jc w:val="left"/>
              <w:rPr/>
            </w:pPr>
            <w:r>
              <w:rPr/>
              <w:t> </w:t>
            </w:r>
          </w:p>
        </w:tc>
        <w:tc>
          <w:tcPr>
            <w:tcW w:w="173" w:type="dxa"/>
            <w:tcBorders/>
            <w:shd w:fill="CCEEFF" w:val="clear"/>
            <w:vAlign w:val="center"/>
          </w:tcPr>
          <w:p>
            <w:pPr>
              <w:pStyle w:val="TableContents"/>
              <w:bidi w:val="0"/>
              <w:spacing w:before="0" w:after="283"/>
              <w:jc w:val="left"/>
              <w:rPr/>
            </w:pPr>
            <w:r>
              <w:rPr/>
              <w:t> </w:t>
            </w:r>
          </w:p>
        </w:tc>
        <w:tc>
          <w:tcPr>
            <w:tcW w:w="994" w:type="dxa"/>
            <w:tcBorders/>
            <w:shd w:fill="CCEEFF" w:val="clear"/>
            <w:vAlign w:val="center"/>
          </w:tcPr>
          <w:p>
            <w:pPr>
              <w:pStyle w:val="TableContents"/>
              <w:bidi w:val="0"/>
              <w:spacing w:before="0" w:after="283"/>
              <w:jc w:val="right"/>
              <w:rPr/>
            </w:pPr>
            <w:r>
              <w:rPr/>
              <w:t> </w:t>
            </w:r>
          </w:p>
        </w:tc>
        <w:tc>
          <w:tcPr>
            <w:tcW w:w="115" w:type="dxa"/>
            <w:tcBorders/>
            <w:shd w:fill="CCEEFF" w:val="clear"/>
            <w:vAlign w:val="center"/>
          </w:tcPr>
          <w:p>
            <w:pPr>
              <w:pStyle w:val="TableContents"/>
              <w:bidi w:val="0"/>
              <w:spacing w:before="0" w:after="283"/>
              <w:ind w:left="0" w:right="0" w:hanging="180"/>
              <w:jc w:val="left"/>
              <w:rPr/>
            </w:pPr>
            <w:r>
              <w:rPr/>
              <w:t> </w:t>
            </w:r>
          </w:p>
        </w:tc>
      </w:tr>
      <w:tr>
        <w:trPr/>
        <w:tc>
          <w:tcPr>
            <w:tcW w:w="6151" w:type="dxa"/>
            <w:tcBorders/>
            <w:shd w:fill="FFFFFF" w:val="clear"/>
            <w:vAlign w:val="center"/>
          </w:tcPr>
          <w:p>
            <w:pPr>
              <w:pStyle w:val="TableContents"/>
              <w:bidi w:val="0"/>
              <w:spacing w:before="0" w:after="283"/>
              <w:jc w:val="left"/>
              <w:rPr/>
            </w:pPr>
            <w:r>
              <w:rPr/>
              <w:t>Cost of revenues</w:t>
            </w:r>
          </w:p>
        </w:tc>
        <w:tc>
          <w:tcPr>
            <w:tcW w:w="60" w:type="dxa"/>
            <w:tcBorders/>
            <w:shd w:fill="FFFFFF" w:val="clear"/>
            <w:vAlign w:val="center"/>
          </w:tcPr>
          <w:p>
            <w:pPr>
              <w:pStyle w:val="TableContents"/>
              <w:bidi w:val="0"/>
              <w:spacing w:before="0" w:after="283"/>
              <w:jc w:val="left"/>
              <w:rPr/>
            </w:pPr>
            <w:r>
              <w:rPr/>
              <w:t> </w:t>
            </w:r>
          </w:p>
        </w:tc>
        <w:tc>
          <w:tcPr>
            <w:tcW w:w="184" w:type="dxa"/>
            <w:tcBorders/>
            <w:shd w:fill="FFFFFF" w:val="clear"/>
            <w:vAlign w:val="center"/>
          </w:tcPr>
          <w:p>
            <w:pPr>
              <w:pStyle w:val="TableContents"/>
              <w:bidi w:val="0"/>
              <w:spacing w:before="0" w:after="283"/>
              <w:jc w:val="left"/>
              <w:rPr/>
            </w:pPr>
            <w:r>
              <w:rPr/>
              <w:t> </w:t>
            </w:r>
          </w:p>
        </w:tc>
        <w:tc>
          <w:tcPr>
            <w:tcW w:w="989" w:type="dxa"/>
            <w:tcBorders/>
            <w:shd w:fill="FFFFFF" w:val="clear"/>
            <w:vAlign w:val="center"/>
          </w:tcPr>
          <w:p>
            <w:pPr>
              <w:pStyle w:val="TableContents"/>
              <w:bidi w:val="0"/>
              <w:spacing w:before="0" w:after="283"/>
              <w:jc w:val="right"/>
              <w:rPr/>
            </w:pPr>
            <w:r>
              <w:rPr/>
              <w:t>45,266</w:t>
            </w:r>
          </w:p>
        </w:tc>
        <w:tc>
          <w:tcPr>
            <w:tcW w:w="118" w:type="dxa"/>
            <w:tcBorders/>
            <w:shd w:fill="FFFFFF" w:val="clear"/>
            <w:vAlign w:val="center"/>
          </w:tcPr>
          <w:p>
            <w:pPr>
              <w:pStyle w:val="TableContents"/>
              <w:bidi w:val="0"/>
              <w:spacing w:before="0" w:after="283"/>
              <w:jc w:val="left"/>
              <w:rPr/>
            </w:pPr>
            <w:r>
              <w:rPr/>
              <w:t> </w:t>
            </w:r>
          </w:p>
        </w:tc>
        <w:tc>
          <w:tcPr>
            <w:tcW w:w="74" w:type="dxa"/>
            <w:tcBorders/>
            <w:shd w:fill="FFFFFF" w:val="clear"/>
            <w:vAlign w:val="center"/>
          </w:tcPr>
          <w:p>
            <w:pPr>
              <w:pStyle w:val="TableContents"/>
              <w:bidi w:val="0"/>
              <w:spacing w:before="0" w:after="283"/>
              <w:jc w:val="left"/>
              <w:rPr/>
            </w:pPr>
            <w:r>
              <w:rPr/>
              <w:t> </w:t>
            </w:r>
          </w:p>
        </w:tc>
        <w:tc>
          <w:tcPr>
            <w:tcW w:w="204" w:type="dxa"/>
            <w:tcBorders/>
            <w:shd w:fill="FFFFFF" w:val="clear"/>
            <w:vAlign w:val="center"/>
          </w:tcPr>
          <w:p>
            <w:pPr>
              <w:pStyle w:val="TableContents"/>
              <w:bidi w:val="0"/>
              <w:spacing w:before="0" w:after="283"/>
              <w:jc w:val="left"/>
              <w:rPr/>
            </w:pPr>
            <w:r>
              <w:rPr/>
              <w:t> </w:t>
            </w:r>
          </w:p>
        </w:tc>
        <w:tc>
          <w:tcPr>
            <w:tcW w:w="951" w:type="dxa"/>
            <w:tcBorders/>
            <w:shd w:fill="FFFFFF" w:val="clear"/>
            <w:vAlign w:val="center"/>
          </w:tcPr>
          <w:p>
            <w:pPr>
              <w:pStyle w:val="TableContents"/>
              <w:bidi w:val="0"/>
              <w:spacing w:before="0" w:after="283"/>
              <w:jc w:val="right"/>
              <w:rPr/>
            </w:pPr>
            <w:r>
              <w:rPr/>
              <w:t>23,974</w:t>
            </w:r>
          </w:p>
        </w:tc>
        <w:tc>
          <w:tcPr>
            <w:tcW w:w="118" w:type="dxa"/>
            <w:tcBorders/>
            <w:shd w:fill="FFFFFF" w:val="clear"/>
            <w:vAlign w:val="center"/>
          </w:tcPr>
          <w:p>
            <w:pPr>
              <w:pStyle w:val="TableContents"/>
              <w:bidi w:val="0"/>
              <w:spacing w:before="0" w:after="283"/>
              <w:jc w:val="left"/>
              <w:rPr/>
            </w:pPr>
            <w:r>
              <w:rPr/>
              <w:t> </w:t>
            </w:r>
          </w:p>
        </w:tc>
        <w:tc>
          <w:tcPr>
            <w:tcW w:w="74" w:type="dxa"/>
            <w:tcBorders/>
            <w:shd w:fill="FFFFFF" w:val="clear"/>
            <w:vAlign w:val="center"/>
          </w:tcPr>
          <w:p>
            <w:pPr>
              <w:pStyle w:val="TableContents"/>
              <w:bidi w:val="0"/>
              <w:spacing w:before="0" w:after="283"/>
              <w:jc w:val="left"/>
              <w:rPr/>
            </w:pPr>
            <w:r>
              <w:rPr/>
              <w:t> </w:t>
            </w:r>
          </w:p>
        </w:tc>
        <w:tc>
          <w:tcPr>
            <w:tcW w:w="173" w:type="dxa"/>
            <w:tcBorders/>
            <w:shd w:fill="FFFFFF" w:val="clear"/>
            <w:vAlign w:val="center"/>
          </w:tcPr>
          <w:p>
            <w:pPr>
              <w:pStyle w:val="TableContents"/>
              <w:bidi w:val="0"/>
              <w:spacing w:before="0" w:after="283"/>
              <w:jc w:val="left"/>
              <w:rPr/>
            </w:pPr>
            <w:r>
              <w:rPr/>
              <w:t> </w:t>
            </w:r>
          </w:p>
        </w:tc>
        <w:tc>
          <w:tcPr>
            <w:tcW w:w="994" w:type="dxa"/>
            <w:tcBorders/>
            <w:shd w:fill="FFFFFF" w:val="clear"/>
            <w:vAlign w:val="center"/>
          </w:tcPr>
          <w:p>
            <w:pPr>
              <w:pStyle w:val="TableContents"/>
              <w:bidi w:val="0"/>
              <w:spacing w:before="0" w:after="283"/>
              <w:jc w:val="right"/>
              <w:rPr/>
            </w:pPr>
            <w:r>
              <w:rPr/>
              <w:t> </w:t>
            </w:r>
          </w:p>
        </w:tc>
        <w:tc>
          <w:tcPr>
            <w:tcW w:w="115" w:type="dxa"/>
            <w:tcBorders/>
            <w:shd w:fill="FFFFFF" w:val="clear"/>
            <w:vAlign w:val="center"/>
          </w:tcPr>
          <w:p>
            <w:pPr>
              <w:pStyle w:val="TableContents"/>
              <w:bidi w:val="0"/>
              <w:spacing w:before="0" w:after="283"/>
              <w:ind w:left="0" w:right="0" w:hanging="180"/>
              <w:jc w:val="left"/>
              <w:rPr/>
            </w:pPr>
            <w:r>
              <w:rPr/>
              <w:t> </w:t>
            </w:r>
          </w:p>
        </w:tc>
      </w:tr>
      <w:tr>
        <w:trPr/>
        <w:tc>
          <w:tcPr>
            <w:tcW w:w="6151" w:type="dxa"/>
            <w:tcBorders/>
            <w:shd w:fill="CCEEFF" w:val="clear"/>
            <w:vAlign w:val="center"/>
          </w:tcPr>
          <w:p>
            <w:pPr>
              <w:pStyle w:val="TableContents"/>
              <w:bidi w:val="0"/>
              <w:spacing w:before="0" w:after="283"/>
              <w:jc w:val="left"/>
              <w:rPr/>
            </w:pPr>
            <w:r>
              <w:rPr/>
              <w:t>Sales commissions</w:t>
            </w:r>
          </w:p>
        </w:tc>
        <w:tc>
          <w:tcPr>
            <w:tcW w:w="60" w:type="dxa"/>
            <w:tcBorders/>
            <w:shd w:fill="CCEEFF" w:val="clear"/>
            <w:vAlign w:val="center"/>
          </w:tcPr>
          <w:p>
            <w:pPr>
              <w:pStyle w:val="TableContents"/>
              <w:bidi w:val="0"/>
              <w:spacing w:before="0" w:after="283"/>
              <w:jc w:val="left"/>
              <w:rPr/>
            </w:pPr>
            <w:r>
              <w:rPr/>
              <w:t> </w:t>
            </w:r>
          </w:p>
        </w:tc>
        <w:tc>
          <w:tcPr>
            <w:tcW w:w="184" w:type="dxa"/>
            <w:tcBorders/>
            <w:shd w:fill="CCEEFF" w:val="clear"/>
            <w:vAlign w:val="center"/>
          </w:tcPr>
          <w:p>
            <w:pPr>
              <w:pStyle w:val="TableContents"/>
              <w:bidi w:val="0"/>
              <w:spacing w:before="0" w:after="283"/>
              <w:jc w:val="left"/>
              <w:rPr/>
            </w:pPr>
            <w:r>
              <w:rPr/>
              <w:t> </w:t>
            </w:r>
          </w:p>
        </w:tc>
        <w:tc>
          <w:tcPr>
            <w:tcW w:w="989" w:type="dxa"/>
            <w:tcBorders/>
            <w:shd w:fill="CCEEFF" w:val="clear"/>
            <w:vAlign w:val="center"/>
          </w:tcPr>
          <w:p>
            <w:pPr>
              <w:pStyle w:val="TableContents"/>
              <w:bidi w:val="0"/>
              <w:spacing w:before="0" w:after="283"/>
              <w:jc w:val="right"/>
              <w:rPr/>
            </w:pPr>
            <w:r>
              <w:rPr/>
              <w:t>23,388</w:t>
            </w:r>
          </w:p>
        </w:tc>
        <w:tc>
          <w:tcPr>
            <w:tcW w:w="118" w:type="dxa"/>
            <w:tcBorders/>
            <w:shd w:fill="CCEEFF" w:val="clear"/>
            <w:vAlign w:val="center"/>
          </w:tcPr>
          <w:p>
            <w:pPr>
              <w:pStyle w:val="TableContents"/>
              <w:bidi w:val="0"/>
              <w:spacing w:before="0" w:after="283"/>
              <w:jc w:val="left"/>
              <w:rPr/>
            </w:pPr>
            <w:r>
              <w:rPr/>
              <w:t> </w:t>
            </w:r>
          </w:p>
        </w:tc>
        <w:tc>
          <w:tcPr>
            <w:tcW w:w="74" w:type="dxa"/>
            <w:tcBorders/>
            <w:shd w:fill="CCEEFF" w:val="clear"/>
            <w:vAlign w:val="center"/>
          </w:tcPr>
          <w:p>
            <w:pPr>
              <w:pStyle w:val="TableContents"/>
              <w:bidi w:val="0"/>
              <w:spacing w:before="0" w:after="283"/>
              <w:jc w:val="left"/>
              <w:rPr/>
            </w:pPr>
            <w:r>
              <w:rPr/>
              <w:t> </w:t>
            </w:r>
          </w:p>
        </w:tc>
        <w:tc>
          <w:tcPr>
            <w:tcW w:w="204" w:type="dxa"/>
            <w:tcBorders/>
            <w:shd w:fill="CCEEFF" w:val="clear"/>
            <w:vAlign w:val="center"/>
          </w:tcPr>
          <w:p>
            <w:pPr>
              <w:pStyle w:val="TableContents"/>
              <w:bidi w:val="0"/>
              <w:spacing w:before="0" w:after="283"/>
              <w:jc w:val="left"/>
              <w:rPr/>
            </w:pPr>
            <w:r>
              <w:rPr/>
              <w:t> </w:t>
            </w:r>
          </w:p>
        </w:tc>
        <w:tc>
          <w:tcPr>
            <w:tcW w:w="951" w:type="dxa"/>
            <w:tcBorders/>
            <w:shd w:fill="CCEEFF" w:val="clear"/>
            <w:vAlign w:val="center"/>
          </w:tcPr>
          <w:p>
            <w:pPr>
              <w:pStyle w:val="TableContents"/>
              <w:bidi w:val="0"/>
              <w:spacing w:before="0" w:after="283"/>
              <w:jc w:val="right"/>
              <w:rPr/>
            </w:pPr>
            <w:r>
              <w:rPr/>
              <w:t>1,202</w:t>
            </w:r>
          </w:p>
        </w:tc>
        <w:tc>
          <w:tcPr>
            <w:tcW w:w="118" w:type="dxa"/>
            <w:tcBorders/>
            <w:shd w:fill="CCEEFF" w:val="clear"/>
            <w:vAlign w:val="center"/>
          </w:tcPr>
          <w:p>
            <w:pPr>
              <w:pStyle w:val="TableContents"/>
              <w:bidi w:val="0"/>
              <w:spacing w:before="0" w:after="283"/>
              <w:jc w:val="left"/>
              <w:rPr/>
            </w:pPr>
            <w:r>
              <w:rPr/>
              <w:t> </w:t>
            </w:r>
          </w:p>
        </w:tc>
        <w:tc>
          <w:tcPr>
            <w:tcW w:w="74" w:type="dxa"/>
            <w:tcBorders/>
            <w:shd w:fill="CCEEFF" w:val="clear"/>
            <w:vAlign w:val="center"/>
          </w:tcPr>
          <w:p>
            <w:pPr>
              <w:pStyle w:val="TableContents"/>
              <w:bidi w:val="0"/>
              <w:spacing w:before="0" w:after="283"/>
              <w:jc w:val="left"/>
              <w:rPr/>
            </w:pPr>
            <w:r>
              <w:rPr/>
              <w:t> </w:t>
            </w:r>
          </w:p>
        </w:tc>
        <w:tc>
          <w:tcPr>
            <w:tcW w:w="173" w:type="dxa"/>
            <w:tcBorders/>
            <w:shd w:fill="CCEEFF" w:val="clear"/>
            <w:vAlign w:val="center"/>
          </w:tcPr>
          <w:p>
            <w:pPr>
              <w:pStyle w:val="TableContents"/>
              <w:bidi w:val="0"/>
              <w:spacing w:before="0" w:after="283"/>
              <w:jc w:val="left"/>
              <w:rPr/>
            </w:pPr>
            <w:r>
              <w:rPr/>
              <w:t> </w:t>
            </w:r>
          </w:p>
        </w:tc>
        <w:tc>
          <w:tcPr>
            <w:tcW w:w="994" w:type="dxa"/>
            <w:tcBorders/>
            <w:shd w:fill="CCEEFF" w:val="clear"/>
            <w:vAlign w:val="center"/>
          </w:tcPr>
          <w:p>
            <w:pPr>
              <w:pStyle w:val="TableContents"/>
              <w:bidi w:val="0"/>
              <w:spacing w:before="0" w:after="283"/>
              <w:jc w:val="right"/>
              <w:rPr/>
            </w:pPr>
            <w:r>
              <w:rPr/>
              <w:t> </w:t>
            </w:r>
          </w:p>
        </w:tc>
        <w:tc>
          <w:tcPr>
            <w:tcW w:w="115" w:type="dxa"/>
            <w:tcBorders/>
            <w:shd w:fill="CCEEFF" w:val="clear"/>
            <w:vAlign w:val="center"/>
          </w:tcPr>
          <w:p>
            <w:pPr>
              <w:pStyle w:val="TableContents"/>
              <w:bidi w:val="0"/>
              <w:spacing w:before="0" w:after="283"/>
              <w:ind w:left="0" w:right="0" w:hanging="180"/>
              <w:jc w:val="left"/>
              <w:rPr/>
            </w:pPr>
            <w:r>
              <w:rPr/>
              <w:t> </w:t>
            </w:r>
          </w:p>
        </w:tc>
      </w:tr>
      <w:tr>
        <w:trPr/>
        <w:tc>
          <w:tcPr>
            <w:tcW w:w="6151" w:type="dxa"/>
            <w:tcBorders/>
            <w:shd w:fill="FFFFFF" w:val="clear"/>
            <w:vAlign w:val="center"/>
          </w:tcPr>
          <w:p>
            <w:pPr>
              <w:pStyle w:val="TableContents"/>
              <w:bidi w:val="0"/>
              <w:spacing w:before="0" w:after="283"/>
              <w:jc w:val="left"/>
              <w:rPr/>
            </w:pPr>
            <w:r>
              <w:rPr/>
              <w:t>Sales and marketing</w:t>
            </w:r>
          </w:p>
        </w:tc>
        <w:tc>
          <w:tcPr>
            <w:tcW w:w="60" w:type="dxa"/>
            <w:tcBorders/>
            <w:shd w:fill="FFFFFF" w:val="clear"/>
            <w:vAlign w:val="center"/>
          </w:tcPr>
          <w:p>
            <w:pPr>
              <w:pStyle w:val="TableContents"/>
              <w:bidi w:val="0"/>
              <w:spacing w:before="0" w:after="283"/>
              <w:jc w:val="left"/>
              <w:rPr/>
            </w:pPr>
            <w:r>
              <w:rPr/>
              <w:t> </w:t>
            </w:r>
          </w:p>
        </w:tc>
        <w:tc>
          <w:tcPr>
            <w:tcW w:w="184" w:type="dxa"/>
            <w:tcBorders/>
            <w:shd w:fill="FFFFFF" w:val="clear"/>
            <w:vAlign w:val="center"/>
          </w:tcPr>
          <w:p>
            <w:pPr>
              <w:pStyle w:val="TableContents"/>
              <w:bidi w:val="0"/>
              <w:spacing w:before="0" w:after="283"/>
              <w:jc w:val="left"/>
              <w:rPr/>
            </w:pPr>
            <w:r>
              <w:rPr/>
              <w:t> </w:t>
            </w:r>
          </w:p>
        </w:tc>
        <w:tc>
          <w:tcPr>
            <w:tcW w:w="989" w:type="dxa"/>
            <w:tcBorders/>
            <w:shd w:fill="FFFFFF" w:val="clear"/>
            <w:vAlign w:val="center"/>
          </w:tcPr>
          <w:p>
            <w:pPr>
              <w:pStyle w:val="TableContents"/>
              <w:bidi w:val="0"/>
              <w:spacing w:before="0" w:after="283"/>
              <w:jc w:val="right"/>
              <w:rPr/>
            </w:pPr>
            <w:r>
              <w:rPr/>
              <w:t>6,827</w:t>
            </w:r>
          </w:p>
        </w:tc>
        <w:tc>
          <w:tcPr>
            <w:tcW w:w="118" w:type="dxa"/>
            <w:tcBorders/>
            <w:shd w:fill="FFFFFF" w:val="clear"/>
            <w:vAlign w:val="center"/>
          </w:tcPr>
          <w:p>
            <w:pPr>
              <w:pStyle w:val="TableContents"/>
              <w:bidi w:val="0"/>
              <w:spacing w:before="0" w:after="283"/>
              <w:jc w:val="left"/>
              <w:rPr/>
            </w:pPr>
            <w:r>
              <w:rPr/>
              <w:t> </w:t>
            </w:r>
          </w:p>
        </w:tc>
        <w:tc>
          <w:tcPr>
            <w:tcW w:w="74" w:type="dxa"/>
            <w:tcBorders/>
            <w:shd w:fill="FFFFFF" w:val="clear"/>
            <w:vAlign w:val="center"/>
          </w:tcPr>
          <w:p>
            <w:pPr>
              <w:pStyle w:val="TableContents"/>
              <w:bidi w:val="0"/>
              <w:spacing w:before="0" w:after="283"/>
              <w:jc w:val="left"/>
              <w:rPr/>
            </w:pPr>
            <w:r>
              <w:rPr/>
              <w:t> </w:t>
            </w:r>
          </w:p>
        </w:tc>
        <w:tc>
          <w:tcPr>
            <w:tcW w:w="204" w:type="dxa"/>
            <w:tcBorders/>
            <w:shd w:fill="FFFFFF" w:val="clear"/>
            <w:vAlign w:val="center"/>
          </w:tcPr>
          <w:p>
            <w:pPr>
              <w:pStyle w:val="TableContents"/>
              <w:bidi w:val="0"/>
              <w:spacing w:before="0" w:after="283"/>
              <w:jc w:val="left"/>
              <w:rPr/>
            </w:pPr>
            <w:r>
              <w:rPr/>
              <w:t> </w:t>
            </w:r>
          </w:p>
        </w:tc>
        <w:tc>
          <w:tcPr>
            <w:tcW w:w="951" w:type="dxa"/>
            <w:tcBorders/>
            <w:shd w:fill="FFFFFF" w:val="clear"/>
            <w:vAlign w:val="center"/>
          </w:tcPr>
          <w:p>
            <w:pPr>
              <w:pStyle w:val="TableContents"/>
              <w:bidi w:val="0"/>
              <w:spacing w:before="0" w:after="283"/>
              <w:jc w:val="right"/>
              <w:rPr/>
            </w:pPr>
            <w:r>
              <w:rPr/>
              <w:t>—</w:t>
            </w:r>
          </w:p>
        </w:tc>
        <w:tc>
          <w:tcPr>
            <w:tcW w:w="118" w:type="dxa"/>
            <w:tcBorders/>
            <w:shd w:fill="FFFFFF" w:val="clear"/>
            <w:vAlign w:val="center"/>
          </w:tcPr>
          <w:p>
            <w:pPr>
              <w:pStyle w:val="TableContents"/>
              <w:bidi w:val="0"/>
              <w:spacing w:before="0" w:after="283"/>
              <w:jc w:val="left"/>
              <w:rPr/>
            </w:pPr>
            <w:r>
              <w:rPr/>
              <w:t> </w:t>
            </w:r>
          </w:p>
        </w:tc>
        <w:tc>
          <w:tcPr>
            <w:tcW w:w="74" w:type="dxa"/>
            <w:tcBorders/>
            <w:shd w:fill="FFFFFF" w:val="clear"/>
            <w:vAlign w:val="center"/>
          </w:tcPr>
          <w:p>
            <w:pPr>
              <w:pStyle w:val="TableContents"/>
              <w:bidi w:val="0"/>
              <w:spacing w:before="0" w:after="283"/>
              <w:jc w:val="left"/>
              <w:rPr/>
            </w:pPr>
            <w:r>
              <w:rPr/>
              <w:t> </w:t>
            </w:r>
          </w:p>
        </w:tc>
        <w:tc>
          <w:tcPr>
            <w:tcW w:w="173" w:type="dxa"/>
            <w:tcBorders/>
            <w:shd w:fill="FFFFFF" w:val="clear"/>
            <w:vAlign w:val="center"/>
          </w:tcPr>
          <w:p>
            <w:pPr>
              <w:pStyle w:val="TableContents"/>
              <w:bidi w:val="0"/>
              <w:spacing w:before="0" w:after="283"/>
              <w:jc w:val="left"/>
              <w:rPr/>
            </w:pPr>
            <w:r>
              <w:rPr/>
              <w:t> </w:t>
            </w:r>
          </w:p>
        </w:tc>
        <w:tc>
          <w:tcPr>
            <w:tcW w:w="994" w:type="dxa"/>
            <w:tcBorders/>
            <w:shd w:fill="FFFFFF" w:val="clear"/>
            <w:vAlign w:val="center"/>
          </w:tcPr>
          <w:p>
            <w:pPr>
              <w:pStyle w:val="TableContents"/>
              <w:bidi w:val="0"/>
              <w:spacing w:before="0" w:after="283"/>
              <w:jc w:val="right"/>
              <w:rPr/>
            </w:pPr>
            <w:r>
              <w:rPr/>
              <w:t> </w:t>
            </w:r>
          </w:p>
        </w:tc>
        <w:tc>
          <w:tcPr>
            <w:tcW w:w="115" w:type="dxa"/>
            <w:tcBorders/>
            <w:shd w:fill="FFFFFF" w:val="clear"/>
            <w:vAlign w:val="center"/>
          </w:tcPr>
          <w:p>
            <w:pPr>
              <w:pStyle w:val="TableContents"/>
              <w:bidi w:val="0"/>
              <w:spacing w:before="0" w:after="283"/>
              <w:ind w:left="0" w:right="0" w:hanging="180"/>
              <w:jc w:val="left"/>
              <w:rPr/>
            </w:pPr>
            <w:r>
              <w:rPr/>
              <w:t> </w:t>
            </w:r>
          </w:p>
        </w:tc>
      </w:tr>
      <w:tr>
        <w:trPr/>
        <w:tc>
          <w:tcPr>
            <w:tcW w:w="6151"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General and administrative</w:t>
            </w:r>
            <w:r>
              <w:rPr>
                <w:rFonts w:ascii="Times New Roman;Times;Serif" w:hAnsi="Times New Roman;Times;Serif"/>
                <w:position w:val="7"/>
                <w:sz w:val="16"/>
                <w:sz w:val="20"/>
              </w:rPr>
              <w:t>(1)</w:t>
            </w:r>
          </w:p>
        </w:tc>
        <w:tc>
          <w:tcPr>
            <w:tcW w:w="60" w:type="dxa"/>
            <w:tcBorders/>
            <w:shd w:fill="CCEEFF" w:val="clear"/>
            <w:vAlign w:val="center"/>
          </w:tcPr>
          <w:p>
            <w:pPr>
              <w:pStyle w:val="TableContents"/>
              <w:bidi w:val="0"/>
              <w:spacing w:before="0" w:after="283"/>
              <w:jc w:val="left"/>
              <w:rPr/>
            </w:pPr>
            <w:r>
              <w:rPr/>
              <w:t> </w:t>
            </w:r>
          </w:p>
        </w:tc>
        <w:tc>
          <w:tcPr>
            <w:tcW w:w="184"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89" w:type="dxa"/>
            <w:tcBorders>
              <w:bottom w:val="single" w:sz="12" w:space="0" w:color="000000"/>
            </w:tcBorders>
            <w:shd w:fill="CCEEFF" w:val="clear"/>
            <w:tcMar>
              <w:bottom w:w="28" w:type="dxa"/>
            </w:tcMar>
            <w:vAlign w:val="center"/>
          </w:tcPr>
          <w:p>
            <w:pPr>
              <w:pStyle w:val="TableContents"/>
              <w:bidi w:val="0"/>
              <w:spacing w:before="0" w:after="283"/>
              <w:jc w:val="right"/>
              <w:rPr/>
            </w:pPr>
            <w:r>
              <w:rPr/>
              <w:t>57,641</w:t>
            </w:r>
          </w:p>
        </w:tc>
        <w:tc>
          <w:tcPr>
            <w:tcW w:w="118" w:type="dxa"/>
            <w:tcBorders/>
            <w:shd w:fill="CCEEFF" w:val="clear"/>
            <w:vAlign w:val="center"/>
          </w:tcPr>
          <w:p>
            <w:pPr>
              <w:pStyle w:val="TableContents"/>
              <w:bidi w:val="0"/>
              <w:spacing w:before="0" w:after="283"/>
              <w:jc w:val="left"/>
              <w:rPr/>
            </w:pPr>
            <w:r>
              <w:rPr/>
              <w:t> </w:t>
            </w:r>
          </w:p>
        </w:tc>
        <w:tc>
          <w:tcPr>
            <w:tcW w:w="74" w:type="dxa"/>
            <w:tcBorders/>
            <w:shd w:fill="CCEEFF" w:val="clear"/>
            <w:vAlign w:val="center"/>
          </w:tcPr>
          <w:p>
            <w:pPr>
              <w:pStyle w:val="TableContents"/>
              <w:bidi w:val="0"/>
              <w:spacing w:before="0" w:after="283"/>
              <w:jc w:val="left"/>
              <w:rPr/>
            </w:pPr>
            <w:r>
              <w:rPr/>
              <w:t> </w:t>
            </w:r>
          </w:p>
        </w:tc>
        <w:tc>
          <w:tcPr>
            <w:tcW w:w="204"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51" w:type="dxa"/>
            <w:tcBorders>
              <w:bottom w:val="single" w:sz="12" w:space="0" w:color="000000"/>
            </w:tcBorders>
            <w:shd w:fill="CCEEFF" w:val="clear"/>
            <w:tcMar>
              <w:bottom w:w="28" w:type="dxa"/>
            </w:tcMar>
            <w:vAlign w:val="center"/>
          </w:tcPr>
          <w:p>
            <w:pPr>
              <w:pStyle w:val="TableContents"/>
              <w:bidi w:val="0"/>
              <w:spacing w:before="0" w:after="283"/>
              <w:jc w:val="right"/>
              <w:rPr/>
            </w:pPr>
            <w:r>
              <w:rPr/>
              <w:t>18,953</w:t>
            </w:r>
          </w:p>
        </w:tc>
        <w:tc>
          <w:tcPr>
            <w:tcW w:w="118" w:type="dxa"/>
            <w:tcBorders/>
            <w:shd w:fill="CCEEFF" w:val="clear"/>
            <w:vAlign w:val="center"/>
          </w:tcPr>
          <w:p>
            <w:pPr>
              <w:pStyle w:val="TableContents"/>
              <w:bidi w:val="0"/>
              <w:spacing w:before="0" w:after="283"/>
              <w:jc w:val="left"/>
              <w:rPr/>
            </w:pPr>
            <w:r>
              <w:rPr/>
              <w:t> </w:t>
            </w:r>
          </w:p>
        </w:tc>
        <w:tc>
          <w:tcPr>
            <w:tcW w:w="74" w:type="dxa"/>
            <w:tcBorders/>
            <w:shd w:fill="CCEEFF" w:val="clear"/>
            <w:vAlign w:val="center"/>
          </w:tcPr>
          <w:p>
            <w:pPr>
              <w:pStyle w:val="TableContents"/>
              <w:bidi w:val="0"/>
              <w:spacing w:before="0" w:after="283"/>
              <w:jc w:val="left"/>
              <w:rPr/>
            </w:pPr>
            <w:r>
              <w:rPr/>
              <w:t> </w:t>
            </w:r>
          </w:p>
        </w:tc>
        <w:tc>
          <w:tcPr>
            <w:tcW w:w="173"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94" w:type="dxa"/>
            <w:tcBorders>
              <w:bottom w:val="single" w:sz="12" w:space="0" w:color="000000"/>
            </w:tcBorders>
            <w:shd w:fill="CCEEFF" w:val="clear"/>
            <w:tcMar>
              <w:bottom w:w="28" w:type="dxa"/>
            </w:tcMar>
            <w:vAlign w:val="center"/>
          </w:tcPr>
          <w:p>
            <w:pPr>
              <w:pStyle w:val="TableContents"/>
              <w:bidi w:val="0"/>
              <w:spacing w:before="0" w:after="283"/>
              <w:jc w:val="right"/>
              <w:rPr/>
            </w:pPr>
            <w:r>
              <w:rPr/>
              <w:t> </w:t>
            </w:r>
          </w:p>
        </w:tc>
        <w:tc>
          <w:tcPr>
            <w:tcW w:w="115" w:type="dxa"/>
            <w:tcBorders/>
            <w:shd w:fill="CCEEFF" w:val="clear"/>
            <w:vAlign w:val="center"/>
          </w:tcPr>
          <w:p>
            <w:pPr>
              <w:pStyle w:val="TableContents"/>
              <w:bidi w:val="0"/>
              <w:spacing w:before="0" w:after="283"/>
              <w:ind w:left="0" w:right="0" w:hanging="180"/>
              <w:jc w:val="left"/>
              <w:rPr/>
            </w:pPr>
            <w:r>
              <w:rPr/>
              <w:t> </w:t>
            </w:r>
          </w:p>
        </w:tc>
      </w:tr>
      <w:tr>
        <w:trPr/>
        <w:tc>
          <w:tcPr>
            <w:tcW w:w="6151" w:type="dxa"/>
            <w:tcBorders/>
            <w:shd w:fill="FFFFFF" w:val="clear"/>
            <w:vAlign w:val="center"/>
          </w:tcPr>
          <w:p>
            <w:pPr>
              <w:pStyle w:val="TableContents"/>
              <w:bidi w:val="0"/>
              <w:spacing w:before="0" w:after="283"/>
              <w:jc w:val="left"/>
              <w:rPr/>
            </w:pPr>
            <w:r>
              <w:rPr/>
              <w:t>Segment operating (loss)</w:t>
            </w:r>
          </w:p>
        </w:tc>
        <w:tc>
          <w:tcPr>
            <w:tcW w:w="60" w:type="dxa"/>
            <w:tcBorders/>
            <w:shd w:fill="FFFFFF" w:val="clear"/>
            <w:vAlign w:val="center"/>
          </w:tcPr>
          <w:p>
            <w:pPr>
              <w:pStyle w:val="TableContents"/>
              <w:bidi w:val="0"/>
              <w:spacing w:before="0" w:after="283"/>
              <w:jc w:val="left"/>
              <w:rPr/>
            </w:pPr>
            <w:r>
              <w:rPr/>
              <w:t> </w:t>
            </w:r>
          </w:p>
        </w:tc>
        <w:tc>
          <w:tcPr>
            <w:tcW w:w="184"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989" w:type="dxa"/>
            <w:tcBorders>
              <w:bottom w:val="single" w:sz="12" w:space="0" w:color="000000"/>
            </w:tcBorders>
            <w:shd w:fill="FFFFFF" w:val="clear"/>
            <w:tcMar>
              <w:bottom w:w="28" w:type="dxa"/>
            </w:tcMar>
            <w:vAlign w:val="center"/>
          </w:tcPr>
          <w:p>
            <w:pPr>
              <w:pStyle w:val="TableContents"/>
              <w:bidi w:val="0"/>
              <w:spacing w:before="0" w:after="283"/>
              <w:jc w:val="right"/>
              <w:rPr/>
            </w:pPr>
            <w:r>
              <w:rPr/>
              <w:t>(65,662</w:t>
            </w:r>
          </w:p>
        </w:tc>
        <w:tc>
          <w:tcPr>
            <w:tcW w:w="118" w:type="dxa"/>
            <w:tcBorders/>
            <w:shd w:fill="FFFFFF" w:val="clear"/>
            <w:vAlign w:val="center"/>
          </w:tcPr>
          <w:p>
            <w:pPr>
              <w:pStyle w:val="TableContents"/>
              <w:bidi w:val="0"/>
              <w:spacing w:before="0" w:after="283"/>
              <w:jc w:val="left"/>
              <w:rPr/>
            </w:pPr>
            <w:r>
              <w:rPr/>
              <w:t>)</w:t>
            </w:r>
          </w:p>
        </w:tc>
        <w:tc>
          <w:tcPr>
            <w:tcW w:w="74" w:type="dxa"/>
            <w:tcBorders/>
            <w:shd w:fill="FFFFFF" w:val="clear"/>
            <w:vAlign w:val="center"/>
          </w:tcPr>
          <w:p>
            <w:pPr>
              <w:pStyle w:val="TableContents"/>
              <w:bidi w:val="0"/>
              <w:spacing w:before="0" w:after="283"/>
              <w:jc w:val="left"/>
              <w:rPr/>
            </w:pPr>
            <w:r>
              <w:rPr/>
              <w:t> </w:t>
            </w:r>
          </w:p>
        </w:tc>
        <w:tc>
          <w:tcPr>
            <w:tcW w:w="204"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951" w:type="dxa"/>
            <w:tcBorders>
              <w:bottom w:val="single" w:sz="12" w:space="0" w:color="000000"/>
            </w:tcBorders>
            <w:shd w:fill="FFFFFF" w:val="clear"/>
            <w:tcMar>
              <w:bottom w:w="28" w:type="dxa"/>
            </w:tcMar>
            <w:vAlign w:val="center"/>
          </w:tcPr>
          <w:p>
            <w:pPr>
              <w:pStyle w:val="TableContents"/>
              <w:bidi w:val="0"/>
              <w:spacing w:before="0" w:after="283"/>
              <w:jc w:val="right"/>
              <w:rPr/>
            </w:pPr>
            <w:r>
              <w:rPr/>
              <w:t>(2,847</w:t>
            </w:r>
          </w:p>
        </w:tc>
        <w:tc>
          <w:tcPr>
            <w:tcW w:w="118" w:type="dxa"/>
            <w:tcBorders/>
            <w:shd w:fill="FFFFFF" w:val="clear"/>
            <w:vAlign w:val="center"/>
          </w:tcPr>
          <w:p>
            <w:pPr>
              <w:pStyle w:val="TableContents"/>
              <w:bidi w:val="0"/>
              <w:spacing w:before="0" w:after="283"/>
              <w:jc w:val="left"/>
              <w:rPr/>
            </w:pPr>
            <w:r>
              <w:rPr/>
              <w:t>)</w:t>
            </w:r>
          </w:p>
        </w:tc>
        <w:tc>
          <w:tcPr>
            <w:tcW w:w="74" w:type="dxa"/>
            <w:tcBorders/>
            <w:shd w:fill="FFFFFF" w:val="clear"/>
            <w:vAlign w:val="center"/>
          </w:tcPr>
          <w:p>
            <w:pPr>
              <w:pStyle w:val="TableContents"/>
              <w:bidi w:val="0"/>
              <w:spacing w:before="0" w:after="283"/>
              <w:jc w:val="left"/>
              <w:rPr/>
            </w:pPr>
            <w:r>
              <w:rPr/>
              <w:t> </w:t>
            </w:r>
          </w:p>
        </w:tc>
        <w:tc>
          <w:tcPr>
            <w:tcW w:w="173"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994" w:type="dxa"/>
            <w:tcBorders>
              <w:bottom w:val="single" w:sz="12" w:space="0" w:color="000000"/>
            </w:tcBorders>
            <w:shd w:fill="FFFFFF" w:val="clear"/>
            <w:tcMar>
              <w:bottom w:w="28" w:type="dxa"/>
            </w:tcMar>
            <w:vAlign w:val="center"/>
          </w:tcPr>
          <w:p>
            <w:pPr>
              <w:pStyle w:val="TableContents"/>
              <w:bidi w:val="0"/>
              <w:spacing w:before="0" w:after="283"/>
              <w:jc w:val="right"/>
              <w:rPr/>
            </w:pPr>
            <w:r>
              <w:rPr/>
              <w:t>(68,509</w:t>
            </w:r>
          </w:p>
        </w:tc>
        <w:tc>
          <w:tcPr>
            <w:tcW w:w="115" w:type="dxa"/>
            <w:tcBorders/>
            <w:shd w:fill="FFFFFF" w:val="clear"/>
            <w:vAlign w:val="center"/>
          </w:tcPr>
          <w:p>
            <w:pPr>
              <w:pStyle w:val="TableContents"/>
              <w:bidi w:val="0"/>
              <w:spacing w:before="0" w:after="283"/>
              <w:ind w:left="0" w:right="0" w:hanging="180"/>
              <w:jc w:val="left"/>
              <w:rPr/>
            </w:pPr>
            <w:r>
              <w:rPr/>
              <w:t>)</w:t>
            </w:r>
          </w:p>
        </w:tc>
      </w:tr>
      <w:tr>
        <w:trPr/>
        <w:tc>
          <w:tcPr>
            <w:tcW w:w="6151"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4" w:type="dxa"/>
            <w:tcBorders/>
            <w:shd w:fill="CCEEFF" w:val="clear"/>
            <w:vAlign w:val="center"/>
          </w:tcPr>
          <w:p>
            <w:pPr>
              <w:pStyle w:val="TableContents"/>
              <w:bidi w:val="0"/>
              <w:spacing w:before="0" w:after="283"/>
              <w:jc w:val="left"/>
              <w:rPr/>
            </w:pPr>
            <w:r>
              <w:rPr/>
              <w:t> </w:t>
            </w:r>
          </w:p>
        </w:tc>
        <w:tc>
          <w:tcPr>
            <w:tcW w:w="989" w:type="dxa"/>
            <w:tcBorders/>
            <w:shd w:fill="CCEEFF" w:val="clear"/>
            <w:vAlign w:val="center"/>
          </w:tcPr>
          <w:p>
            <w:pPr>
              <w:pStyle w:val="TableContents"/>
              <w:bidi w:val="0"/>
              <w:spacing w:before="0" w:after="283"/>
              <w:jc w:val="right"/>
              <w:rPr/>
            </w:pPr>
            <w:r>
              <w:rPr/>
              <w:t> </w:t>
            </w:r>
          </w:p>
        </w:tc>
        <w:tc>
          <w:tcPr>
            <w:tcW w:w="118" w:type="dxa"/>
            <w:tcBorders/>
            <w:shd w:fill="CCEEFF" w:val="clear"/>
            <w:vAlign w:val="center"/>
          </w:tcPr>
          <w:p>
            <w:pPr>
              <w:pStyle w:val="TableContents"/>
              <w:bidi w:val="0"/>
              <w:spacing w:before="0" w:after="283"/>
              <w:jc w:val="left"/>
              <w:rPr/>
            </w:pPr>
            <w:r>
              <w:rPr/>
              <w:t> </w:t>
            </w:r>
          </w:p>
        </w:tc>
        <w:tc>
          <w:tcPr>
            <w:tcW w:w="74" w:type="dxa"/>
            <w:tcBorders/>
            <w:shd w:fill="CCEEFF" w:val="clear"/>
            <w:vAlign w:val="center"/>
          </w:tcPr>
          <w:p>
            <w:pPr>
              <w:pStyle w:val="TableContents"/>
              <w:bidi w:val="0"/>
              <w:spacing w:before="0" w:after="283"/>
              <w:jc w:val="left"/>
              <w:rPr/>
            </w:pPr>
            <w:r>
              <w:rPr/>
              <w:t> </w:t>
            </w:r>
          </w:p>
        </w:tc>
        <w:tc>
          <w:tcPr>
            <w:tcW w:w="204" w:type="dxa"/>
            <w:tcBorders/>
            <w:shd w:fill="CCEEFF" w:val="clear"/>
            <w:vAlign w:val="center"/>
          </w:tcPr>
          <w:p>
            <w:pPr>
              <w:pStyle w:val="TableContents"/>
              <w:bidi w:val="0"/>
              <w:spacing w:before="0" w:after="283"/>
              <w:jc w:val="left"/>
              <w:rPr/>
            </w:pPr>
            <w:r>
              <w:rPr/>
              <w:t> </w:t>
            </w:r>
          </w:p>
        </w:tc>
        <w:tc>
          <w:tcPr>
            <w:tcW w:w="951" w:type="dxa"/>
            <w:tcBorders/>
            <w:shd w:fill="CCEEFF" w:val="clear"/>
            <w:vAlign w:val="center"/>
          </w:tcPr>
          <w:p>
            <w:pPr>
              <w:pStyle w:val="TableContents"/>
              <w:bidi w:val="0"/>
              <w:spacing w:before="0" w:after="283"/>
              <w:jc w:val="right"/>
              <w:rPr/>
            </w:pPr>
            <w:r>
              <w:rPr/>
              <w:t> </w:t>
            </w:r>
          </w:p>
        </w:tc>
        <w:tc>
          <w:tcPr>
            <w:tcW w:w="118" w:type="dxa"/>
            <w:tcBorders/>
            <w:shd w:fill="CCEEFF" w:val="clear"/>
            <w:vAlign w:val="center"/>
          </w:tcPr>
          <w:p>
            <w:pPr>
              <w:pStyle w:val="TableContents"/>
              <w:bidi w:val="0"/>
              <w:spacing w:before="0" w:after="283"/>
              <w:jc w:val="left"/>
              <w:rPr/>
            </w:pPr>
            <w:r>
              <w:rPr/>
              <w:t> </w:t>
            </w:r>
          </w:p>
        </w:tc>
        <w:tc>
          <w:tcPr>
            <w:tcW w:w="74" w:type="dxa"/>
            <w:tcBorders/>
            <w:shd w:fill="CCEEFF" w:val="clear"/>
            <w:vAlign w:val="center"/>
          </w:tcPr>
          <w:p>
            <w:pPr>
              <w:pStyle w:val="TableContents"/>
              <w:bidi w:val="0"/>
              <w:spacing w:before="0" w:after="283"/>
              <w:jc w:val="left"/>
              <w:rPr/>
            </w:pPr>
            <w:r>
              <w:rPr/>
              <w:t> </w:t>
            </w:r>
          </w:p>
        </w:tc>
        <w:tc>
          <w:tcPr>
            <w:tcW w:w="173" w:type="dxa"/>
            <w:tcBorders/>
            <w:shd w:fill="CCEEFF" w:val="clear"/>
            <w:vAlign w:val="center"/>
          </w:tcPr>
          <w:p>
            <w:pPr>
              <w:pStyle w:val="TableContents"/>
              <w:bidi w:val="0"/>
              <w:spacing w:before="0" w:after="283"/>
              <w:jc w:val="left"/>
              <w:rPr/>
            </w:pPr>
            <w:r>
              <w:rPr/>
              <w:t> </w:t>
            </w:r>
          </w:p>
        </w:tc>
        <w:tc>
          <w:tcPr>
            <w:tcW w:w="994" w:type="dxa"/>
            <w:tcBorders/>
            <w:shd w:fill="CCEEFF" w:val="clear"/>
            <w:vAlign w:val="center"/>
          </w:tcPr>
          <w:p>
            <w:pPr>
              <w:pStyle w:val="TableContents"/>
              <w:bidi w:val="0"/>
              <w:spacing w:before="0" w:after="283"/>
              <w:jc w:val="right"/>
              <w:rPr/>
            </w:pPr>
            <w:r>
              <w:rPr/>
              <w:t> </w:t>
            </w:r>
          </w:p>
        </w:tc>
        <w:tc>
          <w:tcPr>
            <w:tcW w:w="115" w:type="dxa"/>
            <w:tcBorders/>
            <w:shd w:fill="CCEEFF" w:val="clear"/>
            <w:vAlign w:val="center"/>
          </w:tcPr>
          <w:p>
            <w:pPr>
              <w:pStyle w:val="TableContents"/>
              <w:bidi w:val="0"/>
              <w:spacing w:before="0" w:after="283"/>
              <w:ind w:left="0" w:right="0" w:hanging="180"/>
              <w:jc w:val="left"/>
              <w:rPr/>
            </w:pPr>
            <w:r>
              <w:rPr/>
              <w:t> </w:t>
            </w:r>
          </w:p>
        </w:tc>
      </w:tr>
      <w:tr>
        <w:trPr/>
        <w:tc>
          <w:tcPr>
            <w:tcW w:w="6151" w:type="dxa"/>
            <w:tcBorders/>
            <w:shd w:fill="FFFFFF" w:val="clear"/>
            <w:vAlign w:val="center"/>
          </w:tcPr>
          <w:p>
            <w:pPr>
              <w:pStyle w:val="TableContents"/>
              <w:bidi w:val="0"/>
              <w:spacing w:before="0" w:after="283"/>
              <w:jc w:val="left"/>
              <w:rPr>
                <w:i/>
              </w:rPr>
            </w:pPr>
            <w:r>
              <w:rPr>
                <w:i/>
              </w:rPr>
              <w:t>Reconciliation of segment loss from continuing operations before income taxes:</w:t>
            </w:r>
          </w:p>
        </w:tc>
        <w:tc>
          <w:tcPr>
            <w:tcW w:w="60" w:type="dxa"/>
            <w:tcBorders/>
            <w:shd w:fill="FFFFFF" w:val="clear"/>
            <w:vAlign w:val="center"/>
          </w:tcPr>
          <w:p>
            <w:pPr>
              <w:pStyle w:val="TableContents"/>
              <w:bidi w:val="0"/>
              <w:spacing w:before="0" w:after="283"/>
              <w:jc w:val="left"/>
              <w:rPr/>
            </w:pPr>
            <w:r>
              <w:rPr/>
              <w:t> </w:t>
            </w:r>
          </w:p>
        </w:tc>
        <w:tc>
          <w:tcPr>
            <w:tcW w:w="184" w:type="dxa"/>
            <w:tcBorders/>
            <w:shd w:fill="FFFFFF" w:val="clear"/>
            <w:vAlign w:val="center"/>
          </w:tcPr>
          <w:p>
            <w:pPr>
              <w:pStyle w:val="TableContents"/>
              <w:bidi w:val="0"/>
              <w:spacing w:before="0" w:after="283"/>
              <w:jc w:val="left"/>
              <w:rPr/>
            </w:pPr>
            <w:r>
              <w:rPr/>
              <w:t> </w:t>
            </w:r>
          </w:p>
        </w:tc>
        <w:tc>
          <w:tcPr>
            <w:tcW w:w="989" w:type="dxa"/>
            <w:tcBorders/>
            <w:shd w:fill="FFFFFF" w:val="clear"/>
            <w:vAlign w:val="center"/>
          </w:tcPr>
          <w:p>
            <w:pPr>
              <w:pStyle w:val="TableContents"/>
              <w:bidi w:val="0"/>
              <w:spacing w:before="0" w:after="283"/>
              <w:jc w:val="right"/>
              <w:rPr/>
            </w:pPr>
            <w:r>
              <w:rPr/>
              <w:t> </w:t>
            </w:r>
          </w:p>
        </w:tc>
        <w:tc>
          <w:tcPr>
            <w:tcW w:w="118" w:type="dxa"/>
            <w:tcBorders/>
            <w:shd w:fill="FFFFFF" w:val="clear"/>
            <w:vAlign w:val="center"/>
          </w:tcPr>
          <w:p>
            <w:pPr>
              <w:pStyle w:val="TableContents"/>
              <w:bidi w:val="0"/>
              <w:spacing w:before="0" w:after="283"/>
              <w:jc w:val="left"/>
              <w:rPr/>
            </w:pPr>
            <w:r>
              <w:rPr/>
              <w:t> </w:t>
            </w:r>
          </w:p>
        </w:tc>
        <w:tc>
          <w:tcPr>
            <w:tcW w:w="74" w:type="dxa"/>
            <w:tcBorders/>
            <w:shd w:fill="FFFFFF" w:val="clear"/>
            <w:vAlign w:val="center"/>
          </w:tcPr>
          <w:p>
            <w:pPr>
              <w:pStyle w:val="TableContents"/>
              <w:bidi w:val="0"/>
              <w:spacing w:before="0" w:after="283"/>
              <w:jc w:val="left"/>
              <w:rPr/>
            </w:pPr>
            <w:r>
              <w:rPr/>
              <w:t> </w:t>
            </w:r>
          </w:p>
        </w:tc>
        <w:tc>
          <w:tcPr>
            <w:tcW w:w="204" w:type="dxa"/>
            <w:tcBorders/>
            <w:shd w:fill="FFFFFF" w:val="clear"/>
            <w:vAlign w:val="center"/>
          </w:tcPr>
          <w:p>
            <w:pPr>
              <w:pStyle w:val="TableContents"/>
              <w:bidi w:val="0"/>
              <w:spacing w:before="0" w:after="283"/>
              <w:jc w:val="left"/>
              <w:rPr/>
            </w:pPr>
            <w:r>
              <w:rPr/>
              <w:t> </w:t>
            </w:r>
          </w:p>
        </w:tc>
        <w:tc>
          <w:tcPr>
            <w:tcW w:w="951" w:type="dxa"/>
            <w:tcBorders/>
            <w:shd w:fill="FFFFFF" w:val="clear"/>
            <w:vAlign w:val="center"/>
          </w:tcPr>
          <w:p>
            <w:pPr>
              <w:pStyle w:val="TableContents"/>
              <w:bidi w:val="0"/>
              <w:spacing w:before="0" w:after="283"/>
              <w:jc w:val="right"/>
              <w:rPr/>
            </w:pPr>
            <w:r>
              <w:rPr/>
              <w:t> </w:t>
            </w:r>
          </w:p>
        </w:tc>
        <w:tc>
          <w:tcPr>
            <w:tcW w:w="118" w:type="dxa"/>
            <w:tcBorders/>
            <w:shd w:fill="FFFFFF" w:val="clear"/>
            <w:vAlign w:val="center"/>
          </w:tcPr>
          <w:p>
            <w:pPr>
              <w:pStyle w:val="TableContents"/>
              <w:bidi w:val="0"/>
              <w:spacing w:before="0" w:after="283"/>
              <w:jc w:val="left"/>
              <w:rPr/>
            </w:pPr>
            <w:r>
              <w:rPr/>
              <w:t> </w:t>
            </w:r>
          </w:p>
        </w:tc>
        <w:tc>
          <w:tcPr>
            <w:tcW w:w="74" w:type="dxa"/>
            <w:tcBorders/>
            <w:shd w:fill="FFFFFF" w:val="clear"/>
            <w:vAlign w:val="center"/>
          </w:tcPr>
          <w:p>
            <w:pPr>
              <w:pStyle w:val="TableContents"/>
              <w:bidi w:val="0"/>
              <w:spacing w:before="0" w:after="283"/>
              <w:jc w:val="left"/>
              <w:rPr/>
            </w:pPr>
            <w:r>
              <w:rPr/>
              <w:t> </w:t>
            </w:r>
          </w:p>
        </w:tc>
        <w:tc>
          <w:tcPr>
            <w:tcW w:w="173" w:type="dxa"/>
            <w:tcBorders/>
            <w:shd w:fill="FFFFFF" w:val="clear"/>
            <w:vAlign w:val="center"/>
          </w:tcPr>
          <w:p>
            <w:pPr>
              <w:pStyle w:val="TableContents"/>
              <w:bidi w:val="0"/>
              <w:spacing w:before="0" w:after="283"/>
              <w:jc w:val="left"/>
              <w:rPr/>
            </w:pPr>
            <w:r>
              <w:rPr/>
              <w:t> </w:t>
            </w:r>
          </w:p>
        </w:tc>
        <w:tc>
          <w:tcPr>
            <w:tcW w:w="994" w:type="dxa"/>
            <w:tcBorders/>
            <w:shd w:fill="FFFFFF" w:val="clear"/>
            <w:vAlign w:val="center"/>
          </w:tcPr>
          <w:p>
            <w:pPr>
              <w:pStyle w:val="TableContents"/>
              <w:bidi w:val="0"/>
              <w:spacing w:before="0" w:after="283"/>
              <w:jc w:val="right"/>
              <w:rPr/>
            </w:pPr>
            <w:r>
              <w:rPr/>
              <w:t> </w:t>
            </w:r>
          </w:p>
        </w:tc>
        <w:tc>
          <w:tcPr>
            <w:tcW w:w="115" w:type="dxa"/>
            <w:tcBorders/>
            <w:shd w:fill="FFFFFF" w:val="clear"/>
            <w:vAlign w:val="center"/>
          </w:tcPr>
          <w:p>
            <w:pPr>
              <w:pStyle w:val="TableContents"/>
              <w:bidi w:val="0"/>
              <w:spacing w:before="0" w:after="283"/>
              <w:ind w:left="0" w:right="0" w:hanging="180"/>
              <w:jc w:val="left"/>
              <w:rPr/>
            </w:pPr>
            <w:r>
              <w:rPr/>
              <w:t> </w:t>
            </w:r>
          </w:p>
        </w:tc>
      </w:tr>
      <w:tr>
        <w:trPr/>
        <w:tc>
          <w:tcPr>
            <w:tcW w:w="6151" w:type="dxa"/>
            <w:tcBorders/>
            <w:shd w:fill="CCEEFF" w:val="clear"/>
            <w:vAlign w:val="center"/>
          </w:tcPr>
          <w:p>
            <w:pPr>
              <w:pStyle w:val="TableContents"/>
              <w:bidi w:val="0"/>
              <w:spacing w:before="0" w:after="283"/>
              <w:jc w:val="left"/>
              <w:rPr/>
            </w:pPr>
            <w:r>
              <w:rPr/>
              <w:t>Unallocated amounts:</w:t>
            </w:r>
          </w:p>
        </w:tc>
        <w:tc>
          <w:tcPr>
            <w:tcW w:w="60" w:type="dxa"/>
            <w:tcBorders/>
            <w:shd w:fill="CCEEFF" w:val="clear"/>
            <w:vAlign w:val="center"/>
          </w:tcPr>
          <w:p>
            <w:pPr>
              <w:pStyle w:val="TableContents"/>
              <w:bidi w:val="0"/>
              <w:spacing w:before="0" w:after="283"/>
              <w:jc w:val="left"/>
              <w:rPr/>
            </w:pPr>
            <w:r>
              <w:rPr/>
              <w:t> </w:t>
            </w:r>
          </w:p>
        </w:tc>
        <w:tc>
          <w:tcPr>
            <w:tcW w:w="184" w:type="dxa"/>
            <w:tcBorders/>
            <w:shd w:fill="CCEEFF" w:val="clear"/>
            <w:vAlign w:val="center"/>
          </w:tcPr>
          <w:p>
            <w:pPr>
              <w:pStyle w:val="TableContents"/>
              <w:bidi w:val="0"/>
              <w:spacing w:before="0" w:after="283"/>
              <w:jc w:val="left"/>
              <w:rPr/>
            </w:pPr>
            <w:r>
              <w:rPr/>
              <w:t> </w:t>
            </w:r>
          </w:p>
        </w:tc>
        <w:tc>
          <w:tcPr>
            <w:tcW w:w="989" w:type="dxa"/>
            <w:tcBorders/>
            <w:shd w:fill="CCEEFF" w:val="clear"/>
            <w:vAlign w:val="center"/>
          </w:tcPr>
          <w:p>
            <w:pPr>
              <w:pStyle w:val="TableContents"/>
              <w:bidi w:val="0"/>
              <w:spacing w:before="0" w:after="283"/>
              <w:jc w:val="right"/>
              <w:rPr/>
            </w:pPr>
            <w:r>
              <w:rPr/>
              <w:t> </w:t>
            </w:r>
          </w:p>
        </w:tc>
        <w:tc>
          <w:tcPr>
            <w:tcW w:w="118" w:type="dxa"/>
            <w:tcBorders/>
            <w:shd w:fill="CCEEFF" w:val="clear"/>
            <w:vAlign w:val="center"/>
          </w:tcPr>
          <w:p>
            <w:pPr>
              <w:pStyle w:val="TableContents"/>
              <w:bidi w:val="0"/>
              <w:spacing w:before="0" w:after="283"/>
              <w:jc w:val="left"/>
              <w:rPr/>
            </w:pPr>
            <w:r>
              <w:rPr/>
              <w:t> </w:t>
            </w:r>
          </w:p>
        </w:tc>
        <w:tc>
          <w:tcPr>
            <w:tcW w:w="74" w:type="dxa"/>
            <w:tcBorders/>
            <w:shd w:fill="CCEEFF" w:val="clear"/>
            <w:vAlign w:val="center"/>
          </w:tcPr>
          <w:p>
            <w:pPr>
              <w:pStyle w:val="TableContents"/>
              <w:bidi w:val="0"/>
              <w:spacing w:before="0" w:after="283"/>
              <w:jc w:val="left"/>
              <w:rPr/>
            </w:pPr>
            <w:r>
              <w:rPr/>
              <w:t> </w:t>
            </w:r>
          </w:p>
        </w:tc>
        <w:tc>
          <w:tcPr>
            <w:tcW w:w="204" w:type="dxa"/>
            <w:tcBorders/>
            <w:shd w:fill="CCEEFF" w:val="clear"/>
            <w:vAlign w:val="center"/>
          </w:tcPr>
          <w:p>
            <w:pPr>
              <w:pStyle w:val="TableContents"/>
              <w:bidi w:val="0"/>
              <w:spacing w:before="0" w:after="283"/>
              <w:jc w:val="left"/>
              <w:rPr/>
            </w:pPr>
            <w:r>
              <w:rPr/>
              <w:t> </w:t>
            </w:r>
          </w:p>
        </w:tc>
        <w:tc>
          <w:tcPr>
            <w:tcW w:w="951" w:type="dxa"/>
            <w:tcBorders/>
            <w:shd w:fill="CCEEFF" w:val="clear"/>
            <w:vAlign w:val="center"/>
          </w:tcPr>
          <w:p>
            <w:pPr>
              <w:pStyle w:val="TableContents"/>
              <w:bidi w:val="0"/>
              <w:spacing w:before="0" w:after="283"/>
              <w:jc w:val="right"/>
              <w:rPr/>
            </w:pPr>
            <w:r>
              <w:rPr/>
              <w:t> </w:t>
            </w:r>
          </w:p>
        </w:tc>
        <w:tc>
          <w:tcPr>
            <w:tcW w:w="118" w:type="dxa"/>
            <w:tcBorders/>
            <w:shd w:fill="CCEEFF" w:val="clear"/>
            <w:vAlign w:val="center"/>
          </w:tcPr>
          <w:p>
            <w:pPr>
              <w:pStyle w:val="TableContents"/>
              <w:bidi w:val="0"/>
              <w:spacing w:before="0" w:after="283"/>
              <w:jc w:val="left"/>
              <w:rPr/>
            </w:pPr>
            <w:r>
              <w:rPr/>
              <w:t> </w:t>
            </w:r>
          </w:p>
        </w:tc>
        <w:tc>
          <w:tcPr>
            <w:tcW w:w="74" w:type="dxa"/>
            <w:tcBorders/>
            <w:shd w:fill="CCEEFF" w:val="clear"/>
            <w:vAlign w:val="center"/>
          </w:tcPr>
          <w:p>
            <w:pPr>
              <w:pStyle w:val="TableContents"/>
              <w:bidi w:val="0"/>
              <w:spacing w:before="0" w:after="283"/>
              <w:jc w:val="left"/>
              <w:rPr/>
            </w:pPr>
            <w:r>
              <w:rPr/>
              <w:t> </w:t>
            </w:r>
          </w:p>
        </w:tc>
        <w:tc>
          <w:tcPr>
            <w:tcW w:w="173" w:type="dxa"/>
            <w:tcBorders/>
            <w:shd w:fill="CCEEFF" w:val="clear"/>
            <w:vAlign w:val="center"/>
          </w:tcPr>
          <w:p>
            <w:pPr>
              <w:pStyle w:val="TableContents"/>
              <w:bidi w:val="0"/>
              <w:spacing w:before="0" w:after="283"/>
              <w:jc w:val="left"/>
              <w:rPr/>
            </w:pPr>
            <w:r>
              <w:rPr/>
              <w:t> </w:t>
            </w:r>
          </w:p>
        </w:tc>
        <w:tc>
          <w:tcPr>
            <w:tcW w:w="994" w:type="dxa"/>
            <w:tcBorders/>
            <w:shd w:fill="CCEEFF" w:val="clear"/>
            <w:vAlign w:val="center"/>
          </w:tcPr>
          <w:p>
            <w:pPr>
              <w:pStyle w:val="TableContents"/>
              <w:bidi w:val="0"/>
              <w:spacing w:before="0" w:after="283"/>
              <w:jc w:val="right"/>
              <w:rPr/>
            </w:pPr>
            <w:r>
              <w:rPr/>
              <w:t> </w:t>
            </w:r>
          </w:p>
        </w:tc>
        <w:tc>
          <w:tcPr>
            <w:tcW w:w="115" w:type="dxa"/>
            <w:tcBorders/>
            <w:shd w:fill="CCEEFF" w:val="clear"/>
            <w:vAlign w:val="center"/>
          </w:tcPr>
          <w:p>
            <w:pPr>
              <w:pStyle w:val="TableContents"/>
              <w:bidi w:val="0"/>
              <w:spacing w:before="0" w:after="283"/>
              <w:ind w:left="0" w:right="0" w:hanging="180"/>
              <w:jc w:val="left"/>
              <w:rPr/>
            </w:pPr>
            <w:r>
              <w:rPr/>
              <w:t> </w:t>
            </w:r>
          </w:p>
        </w:tc>
      </w:tr>
      <w:tr>
        <w:trPr/>
        <w:tc>
          <w:tcPr>
            <w:tcW w:w="6151" w:type="dxa"/>
            <w:tcBorders/>
            <w:shd w:fill="FFFFFF" w:val="clear"/>
            <w:vAlign w:val="center"/>
          </w:tcPr>
          <w:p>
            <w:pPr>
              <w:pStyle w:val="TableContents"/>
              <w:bidi w:val="0"/>
              <w:spacing w:before="0" w:after="283"/>
              <w:jc w:val="left"/>
              <w:rPr/>
            </w:pPr>
            <w:r>
              <w:rPr/>
              <w:t>Interest expense</w:t>
            </w:r>
          </w:p>
        </w:tc>
        <w:tc>
          <w:tcPr>
            <w:tcW w:w="60" w:type="dxa"/>
            <w:tcBorders/>
            <w:shd w:fill="FFFFFF" w:val="clear"/>
            <w:vAlign w:val="center"/>
          </w:tcPr>
          <w:p>
            <w:pPr>
              <w:pStyle w:val="TableContents"/>
              <w:bidi w:val="0"/>
              <w:spacing w:before="0" w:after="283"/>
              <w:jc w:val="left"/>
              <w:rPr/>
            </w:pPr>
            <w:r>
              <w:rPr/>
              <w:t> </w:t>
            </w:r>
          </w:p>
        </w:tc>
        <w:tc>
          <w:tcPr>
            <w:tcW w:w="184" w:type="dxa"/>
            <w:tcBorders/>
            <w:shd w:fill="FFFFFF" w:val="clear"/>
            <w:vAlign w:val="center"/>
          </w:tcPr>
          <w:p>
            <w:pPr>
              <w:pStyle w:val="TableContents"/>
              <w:bidi w:val="0"/>
              <w:spacing w:before="0" w:after="283"/>
              <w:jc w:val="left"/>
              <w:rPr/>
            </w:pPr>
            <w:r>
              <w:rPr/>
              <w:t> </w:t>
            </w:r>
          </w:p>
        </w:tc>
        <w:tc>
          <w:tcPr>
            <w:tcW w:w="989" w:type="dxa"/>
            <w:tcBorders/>
            <w:shd w:fill="FFFFFF" w:val="clear"/>
            <w:vAlign w:val="center"/>
          </w:tcPr>
          <w:p>
            <w:pPr>
              <w:pStyle w:val="TableContents"/>
              <w:bidi w:val="0"/>
              <w:spacing w:before="0" w:after="283"/>
              <w:jc w:val="right"/>
              <w:rPr/>
            </w:pPr>
            <w:r>
              <w:rPr/>
              <w:t> </w:t>
            </w:r>
          </w:p>
        </w:tc>
        <w:tc>
          <w:tcPr>
            <w:tcW w:w="118" w:type="dxa"/>
            <w:tcBorders/>
            <w:shd w:fill="FFFFFF" w:val="clear"/>
            <w:vAlign w:val="center"/>
          </w:tcPr>
          <w:p>
            <w:pPr>
              <w:pStyle w:val="TableContents"/>
              <w:bidi w:val="0"/>
              <w:spacing w:before="0" w:after="283"/>
              <w:jc w:val="left"/>
              <w:rPr/>
            </w:pPr>
            <w:r>
              <w:rPr/>
              <w:t> </w:t>
            </w:r>
          </w:p>
        </w:tc>
        <w:tc>
          <w:tcPr>
            <w:tcW w:w="74" w:type="dxa"/>
            <w:tcBorders/>
            <w:shd w:fill="FFFFFF" w:val="clear"/>
            <w:vAlign w:val="center"/>
          </w:tcPr>
          <w:p>
            <w:pPr>
              <w:pStyle w:val="TableContents"/>
              <w:bidi w:val="0"/>
              <w:spacing w:before="0" w:after="283"/>
              <w:jc w:val="left"/>
              <w:rPr/>
            </w:pPr>
            <w:r>
              <w:rPr/>
              <w:t> </w:t>
            </w:r>
          </w:p>
        </w:tc>
        <w:tc>
          <w:tcPr>
            <w:tcW w:w="204" w:type="dxa"/>
            <w:tcBorders/>
            <w:shd w:fill="FFFFFF" w:val="clear"/>
            <w:vAlign w:val="center"/>
          </w:tcPr>
          <w:p>
            <w:pPr>
              <w:pStyle w:val="TableContents"/>
              <w:bidi w:val="0"/>
              <w:spacing w:before="0" w:after="283"/>
              <w:jc w:val="left"/>
              <w:rPr/>
            </w:pPr>
            <w:r>
              <w:rPr/>
              <w:t> </w:t>
            </w:r>
          </w:p>
        </w:tc>
        <w:tc>
          <w:tcPr>
            <w:tcW w:w="951" w:type="dxa"/>
            <w:tcBorders/>
            <w:shd w:fill="FFFFFF" w:val="clear"/>
            <w:vAlign w:val="center"/>
          </w:tcPr>
          <w:p>
            <w:pPr>
              <w:pStyle w:val="TableContents"/>
              <w:bidi w:val="0"/>
              <w:spacing w:before="0" w:after="283"/>
              <w:jc w:val="right"/>
              <w:rPr/>
            </w:pPr>
            <w:r>
              <w:rPr/>
              <w:t> </w:t>
            </w:r>
          </w:p>
        </w:tc>
        <w:tc>
          <w:tcPr>
            <w:tcW w:w="118" w:type="dxa"/>
            <w:tcBorders/>
            <w:shd w:fill="FFFFFF" w:val="clear"/>
            <w:vAlign w:val="center"/>
          </w:tcPr>
          <w:p>
            <w:pPr>
              <w:pStyle w:val="TableContents"/>
              <w:bidi w:val="0"/>
              <w:spacing w:before="0" w:after="283"/>
              <w:jc w:val="left"/>
              <w:rPr/>
            </w:pPr>
            <w:r>
              <w:rPr/>
              <w:t> </w:t>
            </w:r>
          </w:p>
        </w:tc>
        <w:tc>
          <w:tcPr>
            <w:tcW w:w="74" w:type="dxa"/>
            <w:tcBorders/>
            <w:shd w:fill="FFFFFF" w:val="clear"/>
            <w:vAlign w:val="center"/>
          </w:tcPr>
          <w:p>
            <w:pPr>
              <w:pStyle w:val="TableContents"/>
              <w:bidi w:val="0"/>
              <w:spacing w:before="0" w:after="283"/>
              <w:jc w:val="left"/>
              <w:rPr/>
            </w:pPr>
            <w:r>
              <w:rPr/>
              <w:t> </w:t>
            </w:r>
          </w:p>
        </w:tc>
        <w:tc>
          <w:tcPr>
            <w:tcW w:w="173" w:type="dxa"/>
            <w:tcBorders/>
            <w:shd w:fill="FFFFFF" w:val="clear"/>
            <w:vAlign w:val="center"/>
          </w:tcPr>
          <w:p>
            <w:pPr>
              <w:pStyle w:val="TableContents"/>
              <w:bidi w:val="0"/>
              <w:spacing w:before="0" w:after="283"/>
              <w:jc w:val="left"/>
              <w:rPr/>
            </w:pPr>
            <w:r>
              <w:rPr/>
              <w:t> </w:t>
            </w:r>
          </w:p>
        </w:tc>
        <w:tc>
          <w:tcPr>
            <w:tcW w:w="994" w:type="dxa"/>
            <w:tcBorders/>
            <w:shd w:fill="FFFFFF" w:val="clear"/>
            <w:vAlign w:val="center"/>
          </w:tcPr>
          <w:p>
            <w:pPr>
              <w:pStyle w:val="TableContents"/>
              <w:bidi w:val="0"/>
              <w:spacing w:before="0" w:after="283"/>
              <w:jc w:val="right"/>
              <w:rPr/>
            </w:pPr>
            <w:r>
              <w:rPr/>
              <w:t>(16,223</w:t>
            </w:r>
          </w:p>
        </w:tc>
        <w:tc>
          <w:tcPr>
            <w:tcW w:w="115" w:type="dxa"/>
            <w:tcBorders/>
            <w:shd w:fill="FFFFFF" w:val="clear"/>
            <w:vAlign w:val="center"/>
          </w:tcPr>
          <w:p>
            <w:pPr>
              <w:pStyle w:val="TableContents"/>
              <w:bidi w:val="0"/>
              <w:spacing w:before="0" w:after="283"/>
              <w:ind w:left="0" w:right="0" w:hanging="180"/>
              <w:jc w:val="left"/>
              <w:rPr/>
            </w:pPr>
            <w:r>
              <w:rPr/>
              <w:t>)</w:t>
            </w:r>
          </w:p>
        </w:tc>
      </w:tr>
      <w:tr>
        <w:trPr/>
        <w:tc>
          <w:tcPr>
            <w:tcW w:w="6151" w:type="dxa"/>
            <w:tcBorders/>
            <w:shd w:fill="CCEEFF" w:val="clear"/>
            <w:vAlign w:val="center"/>
          </w:tcPr>
          <w:p>
            <w:pPr>
              <w:pStyle w:val="TableContents"/>
              <w:bidi w:val="0"/>
              <w:spacing w:before="0" w:after="283"/>
              <w:jc w:val="left"/>
              <w:rPr/>
            </w:pPr>
            <w:r>
              <w:rPr/>
              <w:t>Interest income</w:t>
            </w:r>
          </w:p>
        </w:tc>
        <w:tc>
          <w:tcPr>
            <w:tcW w:w="60" w:type="dxa"/>
            <w:tcBorders/>
            <w:shd w:fill="CCEEFF" w:val="clear"/>
            <w:vAlign w:val="center"/>
          </w:tcPr>
          <w:p>
            <w:pPr>
              <w:pStyle w:val="TableContents"/>
              <w:bidi w:val="0"/>
              <w:spacing w:before="0" w:after="283"/>
              <w:jc w:val="left"/>
              <w:rPr/>
            </w:pPr>
            <w:r>
              <w:rPr/>
              <w:t> </w:t>
            </w:r>
          </w:p>
        </w:tc>
        <w:tc>
          <w:tcPr>
            <w:tcW w:w="184" w:type="dxa"/>
            <w:tcBorders/>
            <w:shd w:fill="CCEEFF" w:val="clear"/>
            <w:vAlign w:val="center"/>
          </w:tcPr>
          <w:p>
            <w:pPr>
              <w:pStyle w:val="TableContents"/>
              <w:bidi w:val="0"/>
              <w:spacing w:before="0" w:after="283"/>
              <w:jc w:val="left"/>
              <w:rPr/>
            </w:pPr>
            <w:r>
              <w:rPr/>
              <w:t> </w:t>
            </w:r>
          </w:p>
        </w:tc>
        <w:tc>
          <w:tcPr>
            <w:tcW w:w="989" w:type="dxa"/>
            <w:tcBorders/>
            <w:shd w:fill="CCEEFF" w:val="clear"/>
            <w:vAlign w:val="center"/>
          </w:tcPr>
          <w:p>
            <w:pPr>
              <w:pStyle w:val="TableContents"/>
              <w:bidi w:val="0"/>
              <w:spacing w:before="0" w:after="283"/>
              <w:jc w:val="right"/>
              <w:rPr/>
            </w:pPr>
            <w:r>
              <w:rPr/>
              <w:t> </w:t>
            </w:r>
          </w:p>
        </w:tc>
        <w:tc>
          <w:tcPr>
            <w:tcW w:w="118" w:type="dxa"/>
            <w:tcBorders/>
            <w:shd w:fill="CCEEFF" w:val="clear"/>
            <w:vAlign w:val="center"/>
          </w:tcPr>
          <w:p>
            <w:pPr>
              <w:pStyle w:val="TableContents"/>
              <w:bidi w:val="0"/>
              <w:spacing w:before="0" w:after="283"/>
              <w:jc w:val="left"/>
              <w:rPr/>
            </w:pPr>
            <w:r>
              <w:rPr/>
              <w:t> </w:t>
            </w:r>
          </w:p>
        </w:tc>
        <w:tc>
          <w:tcPr>
            <w:tcW w:w="74" w:type="dxa"/>
            <w:tcBorders/>
            <w:shd w:fill="CCEEFF" w:val="clear"/>
            <w:vAlign w:val="center"/>
          </w:tcPr>
          <w:p>
            <w:pPr>
              <w:pStyle w:val="TableContents"/>
              <w:bidi w:val="0"/>
              <w:spacing w:before="0" w:after="283"/>
              <w:jc w:val="left"/>
              <w:rPr/>
            </w:pPr>
            <w:r>
              <w:rPr/>
              <w:t> </w:t>
            </w:r>
          </w:p>
        </w:tc>
        <w:tc>
          <w:tcPr>
            <w:tcW w:w="204" w:type="dxa"/>
            <w:tcBorders/>
            <w:shd w:fill="CCEEFF" w:val="clear"/>
            <w:vAlign w:val="center"/>
          </w:tcPr>
          <w:p>
            <w:pPr>
              <w:pStyle w:val="TableContents"/>
              <w:bidi w:val="0"/>
              <w:spacing w:before="0" w:after="283"/>
              <w:jc w:val="left"/>
              <w:rPr/>
            </w:pPr>
            <w:r>
              <w:rPr/>
              <w:t> </w:t>
            </w:r>
          </w:p>
        </w:tc>
        <w:tc>
          <w:tcPr>
            <w:tcW w:w="951" w:type="dxa"/>
            <w:tcBorders/>
            <w:shd w:fill="CCEEFF" w:val="clear"/>
            <w:vAlign w:val="center"/>
          </w:tcPr>
          <w:p>
            <w:pPr>
              <w:pStyle w:val="TableContents"/>
              <w:bidi w:val="0"/>
              <w:spacing w:before="0" w:after="283"/>
              <w:jc w:val="right"/>
              <w:rPr/>
            </w:pPr>
            <w:r>
              <w:rPr/>
              <w:t> </w:t>
            </w:r>
          </w:p>
        </w:tc>
        <w:tc>
          <w:tcPr>
            <w:tcW w:w="118" w:type="dxa"/>
            <w:tcBorders/>
            <w:shd w:fill="CCEEFF" w:val="clear"/>
            <w:vAlign w:val="center"/>
          </w:tcPr>
          <w:p>
            <w:pPr>
              <w:pStyle w:val="TableContents"/>
              <w:bidi w:val="0"/>
              <w:spacing w:before="0" w:after="283"/>
              <w:jc w:val="left"/>
              <w:rPr/>
            </w:pPr>
            <w:r>
              <w:rPr/>
              <w:t> </w:t>
            </w:r>
          </w:p>
        </w:tc>
        <w:tc>
          <w:tcPr>
            <w:tcW w:w="74" w:type="dxa"/>
            <w:tcBorders/>
            <w:shd w:fill="CCEEFF" w:val="clear"/>
            <w:vAlign w:val="center"/>
          </w:tcPr>
          <w:p>
            <w:pPr>
              <w:pStyle w:val="TableContents"/>
              <w:bidi w:val="0"/>
              <w:spacing w:before="0" w:after="283"/>
              <w:jc w:val="left"/>
              <w:rPr/>
            </w:pPr>
            <w:r>
              <w:rPr/>
              <w:t> </w:t>
            </w:r>
          </w:p>
        </w:tc>
        <w:tc>
          <w:tcPr>
            <w:tcW w:w="173" w:type="dxa"/>
            <w:tcBorders/>
            <w:shd w:fill="CCEEFF" w:val="clear"/>
            <w:vAlign w:val="center"/>
          </w:tcPr>
          <w:p>
            <w:pPr>
              <w:pStyle w:val="TableContents"/>
              <w:bidi w:val="0"/>
              <w:spacing w:before="0" w:after="283"/>
              <w:jc w:val="left"/>
              <w:rPr/>
            </w:pPr>
            <w:r>
              <w:rPr/>
              <w:t> </w:t>
            </w:r>
          </w:p>
        </w:tc>
        <w:tc>
          <w:tcPr>
            <w:tcW w:w="994" w:type="dxa"/>
            <w:tcBorders/>
            <w:shd w:fill="CCEEFF" w:val="clear"/>
            <w:vAlign w:val="center"/>
          </w:tcPr>
          <w:p>
            <w:pPr>
              <w:pStyle w:val="TableContents"/>
              <w:bidi w:val="0"/>
              <w:spacing w:before="0" w:after="283"/>
              <w:jc w:val="right"/>
              <w:rPr/>
            </w:pPr>
            <w:r>
              <w:rPr/>
              <w:t>19</w:t>
            </w:r>
          </w:p>
        </w:tc>
        <w:tc>
          <w:tcPr>
            <w:tcW w:w="115" w:type="dxa"/>
            <w:tcBorders/>
            <w:shd w:fill="CCEEFF" w:val="clear"/>
            <w:vAlign w:val="center"/>
          </w:tcPr>
          <w:p>
            <w:pPr>
              <w:pStyle w:val="TableContents"/>
              <w:bidi w:val="0"/>
              <w:spacing w:before="0" w:after="283"/>
              <w:jc w:val="left"/>
              <w:rPr/>
            </w:pPr>
            <w:r>
              <w:rPr/>
              <w:t> </w:t>
            </w:r>
          </w:p>
        </w:tc>
      </w:tr>
      <w:tr>
        <w:trPr/>
        <w:tc>
          <w:tcPr>
            <w:tcW w:w="6151" w:type="dxa"/>
            <w:tcBorders/>
            <w:shd w:fill="FFFFFF" w:val="clear"/>
            <w:vAlign w:val="center"/>
          </w:tcPr>
          <w:p>
            <w:pPr>
              <w:pStyle w:val="TableContents"/>
              <w:bidi w:val="0"/>
              <w:spacing w:before="0" w:after="283"/>
              <w:jc w:val="left"/>
              <w:rPr/>
            </w:pPr>
            <w:r>
              <w:rPr/>
              <w:t>Other non-operating income, net</w:t>
            </w:r>
          </w:p>
        </w:tc>
        <w:tc>
          <w:tcPr>
            <w:tcW w:w="60" w:type="dxa"/>
            <w:tcBorders/>
            <w:shd w:fill="FFFFFF" w:val="clear"/>
            <w:vAlign w:val="center"/>
          </w:tcPr>
          <w:p>
            <w:pPr>
              <w:pStyle w:val="TableContents"/>
              <w:bidi w:val="0"/>
              <w:spacing w:before="0" w:after="283"/>
              <w:jc w:val="left"/>
              <w:rPr/>
            </w:pPr>
            <w:r>
              <w:rPr/>
              <w:t> </w:t>
            </w:r>
          </w:p>
        </w:tc>
        <w:tc>
          <w:tcPr>
            <w:tcW w:w="184" w:type="dxa"/>
            <w:tcBorders/>
            <w:shd w:fill="FFFFFF" w:val="clear"/>
            <w:vAlign w:val="center"/>
          </w:tcPr>
          <w:p>
            <w:pPr>
              <w:pStyle w:val="TableContents"/>
              <w:bidi w:val="0"/>
              <w:spacing w:before="0" w:after="283"/>
              <w:jc w:val="left"/>
              <w:rPr/>
            </w:pPr>
            <w:r>
              <w:rPr/>
              <w:t> </w:t>
            </w:r>
          </w:p>
        </w:tc>
        <w:tc>
          <w:tcPr>
            <w:tcW w:w="989" w:type="dxa"/>
            <w:tcBorders/>
            <w:shd w:fill="FFFFFF" w:val="clear"/>
            <w:vAlign w:val="center"/>
          </w:tcPr>
          <w:p>
            <w:pPr>
              <w:pStyle w:val="TableContents"/>
              <w:bidi w:val="0"/>
              <w:spacing w:before="0" w:after="283"/>
              <w:jc w:val="right"/>
              <w:rPr/>
            </w:pPr>
            <w:r>
              <w:rPr/>
              <w:t> </w:t>
            </w:r>
          </w:p>
        </w:tc>
        <w:tc>
          <w:tcPr>
            <w:tcW w:w="118" w:type="dxa"/>
            <w:tcBorders/>
            <w:shd w:fill="FFFFFF" w:val="clear"/>
            <w:vAlign w:val="center"/>
          </w:tcPr>
          <w:p>
            <w:pPr>
              <w:pStyle w:val="TableContents"/>
              <w:bidi w:val="0"/>
              <w:spacing w:before="0" w:after="283"/>
              <w:jc w:val="left"/>
              <w:rPr/>
            </w:pPr>
            <w:r>
              <w:rPr/>
              <w:t> </w:t>
            </w:r>
          </w:p>
        </w:tc>
        <w:tc>
          <w:tcPr>
            <w:tcW w:w="74" w:type="dxa"/>
            <w:tcBorders/>
            <w:shd w:fill="FFFFFF" w:val="clear"/>
            <w:vAlign w:val="center"/>
          </w:tcPr>
          <w:p>
            <w:pPr>
              <w:pStyle w:val="TableContents"/>
              <w:bidi w:val="0"/>
              <w:spacing w:before="0" w:after="283"/>
              <w:jc w:val="left"/>
              <w:rPr/>
            </w:pPr>
            <w:r>
              <w:rPr/>
              <w:t> </w:t>
            </w:r>
          </w:p>
        </w:tc>
        <w:tc>
          <w:tcPr>
            <w:tcW w:w="204" w:type="dxa"/>
            <w:tcBorders/>
            <w:shd w:fill="FFFFFF" w:val="clear"/>
            <w:vAlign w:val="center"/>
          </w:tcPr>
          <w:p>
            <w:pPr>
              <w:pStyle w:val="TableContents"/>
              <w:bidi w:val="0"/>
              <w:spacing w:before="0" w:after="283"/>
              <w:jc w:val="left"/>
              <w:rPr/>
            </w:pPr>
            <w:r>
              <w:rPr/>
              <w:t> </w:t>
            </w:r>
          </w:p>
        </w:tc>
        <w:tc>
          <w:tcPr>
            <w:tcW w:w="951" w:type="dxa"/>
            <w:tcBorders/>
            <w:shd w:fill="FFFFFF" w:val="clear"/>
            <w:vAlign w:val="center"/>
          </w:tcPr>
          <w:p>
            <w:pPr>
              <w:pStyle w:val="TableContents"/>
              <w:bidi w:val="0"/>
              <w:spacing w:before="0" w:after="283"/>
              <w:jc w:val="right"/>
              <w:rPr/>
            </w:pPr>
            <w:r>
              <w:rPr/>
              <w:t> </w:t>
            </w:r>
          </w:p>
        </w:tc>
        <w:tc>
          <w:tcPr>
            <w:tcW w:w="118" w:type="dxa"/>
            <w:tcBorders/>
            <w:shd w:fill="FFFFFF" w:val="clear"/>
            <w:vAlign w:val="center"/>
          </w:tcPr>
          <w:p>
            <w:pPr>
              <w:pStyle w:val="TableContents"/>
              <w:bidi w:val="0"/>
              <w:spacing w:before="0" w:after="283"/>
              <w:jc w:val="left"/>
              <w:rPr/>
            </w:pPr>
            <w:r>
              <w:rPr/>
              <w:t> </w:t>
            </w:r>
          </w:p>
        </w:tc>
        <w:tc>
          <w:tcPr>
            <w:tcW w:w="74" w:type="dxa"/>
            <w:tcBorders/>
            <w:shd w:fill="FFFFFF" w:val="clear"/>
            <w:vAlign w:val="center"/>
          </w:tcPr>
          <w:p>
            <w:pPr>
              <w:pStyle w:val="TableContents"/>
              <w:bidi w:val="0"/>
              <w:spacing w:before="0" w:after="283"/>
              <w:jc w:val="left"/>
              <w:rPr/>
            </w:pPr>
            <w:r>
              <w:rPr/>
              <w:t> </w:t>
            </w:r>
          </w:p>
        </w:tc>
        <w:tc>
          <w:tcPr>
            <w:tcW w:w="173" w:type="dxa"/>
            <w:tcBorders/>
            <w:shd w:fill="FFFFFF" w:val="clear"/>
            <w:vAlign w:val="center"/>
          </w:tcPr>
          <w:p>
            <w:pPr>
              <w:pStyle w:val="TableContents"/>
              <w:bidi w:val="0"/>
              <w:spacing w:before="0" w:after="283"/>
              <w:jc w:val="left"/>
              <w:rPr/>
            </w:pPr>
            <w:r>
              <w:rPr/>
              <w:t> </w:t>
            </w:r>
          </w:p>
        </w:tc>
        <w:tc>
          <w:tcPr>
            <w:tcW w:w="994" w:type="dxa"/>
            <w:tcBorders/>
            <w:shd w:fill="FFFFFF" w:val="clear"/>
            <w:vAlign w:val="center"/>
          </w:tcPr>
          <w:p>
            <w:pPr>
              <w:pStyle w:val="TableContents"/>
              <w:bidi w:val="0"/>
              <w:spacing w:before="0" w:after="283"/>
              <w:jc w:val="right"/>
              <w:rPr/>
            </w:pPr>
            <w:r>
              <w:rPr/>
              <w:t>7,932</w:t>
            </w:r>
          </w:p>
        </w:tc>
        <w:tc>
          <w:tcPr>
            <w:tcW w:w="115" w:type="dxa"/>
            <w:tcBorders/>
            <w:shd w:fill="FFFFFF" w:val="clear"/>
            <w:vAlign w:val="center"/>
          </w:tcPr>
          <w:p>
            <w:pPr>
              <w:pStyle w:val="TableContents"/>
              <w:bidi w:val="0"/>
              <w:spacing w:before="0" w:after="283"/>
              <w:ind w:left="0" w:right="0" w:hanging="180"/>
              <w:jc w:val="left"/>
              <w:rPr/>
            </w:pPr>
            <w:r>
              <w:rPr/>
              <w:t> </w:t>
            </w:r>
          </w:p>
        </w:tc>
      </w:tr>
      <w:tr>
        <w:trPr/>
        <w:tc>
          <w:tcPr>
            <w:tcW w:w="6151" w:type="dxa"/>
            <w:tcBorders/>
            <w:shd w:fill="CCEEFF" w:val="clear"/>
            <w:vAlign w:val="center"/>
          </w:tcPr>
          <w:p>
            <w:pPr>
              <w:pStyle w:val="TableContents"/>
              <w:bidi w:val="0"/>
              <w:spacing w:before="0" w:after="283"/>
              <w:jc w:val="left"/>
              <w:rPr/>
            </w:pPr>
            <w:r>
              <w:rPr/>
              <w:t>Gain on troubled debt restructuring</w:t>
            </w:r>
          </w:p>
        </w:tc>
        <w:tc>
          <w:tcPr>
            <w:tcW w:w="60" w:type="dxa"/>
            <w:tcBorders/>
            <w:shd w:fill="CCEEFF" w:val="clear"/>
            <w:vAlign w:val="center"/>
          </w:tcPr>
          <w:p>
            <w:pPr>
              <w:pStyle w:val="TableContents"/>
              <w:bidi w:val="0"/>
              <w:spacing w:before="0" w:after="283"/>
              <w:jc w:val="left"/>
              <w:rPr/>
            </w:pPr>
            <w:r>
              <w:rPr/>
              <w:t> </w:t>
            </w:r>
          </w:p>
        </w:tc>
        <w:tc>
          <w:tcPr>
            <w:tcW w:w="184" w:type="dxa"/>
            <w:tcBorders/>
            <w:shd w:fill="CCEEFF" w:val="clear"/>
            <w:vAlign w:val="center"/>
          </w:tcPr>
          <w:p>
            <w:pPr>
              <w:pStyle w:val="TableContents"/>
              <w:bidi w:val="0"/>
              <w:spacing w:before="0" w:after="283"/>
              <w:jc w:val="left"/>
              <w:rPr/>
            </w:pPr>
            <w:r>
              <w:rPr/>
              <w:t> </w:t>
            </w:r>
          </w:p>
        </w:tc>
        <w:tc>
          <w:tcPr>
            <w:tcW w:w="989" w:type="dxa"/>
            <w:tcBorders/>
            <w:shd w:fill="CCEEFF" w:val="clear"/>
            <w:vAlign w:val="center"/>
          </w:tcPr>
          <w:p>
            <w:pPr>
              <w:pStyle w:val="TableContents"/>
              <w:bidi w:val="0"/>
              <w:spacing w:before="0" w:after="283"/>
              <w:jc w:val="right"/>
              <w:rPr/>
            </w:pPr>
            <w:r>
              <w:rPr/>
              <w:t> </w:t>
            </w:r>
          </w:p>
        </w:tc>
        <w:tc>
          <w:tcPr>
            <w:tcW w:w="118" w:type="dxa"/>
            <w:tcBorders/>
            <w:shd w:fill="CCEEFF" w:val="clear"/>
            <w:vAlign w:val="center"/>
          </w:tcPr>
          <w:p>
            <w:pPr>
              <w:pStyle w:val="TableContents"/>
              <w:bidi w:val="0"/>
              <w:spacing w:before="0" w:after="283"/>
              <w:jc w:val="left"/>
              <w:rPr/>
            </w:pPr>
            <w:r>
              <w:rPr/>
              <w:t> </w:t>
            </w:r>
          </w:p>
        </w:tc>
        <w:tc>
          <w:tcPr>
            <w:tcW w:w="74" w:type="dxa"/>
            <w:tcBorders/>
            <w:shd w:fill="CCEEFF" w:val="clear"/>
            <w:vAlign w:val="center"/>
          </w:tcPr>
          <w:p>
            <w:pPr>
              <w:pStyle w:val="TableContents"/>
              <w:bidi w:val="0"/>
              <w:spacing w:before="0" w:after="283"/>
              <w:jc w:val="left"/>
              <w:rPr/>
            </w:pPr>
            <w:r>
              <w:rPr/>
              <w:t> </w:t>
            </w:r>
          </w:p>
        </w:tc>
        <w:tc>
          <w:tcPr>
            <w:tcW w:w="204" w:type="dxa"/>
            <w:tcBorders/>
            <w:shd w:fill="CCEEFF" w:val="clear"/>
            <w:vAlign w:val="center"/>
          </w:tcPr>
          <w:p>
            <w:pPr>
              <w:pStyle w:val="TableContents"/>
              <w:bidi w:val="0"/>
              <w:spacing w:before="0" w:after="283"/>
              <w:jc w:val="left"/>
              <w:rPr/>
            </w:pPr>
            <w:r>
              <w:rPr/>
              <w:t> </w:t>
            </w:r>
          </w:p>
        </w:tc>
        <w:tc>
          <w:tcPr>
            <w:tcW w:w="951" w:type="dxa"/>
            <w:tcBorders/>
            <w:shd w:fill="CCEEFF" w:val="clear"/>
            <w:vAlign w:val="center"/>
          </w:tcPr>
          <w:p>
            <w:pPr>
              <w:pStyle w:val="TableContents"/>
              <w:bidi w:val="0"/>
              <w:spacing w:before="0" w:after="283"/>
              <w:jc w:val="right"/>
              <w:rPr/>
            </w:pPr>
            <w:r>
              <w:rPr/>
              <w:t> </w:t>
            </w:r>
          </w:p>
        </w:tc>
        <w:tc>
          <w:tcPr>
            <w:tcW w:w="118" w:type="dxa"/>
            <w:tcBorders/>
            <w:shd w:fill="CCEEFF" w:val="clear"/>
            <w:vAlign w:val="center"/>
          </w:tcPr>
          <w:p>
            <w:pPr>
              <w:pStyle w:val="TableContents"/>
              <w:bidi w:val="0"/>
              <w:spacing w:before="0" w:after="283"/>
              <w:jc w:val="left"/>
              <w:rPr/>
            </w:pPr>
            <w:r>
              <w:rPr/>
              <w:t> </w:t>
            </w:r>
          </w:p>
        </w:tc>
        <w:tc>
          <w:tcPr>
            <w:tcW w:w="74" w:type="dxa"/>
            <w:tcBorders/>
            <w:shd w:fill="CCEEFF" w:val="clear"/>
            <w:vAlign w:val="center"/>
          </w:tcPr>
          <w:p>
            <w:pPr>
              <w:pStyle w:val="TableContents"/>
              <w:bidi w:val="0"/>
              <w:spacing w:before="0" w:after="283"/>
              <w:jc w:val="left"/>
              <w:rPr/>
            </w:pPr>
            <w:r>
              <w:rPr/>
              <w:t> </w:t>
            </w:r>
          </w:p>
        </w:tc>
        <w:tc>
          <w:tcPr>
            <w:tcW w:w="173"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94" w:type="dxa"/>
            <w:tcBorders>
              <w:bottom w:val="single" w:sz="12" w:space="0" w:color="000000"/>
            </w:tcBorders>
            <w:shd w:fill="CCEEFF" w:val="clear"/>
            <w:tcMar>
              <w:bottom w:w="28" w:type="dxa"/>
            </w:tcMar>
            <w:vAlign w:val="center"/>
          </w:tcPr>
          <w:p>
            <w:pPr>
              <w:pStyle w:val="TableContents"/>
              <w:bidi w:val="0"/>
              <w:spacing w:before="0" w:after="283"/>
              <w:jc w:val="right"/>
              <w:rPr/>
            </w:pPr>
            <w:r>
              <w:rPr/>
              <w:t>22,337</w:t>
            </w:r>
          </w:p>
        </w:tc>
        <w:tc>
          <w:tcPr>
            <w:tcW w:w="115" w:type="dxa"/>
            <w:tcBorders/>
            <w:shd w:fill="CCEEFF" w:val="clear"/>
            <w:vAlign w:val="center"/>
          </w:tcPr>
          <w:p>
            <w:pPr>
              <w:pStyle w:val="TableContents"/>
              <w:bidi w:val="0"/>
              <w:spacing w:before="0" w:after="283"/>
              <w:ind w:left="0" w:right="0" w:hanging="180"/>
              <w:jc w:val="left"/>
              <w:rPr/>
            </w:pPr>
            <w:r>
              <w:rPr/>
              <w:t> </w:t>
            </w:r>
          </w:p>
        </w:tc>
      </w:tr>
      <w:tr>
        <w:trPr/>
        <w:tc>
          <w:tcPr>
            <w:tcW w:w="6151" w:type="dxa"/>
            <w:tcBorders/>
            <w:shd w:fill="FFFFFF" w:val="clear"/>
            <w:vAlign w:val="center"/>
          </w:tcPr>
          <w:p>
            <w:pPr>
              <w:pStyle w:val="TableContents"/>
              <w:bidi w:val="0"/>
              <w:spacing w:before="0" w:after="283"/>
              <w:jc w:val="left"/>
              <w:rPr/>
            </w:pPr>
            <w:r>
              <w:rPr/>
              <w:t>Loss from continuing operations before taxes</w:t>
            </w:r>
          </w:p>
        </w:tc>
        <w:tc>
          <w:tcPr>
            <w:tcW w:w="60" w:type="dxa"/>
            <w:tcBorders/>
            <w:shd w:fill="FFFFFF" w:val="clear"/>
            <w:vAlign w:val="center"/>
          </w:tcPr>
          <w:p>
            <w:pPr>
              <w:pStyle w:val="TableContents"/>
              <w:bidi w:val="0"/>
              <w:spacing w:before="0" w:after="283"/>
              <w:jc w:val="left"/>
              <w:rPr/>
            </w:pPr>
            <w:r>
              <w:rPr/>
              <w:t> </w:t>
            </w:r>
          </w:p>
        </w:tc>
        <w:tc>
          <w:tcPr>
            <w:tcW w:w="184" w:type="dxa"/>
            <w:tcBorders/>
            <w:shd w:fill="FFFFFF" w:val="clear"/>
            <w:vAlign w:val="center"/>
          </w:tcPr>
          <w:p>
            <w:pPr>
              <w:pStyle w:val="TableContents"/>
              <w:bidi w:val="0"/>
              <w:spacing w:before="0" w:after="283"/>
              <w:jc w:val="left"/>
              <w:rPr/>
            </w:pPr>
            <w:r>
              <w:rPr/>
              <w:t> </w:t>
            </w:r>
          </w:p>
        </w:tc>
        <w:tc>
          <w:tcPr>
            <w:tcW w:w="989" w:type="dxa"/>
            <w:tcBorders/>
            <w:shd w:fill="FFFFFF" w:val="clear"/>
            <w:vAlign w:val="center"/>
          </w:tcPr>
          <w:p>
            <w:pPr>
              <w:pStyle w:val="TableContents"/>
              <w:bidi w:val="0"/>
              <w:spacing w:before="0" w:after="283"/>
              <w:jc w:val="right"/>
              <w:rPr/>
            </w:pPr>
            <w:r>
              <w:rPr/>
              <w:t> </w:t>
            </w:r>
          </w:p>
        </w:tc>
        <w:tc>
          <w:tcPr>
            <w:tcW w:w="118" w:type="dxa"/>
            <w:tcBorders/>
            <w:shd w:fill="FFFFFF" w:val="clear"/>
            <w:vAlign w:val="center"/>
          </w:tcPr>
          <w:p>
            <w:pPr>
              <w:pStyle w:val="TableContents"/>
              <w:bidi w:val="0"/>
              <w:spacing w:before="0" w:after="283"/>
              <w:jc w:val="left"/>
              <w:rPr/>
            </w:pPr>
            <w:r>
              <w:rPr/>
              <w:t> </w:t>
            </w:r>
          </w:p>
        </w:tc>
        <w:tc>
          <w:tcPr>
            <w:tcW w:w="74" w:type="dxa"/>
            <w:tcBorders/>
            <w:shd w:fill="FFFFFF" w:val="clear"/>
            <w:vAlign w:val="center"/>
          </w:tcPr>
          <w:p>
            <w:pPr>
              <w:pStyle w:val="TableContents"/>
              <w:bidi w:val="0"/>
              <w:spacing w:before="0" w:after="283"/>
              <w:jc w:val="left"/>
              <w:rPr/>
            </w:pPr>
            <w:r>
              <w:rPr/>
              <w:t> </w:t>
            </w:r>
          </w:p>
        </w:tc>
        <w:tc>
          <w:tcPr>
            <w:tcW w:w="204" w:type="dxa"/>
            <w:tcBorders/>
            <w:shd w:fill="FFFFFF" w:val="clear"/>
            <w:vAlign w:val="center"/>
          </w:tcPr>
          <w:p>
            <w:pPr>
              <w:pStyle w:val="TableContents"/>
              <w:bidi w:val="0"/>
              <w:spacing w:before="0" w:after="283"/>
              <w:jc w:val="left"/>
              <w:rPr/>
            </w:pPr>
            <w:r>
              <w:rPr/>
              <w:t> </w:t>
            </w:r>
          </w:p>
        </w:tc>
        <w:tc>
          <w:tcPr>
            <w:tcW w:w="951" w:type="dxa"/>
            <w:tcBorders/>
            <w:shd w:fill="FFFFFF" w:val="clear"/>
            <w:vAlign w:val="center"/>
          </w:tcPr>
          <w:p>
            <w:pPr>
              <w:pStyle w:val="TableContents"/>
              <w:bidi w:val="0"/>
              <w:spacing w:before="0" w:after="283"/>
              <w:jc w:val="right"/>
              <w:rPr/>
            </w:pPr>
            <w:r>
              <w:rPr/>
              <w:t> </w:t>
            </w:r>
          </w:p>
        </w:tc>
        <w:tc>
          <w:tcPr>
            <w:tcW w:w="118" w:type="dxa"/>
            <w:tcBorders/>
            <w:shd w:fill="FFFFFF" w:val="clear"/>
            <w:vAlign w:val="center"/>
          </w:tcPr>
          <w:p>
            <w:pPr>
              <w:pStyle w:val="TableContents"/>
              <w:bidi w:val="0"/>
              <w:spacing w:before="0" w:after="283"/>
              <w:jc w:val="left"/>
              <w:rPr/>
            </w:pPr>
            <w:r>
              <w:rPr/>
              <w:t> </w:t>
            </w:r>
          </w:p>
        </w:tc>
        <w:tc>
          <w:tcPr>
            <w:tcW w:w="74" w:type="dxa"/>
            <w:tcBorders/>
            <w:shd w:fill="FFFFFF" w:val="clear"/>
            <w:vAlign w:val="center"/>
          </w:tcPr>
          <w:p>
            <w:pPr>
              <w:pStyle w:val="TableContents"/>
              <w:bidi w:val="0"/>
              <w:spacing w:before="0" w:after="283"/>
              <w:jc w:val="left"/>
              <w:rPr/>
            </w:pPr>
            <w:r>
              <w:rPr/>
              <w:t> </w:t>
            </w:r>
          </w:p>
        </w:tc>
        <w:tc>
          <w:tcPr>
            <w:tcW w:w="173" w:type="dxa"/>
            <w:tcBorders>
              <w:bottom w:val="double" w:sz="10" w:space="0" w:color="000000"/>
            </w:tcBorders>
            <w:shd w:fill="FFFFFF" w:val="clear"/>
            <w:tcMar>
              <w:bottom w:w="28" w:type="dxa"/>
            </w:tcMar>
            <w:vAlign w:val="center"/>
          </w:tcPr>
          <w:p>
            <w:pPr>
              <w:pStyle w:val="TableContents"/>
              <w:bidi w:val="0"/>
              <w:spacing w:before="0" w:after="283"/>
              <w:jc w:val="left"/>
              <w:rPr/>
            </w:pPr>
            <w:r>
              <w:rPr/>
              <w:t>$</w:t>
            </w:r>
          </w:p>
        </w:tc>
        <w:tc>
          <w:tcPr>
            <w:tcW w:w="994" w:type="dxa"/>
            <w:tcBorders>
              <w:bottom w:val="double" w:sz="10" w:space="0" w:color="000000"/>
            </w:tcBorders>
            <w:shd w:fill="FFFFFF" w:val="clear"/>
            <w:tcMar>
              <w:bottom w:w="28" w:type="dxa"/>
            </w:tcMar>
            <w:vAlign w:val="center"/>
          </w:tcPr>
          <w:p>
            <w:pPr>
              <w:pStyle w:val="TableContents"/>
              <w:bidi w:val="0"/>
              <w:spacing w:before="0" w:after="283"/>
              <w:jc w:val="right"/>
              <w:rPr/>
            </w:pPr>
            <w:r>
              <w:rPr/>
              <w:t>(54,444</w:t>
            </w:r>
          </w:p>
        </w:tc>
        <w:tc>
          <w:tcPr>
            <w:tcW w:w="115" w:type="dxa"/>
            <w:tcBorders/>
            <w:shd w:fill="FFFFFF" w:val="clear"/>
            <w:vAlign w:val="center"/>
          </w:tcPr>
          <w:p>
            <w:pPr>
              <w:pStyle w:val="TableContents"/>
              <w:bidi w:val="0"/>
              <w:spacing w:before="0" w:after="283"/>
              <w:jc w:val="left"/>
              <w:rPr/>
            </w:pPr>
            <w:r>
              <w:rPr/>
              <w:t>)</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18"/>
        <w:gridCol w:w="9987"/>
      </w:tblGrid>
      <w:tr>
        <w:trPr/>
        <w:tc>
          <w:tcPr>
            <w:tcW w:w="218" w:type="dxa"/>
            <w:tcBorders/>
            <w:vAlign w:val="center"/>
          </w:tcPr>
          <w:p>
            <w:pPr>
              <w:pStyle w:val="TableContents"/>
              <w:bidi w:val="0"/>
              <w:spacing w:before="0" w:after="283"/>
              <w:jc w:val="left"/>
              <w:rPr>
                <w:rFonts w:ascii="Times New Roman;Times;Serif" w:hAnsi="Times New Roman;Times;Serif"/>
                <w:position w:val="7"/>
                <w:sz w:val="16"/>
                <w:sz w:val="20"/>
              </w:rPr>
            </w:pPr>
            <w:r>
              <w:rPr>
                <w:rFonts w:ascii="Times New Roman;Times;Serif" w:hAnsi="Times New Roman;Times;Serif"/>
                <w:position w:val="7"/>
                <w:sz w:val="16"/>
                <w:sz w:val="20"/>
              </w:rPr>
              <w:t>(1)</w:t>
            </w:r>
          </w:p>
        </w:tc>
        <w:tc>
          <w:tcPr>
            <w:tcW w:w="998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For the year ended December 29, 2024, depreciation and amortization expense was $2.6 million and $0.1 million for the Residential Solar Installation and New Homes Business reportable segments, respectively.</w:t>
            </w:r>
          </w:p>
        </w:tc>
      </w:tr>
    </w:tbl>
    <w:tbl>
      <w:tblPr>
        <w:tblW w:w="10205" w:type="dxa"/>
        <w:jc w:val="left"/>
        <w:tblInd w:w="0" w:type="dxa"/>
        <w:tblLayout w:type="fixed"/>
        <w:tblCellMar>
          <w:top w:w="0" w:type="dxa"/>
          <w:left w:w="0" w:type="dxa"/>
          <w:bottom w:w="0" w:type="dxa"/>
          <w:right w:w="0" w:type="dxa"/>
        </w:tblCellMar>
      </w:tblPr>
      <w:tblGrid>
        <w:gridCol w:w="229"/>
        <w:gridCol w:w="9976"/>
      </w:tblGrid>
      <w:tr>
        <w:trPr/>
        <w:tc>
          <w:tcPr>
            <w:tcW w:w="229" w:type="dxa"/>
            <w:tcBorders/>
            <w:vAlign w:val="center"/>
          </w:tcPr>
          <w:p>
            <w:pPr>
              <w:pStyle w:val="TableContents"/>
              <w:bidi w:val="0"/>
              <w:spacing w:before="0" w:after="283"/>
              <w:jc w:val="left"/>
              <w:rPr>
                <w:rFonts w:ascii="Times New Roman;Times;Serif" w:hAnsi="Times New Roman;Times;Serif"/>
                <w:position w:val="7"/>
                <w:sz w:val="16"/>
                <w:sz w:val="20"/>
              </w:rPr>
            </w:pPr>
            <w:r>
              <w:rPr>
                <w:rFonts w:ascii="Times New Roman;Times;Serif" w:hAnsi="Times New Roman;Times;Serif"/>
                <w:position w:val="7"/>
                <w:sz w:val="16"/>
                <w:sz w:val="20"/>
              </w:rPr>
              <w:t>(2)</w:t>
            </w:r>
          </w:p>
        </w:tc>
        <w:tc>
          <w:tcPr>
            <w:tcW w:w="9976"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General corporate expense represents costs primarily legacy costs that were not expected to be ongoing subsequent to the acquisition of the SunPower Businesses.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recast its general and administrative expenses within results of operations by reportable segment for the fiscal year ended December 29, 2024 to conform to the fiscal 2025 presentation. In fiscal 2024, the Company allocated those costs which were specifically associated with the specific reportable segment with the remainder being presented as unallocated. Beginning in fiscal 2025, the Company changed its method to an allocation of general and administrative costs based upon relative revenue of each reportable segment consistent with the presentation of fiscal 2025 results segment results of operations.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(18) Employee Benefit Plan </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sponsors a 401(k) defined contribution and profit-sharing plan (“401(k) Plan”) for its eligible employees. This 401(k) Plan provides for tax-deferred salary deductions for all eligible employees. Employee contributions are voluntary. Employees may contribute the maximum amount allowed by law, as limited by the annual maximum amount as determined by the Internal Revenue Service. The Company may match employee contributions in amounts to be determined at the Company’s sole discretion. The Company made no contributions to the 401(k) Plan for the fiscal years ended December 28, 2025 and December 29, 2024.</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(19) Related Party Transactions</w:t>
      </w:r>
    </w:p>
    <w:p>
      <w:pPr>
        <w:pStyle w:val="TextBody"/>
        <w:bidi w:val="0"/>
        <w:spacing w:before="0" w:after="0"/>
        <w:ind w:left="720" w:right="0" w:hanging="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Refer to the consolidated financial statements and the following notes to the consolidated financial statements for details and disclosures relating to related party transactions entered into by the Company; </w:t>
      </w:r>
      <w:r>
        <w:rPr>
          <w:rFonts w:ascii="Times New Roman;Times;Serif" w:hAnsi="Times New Roman;Times;Serif"/>
          <w:b/>
          <w:i w:val="false"/>
          <w:caps w:val="false"/>
          <w:smallCaps w:val="false"/>
          <w:sz w:val="20"/>
        </w:rPr>
        <w:t xml:space="preserve">Note 2 – Basis of Presentation and Summary of Significant Accounting Policies; Note 6 – Supplemental Balance Sheet Information; Note 8 – Forward Purchase Agreements, Note 9 – SAFE Agreements, Note 10 – Borrowings and Derivative Liabilities, </w:t>
      </w:r>
      <w:r>
        <w:rPr>
          <w:rFonts w:ascii="Times New Roman;Times;Serif" w:hAnsi="Times New Roman;Times;Serif"/>
          <w:b w:val="false"/>
          <w:i w:val="false"/>
          <w:caps w:val="false"/>
          <w:smallCaps w:val="false"/>
          <w:sz w:val="20"/>
        </w:rPr>
        <w:t xml:space="preserve">and </w:t>
      </w:r>
      <w:r>
        <w:rPr>
          <w:rFonts w:ascii="Times New Roman;Times;Serif" w:hAnsi="Times New Roman;Times;Serif"/>
          <w:b/>
          <w:i w:val="false"/>
          <w:caps w:val="false"/>
          <w:smallCaps w:val="false"/>
          <w:sz w:val="20"/>
        </w:rPr>
        <w:t>Note 11 – Other Non-Operating Income, Net</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sz w:val="20"/>
          <w:bdr w:val="single" w:sz="12" w:space="1" w:color="000000"/>
        </w:rPr>
      </w:pPr>
      <w:r>
        <w:rPr>
          <w:sz w:val="20"/>
          <w:bdr w:val="single" w:sz="12" w:space="1" w:color="000000"/>
        </w:rPr>
        <w:t>F-108</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 Subsequent Events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Amendment to White Lion SPA</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January 11, 2026, the Company and White Lion entered into Amendment No. 3 (“Amendment No. 3”) to the White Lion SPA. Amendment No. 3 extends the commitment period under the White Lion SPA (the “Commitment Period”) to the earlier of December 31,2027 and the date on which White Lion has purchased an aggregate number of shares of the Company’s common stock equal to the Commitment Amount (as defined below). Further, Amendment No. 3 increases, subject to approval by the Company’s stockholders, the commitment amount under the Purchase Agreement to $55.0 million of shares of its common stock (the “Commitment Amount”), which the Company may elect to sell to White Lion pursuant to the White Lion SPA, from time to time in the Company’s sole discretion, during the Commitment Period.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Amendment No. 3 adds an option for the Company to submit three hour rapid purchase notices to White Lion that, if accepted by White Lion and otherwise delivered in accordance with the Purchase Agreement, would enable the Company to sell shares of its common stock to White Lion based on the lowest traded price of the Company’s common stock during the three-hour valuation period following White Lion’s written acceptance of a three hour purchase notice.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Standby Equity Purchase Agreement; Convertible Note; Convertible Debenture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January 27, 2026 (the “Effective Date”), SunPower entered into a Standby Equity Purchase Agreement (the “SEPA”) with YA II PN, LTD., a Cayman Islands exempt limited company (the “Investor”). Pursuant to the SEPA, the Investor will advance up to $20.0 million to the Company in the form of a promissory note (“Promissory Note”). Promissory Notes will accrue interest on the outstanding principal balance at an annual rate equal to 0%, which will increase to an annual rate of 18% upon the occurrence of an Event of Default (as defined in the Promissory Notes) for so long as such event remains uncured. The Promissory Notes will mature on January 27, 2027, which may be extended at the option of the Investor. The Promissory Notes are convertible into shares of the Company’s common stock. Each tranche of a Promissory Note will be advanced less a discount in the amount equal to 10% of the principal amount of such tranche. The first tranche was disbursed on January 27, 2026 in the principal amount of $1.9 million.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SEPA the Company will have the right, from time to time, until January 27, 2029 (unless the SEPA is terminated earlier), to require the Investor to purchase up to $25.0 million of shares of the Company’s common stock (“Commitment Amount”) subject to certain limitations and conditions set forth in the SEPA.</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paid the Investor a structuring and due diligence fee of $0.05 million and agreed to issue to the Investor 175,000 shares of the Company’s common stock within three days of the Effective Date as a commitment fee.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SEPA will automatically terminate on the earliest to occur of (i) January 27, 2029 or (ii) the date on which the Investor has purchased from the Company under the SEPA the Commitment Amount in full. The Company may terminate the SEPA at any time upon five trading days’ prior written notice to the Investor, provided that there are no outstanding advance notices under which the Company is yet to issue shares of its common stock, there are no amounts outstanding under the Promissory Notes, and provided that the Company has paid all amounts owed to the Investor pursuant to the SEPA. The Company and the Investor may also agree to terminate the SEPA by mutual written consent.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March 6, 2026 the Company entered into a further Purchase Agreement pursuant to which the Investor purchased and the Company issued a convertible debenture in the principal amount of $10.0 million (the “Debenture”). At the closing under such purchase agreement, the Company issued the Debenture to the Investor in the original principal amount of $10.0 million for a purchase price of $9.0 million less certain fees payable under the purchase agreement. The Debenture accrues interest on the outstanding principal balance at an annual rate equal to 0%, which will increase to an annual rate of 18% upon the occurrence of an event of default under the Debenture for so long as such event remains uncured. The Debenture will mature on March 6, 2027, which may be extended at the option of the Investor.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each of May 6, 2026, June 6, 2026, July 6, 2026, August 6, 2026 and September 6, 2026 (each an “Installment Date”), the Company is required to pay an installment amount under the Debenture equal to (i) $2.0 million, plus (ii) a $0.06 million payment premium, and plus (iii) any accrued and unpaid interest (collectively, the “Installment Amount”). The Company may repay each applicable Installment Amount, at the Company’s option, (a) in cash on or before the applicable Installment Date or (b) by submitting an advance notice under the SEPA, or a combination of a payment in cash and delivery of such advance notice. At any time after the Effective Date, the Investor may convert any portion of the outstanding balance under the Debenture into shares of the Company’s common stock at a fixed price of $2.50 per share (the “Fixed Price”). Additionally, at any time on or after any Installment Date, the Investor may convert any portion of any due and unpaid Installment Amount outstanding under the Debenture into shares of the Company’s common stock at a price equal to 95% of the volume weighted average price (“VWAP”) of the common stock during the five trading days prior to the conversion date (but the conversion price will not be lower than the “Floor Price” then in effect.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at its option, shall have the right to redeem early all or a portion of the amounts outstanding under the Debenture upon written notice to the Investor (an “Optional Redemption”), provided, that the Company may only deliver a notice of Optional Redemption if the VWAP of the Common Stock at the time the notice is delivered is less than the Fixed Price. In connection with an Optional Redemption, the redemption price payable by the Company will be equal to (i) the outstanding principal amount of the Debenture being redeemed, plus (ii) a payment premium equal to 3% of the principal amount being repaid, and plus (iii) accrued and unpaid interest under the Debenture; however, the prepayment premium shall not apply to any Optional Redemption of the Debenture if the redemption price is paid on or before April 30, 2026.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sz w:val="20"/>
          <w:bdr w:val="single" w:sz="12" w:space="1" w:color="000000"/>
        </w:rPr>
      </w:pPr>
      <w:r>
        <w:rPr>
          <w:sz w:val="20"/>
          <w:bdr w:val="single" w:sz="12" w:space="1" w:color="000000"/>
        </w:rPr>
        <w:t>F-109</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12.0% Convertible Promissory Note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received a deposit of $2.0 million from the Rodgers Revocable Trust, a related party, in the fiscal year ended December 28, 2025. In January 2026, the Company received an additional $1.3 million in proceeds from the Rodgers Revocable Trust. On January 29, 2026, the Company issued a convertible promissory note in the original principal amount of $3.3 million (the “January 2026 Note”) with respect to the aggregate proceeds received.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January 2026 Note bears an interest rate of 12.0% and is a general unsecured obligation of the Company. The January 2026 Note will mature on July 1, 2029, unless earlier converted, redeemed or repurchased. Interest on the January 2026 Note is payable semiannually in arrears on January1 and July 1 of each year, beginning on July 1, 2026. The January 2026 Note is convertible at the option of the holder at any time prior to the payment of the principal amount of the January 2026 Note in full. The conversion rate of the January 2026 Note is initially equal to 540.5405 shares of the Company’s common stock per $1,000 of principal amount due under the January 2026 Note. The conversion rate is subject to adjustment from time to time pursuant to the terms of the January 2026 Note.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 xml:space="preserve">Acquisition of Cobalt Power Systems, Inc.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January 30, 2026, the Company entered into a share purchase agreement (“Share Purchase Agreement”) with Cobalt Power Systems, Inc., a California corporation (“Cobalt”) and its stockholders to acquire all of the outstanding stock of Cobalt (“Cobalt Acquisition”). The Company completed the Cobalt Acquisition on February 2, 2026 (“Cobalt Closing”) for (a) 1.8 million shares of the Company’s common stock issued at the Cobalt Closing and (ii) an agreement to issue an additional $3.33 million shares of the Company’s common stock on each of the 12-month and 18-month anniversaries of the Cobalt Closing. Additionally, the Company agreed to issue up to $2.0 million of restricted stock units to those Cobalt employees who continue their employment with the Company following the Cobalt Closing, and 850,000 restricted stock units will be issued as inducement grants to certain Cobalt key employees. Cobalt designs and installs solar systems. The initial accounting for the business combination is incomplete as a result of the timing of the acquisition.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Amendment to Seller Note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March 5, 2026, the Company entered into an amendment of the Seller Note (“Amendment”) that if the SEPA Debenture restricts repayment of the Seller Note on May 15, 2026, then the maturity date of the Seller Note will be extended to the earlier of (a) the date that is two business days following the date on which the Seller Note may be repaid pursuant to the restrictions set forth in the SEPA Debenture and (b) September 30, 2026 (or, if the registration statement required to be filed pursuant to the Registration Rights Agreement has not been declared effective prior to April 30, 2026, then the outside maturity date will extend to December 31, 2026). Additionally, the Company and the Member agreed that the interest rate applicable to the Seller Note will increase to 10.0% per annum if the principal amount of the Seller Note remains outstanding after May 15, 2026. As an inducement to the Member’s agreement to the foregoing, the Amendment also provides that, within two business days following approval by the Company’s stockholders of the issuance of shares under the Sunder MIPA in accordance with applicable Nasdaq rules, the Company will issue the remaining shares of common stock otherwise issuable to the Member pursuant to the Sunder MIPA. On April 8, 2026, the Company issued the remaining shares due under the Seller Note, 6.7 million shares of its common stock.</w:t>
      </w:r>
    </w:p>
    <w:p>
      <w:pPr>
        <w:pStyle w:val="TextBody"/>
        <w:bidi w:val="0"/>
        <w:spacing w:before="0" w:after="0"/>
        <w:ind w:left="0" w:right="0" w:hanging="0"/>
        <w:jc w:val="both"/>
        <w:rPr>
          <w:caps w:val="false"/>
          <w:smallCaps w:val="false"/>
        </w:rPr>
      </w:pPr>
      <w:r>
        <w:rPr>
          <w:caps w:val="false"/>
          <w:smallCaps w:val="false"/>
        </w:rPr>
        <w:t> </w:t>
      </w:r>
    </w:p>
    <w:p>
      <w:pPr>
        <w:pStyle w:val="TextBody"/>
        <w:bidi w:val="0"/>
        <w:jc w:val="left"/>
        <w:rPr>
          <w:rFonts w:ascii="Times New Roman;serif" w:hAnsi="Times New Roman;serif"/>
          <w:b/>
          <w:i/>
          <w:caps w:val="false"/>
          <w:smallCaps w:val="false"/>
          <w:sz w:val="20"/>
        </w:rPr>
      </w:pPr>
      <w:r>
        <w:rPr>
          <w:rFonts w:ascii="Times New Roman;serif" w:hAnsi="Times New Roman;serif"/>
          <w:b/>
          <w:i/>
          <w:caps w:val="false"/>
          <w:smallCaps w:val="false"/>
          <w:sz w:val="20"/>
        </w:rPr>
        <w:t>Investor Deposit by a Related Party</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received a deposit of $5.0 million (“Purchase Amount”) from the Rodgers Revocable Trust on March 27, 2026. On April 8, 2026, the Company entered into a SAFE with the Rodgers Revocable Trust in exchange for the $5.0 million received. The SAFE is automatically convertible into equity securities of the Company in an amount equal to the Purchase Amount divided by the applicable price per share, unit or other increment of the equity securities issued by the Company in its next equity financing transaction.</w:t>
      </w:r>
    </w:p>
    <w:p>
      <w:pPr>
        <w:pStyle w:val="TextBody"/>
        <w:bidi w:val="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Conversion of September 2024 Notes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Subsequent to December 28, 2025, $2.8 million of the September 2024 Notes were converted by holders into 1.6 million shares of common stock of the Company.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sz w:val="20"/>
          <w:bdr w:val="single" w:sz="12" w:space="1" w:color="000000"/>
        </w:rPr>
      </w:pPr>
      <w:r>
        <w:rPr>
          <w:sz w:val="20"/>
          <w:bdr w:val="single" w:sz="12" w:space="1" w:color="000000"/>
        </w:rPr>
        <w:t>F-110</w:t>
      </w:r>
    </w:p>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SUNDER ENERGY LLC</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FINANCIAL STATEMENTS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the Years ended December 31, 2024 and 2023</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center"/>
        <w:rPr>
          <w:sz w:val="20"/>
          <w:bdr w:val="single" w:sz="12" w:space="1" w:color="000000"/>
        </w:rPr>
      </w:pPr>
      <w:r>
        <w:rPr>
          <w:sz w:val="20"/>
          <w:bdr w:val="single" w:sz="12" w:space="1" w:color="000000"/>
        </w:rPr>
        <w:t>F-111</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Table of Contents</w:t>
      </w:r>
    </w:p>
    <w:p>
      <w:pPr>
        <w:pStyle w:val="TextBody"/>
        <w:bidi w:val="0"/>
        <w:spacing w:before="0" w:after="0"/>
        <w:ind w:left="0" w:right="0" w:hanging="0"/>
        <w:jc w:val="center"/>
        <w:rPr>
          <w:caps w:val="false"/>
          <w:smallCaps w:val="false"/>
        </w:rPr>
      </w:pPr>
      <w:r>
        <w:rPr>
          <w:caps w:val="false"/>
          <w:smallCaps w:val="false"/>
        </w:rPr>
        <w:t> </w:t>
      </w:r>
    </w:p>
    <w:tbl>
      <w:tblPr>
        <w:tblW w:w="8125" w:type="dxa"/>
        <w:jc w:val="left"/>
        <w:tblInd w:w="0" w:type="dxa"/>
        <w:tblLayout w:type="fixed"/>
        <w:tblCellMar>
          <w:top w:w="0" w:type="dxa"/>
          <w:left w:w="0" w:type="dxa"/>
          <w:bottom w:w="0" w:type="dxa"/>
          <w:right w:w="0" w:type="dxa"/>
        </w:tblCellMar>
      </w:tblPr>
      <w:tblGrid>
        <w:gridCol w:w="7550"/>
        <w:gridCol w:w="60"/>
        <w:gridCol w:w="515"/>
      </w:tblGrid>
      <w:tr>
        <w:trPr/>
        <w:tc>
          <w:tcPr>
            <w:tcW w:w="7550" w:type="dxa"/>
            <w:tcBorders/>
            <w:shd w:fill="CCEEFF" w:val="clear"/>
            <w:vAlign w:val="center"/>
          </w:tcPr>
          <w:p>
            <w:pPr>
              <w:pStyle w:val="TableContents"/>
              <w:bidi w:val="0"/>
              <w:spacing w:before="0" w:after="283"/>
              <w:jc w:val="left"/>
              <w:rPr/>
            </w:pPr>
            <w:hyperlink w:anchor="D_001">
              <w:r>
                <w:rPr>
                  <w:rStyle w:val="InternetLink"/>
                  <w:rFonts w:ascii="Times New Roman;Times;Serif" w:hAnsi="Times New Roman;Times;Serif"/>
                  <w:b w:val="false"/>
                  <w:i w:val="false"/>
                  <w:caps w:val="false"/>
                  <w:smallCaps w:val="false"/>
                  <w:sz w:val="20"/>
                </w:rPr>
                <w:t>Independent Auditor’s Report</w:t>
              </w:r>
            </w:hyperlink>
          </w:p>
        </w:tc>
        <w:tc>
          <w:tcPr>
            <w:tcW w:w="60" w:type="dxa"/>
            <w:tcBorders/>
            <w:shd w:fill="CCEEFF" w:val="clear"/>
            <w:vAlign w:val="center"/>
          </w:tcPr>
          <w:p>
            <w:pPr>
              <w:pStyle w:val="TableContents"/>
              <w:bidi w:val="0"/>
              <w:spacing w:before="0" w:after="283"/>
              <w:jc w:val="left"/>
              <w:rPr/>
            </w:pPr>
            <w:r>
              <w:rPr/>
              <w:t> </w:t>
            </w:r>
          </w:p>
        </w:tc>
        <w:tc>
          <w:tcPr>
            <w:tcW w:w="51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F-113</w:t>
            </w:r>
          </w:p>
        </w:tc>
      </w:tr>
      <w:tr>
        <w:trPr/>
        <w:tc>
          <w:tcPr>
            <w:tcW w:w="755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pPr>
            <w:r>
              <w:rPr/>
              <w:t> </w:t>
            </w:r>
          </w:p>
        </w:tc>
        <w:tc>
          <w:tcPr>
            <w:tcW w:w="515"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r>
      <w:tr>
        <w:trPr/>
        <w:tc>
          <w:tcPr>
            <w:tcW w:w="7550" w:type="dxa"/>
            <w:tcBorders/>
            <w:shd w:fill="CCEEFF" w:val="clear"/>
            <w:vAlign w:val="center"/>
          </w:tcPr>
          <w:p>
            <w:pPr>
              <w:pStyle w:val="TableContents"/>
              <w:bidi w:val="0"/>
              <w:spacing w:before="0" w:after="283"/>
              <w:jc w:val="left"/>
              <w:rPr/>
            </w:pPr>
            <w:hyperlink w:anchor="D_002">
              <w:r>
                <w:rPr>
                  <w:rStyle w:val="InternetLink"/>
                  <w:rFonts w:ascii="Times New Roman;Times;Serif" w:hAnsi="Times New Roman;Times;Serif"/>
                  <w:b w:val="false"/>
                  <w:i w:val="false"/>
                  <w:caps w:val="false"/>
                  <w:smallCaps w:val="false"/>
                  <w:sz w:val="20"/>
                </w:rPr>
                <w:t>Balance Sheets as of December 31, 2024 and 2023</w:t>
              </w:r>
            </w:hyperlink>
          </w:p>
        </w:tc>
        <w:tc>
          <w:tcPr>
            <w:tcW w:w="60" w:type="dxa"/>
            <w:tcBorders/>
            <w:shd w:fill="CCEEFF" w:val="clear"/>
            <w:vAlign w:val="center"/>
          </w:tcPr>
          <w:p>
            <w:pPr>
              <w:pStyle w:val="TableContents"/>
              <w:bidi w:val="0"/>
              <w:spacing w:before="0" w:after="283"/>
              <w:jc w:val="left"/>
              <w:rPr/>
            </w:pPr>
            <w:r>
              <w:rPr/>
              <w:t> </w:t>
            </w:r>
          </w:p>
        </w:tc>
        <w:tc>
          <w:tcPr>
            <w:tcW w:w="51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F-115</w:t>
            </w:r>
          </w:p>
        </w:tc>
      </w:tr>
      <w:tr>
        <w:trPr/>
        <w:tc>
          <w:tcPr>
            <w:tcW w:w="755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pPr>
            <w:r>
              <w:rPr/>
              <w:t> </w:t>
            </w:r>
          </w:p>
        </w:tc>
        <w:tc>
          <w:tcPr>
            <w:tcW w:w="515"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r>
      <w:tr>
        <w:trPr/>
        <w:tc>
          <w:tcPr>
            <w:tcW w:w="7550" w:type="dxa"/>
            <w:tcBorders/>
            <w:shd w:fill="CCEEFF" w:val="clear"/>
            <w:vAlign w:val="center"/>
          </w:tcPr>
          <w:p>
            <w:pPr>
              <w:pStyle w:val="TableContents"/>
              <w:bidi w:val="0"/>
              <w:spacing w:before="0" w:after="283"/>
              <w:jc w:val="left"/>
              <w:rPr/>
            </w:pPr>
            <w:hyperlink w:anchor="D_003">
              <w:r>
                <w:rPr>
                  <w:rStyle w:val="InternetLink"/>
                  <w:rFonts w:ascii="Times New Roman;Times;Serif" w:hAnsi="Times New Roman;Times;Serif"/>
                  <w:b w:val="false"/>
                  <w:i w:val="false"/>
                  <w:caps w:val="false"/>
                  <w:smallCaps w:val="false"/>
                  <w:sz w:val="20"/>
                </w:rPr>
                <w:t>Statements of Operations for the years ended December 31, 2024 and 2023</w:t>
              </w:r>
            </w:hyperlink>
          </w:p>
        </w:tc>
        <w:tc>
          <w:tcPr>
            <w:tcW w:w="60" w:type="dxa"/>
            <w:tcBorders/>
            <w:shd w:fill="CCEEFF" w:val="clear"/>
            <w:vAlign w:val="center"/>
          </w:tcPr>
          <w:p>
            <w:pPr>
              <w:pStyle w:val="TableContents"/>
              <w:bidi w:val="0"/>
              <w:spacing w:before="0" w:after="283"/>
              <w:jc w:val="left"/>
              <w:rPr/>
            </w:pPr>
            <w:r>
              <w:rPr/>
              <w:t> </w:t>
            </w:r>
          </w:p>
        </w:tc>
        <w:tc>
          <w:tcPr>
            <w:tcW w:w="51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F-116</w:t>
            </w:r>
          </w:p>
        </w:tc>
      </w:tr>
      <w:tr>
        <w:trPr/>
        <w:tc>
          <w:tcPr>
            <w:tcW w:w="755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pPr>
            <w:r>
              <w:rPr/>
              <w:t> </w:t>
            </w:r>
          </w:p>
        </w:tc>
        <w:tc>
          <w:tcPr>
            <w:tcW w:w="515"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r>
      <w:tr>
        <w:trPr/>
        <w:tc>
          <w:tcPr>
            <w:tcW w:w="7550" w:type="dxa"/>
            <w:tcBorders/>
            <w:shd w:fill="CCEEFF" w:val="clear"/>
            <w:vAlign w:val="center"/>
          </w:tcPr>
          <w:p>
            <w:pPr>
              <w:pStyle w:val="TableContents"/>
              <w:bidi w:val="0"/>
              <w:spacing w:before="0" w:after="283"/>
              <w:jc w:val="left"/>
              <w:rPr/>
            </w:pPr>
            <w:hyperlink w:anchor="D_004">
              <w:r>
                <w:rPr>
                  <w:rStyle w:val="InternetLink"/>
                  <w:rFonts w:ascii="Times New Roman;Times;Serif" w:hAnsi="Times New Roman;Times;Serif"/>
                  <w:b w:val="false"/>
                  <w:i w:val="false"/>
                  <w:caps w:val="false"/>
                  <w:smallCaps w:val="false"/>
                  <w:sz w:val="20"/>
                </w:rPr>
                <w:t>Statements of Changes in Member’s Deficit for the years ended December 31, 2024 and 2023</w:t>
              </w:r>
            </w:hyperlink>
          </w:p>
        </w:tc>
        <w:tc>
          <w:tcPr>
            <w:tcW w:w="60" w:type="dxa"/>
            <w:tcBorders/>
            <w:shd w:fill="CCEEFF" w:val="clear"/>
            <w:vAlign w:val="center"/>
          </w:tcPr>
          <w:p>
            <w:pPr>
              <w:pStyle w:val="TableContents"/>
              <w:bidi w:val="0"/>
              <w:spacing w:before="0" w:after="283"/>
              <w:jc w:val="left"/>
              <w:rPr/>
            </w:pPr>
            <w:r>
              <w:rPr/>
              <w:t> </w:t>
            </w:r>
          </w:p>
        </w:tc>
        <w:tc>
          <w:tcPr>
            <w:tcW w:w="51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F-117</w:t>
            </w:r>
          </w:p>
        </w:tc>
      </w:tr>
      <w:tr>
        <w:trPr/>
        <w:tc>
          <w:tcPr>
            <w:tcW w:w="755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pPr>
            <w:r>
              <w:rPr/>
              <w:t> </w:t>
            </w:r>
          </w:p>
        </w:tc>
        <w:tc>
          <w:tcPr>
            <w:tcW w:w="515"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r>
      <w:tr>
        <w:trPr/>
        <w:tc>
          <w:tcPr>
            <w:tcW w:w="7550" w:type="dxa"/>
            <w:tcBorders/>
            <w:shd w:fill="CCEEFF" w:val="clear"/>
            <w:vAlign w:val="center"/>
          </w:tcPr>
          <w:p>
            <w:pPr>
              <w:pStyle w:val="TableContents"/>
              <w:bidi w:val="0"/>
              <w:spacing w:before="0" w:after="283"/>
              <w:jc w:val="left"/>
              <w:rPr/>
            </w:pPr>
            <w:hyperlink w:anchor="D_005">
              <w:r>
                <w:rPr>
                  <w:rStyle w:val="InternetLink"/>
                  <w:rFonts w:ascii="Times New Roman;Times;Serif" w:hAnsi="Times New Roman;Times;Serif"/>
                  <w:b w:val="false"/>
                  <w:i w:val="false"/>
                  <w:caps w:val="false"/>
                  <w:smallCaps w:val="false"/>
                  <w:sz w:val="20"/>
                </w:rPr>
                <w:t>Statements of Cash Flows for the years ended December 31, 2024 and 2023</w:t>
              </w:r>
            </w:hyperlink>
          </w:p>
        </w:tc>
        <w:tc>
          <w:tcPr>
            <w:tcW w:w="60" w:type="dxa"/>
            <w:tcBorders/>
            <w:shd w:fill="CCEEFF" w:val="clear"/>
            <w:vAlign w:val="center"/>
          </w:tcPr>
          <w:p>
            <w:pPr>
              <w:pStyle w:val="TableContents"/>
              <w:bidi w:val="0"/>
              <w:spacing w:before="0" w:after="283"/>
              <w:jc w:val="left"/>
              <w:rPr/>
            </w:pPr>
            <w:r>
              <w:rPr/>
              <w:t> </w:t>
            </w:r>
          </w:p>
        </w:tc>
        <w:tc>
          <w:tcPr>
            <w:tcW w:w="51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F-118</w:t>
            </w:r>
          </w:p>
        </w:tc>
      </w:tr>
      <w:tr>
        <w:trPr/>
        <w:tc>
          <w:tcPr>
            <w:tcW w:w="755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pPr>
            <w:r>
              <w:rPr/>
              <w:t> </w:t>
            </w:r>
          </w:p>
        </w:tc>
        <w:tc>
          <w:tcPr>
            <w:tcW w:w="515"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r>
      <w:tr>
        <w:trPr/>
        <w:tc>
          <w:tcPr>
            <w:tcW w:w="7550" w:type="dxa"/>
            <w:tcBorders/>
            <w:shd w:fill="CCEEFF" w:val="clear"/>
            <w:vAlign w:val="center"/>
          </w:tcPr>
          <w:p>
            <w:pPr>
              <w:pStyle w:val="TableContents"/>
              <w:bidi w:val="0"/>
              <w:spacing w:before="0" w:after="283"/>
              <w:jc w:val="left"/>
              <w:rPr/>
            </w:pPr>
            <w:hyperlink w:anchor="D_006">
              <w:r>
                <w:rPr>
                  <w:rStyle w:val="InternetLink"/>
                  <w:rFonts w:ascii="Times New Roman;Times;Serif" w:hAnsi="Times New Roman;Times;Serif"/>
                  <w:b w:val="false"/>
                  <w:i w:val="false"/>
                  <w:caps w:val="false"/>
                  <w:smallCaps w:val="false"/>
                  <w:sz w:val="20"/>
                </w:rPr>
                <w:t>Notes to Financial Statements</w:t>
              </w:r>
            </w:hyperlink>
          </w:p>
        </w:tc>
        <w:tc>
          <w:tcPr>
            <w:tcW w:w="60" w:type="dxa"/>
            <w:tcBorders/>
            <w:shd w:fill="CCEEFF" w:val="clear"/>
            <w:vAlign w:val="center"/>
          </w:tcPr>
          <w:p>
            <w:pPr>
              <w:pStyle w:val="TableContents"/>
              <w:bidi w:val="0"/>
              <w:spacing w:before="0" w:after="283"/>
              <w:jc w:val="left"/>
              <w:rPr/>
            </w:pPr>
            <w:r>
              <w:rPr/>
              <w:t> </w:t>
            </w:r>
          </w:p>
        </w:tc>
        <w:tc>
          <w:tcPr>
            <w:tcW w:w="51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F-119</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center"/>
        <w:rPr>
          <w:sz w:val="20"/>
          <w:bdr w:val="single" w:sz="12" w:space="1" w:color="000000"/>
        </w:rPr>
      </w:pPr>
      <w:r>
        <w:rPr>
          <w:sz w:val="20"/>
          <w:bdr w:val="single" w:sz="12" w:space="1" w:color="000000"/>
        </w:rPr>
        <w:t>F-112</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33" w:name="D_001"/>
      <w:bookmarkEnd w:id="33"/>
      <w:r>
        <w:rPr>
          <w:rFonts w:ascii="Times New Roman;Times;Serif" w:hAnsi="Times New Roman;Times;Serif"/>
          <w:b/>
          <w:i w:val="false"/>
          <w:caps w:val="false"/>
          <w:smallCaps w:val="false"/>
          <w:sz w:val="20"/>
        </w:rPr>
        <w:t>Independent Auditor’s Report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Audit Committee of the Board of Directors</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SunPower Inc.</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Fremont, California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Opinion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audited the financial statements of Sunder Energy LLC (the Company), which comprise the balance sheets as of December 31, 2024 and 2023, and the related statements of operations, changes in member’s deficit, and cash flows for the years ended December 31, 2024 and 2023, and the related notes to the financial statements.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our opinion, the accompanying financial statements present fairly, in all material respects, the financial position of the Company as of December 31, 2024 and 2023, and the results of its operations and its cash flows for the years then ended in accordance with accounting principles generally accepted in the United States of America.</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Basis for Opinion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conducted our audits in accordance with auditing standards generally accepted in the United States of America (GAAS). Our responsibilities under those standards are further described in the Auditor’s Responsibilities for the Audit of the Financial Statements section of our report. We are required to be independent of the Company and to meet our other ethical responsibilities, in accordance with the relevant ethical requirements relating to our audits. We believe that the audit evidence we have obtained is sufficient and appropriate to provide a basis for our audit opinion.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Substantial Doubt About the Company’s Ability to Continue as a Going Concern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accompanying financial statements have been prepared assuming that the Company will continue as a going concern. As described in Note 2 to the financial statements, the Company has suffered recurring losses from operations, has a net capital deficiency, and has stated that substantial doubt exists about the Company’s ability to continue as a going concern. Management’s evaluation of the events and conditions and management’s plans regarding these matters are also described in Note 2. The financial statements do not include any adjustments that might result from the outcome of this uncertainty. Our opinion is not modified with respect to this matter.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Responsibilities of Management for the Financial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Management is responsible for the preparation and fair presentation of the financial statements in accordance with accounting principles generally accepted in the United States of America, and for the design, implementation, and maintenance of internal control relevant to the preparation and fair presentation of financial statements that are free from material misstatement, whether due to fraud or error.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preparing the financial statements, management is required to evaluate whether there are conditions or events, considered in the aggregate, that raise substantial doubt about the Company’s ability to continue as a going concern within one year after the date that the financial statements are available to be issued.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12" w:space="1" w:color="000000"/>
        </w:rPr>
      </w:pPr>
      <w:r>
        <w:rPr>
          <w:sz w:val="20"/>
          <w:bdr w:val="single" w:sz="12" w:space="1" w:color="000000"/>
        </w:rPr>
        <w:t>F-113</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Auditor’s Responsibilities for the Audit of the Financial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objectives are to obtain reasonable assurance about whether the financial statements as a whole are free from material misstatement, whether due to fraud or error, and to issue an auditor’s report that includes our opinion. Reasonable assurance is a high level of assurance but is not absolute assurance and therefore is not a guarantee that an audit conducted in accordance with GAAS will always detect a material misstatement when it exists. The risk of not detecting a material misstatement resulting from fraud is higher than for one resulting from error, as fraud may involve collusion, forgery, intentional omissions, misrepresentations, or the override of internal control. Misstatements are considered material if there is a substantial likelihood that, individually or in the aggregate, they would influence the judgment made by a reasonable user based on the financial statements.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performing an audit in accordance with GAAS, we:</w:t>
      </w:r>
    </w:p>
    <w:p>
      <w:pPr>
        <w:pStyle w:val="TextBody"/>
        <w:bidi w:val="0"/>
        <w:spacing w:before="0" w:after="0"/>
        <w:ind w:left="0" w:right="0" w:hanging="0"/>
        <w:jc w:val="both"/>
        <w:rPr>
          <w:caps w:val="false"/>
          <w:smallCaps w:val="false"/>
        </w:rPr>
      </w:pPr>
      <w:r>
        <w:rPr>
          <w:caps w:val="false"/>
          <w:smallCaps w:val="false"/>
        </w:rPr>
        <w:t> </w:t>
      </w:r>
    </w:p>
    <w:tbl>
      <w:tblPr>
        <w:tblW w:w="8748" w:type="dxa"/>
        <w:jc w:val="left"/>
        <w:tblInd w:w="0" w:type="dxa"/>
        <w:tblLayout w:type="fixed"/>
        <w:tblCellMar>
          <w:top w:w="0" w:type="dxa"/>
          <w:left w:w="0" w:type="dxa"/>
          <w:bottom w:w="0" w:type="dxa"/>
          <w:right w:w="0" w:type="dxa"/>
        </w:tblCellMar>
      </w:tblPr>
      <w:tblGrid>
        <w:gridCol w:w="38"/>
        <w:gridCol w:w="170"/>
        <w:gridCol w:w="854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8540"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Exercise professional judgment and maintain professional skepticism throughout the audit.</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Identify and assess the risks of material misstatement of the financial statements, whether due to fraud or error, and design and perform audit procedures responsive to those risks. Such procedures include examining, on a test basis, evidence regarding the amounts and disclosures in the financial statements.</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Obtain an understanding of internal control relevant to the audit in order to design audit procedures that are appropriate in the circumstances, but not for the purpose of expressing an opinion on the effectiveness of the Company’s internal control. Accordingly, no such opinion is expressed.</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Evaluate the appropriateness of accounting policies used and the reasonableness of significant accounting estimates made by management, as well as evaluate the overall presentation of the financial statements.</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Conclude whether, in our judgment, there are conditions or events, considered in the aggregate, that raise substantial doubt about the Company’s ability to continue as a going concern for a reasonable period of time.</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required to communicate with those charged with governance regarding, among other matters, the planned scope and timing of the audit, significant audit findings, and certain internal control-related matters that we identified during the audit.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BDO USA, P.C.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Atlanta, GA</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January 9,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12" w:space="1" w:color="000000"/>
        </w:rPr>
      </w:pPr>
      <w:r>
        <w:rPr>
          <w:sz w:val="20"/>
          <w:bdr w:val="single" w:sz="12" w:space="1" w:color="000000"/>
        </w:rPr>
        <w:t>F-114</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34" w:name="D_002"/>
      <w:bookmarkEnd w:id="34"/>
      <w:r>
        <w:rPr>
          <w:rFonts w:ascii="Times New Roman;Times;Serif" w:hAnsi="Times New Roman;Times;Serif"/>
          <w:b/>
          <w:i w:val="false"/>
          <w:caps w:val="false"/>
          <w:smallCaps w:val="false"/>
          <w:sz w:val="20"/>
        </w:rPr>
        <w:t>SUNDER ENERGY LLC</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BALANCE SHEETS</w:t>
      </w:r>
    </w:p>
    <w:p>
      <w:pPr>
        <w:pStyle w:val="TextBody"/>
        <w:bidi w:val="0"/>
        <w:spacing w:before="0" w:after="0"/>
        <w:ind w:left="0" w:right="0" w:hanging="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(In thousands)</w:t>
      </w:r>
    </w:p>
    <w:p>
      <w:pPr>
        <w:pStyle w:val="TextBody"/>
        <w:bidi w:val="0"/>
        <w:spacing w:before="0" w:after="0"/>
        <w:ind w:left="0" w:right="0" w:hanging="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8131"/>
        <w:gridCol w:w="60"/>
        <w:gridCol w:w="153"/>
        <w:gridCol w:w="744"/>
        <w:gridCol w:w="103"/>
        <w:gridCol w:w="65"/>
        <w:gridCol w:w="153"/>
        <w:gridCol w:w="695"/>
        <w:gridCol w:w="101"/>
      </w:tblGrid>
      <w:tr>
        <w:trPr/>
        <w:tc>
          <w:tcPr>
            <w:tcW w:w="8131" w:type="dxa"/>
            <w:tcBorders/>
            <w:vAlign w:val="center"/>
          </w:tcPr>
          <w:p>
            <w:pPr>
              <w:pStyle w:val="TableContents"/>
              <w:bidi w:val="0"/>
              <w:spacing w:before="0" w:after="283"/>
              <w:ind w:left="0" w:right="0" w:hanging="180"/>
              <w:jc w:val="center"/>
              <w:rPr/>
            </w:pPr>
            <w:r>
              <w:rPr/>
              <w:t> </w:t>
            </w:r>
          </w:p>
        </w:tc>
        <w:tc>
          <w:tcPr>
            <w:tcW w:w="60" w:type="dxa"/>
            <w:tcBorders/>
            <w:vAlign w:val="center"/>
          </w:tcPr>
          <w:p>
            <w:pPr>
              <w:pStyle w:val="TableContents"/>
              <w:bidi w:val="0"/>
              <w:spacing w:before="0" w:after="283"/>
              <w:jc w:val="left"/>
              <w:rPr/>
            </w:pPr>
            <w:r>
              <w:rPr/>
              <w:t> </w:t>
            </w:r>
          </w:p>
        </w:tc>
        <w:tc>
          <w:tcPr>
            <w:tcW w:w="1913"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As of December 31,</w:t>
            </w:r>
          </w:p>
        </w:tc>
        <w:tc>
          <w:tcPr>
            <w:tcW w:w="101" w:type="dxa"/>
            <w:tcBorders/>
            <w:vAlign w:val="center"/>
          </w:tcPr>
          <w:p>
            <w:pPr>
              <w:pStyle w:val="TableContents"/>
              <w:bidi w:val="0"/>
              <w:spacing w:before="0" w:after="283"/>
              <w:ind w:left="0" w:right="0" w:hanging="180"/>
              <w:jc w:val="left"/>
              <w:rPr/>
            </w:pPr>
            <w:r>
              <w:rPr/>
              <w:t> </w:t>
            </w:r>
          </w:p>
        </w:tc>
      </w:tr>
      <w:tr>
        <w:trPr/>
        <w:tc>
          <w:tcPr>
            <w:tcW w:w="8131"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897"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2024</w:t>
            </w:r>
          </w:p>
        </w:tc>
        <w:tc>
          <w:tcPr>
            <w:tcW w:w="103" w:type="dxa"/>
            <w:tcBorders/>
            <w:vAlign w:val="center"/>
          </w:tcPr>
          <w:p>
            <w:pPr>
              <w:pStyle w:val="TableContents"/>
              <w:bidi w:val="0"/>
              <w:spacing w:before="0" w:after="283"/>
              <w:jc w:val="left"/>
              <w:rPr/>
            </w:pPr>
            <w:r>
              <w:rPr/>
              <w:t> </w:t>
            </w:r>
          </w:p>
        </w:tc>
        <w:tc>
          <w:tcPr>
            <w:tcW w:w="65" w:type="dxa"/>
            <w:tcBorders/>
            <w:vAlign w:val="center"/>
          </w:tcPr>
          <w:p>
            <w:pPr>
              <w:pStyle w:val="TableContents"/>
              <w:bidi w:val="0"/>
              <w:spacing w:before="0" w:after="283"/>
              <w:jc w:val="left"/>
              <w:rPr/>
            </w:pPr>
            <w:r>
              <w:rPr/>
              <w:t> </w:t>
            </w:r>
          </w:p>
        </w:tc>
        <w:tc>
          <w:tcPr>
            <w:tcW w:w="848"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2023</w:t>
            </w:r>
          </w:p>
        </w:tc>
        <w:tc>
          <w:tcPr>
            <w:tcW w:w="101" w:type="dxa"/>
            <w:tcBorders/>
            <w:vAlign w:val="center"/>
          </w:tcPr>
          <w:p>
            <w:pPr>
              <w:pStyle w:val="TableContents"/>
              <w:bidi w:val="0"/>
              <w:spacing w:before="0" w:after="283"/>
              <w:ind w:left="0" w:right="0" w:hanging="180"/>
              <w:jc w:val="left"/>
              <w:rPr/>
            </w:pPr>
            <w:r>
              <w:rPr/>
              <w:t> </w:t>
            </w:r>
          </w:p>
        </w:tc>
      </w:tr>
      <w:tr>
        <w:trPr/>
        <w:tc>
          <w:tcPr>
            <w:tcW w:w="8131" w:type="dxa"/>
            <w:tcBorders/>
            <w:vAlign w:val="center"/>
          </w:tcPr>
          <w:p>
            <w:pPr>
              <w:pStyle w:val="TableContents"/>
              <w:bidi w:val="0"/>
              <w:spacing w:before="0" w:after="283"/>
              <w:jc w:val="left"/>
              <w:rPr>
                <w:b/>
              </w:rPr>
            </w:pPr>
            <w:r>
              <w:rPr>
                <w:b/>
              </w:rPr>
              <w:t>ASSETS</w:t>
            </w:r>
          </w:p>
        </w:tc>
        <w:tc>
          <w:tcPr>
            <w:tcW w:w="60" w:type="dxa"/>
            <w:tcBorders/>
            <w:vAlign w:val="center"/>
          </w:tcPr>
          <w:p>
            <w:pPr>
              <w:pStyle w:val="TableContents"/>
              <w:bidi w:val="0"/>
              <w:spacing w:before="0" w:after="283"/>
              <w:jc w:val="left"/>
              <w:rPr/>
            </w:pPr>
            <w:r>
              <w:rPr/>
              <w:t> </w:t>
            </w:r>
          </w:p>
        </w:tc>
        <w:tc>
          <w:tcPr>
            <w:tcW w:w="897" w:type="dxa"/>
            <w:gridSpan w:val="2"/>
            <w:tcBorders/>
            <w:vAlign w:val="center"/>
          </w:tcPr>
          <w:p>
            <w:pPr>
              <w:pStyle w:val="TableContents"/>
              <w:bidi w:val="0"/>
              <w:spacing w:before="0" w:after="283"/>
              <w:jc w:val="right"/>
              <w:rPr/>
            </w:pPr>
            <w:r>
              <w:rPr/>
              <w:t> </w:t>
            </w:r>
          </w:p>
        </w:tc>
        <w:tc>
          <w:tcPr>
            <w:tcW w:w="103" w:type="dxa"/>
            <w:tcBorders/>
            <w:vAlign w:val="center"/>
          </w:tcPr>
          <w:p>
            <w:pPr>
              <w:pStyle w:val="TableContents"/>
              <w:bidi w:val="0"/>
              <w:spacing w:before="0" w:after="283"/>
              <w:jc w:val="left"/>
              <w:rPr/>
            </w:pPr>
            <w:r>
              <w:rPr/>
              <w:t> </w:t>
            </w:r>
          </w:p>
        </w:tc>
        <w:tc>
          <w:tcPr>
            <w:tcW w:w="65" w:type="dxa"/>
            <w:tcBorders/>
            <w:vAlign w:val="center"/>
          </w:tcPr>
          <w:p>
            <w:pPr>
              <w:pStyle w:val="TableContents"/>
              <w:bidi w:val="0"/>
              <w:spacing w:before="0" w:after="283"/>
              <w:jc w:val="left"/>
              <w:rPr/>
            </w:pPr>
            <w:r>
              <w:rPr/>
              <w:t> </w:t>
            </w:r>
          </w:p>
        </w:tc>
        <w:tc>
          <w:tcPr>
            <w:tcW w:w="848" w:type="dxa"/>
            <w:gridSpan w:val="2"/>
            <w:tcBorders/>
            <w:vAlign w:val="center"/>
          </w:tcPr>
          <w:p>
            <w:pPr>
              <w:pStyle w:val="TableContents"/>
              <w:bidi w:val="0"/>
              <w:spacing w:before="0" w:after="283"/>
              <w:jc w:val="right"/>
              <w:rPr/>
            </w:pPr>
            <w:r>
              <w:rPr/>
              <w:t> </w:t>
            </w:r>
          </w:p>
        </w:tc>
        <w:tc>
          <w:tcPr>
            <w:tcW w:w="101" w:type="dxa"/>
            <w:tcBorders/>
            <w:vAlign w:val="center"/>
          </w:tcPr>
          <w:p>
            <w:pPr>
              <w:pStyle w:val="TableContents"/>
              <w:bidi w:val="0"/>
              <w:spacing w:before="0" w:after="283"/>
              <w:ind w:left="0" w:right="0" w:hanging="180"/>
              <w:jc w:val="left"/>
              <w:rPr/>
            </w:pPr>
            <w:r>
              <w:rPr/>
              <w:t> </w:t>
            </w:r>
          </w:p>
        </w:tc>
      </w:tr>
      <w:tr>
        <w:trPr/>
        <w:tc>
          <w:tcPr>
            <w:tcW w:w="8131" w:type="dxa"/>
            <w:tcBorders/>
            <w:vAlign w:val="center"/>
          </w:tcPr>
          <w:p>
            <w:pPr>
              <w:pStyle w:val="TableContents"/>
              <w:bidi w:val="0"/>
              <w:spacing w:before="0" w:after="283"/>
              <w:jc w:val="left"/>
              <w:rPr/>
            </w:pPr>
            <w:r>
              <w:rPr/>
              <w:t>Current assets:</w:t>
            </w:r>
          </w:p>
        </w:tc>
        <w:tc>
          <w:tcPr>
            <w:tcW w:w="60" w:type="dxa"/>
            <w:tcBorders/>
            <w:vAlign w:val="center"/>
          </w:tcPr>
          <w:p>
            <w:pPr>
              <w:pStyle w:val="TableContents"/>
              <w:bidi w:val="0"/>
              <w:spacing w:before="0" w:after="283"/>
              <w:jc w:val="left"/>
              <w:rPr/>
            </w:pPr>
            <w:r>
              <w:rPr/>
              <w:t> </w:t>
            </w:r>
          </w:p>
        </w:tc>
        <w:tc>
          <w:tcPr>
            <w:tcW w:w="897" w:type="dxa"/>
            <w:gridSpan w:val="2"/>
            <w:tcBorders/>
            <w:vAlign w:val="center"/>
          </w:tcPr>
          <w:p>
            <w:pPr>
              <w:pStyle w:val="TableContents"/>
              <w:bidi w:val="0"/>
              <w:spacing w:before="0" w:after="283"/>
              <w:jc w:val="right"/>
              <w:rPr/>
            </w:pPr>
            <w:r>
              <w:rPr/>
              <w:t> </w:t>
            </w:r>
          </w:p>
        </w:tc>
        <w:tc>
          <w:tcPr>
            <w:tcW w:w="103" w:type="dxa"/>
            <w:tcBorders/>
            <w:vAlign w:val="center"/>
          </w:tcPr>
          <w:p>
            <w:pPr>
              <w:pStyle w:val="TableContents"/>
              <w:bidi w:val="0"/>
              <w:spacing w:before="0" w:after="283"/>
              <w:jc w:val="left"/>
              <w:rPr/>
            </w:pPr>
            <w:r>
              <w:rPr/>
              <w:t> </w:t>
            </w:r>
          </w:p>
        </w:tc>
        <w:tc>
          <w:tcPr>
            <w:tcW w:w="65" w:type="dxa"/>
            <w:tcBorders/>
            <w:vAlign w:val="center"/>
          </w:tcPr>
          <w:p>
            <w:pPr>
              <w:pStyle w:val="TableContents"/>
              <w:bidi w:val="0"/>
              <w:spacing w:before="0" w:after="283"/>
              <w:jc w:val="left"/>
              <w:rPr/>
            </w:pPr>
            <w:r>
              <w:rPr/>
              <w:t> </w:t>
            </w:r>
          </w:p>
        </w:tc>
        <w:tc>
          <w:tcPr>
            <w:tcW w:w="848" w:type="dxa"/>
            <w:gridSpan w:val="2"/>
            <w:tcBorders/>
            <w:vAlign w:val="center"/>
          </w:tcPr>
          <w:p>
            <w:pPr>
              <w:pStyle w:val="TableContents"/>
              <w:bidi w:val="0"/>
              <w:spacing w:before="0" w:after="283"/>
              <w:jc w:val="right"/>
              <w:rPr/>
            </w:pPr>
            <w:r>
              <w:rPr/>
              <w:t> </w:t>
            </w:r>
          </w:p>
        </w:tc>
        <w:tc>
          <w:tcPr>
            <w:tcW w:w="101" w:type="dxa"/>
            <w:tcBorders/>
            <w:vAlign w:val="center"/>
          </w:tcPr>
          <w:p>
            <w:pPr>
              <w:pStyle w:val="TableContents"/>
              <w:bidi w:val="0"/>
              <w:spacing w:before="0" w:after="283"/>
              <w:ind w:left="0" w:right="0" w:hanging="180"/>
              <w:jc w:val="left"/>
              <w:rPr/>
            </w:pPr>
            <w:r>
              <w:rPr/>
              <w:t> </w:t>
            </w:r>
          </w:p>
        </w:tc>
      </w:tr>
      <w:tr>
        <w:trPr/>
        <w:tc>
          <w:tcPr>
            <w:tcW w:w="8131" w:type="dxa"/>
            <w:tcBorders/>
            <w:shd w:fill="CCEEFF" w:val="clear"/>
            <w:vAlign w:val="center"/>
          </w:tcPr>
          <w:p>
            <w:pPr>
              <w:pStyle w:val="TableContents"/>
              <w:bidi w:val="0"/>
              <w:spacing w:before="0" w:after="283"/>
              <w:jc w:val="left"/>
              <w:rPr/>
            </w:pPr>
            <w:r>
              <w:rPr/>
              <w:t>Cash</w:t>
            </w:r>
          </w:p>
        </w:tc>
        <w:tc>
          <w:tcPr>
            <w:tcW w:w="60" w:type="dxa"/>
            <w:tcBorders/>
            <w:shd w:fill="CCEEFF" w:val="clear"/>
            <w:vAlign w:val="center"/>
          </w:tcPr>
          <w:p>
            <w:pPr>
              <w:pStyle w:val="TableContents"/>
              <w:bidi w:val="0"/>
              <w:spacing w:before="0" w:after="283"/>
              <w:jc w:val="left"/>
              <w:rPr/>
            </w:pPr>
            <w:r>
              <w:rPr/>
              <w:t> </w:t>
            </w:r>
          </w:p>
        </w:tc>
        <w:tc>
          <w:tcPr>
            <w:tcW w:w="153" w:type="dxa"/>
            <w:tcBorders/>
            <w:shd w:fill="CCEEFF" w:val="clear"/>
            <w:vAlign w:val="center"/>
          </w:tcPr>
          <w:p>
            <w:pPr>
              <w:pStyle w:val="TableContents"/>
              <w:bidi w:val="0"/>
              <w:spacing w:before="0" w:after="283"/>
              <w:jc w:val="left"/>
              <w:rPr/>
            </w:pPr>
            <w:r>
              <w:rPr/>
              <w:t>$</w:t>
            </w:r>
          </w:p>
        </w:tc>
        <w:tc>
          <w:tcPr>
            <w:tcW w:w="744" w:type="dxa"/>
            <w:tcBorders/>
            <w:shd w:fill="CCEEFF" w:val="clear"/>
            <w:vAlign w:val="center"/>
          </w:tcPr>
          <w:p>
            <w:pPr>
              <w:pStyle w:val="TableContents"/>
              <w:bidi w:val="0"/>
              <w:spacing w:before="0" w:after="283"/>
              <w:jc w:val="right"/>
              <w:rPr/>
            </w:pPr>
            <w:r>
              <w:rPr/>
              <w:t>1,524</w:t>
            </w:r>
          </w:p>
        </w:tc>
        <w:tc>
          <w:tcPr>
            <w:tcW w:w="103"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jc w:val="left"/>
              <w:rPr/>
            </w:pPr>
            <w:r>
              <w:rPr/>
              <w:t> </w:t>
            </w:r>
          </w:p>
        </w:tc>
        <w:tc>
          <w:tcPr>
            <w:tcW w:w="153" w:type="dxa"/>
            <w:tcBorders/>
            <w:shd w:fill="CCEEFF" w:val="clear"/>
            <w:vAlign w:val="center"/>
          </w:tcPr>
          <w:p>
            <w:pPr>
              <w:pStyle w:val="TableContents"/>
              <w:bidi w:val="0"/>
              <w:spacing w:before="0" w:after="283"/>
              <w:jc w:val="left"/>
              <w:rPr/>
            </w:pPr>
            <w:r>
              <w:rPr/>
              <w:t>$</w:t>
            </w:r>
          </w:p>
        </w:tc>
        <w:tc>
          <w:tcPr>
            <w:tcW w:w="695" w:type="dxa"/>
            <w:tcBorders/>
            <w:shd w:fill="CCEEFF" w:val="clear"/>
            <w:vAlign w:val="center"/>
          </w:tcPr>
          <w:p>
            <w:pPr>
              <w:pStyle w:val="TableContents"/>
              <w:bidi w:val="0"/>
              <w:spacing w:before="0" w:after="283"/>
              <w:jc w:val="right"/>
              <w:rPr/>
            </w:pPr>
            <w:r>
              <w:rPr/>
              <w:t>1,710</w:t>
            </w:r>
          </w:p>
        </w:tc>
        <w:tc>
          <w:tcPr>
            <w:tcW w:w="101" w:type="dxa"/>
            <w:tcBorders/>
            <w:shd w:fill="CCEEFF" w:val="clear"/>
            <w:vAlign w:val="center"/>
          </w:tcPr>
          <w:p>
            <w:pPr>
              <w:pStyle w:val="TableContents"/>
              <w:bidi w:val="0"/>
              <w:spacing w:before="0" w:after="283"/>
              <w:ind w:left="0" w:right="0" w:hanging="180"/>
              <w:jc w:val="left"/>
              <w:rPr/>
            </w:pPr>
            <w:r>
              <w:rPr/>
              <w:t> </w:t>
            </w:r>
          </w:p>
        </w:tc>
      </w:tr>
      <w:tr>
        <w:trPr/>
        <w:tc>
          <w:tcPr>
            <w:tcW w:w="8131" w:type="dxa"/>
            <w:tcBorders/>
            <w:shd w:fill="FFFFFF" w:val="clear"/>
            <w:vAlign w:val="center"/>
          </w:tcPr>
          <w:p>
            <w:pPr>
              <w:pStyle w:val="TableContents"/>
              <w:bidi w:val="0"/>
              <w:spacing w:before="0" w:after="283"/>
              <w:jc w:val="left"/>
              <w:rPr/>
            </w:pPr>
            <w:r>
              <w:rPr/>
              <w:t>Restricted cash</w:t>
            </w:r>
          </w:p>
        </w:tc>
        <w:tc>
          <w:tcPr>
            <w:tcW w:w="60" w:type="dxa"/>
            <w:tcBorders/>
            <w:shd w:fill="FFFFFF" w:val="clear"/>
            <w:vAlign w:val="center"/>
          </w:tcPr>
          <w:p>
            <w:pPr>
              <w:pStyle w:val="TableContents"/>
              <w:bidi w:val="0"/>
              <w:spacing w:before="0" w:after="283"/>
              <w:jc w:val="left"/>
              <w:rPr/>
            </w:pPr>
            <w:r>
              <w:rPr/>
              <w:t> </w:t>
            </w:r>
          </w:p>
        </w:tc>
        <w:tc>
          <w:tcPr>
            <w:tcW w:w="153" w:type="dxa"/>
            <w:tcBorders/>
            <w:shd w:fill="FFFFFF" w:val="clear"/>
            <w:vAlign w:val="center"/>
          </w:tcPr>
          <w:p>
            <w:pPr>
              <w:pStyle w:val="TableContents"/>
              <w:bidi w:val="0"/>
              <w:spacing w:before="0" w:after="283"/>
              <w:jc w:val="left"/>
              <w:rPr/>
            </w:pPr>
            <w:r>
              <w:rPr/>
              <w:t> </w:t>
            </w:r>
          </w:p>
        </w:tc>
        <w:tc>
          <w:tcPr>
            <w:tcW w:w="744" w:type="dxa"/>
            <w:tcBorders/>
            <w:shd w:fill="FFFFFF" w:val="clear"/>
            <w:vAlign w:val="center"/>
          </w:tcPr>
          <w:p>
            <w:pPr>
              <w:pStyle w:val="TableContents"/>
              <w:bidi w:val="0"/>
              <w:spacing w:before="0" w:after="283"/>
              <w:jc w:val="right"/>
              <w:rPr/>
            </w:pPr>
            <w:r>
              <w:rPr/>
              <w:t>2,018</w:t>
            </w:r>
          </w:p>
        </w:tc>
        <w:tc>
          <w:tcPr>
            <w:tcW w:w="103" w:type="dxa"/>
            <w:tcBorders/>
            <w:shd w:fill="FFFFFF" w:val="clear"/>
            <w:vAlign w:val="center"/>
          </w:tcPr>
          <w:p>
            <w:pPr>
              <w:pStyle w:val="TableContents"/>
              <w:bidi w:val="0"/>
              <w:spacing w:before="0" w:after="283"/>
              <w:jc w:val="left"/>
              <w:rPr/>
            </w:pPr>
            <w:r>
              <w:rPr/>
              <w:t> </w:t>
            </w:r>
          </w:p>
        </w:tc>
        <w:tc>
          <w:tcPr>
            <w:tcW w:w="65" w:type="dxa"/>
            <w:tcBorders/>
            <w:shd w:fill="FFFFFF" w:val="clear"/>
            <w:vAlign w:val="center"/>
          </w:tcPr>
          <w:p>
            <w:pPr>
              <w:pStyle w:val="TableContents"/>
              <w:bidi w:val="0"/>
              <w:spacing w:before="0" w:after="283"/>
              <w:jc w:val="left"/>
              <w:rPr/>
            </w:pPr>
            <w:r>
              <w:rPr/>
              <w:t> </w:t>
            </w:r>
          </w:p>
        </w:tc>
        <w:tc>
          <w:tcPr>
            <w:tcW w:w="153"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right"/>
              <w:rPr/>
            </w:pPr>
            <w:r>
              <w:rPr/>
              <w:t>—</w:t>
            </w:r>
          </w:p>
        </w:tc>
        <w:tc>
          <w:tcPr>
            <w:tcW w:w="101" w:type="dxa"/>
            <w:tcBorders/>
            <w:shd w:fill="FFFFFF" w:val="clear"/>
            <w:vAlign w:val="center"/>
          </w:tcPr>
          <w:p>
            <w:pPr>
              <w:pStyle w:val="TableContents"/>
              <w:bidi w:val="0"/>
              <w:spacing w:before="0" w:after="283"/>
              <w:ind w:left="0" w:right="0" w:hanging="180"/>
              <w:jc w:val="left"/>
              <w:rPr/>
            </w:pPr>
            <w:r>
              <w:rPr/>
              <w:t> </w:t>
            </w:r>
          </w:p>
        </w:tc>
      </w:tr>
      <w:tr>
        <w:trPr/>
        <w:tc>
          <w:tcPr>
            <w:tcW w:w="8131" w:type="dxa"/>
            <w:tcBorders/>
            <w:shd w:fill="CCEEFF" w:val="clear"/>
            <w:vAlign w:val="center"/>
          </w:tcPr>
          <w:p>
            <w:pPr>
              <w:pStyle w:val="TableContents"/>
              <w:bidi w:val="0"/>
              <w:spacing w:before="0" w:after="283"/>
              <w:jc w:val="left"/>
              <w:rPr/>
            </w:pPr>
            <w:r>
              <w:rPr/>
              <w:t>Accounts receivable, net of allowance for credit losses of $588 and $54 as of December 31, 2024 and 2023, respectively</w:t>
            </w:r>
          </w:p>
        </w:tc>
        <w:tc>
          <w:tcPr>
            <w:tcW w:w="60" w:type="dxa"/>
            <w:tcBorders/>
            <w:shd w:fill="CCEEFF" w:val="clear"/>
            <w:vAlign w:val="center"/>
          </w:tcPr>
          <w:p>
            <w:pPr>
              <w:pStyle w:val="TableContents"/>
              <w:bidi w:val="0"/>
              <w:spacing w:before="0" w:after="283"/>
              <w:jc w:val="left"/>
              <w:rPr/>
            </w:pPr>
            <w:r>
              <w:rPr/>
              <w:t> </w:t>
            </w:r>
          </w:p>
        </w:tc>
        <w:tc>
          <w:tcPr>
            <w:tcW w:w="153" w:type="dxa"/>
            <w:tcBorders/>
            <w:shd w:fill="CCEEFF" w:val="clear"/>
            <w:vAlign w:val="center"/>
          </w:tcPr>
          <w:p>
            <w:pPr>
              <w:pStyle w:val="TableContents"/>
              <w:bidi w:val="0"/>
              <w:spacing w:before="0" w:after="283"/>
              <w:jc w:val="left"/>
              <w:rPr/>
            </w:pPr>
            <w:r>
              <w:rPr/>
              <w:t> </w:t>
            </w:r>
          </w:p>
        </w:tc>
        <w:tc>
          <w:tcPr>
            <w:tcW w:w="744" w:type="dxa"/>
            <w:tcBorders/>
            <w:shd w:fill="CCEEFF" w:val="clear"/>
            <w:vAlign w:val="center"/>
          </w:tcPr>
          <w:p>
            <w:pPr>
              <w:pStyle w:val="TableContents"/>
              <w:bidi w:val="0"/>
              <w:spacing w:before="0" w:after="283"/>
              <w:jc w:val="right"/>
              <w:rPr/>
            </w:pPr>
            <w:r>
              <w:rPr/>
              <w:t>2,991</w:t>
            </w:r>
          </w:p>
        </w:tc>
        <w:tc>
          <w:tcPr>
            <w:tcW w:w="103"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jc w:val="left"/>
              <w:rPr/>
            </w:pPr>
            <w:r>
              <w:rPr/>
              <w:t> </w:t>
            </w:r>
          </w:p>
        </w:tc>
        <w:tc>
          <w:tcPr>
            <w:tcW w:w="153"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right"/>
              <w:rPr/>
            </w:pPr>
            <w:r>
              <w:rPr/>
              <w:t>229</w:t>
            </w:r>
          </w:p>
        </w:tc>
        <w:tc>
          <w:tcPr>
            <w:tcW w:w="101" w:type="dxa"/>
            <w:tcBorders/>
            <w:shd w:fill="CCEEFF" w:val="clear"/>
            <w:vAlign w:val="center"/>
          </w:tcPr>
          <w:p>
            <w:pPr>
              <w:pStyle w:val="TableContents"/>
              <w:bidi w:val="0"/>
              <w:spacing w:before="0" w:after="283"/>
              <w:ind w:left="0" w:right="0" w:hanging="180"/>
              <w:jc w:val="left"/>
              <w:rPr/>
            </w:pPr>
            <w:r>
              <w:rPr/>
              <w:t> </w:t>
            </w:r>
          </w:p>
        </w:tc>
      </w:tr>
      <w:tr>
        <w:trPr/>
        <w:tc>
          <w:tcPr>
            <w:tcW w:w="8131" w:type="dxa"/>
            <w:tcBorders/>
            <w:shd w:fill="FFFFFF" w:val="clear"/>
            <w:vAlign w:val="center"/>
          </w:tcPr>
          <w:p>
            <w:pPr>
              <w:pStyle w:val="TableContents"/>
              <w:bidi w:val="0"/>
              <w:spacing w:before="0" w:after="283"/>
              <w:jc w:val="left"/>
              <w:rPr/>
            </w:pPr>
            <w:r>
              <w:rPr/>
              <w:t>Due from related party</w:t>
            </w:r>
          </w:p>
        </w:tc>
        <w:tc>
          <w:tcPr>
            <w:tcW w:w="60" w:type="dxa"/>
            <w:tcBorders/>
            <w:shd w:fill="FFFFFF" w:val="clear"/>
            <w:vAlign w:val="center"/>
          </w:tcPr>
          <w:p>
            <w:pPr>
              <w:pStyle w:val="TableContents"/>
              <w:bidi w:val="0"/>
              <w:spacing w:before="0" w:after="283"/>
              <w:jc w:val="left"/>
              <w:rPr/>
            </w:pPr>
            <w:r>
              <w:rPr/>
              <w:t> </w:t>
            </w:r>
          </w:p>
        </w:tc>
        <w:tc>
          <w:tcPr>
            <w:tcW w:w="153" w:type="dxa"/>
            <w:tcBorders/>
            <w:shd w:fill="FFFFFF" w:val="clear"/>
            <w:vAlign w:val="center"/>
          </w:tcPr>
          <w:p>
            <w:pPr>
              <w:pStyle w:val="TableContents"/>
              <w:bidi w:val="0"/>
              <w:spacing w:before="0" w:after="283"/>
              <w:jc w:val="left"/>
              <w:rPr/>
            </w:pPr>
            <w:r>
              <w:rPr/>
              <w:t> </w:t>
            </w:r>
          </w:p>
        </w:tc>
        <w:tc>
          <w:tcPr>
            <w:tcW w:w="744" w:type="dxa"/>
            <w:tcBorders/>
            <w:shd w:fill="FFFFFF" w:val="clear"/>
            <w:vAlign w:val="center"/>
          </w:tcPr>
          <w:p>
            <w:pPr>
              <w:pStyle w:val="TableContents"/>
              <w:bidi w:val="0"/>
              <w:spacing w:before="0" w:after="283"/>
              <w:jc w:val="right"/>
              <w:rPr/>
            </w:pPr>
            <w:r>
              <w:rPr/>
              <w:t>559</w:t>
            </w:r>
          </w:p>
        </w:tc>
        <w:tc>
          <w:tcPr>
            <w:tcW w:w="103" w:type="dxa"/>
            <w:tcBorders/>
            <w:shd w:fill="FFFFFF" w:val="clear"/>
            <w:vAlign w:val="center"/>
          </w:tcPr>
          <w:p>
            <w:pPr>
              <w:pStyle w:val="TableContents"/>
              <w:bidi w:val="0"/>
              <w:spacing w:before="0" w:after="283"/>
              <w:jc w:val="left"/>
              <w:rPr/>
            </w:pPr>
            <w:r>
              <w:rPr/>
              <w:t> </w:t>
            </w:r>
          </w:p>
        </w:tc>
        <w:tc>
          <w:tcPr>
            <w:tcW w:w="65" w:type="dxa"/>
            <w:tcBorders/>
            <w:shd w:fill="FFFFFF" w:val="clear"/>
            <w:vAlign w:val="center"/>
          </w:tcPr>
          <w:p>
            <w:pPr>
              <w:pStyle w:val="TableContents"/>
              <w:bidi w:val="0"/>
              <w:spacing w:before="0" w:after="283"/>
              <w:jc w:val="left"/>
              <w:rPr/>
            </w:pPr>
            <w:r>
              <w:rPr/>
              <w:t> </w:t>
            </w:r>
          </w:p>
        </w:tc>
        <w:tc>
          <w:tcPr>
            <w:tcW w:w="153"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right"/>
              <w:rPr/>
            </w:pPr>
            <w:r>
              <w:rPr/>
              <w:t>94</w:t>
            </w:r>
          </w:p>
        </w:tc>
        <w:tc>
          <w:tcPr>
            <w:tcW w:w="101" w:type="dxa"/>
            <w:tcBorders/>
            <w:shd w:fill="FFFFFF" w:val="clear"/>
            <w:vAlign w:val="center"/>
          </w:tcPr>
          <w:p>
            <w:pPr>
              <w:pStyle w:val="TableContents"/>
              <w:bidi w:val="0"/>
              <w:spacing w:before="0" w:after="283"/>
              <w:ind w:left="0" w:right="0" w:hanging="180"/>
              <w:jc w:val="left"/>
              <w:rPr/>
            </w:pPr>
            <w:r>
              <w:rPr/>
              <w:t> </w:t>
            </w:r>
          </w:p>
        </w:tc>
      </w:tr>
      <w:tr>
        <w:trPr/>
        <w:tc>
          <w:tcPr>
            <w:tcW w:w="8131" w:type="dxa"/>
            <w:tcBorders/>
            <w:shd w:fill="CCEEFF" w:val="clear"/>
            <w:vAlign w:val="center"/>
          </w:tcPr>
          <w:p>
            <w:pPr>
              <w:pStyle w:val="TableContents"/>
              <w:bidi w:val="0"/>
              <w:spacing w:before="0" w:after="283"/>
              <w:jc w:val="left"/>
              <w:rPr/>
            </w:pPr>
            <w:r>
              <w:rPr/>
              <w:t>Prepaid expenses and other current assets</w:t>
            </w:r>
          </w:p>
        </w:tc>
        <w:tc>
          <w:tcPr>
            <w:tcW w:w="60" w:type="dxa"/>
            <w:tcBorders/>
            <w:shd w:fill="CCEEFF" w:val="clear"/>
            <w:vAlign w:val="center"/>
          </w:tcPr>
          <w:p>
            <w:pPr>
              <w:pStyle w:val="TableContents"/>
              <w:bidi w:val="0"/>
              <w:spacing w:before="0" w:after="283"/>
              <w:jc w:val="left"/>
              <w:rPr/>
            </w:pPr>
            <w:r>
              <w:rPr/>
              <w:t> </w:t>
            </w:r>
          </w:p>
        </w:tc>
        <w:tc>
          <w:tcPr>
            <w:tcW w:w="153"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744" w:type="dxa"/>
            <w:tcBorders>
              <w:bottom w:val="single" w:sz="12" w:space="0" w:color="000000"/>
            </w:tcBorders>
            <w:shd w:fill="CCEEFF" w:val="clear"/>
            <w:tcMar>
              <w:bottom w:w="28" w:type="dxa"/>
            </w:tcMar>
            <w:vAlign w:val="center"/>
          </w:tcPr>
          <w:p>
            <w:pPr>
              <w:pStyle w:val="TableContents"/>
              <w:bidi w:val="0"/>
              <w:spacing w:before="0" w:after="283"/>
              <w:jc w:val="right"/>
              <w:rPr/>
            </w:pPr>
            <w:r>
              <w:rPr/>
              <w:t>13,508</w:t>
            </w:r>
          </w:p>
        </w:tc>
        <w:tc>
          <w:tcPr>
            <w:tcW w:w="103"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jc w:val="left"/>
              <w:rPr/>
            </w:pPr>
            <w:r>
              <w:rPr/>
              <w:t> </w:t>
            </w:r>
          </w:p>
        </w:tc>
        <w:tc>
          <w:tcPr>
            <w:tcW w:w="153"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695" w:type="dxa"/>
            <w:tcBorders>
              <w:bottom w:val="single" w:sz="12" w:space="0" w:color="000000"/>
            </w:tcBorders>
            <w:shd w:fill="CCEEFF" w:val="clear"/>
            <w:tcMar>
              <w:bottom w:w="28" w:type="dxa"/>
            </w:tcMar>
            <w:vAlign w:val="center"/>
          </w:tcPr>
          <w:p>
            <w:pPr>
              <w:pStyle w:val="TableContents"/>
              <w:bidi w:val="0"/>
              <w:spacing w:before="0" w:after="283"/>
              <w:jc w:val="right"/>
              <w:rPr/>
            </w:pPr>
            <w:r>
              <w:rPr/>
              <w:t>1,839</w:t>
            </w:r>
          </w:p>
        </w:tc>
        <w:tc>
          <w:tcPr>
            <w:tcW w:w="101" w:type="dxa"/>
            <w:tcBorders/>
            <w:shd w:fill="CCEEFF" w:val="clear"/>
            <w:vAlign w:val="center"/>
          </w:tcPr>
          <w:p>
            <w:pPr>
              <w:pStyle w:val="TableContents"/>
              <w:bidi w:val="0"/>
              <w:spacing w:before="0" w:after="283"/>
              <w:ind w:left="0" w:right="0" w:hanging="180"/>
              <w:jc w:val="left"/>
              <w:rPr/>
            </w:pPr>
            <w:r>
              <w:rPr/>
              <w:t> </w:t>
            </w:r>
          </w:p>
        </w:tc>
      </w:tr>
      <w:tr>
        <w:trPr/>
        <w:tc>
          <w:tcPr>
            <w:tcW w:w="8131" w:type="dxa"/>
            <w:tcBorders/>
            <w:shd w:fill="FFFFFF" w:val="clear"/>
            <w:vAlign w:val="center"/>
          </w:tcPr>
          <w:p>
            <w:pPr>
              <w:pStyle w:val="TableContents"/>
              <w:bidi w:val="0"/>
              <w:spacing w:before="0" w:after="283"/>
              <w:jc w:val="left"/>
              <w:rPr/>
            </w:pPr>
            <w:r>
              <w:rPr/>
              <w:t>Total current assets</w:t>
            </w:r>
          </w:p>
        </w:tc>
        <w:tc>
          <w:tcPr>
            <w:tcW w:w="60" w:type="dxa"/>
            <w:tcBorders/>
            <w:shd w:fill="FFFFFF" w:val="clear"/>
            <w:vAlign w:val="center"/>
          </w:tcPr>
          <w:p>
            <w:pPr>
              <w:pStyle w:val="TableContents"/>
              <w:bidi w:val="0"/>
              <w:spacing w:before="0" w:after="283"/>
              <w:jc w:val="left"/>
              <w:rPr/>
            </w:pPr>
            <w:r>
              <w:rPr/>
              <w:t> </w:t>
            </w:r>
          </w:p>
        </w:tc>
        <w:tc>
          <w:tcPr>
            <w:tcW w:w="153"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744" w:type="dxa"/>
            <w:tcBorders>
              <w:bottom w:val="single" w:sz="12" w:space="0" w:color="000000"/>
            </w:tcBorders>
            <w:shd w:fill="FFFFFF" w:val="clear"/>
            <w:tcMar>
              <w:bottom w:w="28" w:type="dxa"/>
            </w:tcMar>
            <w:vAlign w:val="center"/>
          </w:tcPr>
          <w:p>
            <w:pPr>
              <w:pStyle w:val="TableContents"/>
              <w:bidi w:val="0"/>
              <w:spacing w:before="0" w:after="283"/>
              <w:jc w:val="right"/>
              <w:rPr/>
            </w:pPr>
            <w:r>
              <w:rPr/>
              <w:t>20,600</w:t>
            </w:r>
          </w:p>
        </w:tc>
        <w:tc>
          <w:tcPr>
            <w:tcW w:w="103" w:type="dxa"/>
            <w:tcBorders/>
            <w:shd w:fill="FFFFFF" w:val="clear"/>
            <w:vAlign w:val="center"/>
          </w:tcPr>
          <w:p>
            <w:pPr>
              <w:pStyle w:val="TableContents"/>
              <w:bidi w:val="0"/>
              <w:spacing w:before="0" w:after="283"/>
              <w:jc w:val="left"/>
              <w:rPr/>
            </w:pPr>
            <w:r>
              <w:rPr/>
              <w:t> </w:t>
            </w:r>
          </w:p>
        </w:tc>
        <w:tc>
          <w:tcPr>
            <w:tcW w:w="65" w:type="dxa"/>
            <w:tcBorders/>
            <w:shd w:fill="FFFFFF" w:val="clear"/>
            <w:vAlign w:val="center"/>
          </w:tcPr>
          <w:p>
            <w:pPr>
              <w:pStyle w:val="TableContents"/>
              <w:bidi w:val="0"/>
              <w:spacing w:before="0" w:after="283"/>
              <w:jc w:val="left"/>
              <w:rPr/>
            </w:pPr>
            <w:r>
              <w:rPr/>
              <w:t> </w:t>
            </w:r>
          </w:p>
        </w:tc>
        <w:tc>
          <w:tcPr>
            <w:tcW w:w="153"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695" w:type="dxa"/>
            <w:tcBorders>
              <w:bottom w:val="single" w:sz="12" w:space="0" w:color="000000"/>
            </w:tcBorders>
            <w:shd w:fill="FFFFFF" w:val="clear"/>
            <w:tcMar>
              <w:bottom w:w="28" w:type="dxa"/>
            </w:tcMar>
            <w:vAlign w:val="center"/>
          </w:tcPr>
          <w:p>
            <w:pPr>
              <w:pStyle w:val="TableContents"/>
              <w:bidi w:val="0"/>
              <w:spacing w:before="0" w:after="283"/>
              <w:jc w:val="right"/>
              <w:rPr/>
            </w:pPr>
            <w:r>
              <w:rPr/>
              <w:t>3,872</w:t>
            </w:r>
          </w:p>
        </w:tc>
        <w:tc>
          <w:tcPr>
            <w:tcW w:w="101" w:type="dxa"/>
            <w:tcBorders/>
            <w:shd w:fill="FFFFFF" w:val="clear"/>
            <w:vAlign w:val="center"/>
          </w:tcPr>
          <w:p>
            <w:pPr>
              <w:pStyle w:val="TableContents"/>
              <w:bidi w:val="0"/>
              <w:spacing w:before="0" w:after="283"/>
              <w:ind w:left="0" w:right="0" w:hanging="180"/>
              <w:jc w:val="left"/>
              <w:rPr/>
            </w:pPr>
            <w:r>
              <w:rPr/>
              <w:t> </w:t>
            </w:r>
          </w:p>
        </w:tc>
      </w:tr>
      <w:tr>
        <w:trPr/>
        <w:tc>
          <w:tcPr>
            <w:tcW w:w="8131" w:type="dxa"/>
            <w:tcBorders/>
            <w:shd w:fill="CCEEFF" w:val="clear"/>
            <w:vAlign w:val="center"/>
          </w:tcPr>
          <w:p>
            <w:pPr>
              <w:pStyle w:val="TableContents"/>
              <w:bidi w:val="0"/>
              <w:spacing w:before="0" w:after="283"/>
              <w:jc w:val="left"/>
              <w:rPr/>
            </w:pPr>
            <w:r>
              <w:rPr/>
              <w:t>Property and equipment, net</w:t>
            </w:r>
          </w:p>
        </w:tc>
        <w:tc>
          <w:tcPr>
            <w:tcW w:w="60" w:type="dxa"/>
            <w:tcBorders/>
            <w:shd w:fill="CCEEFF" w:val="clear"/>
            <w:vAlign w:val="center"/>
          </w:tcPr>
          <w:p>
            <w:pPr>
              <w:pStyle w:val="TableContents"/>
              <w:bidi w:val="0"/>
              <w:spacing w:before="0" w:after="283"/>
              <w:jc w:val="left"/>
              <w:rPr/>
            </w:pPr>
            <w:r>
              <w:rPr/>
              <w:t> </w:t>
            </w:r>
          </w:p>
        </w:tc>
        <w:tc>
          <w:tcPr>
            <w:tcW w:w="153" w:type="dxa"/>
            <w:tcBorders/>
            <w:shd w:fill="CCEEFF" w:val="clear"/>
            <w:vAlign w:val="center"/>
          </w:tcPr>
          <w:p>
            <w:pPr>
              <w:pStyle w:val="TableContents"/>
              <w:bidi w:val="0"/>
              <w:spacing w:before="0" w:after="283"/>
              <w:jc w:val="left"/>
              <w:rPr/>
            </w:pPr>
            <w:r>
              <w:rPr/>
              <w:t> </w:t>
            </w:r>
          </w:p>
        </w:tc>
        <w:tc>
          <w:tcPr>
            <w:tcW w:w="744" w:type="dxa"/>
            <w:tcBorders/>
            <w:shd w:fill="CCEEFF" w:val="clear"/>
            <w:vAlign w:val="center"/>
          </w:tcPr>
          <w:p>
            <w:pPr>
              <w:pStyle w:val="TableContents"/>
              <w:bidi w:val="0"/>
              <w:spacing w:before="0" w:after="283"/>
              <w:jc w:val="right"/>
              <w:rPr/>
            </w:pPr>
            <w:r>
              <w:rPr/>
              <w:t>298</w:t>
            </w:r>
          </w:p>
        </w:tc>
        <w:tc>
          <w:tcPr>
            <w:tcW w:w="103"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jc w:val="left"/>
              <w:rPr/>
            </w:pPr>
            <w:r>
              <w:rPr/>
              <w:t> </w:t>
            </w:r>
          </w:p>
        </w:tc>
        <w:tc>
          <w:tcPr>
            <w:tcW w:w="153"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right"/>
              <w:rPr/>
            </w:pPr>
            <w:r>
              <w:rPr/>
              <w:t>349</w:t>
            </w:r>
          </w:p>
        </w:tc>
        <w:tc>
          <w:tcPr>
            <w:tcW w:w="101" w:type="dxa"/>
            <w:tcBorders/>
            <w:shd w:fill="CCEEFF" w:val="clear"/>
            <w:vAlign w:val="center"/>
          </w:tcPr>
          <w:p>
            <w:pPr>
              <w:pStyle w:val="TableContents"/>
              <w:bidi w:val="0"/>
              <w:spacing w:before="0" w:after="283"/>
              <w:ind w:left="0" w:right="0" w:hanging="180"/>
              <w:jc w:val="left"/>
              <w:rPr/>
            </w:pPr>
            <w:r>
              <w:rPr/>
              <w:t> </w:t>
            </w:r>
          </w:p>
        </w:tc>
      </w:tr>
      <w:tr>
        <w:trPr/>
        <w:tc>
          <w:tcPr>
            <w:tcW w:w="8131" w:type="dxa"/>
            <w:tcBorders/>
            <w:shd w:fill="FFFFFF" w:val="clear"/>
            <w:vAlign w:val="center"/>
          </w:tcPr>
          <w:p>
            <w:pPr>
              <w:pStyle w:val="TableContents"/>
              <w:bidi w:val="0"/>
              <w:spacing w:before="0" w:after="283"/>
              <w:jc w:val="left"/>
              <w:rPr/>
            </w:pPr>
            <w:r>
              <w:rPr/>
              <w:t>Operating lease right-of-use assets</w:t>
            </w:r>
          </w:p>
        </w:tc>
        <w:tc>
          <w:tcPr>
            <w:tcW w:w="60" w:type="dxa"/>
            <w:tcBorders/>
            <w:shd w:fill="FFFFFF" w:val="clear"/>
            <w:vAlign w:val="center"/>
          </w:tcPr>
          <w:p>
            <w:pPr>
              <w:pStyle w:val="TableContents"/>
              <w:bidi w:val="0"/>
              <w:spacing w:before="0" w:after="283"/>
              <w:jc w:val="left"/>
              <w:rPr/>
            </w:pPr>
            <w:r>
              <w:rPr/>
              <w:t> </w:t>
            </w:r>
          </w:p>
        </w:tc>
        <w:tc>
          <w:tcPr>
            <w:tcW w:w="153" w:type="dxa"/>
            <w:tcBorders/>
            <w:shd w:fill="FFFFFF" w:val="clear"/>
            <w:vAlign w:val="center"/>
          </w:tcPr>
          <w:p>
            <w:pPr>
              <w:pStyle w:val="TableContents"/>
              <w:bidi w:val="0"/>
              <w:spacing w:before="0" w:after="283"/>
              <w:jc w:val="left"/>
              <w:rPr/>
            </w:pPr>
            <w:r>
              <w:rPr/>
              <w:t> </w:t>
            </w:r>
          </w:p>
        </w:tc>
        <w:tc>
          <w:tcPr>
            <w:tcW w:w="744" w:type="dxa"/>
            <w:tcBorders/>
            <w:shd w:fill="FFFFFF" w:val="clear"/>
            <w:vAlign w:val="center"/>
          </w:tcPr>
          <w:p>
            <w:pPr>
              <w:pStyle w:val="TableContents"/>
              <w:bidi w:val="0"/>
              <w:spacing w:before="0" w:after="283"/>
              <w:jc w:val="right"/>
              <w:rPr/>
            </w:pPr>
            <w:r>
              <w:rPr/>
              <w:t>397</w:t>
            </w:r>
          </w:p>
        </w:tc>
        <w:tc>
          <w:tcPr>
            <w:tcW w:w="103" w:type="dxa"/>
            <w:tcBorders/>
            <w:shd w:fill="FFFFFF" w:val="clear"/>
            <w:vAlign w:val="center"/>
          </w:tcPr>
          <w:p>
            <w:pPr>
              <w:pStyle w:val="TableContents"/>
              <w:bidi w:val="0"/>
              <w:spacing w:before="0" w:after="283"/>
              <w:jc w:val="left"/>
              <w:rPr/>
            </w:pPr>
            <w:r>
              <w:rPr/>
              <w:t> </w:t>
            </w:r>
          </w:p>
        </w:tc>
        <w:tc>
          <w:tcPr>
            <w:tcW w:w="65" w:type="dxa"/>
            <w:tcBorders/>
            <w:shd w:fill="FFFFFF" w:val="clear"/>
            <w:vAlign w:val="center"/>
          </w:tcPr>
          <w:p>
            <w:pPr>
              <w:pStyle w:val="TableContents"/>
              <w:bidi w:val="0"/>
              <w:spacing w:before="0" w:after="283"/>
              <w:jc w:val="left"/>
              <w:rPr/>
            </w:pPr>
            <w:r>
              <w:rPr/>
              <w:t> </w:t>
            </w:r>
          </w:p>
        </w:tc>
        <w:tc>
          <w:tcPr>
            <w:tcW w:w="153"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right"/>
              <w:rPr/>
            </w:pPr>
            <w:r>
              <w:rPr/>
              <w:t>506</w:t>
            </w:r>
          </w:p>
        </w:tc>
        <w:tc>
          <w:tcPr>
            <w:tcW w:w="101" w:type="dxa"/>
            <w:tcBorders/>
            <w:shd w:fill="FFFFFF" w:val="clear"/>
            <w:vAlign w:val="center"/>
          </w:tcPr>
          <w:p>
            <w:pPr>
              <w:pStyle w:val="TableContents"/>
              <w:bidi w:val="0"/>
              <w:spacing w:before="0" w:after="283"/>
              <w:ind w:left="0" w:right="0" w:hanging="180"/>
              <w:jc w:val="left"/>
              <w:rPr/>
            </w:pPr>
            <w:r>
              <w:rPr/>
              <w:t> </w:t>
            </w:r>
          </w:p>
        </w:tc>
      </w:tr>
      <w:tr>
        <w:trPr/>
        <w:tc>
          <w:tcPr>
            <w:tcW w:w="8131" w:type="dxa"/>
            <w:tcBorders/>
            <w:shd w:fill="CCEEFF" w:val="clear"/>
            <w:vAlign w:val="center"/>
          </w:tcPr>
          <w:p>
            <w:pPr>
              <w:pStyle w:val="TableContents"/>
              <w:bidi w:val="0"/>
              <w:spacing w:before="0" w:after="283"/>
              <w:jc w:val="left"/>
              <w:rPr/>
            </w:pPr>
            <w:r>
              <w:rPr/>
              <w:t>Other noncurrent assets</w:t>
            </w:r>
          </w:p>
        </w:tc>
        <w:tc>
          <w:tcPr>
            <w:tcW w:w="60" w:type="dxa"/>
            <w:tcBorders/>
            <w:shd w:fill="CCEEFF" w:val="clear"/>
            <w:vAlign w:val="center"/>
          </w:tcPr>
          <w:p>
            <w:pPr>
              <w:pStyle w:val="TableContents"/>
              <w:bidi w:val="0"/>
              <w:spacing w:before="0" w:after="283"/>
              <w:jc w:val="left"/>
              <w:rPr/>
            </w:pPr>
            <w:r>
              <w:rPr/>
              <w:t> </w:t>
            </w:r>
          </w:p>
        </w:tc>
        <w:tc>
          <w:tcPr>
            <w:tcW w:w="153"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744" w:type="dxa"/>
            <w:tcBorders>
              <w:bottom w:val="single" w:sz="12" w:space="0" w:color="000000"/>
            </w:tcBorders>
            <w:shd w:fill="CCEEFF" w:val="clear"/>
            <w:tcMar>
              <w:bottom w:w="28" w:type="dxa"/>
            </w:tcMar>
            <w:vAlign w:val="center"/>
          </w:tcPr>
          <w:p>
            <w:pPr>
              <w:pStyle w:val="TableContents"/>
              <w:bidi w:val="0"/>
              <w:spacing w:before="0" w:after="283"/>
              <w:jc w:val="right"/>
              <w:rPr/>
            </w:pPr>
            <w:r>
              <w:rPr/>
              <w:t>233</w:t>
            </w:r>
          </w:p>
        </w:tc>
        <w:tc>
          <w:tcPr>
            <w:tcW w:w="103"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jc w:val="left"/>
              <w:rPr/>
            </w:pPr>
            <w:r>
              <w:rPr/>
              <w:t> </w:t>
            </w:r>
          </w:p>
        </w:tc>
        <w:tc>
          <w:tcPr>
            <w:tcW w:w="153"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695" w:type="dxa"/>
            <w:tcBorders>
              <w:bottom w:val="single" w:sz="12" w:space="0" w:color="000000"/>
            </w:tcBorders>
            <w:shd w:fill="CCEEFF" w:val="clear"/>
            <w:tcMar>
              <w:bottom w:w="28" w:type="dxa"/>
            </w:tcMar>
            <w:vAlign w:val="center"/>
          </w:tcPr>
          <w:p>
            <w:pPr>
              <w:pStyle w:val="TableContents"/>
              <w:bidi w:val="0"/>
              <w:spacing w:before="0" w:after="283"/>
              <w:jc w:val="right"/>
              <w:rPr/>
            </w:pPr>
            <w:r>
              <w:rPr/>
              <w:t>250</w:t>
            </w:r>
          </w:p>
        </w:tc>
        <w:tc>
          <w:tcPr>
            <w:tcW w:w="101" w:type="dxa"/>
            <w:tcBorders/>
            <w:shd w:fill="CCEEFF" w:val="clear"/>
            <w:vAlign w:val="center"/>
          </w:tcPr>
          <w:p>
            <w:pPr>
              <w:pStyle w:val="TableContents"/>
              <w:bidi w:val="0"/>
              <w:spacing w:before="0" w:after="283"/>
              <w:ind w:left="0" w:right="0" w:hanging="180"/>
              <w:jc w:val="left"/>
              <w:rPr/>
            </w:pPr>
            <w:r>
              <w:rPr/>
              <w:t> </w:t>
            </w:r>
          </w:p>
        </w:tc>
      </w:tr>
      <w:tr>
        <w:trPr/>
        <w:tc>
          <w:tcPr>
            <w:tcW w:w="8131" w:type="dxa"/>
            <w:tcBorders/>
            <w:shd w:fill="FFFFFF" w:val="clear"/>
            <w:vAlign w:val="center"/>
          </w:tcPr>
          <w:p>
            <w:pPr>
              <w:pStyle w:val="TableContents"/>
              <w:bidi w:val="0"/>
              <w:spacing w:before="0" w:after="283"/>
              <w:jc w:val="left"/>
              <w:rPr/>
            </w:pPr>
            <w:r>
              <w:rPr/>
              <w:t>Total assets</w:t>
            </w:r>
          </w:p>
        </w:tc>
        <w:tc>
          <w:tcPr>
            <w:tcW w:w="60" w:type="dxa"/>
            <w:tcBorders/>
            <w:shd w:fill="FFFFFF" w:val="clear"/>
            <w:vAlign w:val="center"/>
          </w:tcPr>
          <w:p>
            <w:pPr>
              <w:pStyle w:val="TableContents"/>
              <w:bidi w:val="0"/>
              <w:spacing w:before="0" w:after="283"/>
              <w:jc w:val="left"/>
              <w:rPr/>
            </w:pPr>
            <w:r>
              <w:rPr/>
              <w:t> </w:t>
            </w:r>
          </w:p>
        </w:tc>
        <w:tc>
          <w:tcPr>
            <w:tcW w:w="153" w:type="dxa"/>
            <w:tcBorders>
              <w:bottom w:val="double" w:sz="10" w:space="0" w:color="000000"/>
            </w:tcBorders>
            <w:shd w:fill="FFFFFF" w:val="clear"/>
            <w:tcMar>
              <w:bottom w:w="28" w:type="dxa"/>
            </w:tcMar>
            <w:vAlign w:val="center"/>
          </w:tcPr>
          <w:p>
            <w:pPr>
              <w:pStyle w:val="TableContents"/>
              <w:bidi w:val="0"/>
              <w:spacing w:before="0" w:after="283"/>
              <w:jc w:val="left"/>
              <w:rPr/>
            </w:pPr>
            <w:r>
              <w:rPr/>
              <w:t>$</w:t>
            </w:r>
          </w:p>
        </w:tc>
        <w:tc>
          <w:tcPr>
            <w:tcW w:w="744" w:type="dxa"/>
            <w:tcBorders>
              <w:bottom w:val="double" w:sz="10" w:space="0" w:color="000000"/>
            </w:tcBorders>
            <w:shd w:fill="FFFFFF" w:val="clear"/>
            <w:tcMar>
              <w:bottom w:w="28" w:type="dxa"/>
            </w:tcMar>
            <w:vAlign w:val="center"/>
          </w:tcPr>
          <w:p>
            <w:pPr>
              <w:pStyle w:val="TableContents"/>
              <w:bidi w:val="0"/>
              <w:spacing w:before="0" w:after="283"/>
              <w:jc w:val="right"/>
              <w:rPr/>
            </w:pPr>
            <w:r>
              <w:rPr/>
              <w:t>21,528</w:t>
            </w:r>
          </w:p>
        </w:tc>
        <w:tc>
          <w:tcPr>
            <w:tcW w:w="103" w:type="dxa"/>
            <w:tcBorders/>
            <w:shd w:fill="FFFFFF" w:val="clear"/>
            <w:vAlign w:val="center"/>
          </w:tcPr>
          <w:p>
            <w:pPr>
              <w:pStyle w:val="TableContents"/>
              <w:bidi w:val="0"/>
              <w:spacing w:before="0" w:after="283"/>
              <w:jc w:val="left"/>
              <w:rPr/>
            </w:pPr>
            <w:r>
              <w:rPr/>
              <w:t> </w:t>
            </w:r>
          </w:p>
        </w:tc>
        <w:tc>
          <w:tcPr>
            <w:tcW w:w="65" w:type="dxa"/>
            <w:tcBorders/>
            <w:shd w:fill="FFFFFF" w:val="clear"/>
            <w:vAlign w:val="center"/>
          </w:tcPr>
          <w:p>
            <w:pPr>
              <w:pStyle w:val="TableContents"/>
              <w:bidi w:val="0"/>
              <w:spacing w:before="0" w:after="283"/>
              <w:jc w:val="left"/>
              <w:rPr/>
            </w:pPr>
            <w:r>
              <w:rPr/>
              <w:t> </w:t>
            </w:r>
          </w:p>
        </w:tc>
        <w:tc>
          <w:tcPr>
            <w:tcW w:w="153" w:type="dxa"/>
            <w:tcBorders>
              <w:bottom w:val="double" w:sz="10" w:space="0" w:color="000000"/>
            </w:tcBorders>
            <w:shd w:fill="FFFFFF" w:val="clear"/>
            <w:tcMar>
              <w:bottom w:w="28" w:type="dxa"/>
            </w:tcMar>
            <w:vAlign w:val="center"/>
          </w:tcPr>
          <w:p>
            <w:pPr>
              <w:pStyle w:val="TableContents"/>
              <w:bidi w:val="0"/>
              <w:spacing w:before="0" w:after="283"/>
              <w:jc w:val="left"/>
              <w:rPr/>
            </w:pPr>
            <w:r>
              <w:rPr/>
              <w:t>$</w:t>
            </w:r>
          </w:p>
        </w:tc>
        <w:tc>
          <w:tcPr>
            <w:tcW w:w="695" w:type="dxa"/>
            <w:tcBorders>
              <w:bottom w:val="double" w:sz="10" w:space="0" w:color="000000"/>
            </w:tcBorders>
            <w:shd w:fill="FFFFFF" w:val="clear"/>
            <w:tcMar>
              <w:bottom w:w="28" w:type="dxa"/>
            </w:tcMar>
            <w:vAlign w:val="center"/>
          </w:tcPr>
          <w:p>
            <w:pPr>
              <w:pStyle w:val="TableContents"/>
              <w:bidi w:val="0"/>
              <w:spacing w:before="0" w:after="283"/>
              <w:jc w:val="right"/>
              <w:rPr/>
            </w:pPr>
            <w:r>
              <w:rPr/>
              <w:t>4,977</w:t>
            </w:r>
          </w:p>
        </w:tc>
        <w:tc>
          <w:tcPr>
            <w:tcW w:w="101" w:type="dxa"/>
            <w:tcBorders/>
            <w:shd w:fill="FFFFFF" w:val="clear"/>
            <w:vAlign w:val="center"/>
          </w:tcPr>
          <w:p>
            <w:pPr>
              <w:pStyle w:val="TableContents"/>
              <w:bidi w:val="0"/>
              <w:spacing w:before="0" w:after="283"/>
              <w:ind w:left="0" w:right="0" w:hanging="180"/>
              <w:jc w:val="left"/>
              <w:rPr/>
            </w:pPr>
            <w:r>
              <w:rPr/>
              <w:t> </w:t>
            </w:r>
          </w:p>
        </w:tc>
      </w:tr>
      <w:tr>
        <w:trPr/>
        <w:tc>
          <w:tcPr>
            <w:tcW w:w="8131" w:type="dxa"/>
            <w:tcBorders/>
            <w:shd w:fill="CCEEFF" w:val="clear"/>
            <w:vAlign w:val="center"/>
          </w:tcPr>
          <w:p>
            <w:pPr>
              <w:pStyle w:val="TableContents"/>
              <w:bidi w:val="0"/>
              <w:spacing w:before="0" w:after="283"/>
              <w:jc w:val="left"/>
              <w:rPr>
                <w:b/>
              </w:rPr>
            </w:pPr>
            <w:r>
              <w:rPr>
                <w:b/>
              </w:rPr>
              <w:t>LIABILITIES AND MEMBER’S DEFICIT</w:t>
            </w:r>
          </w:p>
        </w:tc>
        <w:tc>
          <w:tcPr>
            <w:tcW w:w="60" w:type="dxa"/>
            <w:tcBorders/>
            <w:shd w:fill="CCEEFF" w:val="clear"/>
            <w:vAlign w:val="center"/>
          </w:tcPr>
          <w:p>
            <w:pPr>
              <w:pStyle w:val="TableContents"/>
              <w:bidi w:val="0"/>
              <w:spacing w:before="0" w:after="283"/>
              <w:jc w:val="left"/>
              <w:rPr/>
            </w:pPr>
            <w:r>
              <w:rPr/>
              <w:t> </w:t>
            </w:r>
          </w:p>
        </w:tc>
        <w:tc>
          <w:tcPr>
            <w:tcW w:w="153" w:type="dxa"/>
            <w:tcBorders/>
            <w:shd w:fill="CCEEFF" w:val="clear"/>
            <w:vAlign w:val="center"/>
          </w:tcPr>
          <w:p>
            <w:pPr>
              <w:pStyle w:val="TableContents"/>
              <w:bidi w:val="0"/>
              <w:spacing w:before="0" w:after="283"/>
              <w:jc w:val="left"/>
              <w:rPr/>
            </w:pPr>
            <w:r>
              <w:rPr/>
              <w:t> </w:t>
            </w:r>
          </w:p>
        </w:tc>
        <w:tc>
          <w:tcPr>
            <w:tcW w:w="744" w:type="dxa"/>
            <w:tcBorders/>
            <w:shd w:fill="CCEEFF" w:val="clear"/>
            <w:vAlign w:val="center"/>
          </w:tcPr>
          <w:p>
            <w:pPr>
              <w:pStyle w:val="TableContents"/>
              <w:bidi w:val="0"/>
              <w:spacing w:before="0" w:after="283"/>
              <w:jc w:val="right"/>
              <w:rPr/>
            </w:pPr>
            <w:r>
              <w:rPr/>
              <w:t> </w:t>
            </w:r>
          </w:p>
        </w:tc>
        <w:tc>
          <w:tcPr>
            <w:tcW w:w="103"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jc w:val="left"/>
              <w:rPr/>
            </w:pPr>
            <w:r>
              <w:rPr/>
              <w:t> </w:t>
            </w:r>
          </w:p>
        </w:tc>
        <w:tc>
          <w:tcPr>
            <w:tcW w:w="153"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right"/>
              <w:rPr/>
            </w:pPr>
            <w:r>
              <w:rPr/>
              <w:t> </w:t>
            </w:r>
          </w:p>
        </w:tc>
        <w:tc>
          <w:tcPr>
            <w:tcW w:w="101" w:type="dxa"/>
            <w:tcBorders/>
            <w:shd w:fill="CCEEFF" w:val="clear"/>
            <w:vAlign w:val="center"/>
          </w:tcPr>
          <w:p>
            <w:pPr>
              <w:pStyle w:val="TableContents"/>
              <w:bidi w:val="0"/>
              <w:spacing w:before="0" w:after="283"/>
              <w:ind w:left="0" w:right="0" w:hanging="180"/>
              <w:jc w:val="left"/>
              <w:rPr/>
            </w:pPr>
            <w:r>
              <w:rPr/>
              <w:t> </w:t>
            </w:r>
          </w:p>
        </w:tc>
      </w:tr>
      <w:tr>
        <w:trPr/>
        <w:tc>
          <w:tcPr>
            <w:tcW w:w="8131" w:type="dxa"/>
            <w:tcBorders/>
            <w:shd w:fill="FFFFFF" w:val="clear"/>
            <w:vAlign w:val="center"/>
          </w:tcPr>
          <w:p>
            <w:pPr>
              <w:pStyle w:val="TableContents"/>
              <w:bidi w:val="0"/>
              <w:spacing w:before="0" w:after="283"/>
              <w:jc w:val="left"/>
              <w:rPr/>
            </w:pPr>
            <w:r>
              <w:rPr/>
              <w:t>Current liabilities:</w:t>
            </w:r>
          </w:p>
        </w:tc>
        <w:tc>
          <w:tcPr>
            <w:tcW w:w="60" w:type="dxa"/>
            <w:tcBorders/>
            <w:shd w:fill="FFFFFF" w:val="clear"/>
            <w:vAlign w:val="center"/>
          </w:tcPr>
          <w:p>
            <w:pPr>
              <w:pStyle w:val="TableContents"/>
              <w:bidi w:val="0"/>
              <w:spacing w:before="0" w:after="283"/>
              <w:jc w:val="left"/>
              <w:rPr/>
            </w:pPr>
            <w:r>
              <w:rPr/>
              <w:t> </w:t>
            </w:r>
          </w:p>
        </w:tc>
        <w:tc>
          <w:tcPr>
            <w:tcW w:w="153" w:type="dxa"/>
            <w:tcBorders/>
            <w:shd w:fill="FFFFFF" w:val="clear"/>
            <w:vAlign w:val="center"/>
          </w:tcPr>
          <w:p>
            <w:pPr>
              <w:pStyle w:val="TableContents"/>
              <w:bidi w:val="0"/>
              <w:spacing w:before="0" w:after="283"/>
              <w:jc w:val="left"/>
              <w:rPr/>
            </w:pPr>
            <w:r>
              <w:rPr/>
              <w:t> </w:t>
            </w:r>
          </w:p>
        </w:tc>
        <w:tc>
          <w:tcPr>
            <w:tcW w:w="744" w:type="dxa"/>
            <w:tcBorders/>
            <w:shd w:fill="FFFFFF" w:val="clear"/>
            <w:vAlign w:val="center"/>
          </w:tcPr>
          <w:p>
            <w:pPr>
              <w:pStyle w:val="TableContents"/>
              <w:bidi w:val="0"/>
              <w:spacing w:before="0" w:after="283"/>
              <w:jc w:val="right"/>
              <w:rPr/>
            </w:pPr>
            <w:r>
              <w:rPr/>
              <w:t> </w:t>
            </w:r>
          </w:p>
        </w:tc>
        <w:tc>
          <w:tcPr>
            <w:tcW w:w="103" w:type="dxa"/>
            <w:tcBorders/>
            <w:shd w:fill="FFFFFF" w:val="clear"/>
            <w:vAlign w:val="center"/>
          </w:tcPr>
          <w:p>
            <w:pPr>
              <w:pStyle w:val="TableContents"/>
              <w:bidi w:val="0"/>
              <w:spacing w:before="0" w:after="283"/>
              <w:jc w:val="left"/>
              <w:rPr/>
            </w:pPr>
            <w:r>
              <w:rPr/>
              <w:t> </w:t>
            </w:r>
          </w:p>
        </w:tc>
        <w:tc>
          <w:tcPr>
            <w:tcW w:w="65" w:type="dxa"/>
            <w:tcBorders/>
            <w:shd w:fill="FFFFFF" w:val="clear"/>
            <w:vAlign w:val="center"/>
          </w:tcPr>
          <w:p>
            <w:pPr>
              <w:pStyle w:val="TableContents"/>
              <w:bidi w:val="0"/>
              <w:spacing w:before="0" w:after="283"/>
              <w:jc w:val="left"/>
              <w:rPr/>
            </w:pPr>
            <w:r>
              <w:rPr/>
              <w:t> </w:t>
            </w:r>
          </w:p>
        </w:tc>
        <w:tc>
          <w:tcPr>
            <w:tcW w:w="153"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right"/>
              <w:rPr/>
            </w:pPr>
            <w:r>
              <w:rPr/>
              <w:t> </w:t>
            </w:r>
          </w:p>
        </w:tc>
        <w:tc>
          <w:tcPr>
            <w:tcW w:w="101" w:type="dxa"/>
            <w:tcBorders/>
            <w:shd w:fill="FFFFFF" w:val="clear"/>
            <w:vAlign w:val="center"/>
          </w:tcPr>
          <w:p>
            <w:pPr>
              <w:pStyle w:val="TableContents"/>
              <w:bidi w:val="0"/>
              <w:spacing w:before="0" w:after="283"/>
              <w:ind w:left="0" w:right="0" w:hanging="180"/>
              <w:jc w:val="left"/>
              <w:rPr/>
            </w:pPr>
            <w:r>
              <w:rPr/>
              <w:t> </w:t>
            </w:r>
          </w:p>
        </w:tc>
      </w:tr>
      <w:tr>
        <w:trPr/>
        <w:tc>
          <w:tcPr>
            <w:tcW w:w="8131" w:type="dxa"/>
            <w:tcBorders/>
            <w:shd w:fill="CCEEFF" w:val="clear"/>
            <w:vAlign w:val="center"/>
          </w:tcPr>
          <w:p>
            <w:pPr>
              <w:pStyle w:val="TableContents"/>
              <w:bidi w:val="0"/>
              <w:spacing w:before="0" w:after="283"/>
              <w:jc w:val="left"/>
              <w:rPr/>
            </w:pPr>
            <w:r>
              <w:rPr/>
              <w:t>Accounts payable</w:t>
            </w:r>
          </w:p>
        </w:tc>
        <w:tc>
          <w:tcPr>
            <w:tcW w:w="60" w:type="dxa"/>
            <w:tcBorders/>
            <w:shd w:fill="CCEEFF" w:val="clear"/>
            <w:vAlign w:val="center"/>
          </w:tcPr>
          <w:p>
            <w:pPr>
              <w:pStyle w:val="TableContents"/>
              <w:bidi w:val="0"/>
              <w:spacing w:before="0" w:after="283"/>
              <w:jc w:val="left"/>
              <w:rPr/>
            </w:pPr>
            <w:r>
              <w:rPr/>
              <w:t> </w:t>
            </w:r>
          </w:p>
        </w:tc>
        <w:tc>
          <w:tcPr>
            <w:tcW w:w="153" w:type="dxa"/>
            <w:tcBorders/>
            <w:shd w:fill="CCEEFF" w:val="clear"/>
            <w:vAlign w:val="center"/>
          </w:tcPr>
          <w:p>
            <w:pPr>
              <w:pStyle w:val="TableContents"/>
              <w:bidi w:val="0"/>
              <w:spacing w:before="0" w:after="283"/>
              <w:jc w:val="left"/>
              <w:rPr/>
            </w:pPr>
            <w:r>
              <w:rPr/>
              <w:t>$</w:t>
            </w:r>
          </w:p>
        </w:tc>
        <w:tc>
          <w:tcPr>
            <w:tcW w:w="744" w:type="dxa"/>
            <w:tcBorders/>
            <w:shd w:fill="CCEEFF" w:val="clear"/>
            <w:vAlign w:val="center"/>
          </w:tcPr>
          <w:p>
            <w:pPr>
              <w:pStyle w:val="TableContents"/>
              <w:bidi w:val="0"/>
              <w:spacing w:before="0" w:after="283"/>
              <w:jc w:val="right"/>
              <w:rPr/>
            </w:pPr>
            <w:r>
              <w:rPr/>
              <w:t>1,402</w:t>
            </w:r>
          </w:p>
        </w:tc>
        <w:tc>
          <w:tcPr>
            <w:tcW w:w="103"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jc w:val="left"/>
              <w:rPr/>
            </w:pPr>
            <w:r>
              <w:rPr/>
              <w:t> </w:t>
            </w:r>
          </w:p>
        </w:tc>
        <w:tc>
          <w:tcPr>
            <w:tcW w:w="153" w:type="dxa"/>
            <w:tcBorders/>
            <w:shd w:fill="CCEEFF" w:val="clear"/>
            <w:vAlign w:val="center"/>
          </w:tcPr>
          <w:p>
            <w:pPr>
              <w:pStyle w:val="TableContents"/>
              <w:bidi w:val="0"/>
              <w:spacing w:before="0" w:after="283"/>
              <w:jc w:val="left"/>
              <w:rPr/>
            </w:pPr>
            <w:r>
              <w:rPr/>
              <w:t>$</w:t>
            </w:r>
          </w:p>
        </w:tc>
        <w:tc>
          <w:tcPr>
            <w:tcW w:w="695" w:type="dxa"/>
            <w:tcBorders/>
            <w:shd w:fill="CCEEFF" w:val="clear"/>
            <w:vAlign w:val="center"/>
          </w:tcPr>
          <w:p>
            <w:pPr>
              <w:pStyle w:val="TableContents"/>
              <w:bidi w:val="0"/>
              <w:spacing w:before="0" w:after="283"/>
              <w:jc w:val="right"/>
              <w:rPr/>
            </w:pPr>
            <w:r>
              <w:rPr/>
              <w:t>3,487</w:t>
            </w:r>
          </w:p>
        </w:tc>
        <w:tc>
          <w:tcPr>
            <w:tcW w:w="101" w:type="dxa"/>
            <w:tcBorders/>
            <w:shd w:fill="CCEEFF" w:val="clear"/>
            <w:vAlign w:val="center"/>
          </w:tcPr>
          <w:p>
            <w:pPr>
              <w:pStyle w:val="TableContents"/>
              <w:bidi w:val="0"/>
              <w:spacing w:before="0" w:after="283"/>
              <w:ind w:left="0" w:right="0" w:hanging="180"/>
              <w:jc w:val="left"/>
              <w:rPr/>
            </w:pPr>
            <w:r>
              <w:rPr/>
              <w:t> </w:t>
            </w:r>
          </w:p>
        </w:tc>
      </w:tr>
      <w:tr>
        <w:trPr/>
        <w:tc>
          <w:tcPr>
            <w:tcW w:w="8131"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Accrued expenses and other current liabilities</w:t>
            </w:r>
            <w:r>
              <w:rPr>
                <w:rFonts w:ascii="Times New Roman;Times;Serif" w:hAnsi="Times New Roman;Times;Serif"/>
                <w:position w:val="7"/>
                <w:sz w:val="16"/>
                <w:sz w:val="20"/>
              </w:rPr>
              <w:t> </w:t>
            </w:r>
          </w:p>
        </w:tc>
        <w:tc>
          <w:tcPr>
            <w:tcW w:w="60" w:type="dxa"/>
            <w:tcBorders/>
            <w:shd w:fill="FFFFFF" w:val="clear"/>
            <w:vAlign w:val="center"/>
          </w:tcPr>
          <w:p>
            <w:pPr>
              <w:pStyle w:val="TableContents"/>
              <w:bidi w:val="0"/>
              <w:spacing w:before="0" w:after="283"/>
              <w:jc w:val="left"/>
              <w:rPr/>
            </w:pPr>
            <w:r>
              <w:rPr/>
              <w:t> </w:t>
            </w:r>
          </w:p>
        </w:tc>
        <w:tc>
          <w:tcPr>
            <w:tcW w:w="153" w:type="dxa"/>
            <w:tcBorders/>
            <w:shd w:fill="FFFFFF" w:val="clear"/>
            <w:vAlign w:val="center"/>
          </w:tcPr>
          <w:p>
            <w:pPr>
              <w:pStyle w:val="TableContents"/>
              <w:bidi w:val="0"/>
              <w:spacing w:before="0" w:after="283"/>
              <w:jc w:val="left"/>
              <w:rPr/>
            </w:pPr>
            <w:r>
              <w:rPr/>
              <w:t> </w:t>
            </w:r>
          </w:p>
        </w:tc>
        <w:tc>
          <w:tcPr>
            <w:tcW w:w="744" w:type="dxa"/>
            <w:tcBorders/>
            <w:shd w:fill="FFFFFF" w:val="clear"/>
            <w:vAlign w:val="center"/>
          </w:tcPr>
          <w:p>
            <w:pPr>
              <w:pStyle w:val="TableContents"/>
              <w:bidi w:val="0"/>
              <w:spacing w:before="0" w:after="283"/>
              <w:jc w:val="right"/>
              <w:rPr/>
            </w:pPr>
            <w:r>
              <w:rPr/>
              <w:t>6,511</w:t>
            </w:r>
          </w:p>
        </w:tc>
        <w:tc>
          <w:tcPr>
            <w:tcW w:w="103" w:type="dxa"/>
            <w:tcBorders/>
            <w:shd w:fill="FFFFFF" w:val="clear"/>
            <w:vAlign w:val="center"/>
          </w:tcPr>
          <w:p>
            <w:pPr>
              <w:pStyle w:val="TableContents"/>
              <w:bidi w:val="0"/>
              <w:spacing w:before="0" w:after="283"/>
              <w:jc w:val="left"/>
              <w:rPr/>
            </w:pPr>
            <w:r>
              <w:rPr/>
              <w:t> </w:t>
            </w:r>
          </w:p>
        </w:tc>
        <w:tc>
          <w:tcPr>
            <w:tcW w:w="65" w:type="dxa"/>
            <w:tcBorders/>
            <w:shd w:fill="FFFFFF" w:val="clear"/>
            <w:vAlign w:val="center"/>
          </w:tcPr>
          <w:p>
            <w:pPr>
              <w:pStyle w:val="TableContents"/>
              <w:bidi w:val="0"/>
              <w:spacing w:before="0" w:after="283"/>
              <w:jc w:val="left"/>
              <w:rPr/>
            </w:pPr>
            <w:r>
              <w:rPr/>
              <w:t> </w:t>
            </w:r>
          </w:p>
        </w:tc>
        <w:tc>
          <w:tcPr>
            <w:tcW w:w="153"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right"/>
              <w:rPr/>
            </w:pPr>
            <w:r>
              <w:rPr/>
              <w:t>255</w:t>
            </w:r>
          </w:p>
        </w:tc>
        <w:tc>
          <w:tcPr>
            <w:tcW w:w="101" w:type="dxa"/>
            <w:tcBorders/>
            <w:shd w:fill="FFFFFF" w:val="clear"/>
            <w:vAlign w:val="center"/>
          </w:tcPr>
          <w:p>
            <w:pPr>
              <w:pStyle w:val="TableContents"/>
              <w:bidi w:val="0"/>
              <w:spacing w:before="0" w:after="283"/>
              <w:ind w:left="0" w:right="0" w:hanging="180"/>
              <w:jc w:val="left"/>
              <w:rPr/>
            </w:pPr>
            <w:r>
              <w:rPr/>
              <w:t> </w:t>
            </w:r>
          </w:p>
        </w:tc>
      </w:tr>
      <w:tr>
        <w:trPr/>
        <w:tc>
          <w:tcPr>
            <w:tcW w:w="8131" w:type="dxa"/>
            <w:tcBorders/>
            <w:shd w:fill="CCEEFF" w:val="clear"/>
            <w:vAlign w:val="center"/>
          </w:tcPr>
          <w:p>
            <w:pPr>
              <w:pStyle w:val="TableContents"/>
              <w:bidi w:val="0"/>
              <w:spacing w:before="0" w:after="283"/>
              <w:jc w:val="left"/>
              <w:rPr/>
            </w:pPr>
            <w:r>
              <w:rPr/>
              <w:t>Line of credit payable</w:t>
            </w:r>
          </w:p>
        </w:tc>
        <w:tc>
          <w:tcPr>
            <w:tcW w:w="60" w:type="dxa"/>
            <w:tcBorders/>
            <w:shd w:fill="CCEEFF" w:val="clear"/>
            <w:vAlign w:val="center"/>
          </w:tcPr>
          <w:p>
            <w:pPr>
              <w:pStyle w:val="TableContents"/>
              <w:bidi w:val="0"/>
              <w:spacing w:before="0" w:after="283"/>
              <w:jc w:val="left"/>
              <w:rPr/>
            </w:pPr>
            <w:r>
              <w:rPr/>
              <w:t> </w:t>
            </w:r>
          </w:p>
        </w:tc>
        <w:tc>
          <w:tcPr>
            <w:tcW w:w="153" w:type="dxa"/>
            <w:tcBorders/>
            <w:shd w:fill="CCEEFF" w:val="clear"/>
            <w:vAlign w:val="center"/>
          </w:tcPr>
          <w:p>
            <w:pPr>
              <w:pStyle w:val="TableContents"/>
              <w:bidi w:val="0"/>
              <w:spacing w:before="0" w:after="283"/>
              <w:jc w:val="left"/>
              <w:rPr/>
            </w:pPr>
            <w:r>
              <w:rPr/>
              <w:t> </w:t>
            </w:r>
          </w:p>
        </w:tc>
        <w:tc>
          <w:tcPr>
            <w:tcW w:w="744" w:type="dxa"/>
            <w:tcBorders/>
            <w:shd w:fill="CCEEFF" w:val="clear"/>
            <w:vAlign w:val="center"/>
          </w:tcPr>
          <w:p>
            <w:pPr>
              <w:pStyle w:val="TableContents"/>
              <w:bidi w:val="0"/>
              <w:spacing w:before="0" w:after="283"/>
              <w:jc w:val="right"/>
              <w:rPr/>
            </w:pPr>
            <w:r>
              <w:rPr/>
              <w:t>2,250</w:t>
            </w:r>
          </w:p>
        </w:tc>
        <w:tc>
          <w:tcPr>
            <w:tcW w:w="103"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jc w:val="left"/>
              <w:rPr/>
            </w:pPr>
            <w:r>
              <w:rPr/>
              <w:t> </w:t>
            </w:r>
          </w:p>
        </w:tc>
        <w:tc>
          <w:tcPr>
            <w:tcW w:w="153"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right"/>
              <w:rPr/>
            </w:pPr>
            <w:r>
              <w:rPr/>
              <w:t>2,000</w:t>
            </w:r>
          </w:p>
        </w:tc>
        <w:tc>
          <w:tcPr>
            <w:tcW w:w="101" w:type="dxa"/>
            <w:tcBorders/>
            <w:shd w:fill="CCEEFF" w:val="clear"/>
            <w:vAlign w:val="center"/>
          </w:tcPr>
          <w:p>
            <w:pPr>
              <w:pStyle w:val="TableContents"/>
              <w:bidi w:val="0"/>
              <w:spacing w:before="0" w:after="283"/>
              <w:ind w:left="0" w:right="0" w:hanging="180"/>
              <w:jc w:val="left"/>
              <w:rPr/>
            </w:pPr>
            <w:r>
              <w:rPr/>
              <w:t> </w:t>
            </w:r>
          </w:p>
        </w:tc>
      </w:tr>
      <w:tr>
        <w:trPr/>
        <w:tc>
          <w:tcPr>
            <w:tcW w:w="8131" w:type="dxa"/>
            <w:tcBorders/>
            <w:shd w:fill="FFFFFF" w:val="clear"/>
            <w:vAlign w:val="center"/>
          </w:tcPr>
          <w:p>
            <w:pPr>
              <w:pStyle w:val="TableContents"/>
              <w:bidi w:val="0"/>
              <w:spacing w:before="0" w:after="283"/>
              <w:jc w:val="left"/>
              <w:rPr/>
            </w:pPr>
            <w:r>
              <w:rPr/>
              <w:t>Contract liabilities</w:t>
            </w:r>
          </w:p>
        </w:tc>
        <w:tc>
          <w:tcPr>
            <w:tcW w:w="60" w:type="dxa"/>
            <w:tcBorders/>
            <w:shd w:fill="FFFFFF" w:val="clear"/>
            <w:vAlign w:val="center"/>
          </w:tcPr>
          <w:p>
            <w:pPr>
              <w:pStyle w:val="TableContents"/>
              <w:bidi w:val="0"/>
              <w:spacing w:before="0" w:after="283"/>
              <w:jc w:val="left"/>
              <w:rPr/>
            </w:pPr>
            <w:r>
              <w:rPr/>
              <w:t> </w:t>
            </w:r>
          </w:p>
        </w:tc>
        <w:tc>
          <w:tcPr>
            <w:tcW w:w="153" w:type="dxa"/>
            <w:tcBorders/>
            <w:shd w:fill="FFFFFF" w:val="clear"/>
            <w:vAlign w:val="center"/>
          </w:tcPr>
          <w:p>
            <w:pPr>
              <w:pStyle w:val="TableContents"/>
              <w:bidi w:val="0"/>
              <w:spacing w:before="0" w:after="283"/>
              <w:jc w:val="left"/>
              <w:rPr/>
            </w:pPr>
            <w:r>
              <w:rPr/>
              <w:t> </w:t>
            </w:r>
          </w:p>
        </w:tc>
        <w:tc>
          <w:tcPr>
            <w:tcW w:w="744" w:type="dxa"/>
            <w:tcBorders/>
            <w:shd w:fill="FFFFFF" w:val="clear"/>
            <w:vAlign w:val="center"/>
          </w:tcPr>
          <w:p>
            <w:pPr>
              <w:pStyle w:val="TableContents"/>
              <w:bidi w:val="0"/>
              <w:spacing w:before="0" w:after="283"/>
              <w:jc w:val="right"/>
              <w:rPr/>
            </w:pPr>
            <w:r>
              <w:rPr/>
              <w:t>17,231</w:t>
            </w:r>
          </w:p>
        </w:tc>
        <w:tc>
          <w:tcPr>
            <w:tcW w:w="103" w:type="dxa"/>
            <w:tcBorders/>
            <w:shd w:fill="FFFFFF" w:val="clear"/>
            <w:vAlign w:val="center"/>
          </w:tcPr>
          <w:p>
            <w:pPr>
              <w:pStyle w:val="TableContents"/>
              <w:bidi w:val="0"/>
              <w:spacing w:before="0" w:after="283"/>
              <w:jc w:val="left"/>
              <w:rPr/>
            </w:pPr>
            <w:r>
              <w:rPr/>
              <w:t> </w:t>
            </w:r>
          </w:p>
        </w:tc>
        <w:tc>
          <w:tcPr>
            <w:tcW w:w="65" w:type="dxa"/>
            <w:tcBorders/>
            <w:shd w:fill="FFFFFF" w:val="clear"/>
            <w:vAlign w:val="center"/>
          </w:tcPr>
          <w:p>
            <w:pPr>
              <w:pStyle w:val="TableContents"/>
              <w:bidi w:val="0"/>
              <w:spacing w:before="0" w:after="283"/>
              <w:jc w:val="left"/>
              <w:rPr/>
            </w:pPr>
            <w:r>
              <w:rPr/>
              <w:t> </w:t>
            </w:r>
          </w:p>
        </w:tc>
        <w:tc>
          <w:tcPr>
            <w:tcW w:w="153"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right"/>
              <w:rPr/>
            </w:pPr>
            <w:r>
              <w:rPr/>
              <w:t>2,381</w:t>
            </w:r>
          </w:p>
        </w:tc>
        <w:tc>
          <w:tcPr>
            <w:tcW w:w="101" w:type="dxa"/>
            <w:tcBorders/>
            <w:shd w:fill="FFFFFF" w:val="clear"/>
            <w:vAlign w:val="center"/>
          </w:tcPr>
          <w:p>
            <w:pPr>
              <w:pStyle w:val="TableContents"/>
              <w:bidi w:val="0"/>
              <w:spacing w:before="0" w:after="283"/>
              <w:ind w:left="0" w:right="0" w:hanging="180"/>
              <w:jc w:val="left"/>
              <w:rPr/>
            </w:pPr>
            <w:r>
              <w:rPr/>
              <w:t> </w:t>
            </w:r>
          </w:p>
        </w:tc>
      </w:tr>
      <w:tr>
        <w:trPr/>
        <w:tc>
          <w:tcPr>
            <w:tcW w:w="8131" w:type="dxa"/>
            <w:tcBorders/>
            <w:shd w:fill="CCEEFF" w:val="clear"/>
            <w:vAlign w:val="center"/>
          </w:tcPr>
          <w:p>
            <w:pPr>
              <w:pStyle w:val="TableContents"/>
              <w:bidi w:val="0"/>
              <w:spacing w:before="0" w:after="283"/>
              <w:jc w:val="left"/>
              <w:rPr/>
            </w:pPr>
            <w:r>
              <w:rPr/>
              <w:t>Operating lease liabilities, current portion</w:t>
            </w:r>
          </w:p>
        </w:tc>
        <w:tc>
          <w:tcPr>
            <w:tcW w:w="60" w:type="dxa"/>
            <w:tcBorders/>
            <w:shd w:fill="CCEEFF" w:val="clear"/>
            <w:vAlign w:val="center"/>
          </w:tcPr>
          <w:p>
            <w:pPr>
              <w:pStyle w:val="TableContents"/>
              <w:bidi w:val="0"/>
              <w:spacing w:before="0" w:after="283"/>
              <w:jc w:val="left"/>
              <w:rPr/>
            </w:pPr>
            <w:r>
              <w:rPr/>
              <w:t> </w:t>
            </w:r>
          </w:p>
        </w:tc>
        <w:tc>
          <w:tcPr>
            <w:tcW w:w="153"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744" w:type="dxa"/>
            <w:tcBorders>
              <w:bottom w:val="single" w:sz="12" w:space="0" w:color="000000"/>
            </w:tcBorders>
            <w:shd w:fill="CCEEFF" w:val="clear"/>
            <w:tcMar>
              <w:bottom w:w="28" w:type="dxa"/>
            </w:tcMar>
            <w:vAlign w:val="center"/>
          </w:tcPr>
          <w:p>
            <w:pPr>
              <w:pStyle w:val="TableContents"/>
              <w:bidi w:val="0"/>
              <w:spacing w:before="0" w:after="283"/>
              <w:jc w:val="right"/>
              <w:rPr/>
            </w:pPr>
            <w:r>
              <w:rPr/>
              <w:t>119</w:t>
            </w:r>
          </w:p>
        </w:tc>
        <w:tc>
          <w:tcPr>
            <w:tcW w:w="103"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jc w:val="left"/>
              <w:rPr/>
            </w:pPr>
            <w:r>
              <w:rPr/>
              <w:t> </w:t>
            </w:r>
          </w:p>
        </w:tc>
        <w:tc>
          <w:tcPr>
            <w:tcW w:w="153"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695" w:type="dxa"/>
            <w:tcBorders>
              <w:bottom w:val="single" w:sz="12" w:space="0" w:color="000000"/>
            </w:tcBorders>
            <w:shd w:fill="CCEEFF" w:val="clear"/>
            <w:tcMar>
              <w:bottom w:w="28" w:type="dxa"/>
            </w:tcMar>
            <w:vAlign w:val="center"/>
          </w:tcPr>
          <w:p>
            <w:pPr>
              <w:pStyle w:val="TableContents"/>
              <w:bidi w:val="0"/>
              <w:spacing w:before="0" w:after="283"/>
              <w:jc w:val="right"/>
              <w:rPr/>
            </w:pPr>
            <w:r>
              <w:rPr/>
              <w:t>108</w:t>
            </w:r>
          </w:p>
        </w:tc>
        <w:tc>
          <w:tcPr>
            <w:tcW w:w="101" w:type="dxa"/>
            <w:tcBorders/>
            <w:shd w:fill="CCEEFF" w:val="clear"/>
            <w:vAlign w:val="center"/>
          </w:tcPr>
          <w:p>
            <w:pPr>
              <w:pStyle w:val="TableContents"/>
              <w:bidi w:val="0"/>
              <w:spacing w:before="0" w:after="283"/>
              <w:ind w:left="0" w:right="0" w:hanging="180"/>
              <w:jc w:val="left"/>
              <w:rPr/>
            </w:pPr>
            <w:r>
              <w:rPr/>
              <w:t> </w:t>
            </w:r>
          </w:p>
        </w:tc>
      </w:tr>
      <w:tr>
        <w:trPr/>
        <w:tc>
          <w:tcPr>
            <w:tcW w:w="8131" w:type="dxa"/>
            <w:tcBorders/>
            <w:shd w:fill="FFFFFF" w:val="clear"/>
            <w:vAlign w:val="center"/>
          </w:tcPr>
          <w:p>
            <w:pPr>
              <w:pStyle w:val="TableContents"/>
              <w:bidi w:val="0"/>
              <w:spacing w:before="0" w:after="283"/>
              <w:jc w:val="left"/>
              <w:rPr/>
            </w:pPr>
            <w:r>
              <w:rPr/>
              <w:t>Total current liabilities</w:t>
            </w:r>
          </w:p>
        </w:tc>
        <w:tc>
          <w:tcPr>
            <w:tcW w:w="60" w:type="dxa"/>
            <w:tcBorders/>
            <w:shd w:fill="FFFFFF" w:val="clear"/>
            <w:vAlign w:val="center"/>
          </w:tcPr>
          <w:p>
            <w:pPr>
              <w:pStyle w:val="TableContents"/>
              <w:bidi w:val="0"/>
              <w:spacing w:before="0" w:after="283"/>
              <w:jc w:val="left"/>
              <w:rPr/>
            </w:pPr>
            <w:r>
              <w:rPr/>
              <w:t> </w:t>
            </w:r>
          </w:p>
        </w:tc>
        <w:tc>
          <w:tcPr>
            <w:tcW w:w="153"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744" w:type="dxa"/>
            <w:tcBorders>
              <w:bottom w:val="single" w:sz="12" w:space="0" w:color="000000"/>
            </w:tcBorders>
            <w:shd w:fill="FFFFFF" w:val="clear"/>
            <w:tcMar>
              <w:bottom w:w="28" w:type="dxa"/>
            </w:tcMar>
            <w:vAlign w:val="center"/>
          </w:tcPr>
          <w:p>
            <w:pPr>
              <w:pStyle w:val="TableContents"/>
              <w:bidi w:val="0"/>
              <w:spacing w:before="0" w:after="283"/>
              <w:jc w:val="right"/>
              <w:rPr/>
            </w:pPr>
            <w:r>
              <w:rPr/>
              <w:t>27,513</w:t>
            </w:r>
          </w:p>
        </w:tc>
        <w:tc>
          <w:tcPr>
            <w:tcW w:w="103" w:type="dxa"/>
            <w:tcBorders/>
            <w:shd w:fill="FFFFFF" w:val="clear"/>
            <w:vAlign w:val="center"/>
          </w:tcPr>
          <w:p>
            <w:pPr>
              <w:pStyle w:val="TableContents"/>
              <w:bidi w:val="0"/>
              <w:spacing w:before="0" w:after="283"/>
              <w:jc w:val="left"/>
              <w:rPr/>
            </w:pPr>
            <w:r>
              <w:rPr/>
              <w:t> </w:t>
            </w:r>
          </w:p>
        </w:tc>
        <w:tc>
          <w:tcPr>
            <w:tcW w:w="65" w:type="dxa"/>
            <w:tcBorders/>
            <w:shd w:fill="FFFFFF" w:val="clear"/>
            <w:vAlign w:val="center"/>
          </w:tcPr>
          <w:p>
            <w:pPr>
              <w:pStyle w:val="TableContents"/>
              <w:bidi w:val="0"/>
              <w:spacing w:before="0" w:after="283"/>
              <w:jc w:val="left"/>
              <w:rPr/>
            </w:pPr>
            <w:r>
              <w:rPr/>
              <w:t> </w:t>
            </w:r>
          </w:p>
        </w:tc>
        <w:tc>
          <w:tcPr>
            <w:tcW w:w="153"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695" w:type="dxa"/>
            <w:tcBorders>
              <w:bottom w:val="single" w:sz="12" w:space="0" w:color="000000"/>
            </w:tcBorders>
            <w:shd w:fill="FFFFFF" w:val="clear"/>
            <w:tcMar>
              <w:bottom w:w="28" w:type="dxa"/>
            </w:tcMar>
            <w:vAlign w:val="center"/>
          </w:tcPr>
          <w:p>
            <w:pPr>
              <w:pStyle w:val="TableContents"/>
              <w:bidi w:val="0"/>
              <w:spacing w:before="0" w:after="283"/>
              <w:jc w:val="right"/>
              <w:rPr/>
            </w:pPr>
            <w:r>
              <w:rPr/>
              <w:t>8,231</w:t>
            </w:r>
          </w:p>
        </w:tc>
        <w:tc>
          <w:tcPr>
            <w:tcW w:w="101" w:type="dxa"/>
            <w:tcBorders/>
            <w:shd w:fill="FFFFFF" w:val="clear"/>
            <w:vAlign w:val="center"/>
          </w:tcPr>
          <w:p>
            <w:pPr>
              <w:pStyle w:val="TableContents"/>
              <w:bidi w:val="0"/>
              <w:spacing w:before="0" w:after="283"/>
              <w:ind w:left="0" w:right="0" w:hanging="180"/>
              <w:jc w:val="left"/>
              <w:rPr/>
            </w:pPr>
            <w:r>
              <w:rPr/>
              <w:t> </w:t>
            </w:r>
          </w:p>
        </w:tc>
      </w:tr>
      <w:tr>
        <w:trPr/>
        <w:tc>
          <w:tcPr>
            <w:tcW w:w="8131" w:type="dxa"/>
            <w:tcBorders/>
            <w:shd w:fill="CCEEFF" w:val="clear"/>
            <w:vAlign w:val="center"/>
          </w:tcPr>
          <w:p>
            <w:pPr>
              <w:pStyle w:val="TableContents"/>
              <w:bidi w:val="0"/>
              <w:spacing w:before="0" w:after="283"/>
              <w:jc w:val="left"/>
              <w:rPr/>
            </w:pPr>
            <w:r>
              <w:rPr/>
              <w:t>Operating lease liabilities, net of current portion</w:t>
            </w:r>
          </w:p>
        </w:tc>
        <w:tc>
          <w:tcPr>
            <w:tcW w:w="60" w:type="dxa"/>
            <w:tcBorders/>
            <w:shd w:fill="CCEEFF" w:val="clear"/>
            <w:vAlign w:val="center"/>
          </w:tcPr>
          <w:p>
            <w:pPr>
              <w:pStyle w:val="TableContents"/>
              <w:bidi w:val="0"/>
              <w:spacing w:before="0" w:after="283"/>
              <w:jc w:val="left"/>
              <w:rPr/>
            </w:pPr>
            <w:r>
              <w:rPr/>
              <w:t> </w:t>
            </w:r>
          </w:p>
        </w:tc>
        <w:tc>
          <w:tcPr>
            <w:tcW w:w="153"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744" w:type="dxa"/>
            <w:tcBorders>
              <w:bottom w:val="single" w:sz="12" w:space="0" w:color="000000"/>
            </w:tcBorders>
            <w:shd w:fill="CCEEFF" w:val="clear"/>
            <w:tcMar>
              <w:bottom w:w="28" w:type="dxa"/>
            </w:tcMar>
            <w:vAlign w:val="center"/>
          </w:tcPr>
          <w:p>
            <w:pPr>
              <w:pStyle w:val="TableContents"/>
              <w:bidi w:val="0"/>
              <w:spacing w:before="0" w:after="283"/>
              <w:jc w:val="right"/>
              <w:rPr/>
            </w:pPr>
            <w:r>
              <w:rPr/>
              <w:t>302</w:t>
            </w:r>
          </w:p>
        </w:tc>
        <w:tc>
          <w:tcPr>
            <w:tcW w:w="103"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jc w:val="left"/>
              <w:rPr/>
            </w:pPr>
            <w:r>
              <w:rPr/>
              <w:t> </w:t>
            </w:r>
          </w:p>
        </w:tc>
        <w:tc>
          <w:tcPr>
            <w:tcW w:w="153"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695" w:type="dxa"/>
            <w:tcBorders>
              <w:bottom w:val="single" w:sz="12" w:space="0" w:color="000000"/>
            </w:tcBorders>
            <w:shd w:fill="CCEEFF" w:val="clear"/>
            <w:tcMar>
              <w:bottom w:w="28" w:type="dxa"/>
            </w:tcMar>
            <w:vAlign w:val="center"/>
          </w:tcPr>
          <w:p>
            <w:pPr>
              <w:pStyle w:val="TableContents"/>
              <w:bidi w:val="0"/>
              <w:spacing w:before="0" w:after="283"/>
              <w:jc w:val="right"/>
              <w:rPr/>
            </w:pPr>
            <w:r>
              <w:rPr/>
              <w:t>421</w:t>
            </w:r>
          </w:p>
        </w:tc>
        <w:tc>
          <w:tcPr>
            <w:tcW w:w="101" w:type="dxa"/>
            <w:tcBorders/>
            <w:shd w:fill="CCEEFF" w:val="clear"/>
            <w:vAlign w:val="center"/>
          </w:tcPr>
          <w:p>
            <w:pPr>
              <w:pStyle w:val="TableContents"/>
              <w:bidi w:val="0"/>
              <w:spacing w:before="0" w:after="283"/>
              <w:ind w:left="0" w:right="0" w:hanging="180"/>
              <w:jc w:val="left"/>
              <w:rPr/>
            </w:pPr>
            <w:r>
              <w:rPr/>
              <w:t> </w:t>
            </w:r>
          </w:p>
        </w:tc>
      </w:tr>
      <w:tr>
        <w:trPr/>
        <w:tc>
          <w:tcPr>
            <w:tcW w:w="8131" w:type="dxa"/>
            <w:tcBorders/>
            <w:shd w:fill="FFFFFF" w:val="clear"/>
            <w:vAlign w:val="center"/>
          </w:tcPr>
          <w:p>
            <w:pPr>
              <w:pStyle w:val="TableContents"/>
              <w:bidi w:val="0"/>
              <w:spacing w:before="0" w:after="283"/>
              <w:jc w:val="left"/>
              <w:rPr/>
            </w:pPr>
            <w:r>
              <w:rPr/>
              <w:t>Total liabilities</w:t>
            </w:r>
          </w:p>
        </w:tc>
        <w:tc>
          <w:tcPr>
            <w:tcW w:w="60" w:type="dxa"/>
            <w:tcBorders/>
            <w:shd w:fill="FFFFFF" w:val="clear"/>
            <w:vAlign w:val="center"/>
          </w:tcPr>
          <w:p>
            <w:pPr>
              <w:pStyle w:val="TableContents"/>
              <w:bidi w:val="0"/>
              <w:spacing w:before="0" w:after="283"/>
              <w:jc w:val="left"/>
              <w:rPr/>
            </w:pPr>
            <w:r>
              <w:rPr/>
              <w:t> </w:t>
            </w:r>
          </w:p>
        </w:tc>
        <w:tc>
          <w:tcPr>
            <w:tcW w:w="153"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744" w:type="dxa"/>
            <w:tcBorders>
              <w:bottom w:val="single" w:sz="12" w:space="0" w:color="000000"/>
            </w:tcBorders>
            <w:shd w:fill="FFFFFF" w:val="clear"/>
            <w:tcMar>
              <w:bottom w:w="28" w:type="dxa"/>
            </w:tcMar>
            <w:vAlign w:val="center"/>
          </w:tcPr>
          <w:p>
            <w:pPr>
              <w:pStyle w:val="TableContents"/>
              <w:bidi w:val="0"/>
              <w:spacing w:before="0" w:after="283"/>
              <w:jc w:val="right"/>
              <w:rPr/>
            </w:pPr>
            <w:r>
              <w:rPr/>
              <w:t>27,815</w:t>
            </w:r>
          </w:p>
        </w:tc>
        <w:tc>
          <w:tcPr>
            <w:tcW w:w="103" w:type="dxa"/>
            <w:tcBorders/>
            <w:shd w:fill="FFFFFF" w:val="clear"/>
            <w:vAlign w:val="center"/>
          </w:tcPr>
          <w:p>
            <w:pPr>
              <w:pStyle w:val="TableContents"/>
              <w:bidi w:val="0"/>
              <w:spacing w:before="0" w:after="283"/>
              <w:jc w:val="left"/>
              <w:rPr/>
            </w:pPr>
            <w:r>
              <w:rPr/>
              <w:t> </w:t>
            </w:r>
          </w:p>
        </w:tc>
        <w:tc>
          <w:tcPr>
            <w:tcW w:w="65" w:type="dxa"/>
            <w:tcBorders/>
            <w:shd w:fill="FFFFFF" w:val="clear"/>
            <w:vAlign w:val="center"/>
          </w:tcPr>
          <w:p>
            <w:pPr>
              <w:pStyle w:val="TableContents"/>
              <w:bidi w:val="0"/>
              <w:spacing w:before="0" w:after="283"/>
              <w:jc w:val="left"/>
              <w:rPr/>
            </w:pPr>
            <w:r>
              <w:rPr/>
              <w:t> </w:t>
            </w:r>
          </w:p>
        </w:tc>
        <w:tc>
          <w:tcPr>
            <w:tcW w:w="153"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695" w:type="dxa"/>
            <w:tcBorders>
              <w:bottom w:val="single" w:sz="12" w:space="0" w:color="000000"/>
            </w:tcBorders>
            <w:shd w:fill="FFFFFF" w:val="clear"/>
            <w:tcMar>
              <w:bottom w:w="28" w:type="dxa"/>
            </w:tcMar>
            <w:vAlign w:val="center"/>
          </w:tcPr>
          <w:p>
            <w:pPr>
              <w:pStyle w:val="TableContents"/>
              <w:bidi w:val="0"/>
              <w:spacing w:before="0" w:after="283"/>
              <w:jc w:val="right"/>
              <w:rPr/>
            </w:pPr>
            <w:r>
              <w:rPr/>
              <w:t>8,652</w:t>
            </w:r>
          </w:p>
        </w:tc>
        <w:tc>
          <w:tcPr>
            <w:tcW w:w="101" w:type="dxa"/>
            <w:tcBorders/>
            <w:shd w:fill="FFFFFF" w:val="clear"/>
            <w:vAlign w:val="center"/>
          </w:tcPr>
          <w:p>
            <w:pPr>
              <w:pStyle w:val="TableContents"/>
              <w:bidi w:val="0"/>
              <w:spacing w:before="0" w:after="283"/>
              <w:ind w:left="0" w:right="0" w:hanging="180"/>
              <w:jc w:val="left"/>
              <w:rPr/>
            </w:pPr>
            <w:r>
              <w:rPr/>
              <w:t> </w:t>
            </w:r>
          </w:p>
        </w:tc>
      </w:tr>
      <w:tr>
        <w:trPr/>
        <w:tc>
          <w:tcPr>
            <w:tcW w:w="8131" w:type="dxa"/>
            <w:tcBorders/>
            <w:shd w:fill="CCEEFF" w:val="clear"/>
            <w:vAlign w:val="center"/>
          </w:tcPr>
          <w:p>
            <w:pPr>
              <w:pStyle w:val="TableContents"/>
              <w:bidi w:val="0"/>
              <w:spacing w:before="0" w:after="283"/>
              <w:jc w:val="left"/>
              <w:rPr/>
            </w:pPr>
            <w:r>
              <w:rPr/>
              <w:t>Commitments and Contingencies (Note 12)</w:t>
            </w:r>
          </w:p>
        </w:tc>
        <w:tc>
          <w:tcPr>
            <w:tcW w:w="60" w:type="dxa"/>
            <w:tcBorders/>
            <w:shd w:fill="CCEEFF" w:val="clear"/>
            <w:vAlign w:val="center"/>
          </w:tcPr>
          <w:p>
            <w:pPr>
              <w:pStyle w:val="TableContents"/>
              <w:bidi w:val="0"/>
              <w:spacing w:before="0" w:after="283"/>
              <w:jc w:val="left"/>
              <w:rPr/>
            </w:pPr>
            <w:r>
              <w:rPr/>
              <w:t> </w:t>
            </w:r>
          </w:p>
        </w:tc>
        <w:tc>
          <w:tcPr>
            <w:tcW w:w="153" w:type="dxa"/>
            <w:tcBorders/>
            <w:shd w:fill="CCEEFF" w:val="clear"/>
            <w:vAlign w:val="center"/>
          </w:tcPr>
          <w:p>
            <w:pPr>
              <w:pStyle w:val="TableContents"/>
              <w:bidi w:val="0"/>
              <w:spacing w:before="0" w:after="283"/>
              <w:jc w:val="left"/>
              <w:rPr/>
            </w:pPr>
            <w:r>
              <w:rPr/>
              <w:t> </w:t>
            </w:r>
          </w:p>
        </w:tc>
        <w:tc>
          <w:tcPr>
            <w:tcW w:w="744" w:type="dxa"/>
            <w:tcBorders/>
            <w:shd w:fill="CCEEFF" w:val="clear"/>
            <w:vAlign w:val="center"/>
          </w:tcPr>
          <w:p>
            <w:pPr>
              <w:pStyle w:val="TableContents"/>
              <w:bidi w:val="0"/>
              <w:spacing w:before="0" w:after="283"/>
              <w:jc w:val="right"/>
              <w:rPr/>
            </w:pPr>
            <w:r>
              <w:rPr/>
              <w:t> </w:t>
            </w:r>
          </w:p>
        </w:tc>
        <w:tc>
          <w:tcPr>
            <w:tcW w:w="103"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jc w:val="left"/>
              <w:rPr/>
            </w:pPr>
            <w:r>
              <w:rPr/>
              <w:t> </w:t>
            </w:r>
          </w:p>
        </w:tc>
        <w:tc>
          <w:tcPr>
            <w:tcW w:w="153"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right"/>
              <w:rPr/>
            </w:pPr>
            <w:r>
              <w:rPr/>
              <w:t> </w:t>
            </w:r>
          </w:p>
        </w:tc>
        <w:tc>
          <w:tcPr>
            <w:tcW w:w="101" w:type="dxa"/>
            <w:tcBorders/>
            <w:shd w:fill="CCEEFF" w:val="clear"/>
            <w:vAlign w:val="center"/>
          </w:tcPr>
          <w:p>
            <w:pPr>
              <w:pStyle w:val="TableContents"/>
              <w:bidi w:val="0"/>
              <w:spacing w:before="0" w:after="283"/>
              <w:ind w:left="0" w:right="0" w:hanging="180"/>
              <w:jc w:val="left"/>
              <w:rPr/>
            </w:pPr>
            <w:r>
              <w:rPr/>
              <w:t> </w:t>
            </w:r>
          </w:p>
        </w:tc>
      </w:tr>
      <w:tr>
        <w:trPr/>
        <w:tc>
          <w:tcPr>
            <w:tcW w:w="8131" w:type="dxa"/>
            <w:tcBorders/>
            <w:shd w:fill="FFFFFF" w:val="clear"/>
            <w:vAlign w:val="center"/>
          </w:tcPr>
          <w:p>
            <w:pPr>
              <w:pStyle w:val="TableContents"/>
              <w:bidi w:val="0"/>
              <w:spacing w:before="0" w:after="283"/>
              <w:jc w:val="left"/>
              <w:rPr/>
            </w:pPr>
            <w:r>
              <w:rPr/>
              <w:t>Member’s deficit</w:t>
            </w:r>
          </w:p>
        </w:tc>
        <w:tc>
          <w:tcPr>
            <w:tcW w:w="60" w:type="dxa"/>
            <w:tcBorders/>
            <w:shd w:fill="FFFFFF" w:val="clear"/>
            <w:vAlign w:val="center"/>
          </w:tcPr>
          <w:p>
            <w:pPr>
              <w:pStyle w:val="TableContents"/>
              <w:bidi w:val="0"/>
              <w:spacing w:before="0" w:after="283"/>
              <w:jc w:val="left"/>
              <w:rPr/>
            </w:pPr>
            <w:r>
              <w:rPr/>
              <w:t> </w:t>
            </w:r>
          </w:p>
        </w:tc>
        <w:tc>
          <w:tcPr>
            <w:tcW w:w="153"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744" w:type="dxa"/>
            <w:tcBorders>
              <w:bottom w:val="single" w:sz="12" w:space="0" w:color="000000"/>
            </w:tcBorders>
            <w:shd w:fill="FFFFFF" w:val="clear"/>
            <w:tcMar>
              <w:bottom w:w="28" w:type="dxa"/>
            </w:tcMar>
            <w:vAlign w:val="center"/>
          </w:tcPr>
          <w:p>
            <w:pPr>
              <w:pStyle w:val="TableContents"/>
              <w:bidi w:val="0"/>
              <w:spacing w:before="0" w:after="283"/>
              <w:jc w:val="right"/>
              <w:rPr/>
            </w:pPr>
            <w:r>
              <w:rPr/>
              <w:t>(6,287</w:t>
            </w:r>
          </w:p>
        </w:tc>
        <w:tc>
          <w:tcPr>
            <w:tcW w:w="103" w:type="dxa"/>
            <w:tcBorders/>
            <w:shd w:fill="FFFFFF" w:val="clear"/>
            <w:vAlign w:val="center"/>
          </w:tcPr>
          <w:p>
            <w:pPr>
              <w:pStyle w:val="TableContents"/>
              <w:bidi w:val="0"/>
              <w:spacing w:before="0" w:after="283"/>
              <w:jc w:val="left"/>
              <w:rPr/>
            </w:pPr>
            <w:r>
              <w:rPr/>
              <w:t>)</w:t>
            </w:r>
          </w:p>
        </w:tc>
        <w:tc>
          <w:tcPr>
            <w:tcW w:w="65" w:type="dxa"/>
            <w:tcBorders/>
            <w:shd w:fill="FFFFFF" w:val="clear"/>
            <w:vAlign w:val="center"/>
          </w:tcPr>
          <w:p>
            <w:pPr>
              <w:pStyle w:val="TableContents"/>
              <w:bidi w:val="0"/>
              <w:spacing w:before="0" w:after="283"/>
              <w:jc w:val="left"/>
              <w:rPr/>
            </w:pPr>
            <w:r>
              <w:rPr/>
              <w:t> </w:t>
            </w:r>
          </w:p>
        </w:tc>
        <w:tc>
          <w:tcPr>
            <w:tcW w:w="153"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695" w:type="dxa"/>
            <w:tcBorders>
              <w:bottom w:val="single" w:sz="12" w:space="0" w:color="000000"/>
            </w:tcBorders>
            <w:shd w:fill="FFFFFF" w:val="clear"/>
            <w:tcMar>
              <w:bottom w:w="28" w:type="dxa"/>
            </w:tcMar>
            <w:vAlign w:val="center"/>
          </w:tcPr>
          <w:p>
            <w:pPr>
              <w:pStyle w:val="TableContents"/>
              <w:bidi w:val="0"/>
              <w:spacing w:before="0" w:after="283"/>
              <w:jc w:val="right"/>
              <w:rPr/>
            </w:pPr>
            <w:r>
              <w:rPr/>
              <w:t>(3,675</w:t>
            </w:r>
          </w:p>
        </w:tc>
        <w:tc>
          <w:tcPr>
            <w:tcW w:w="101" w:type="dxa"/>
            <w:tcBorders/>
            <w:shd w:fill="FFFFFF" w:val="clear"/>
            <w:vAlign w:val="center"/>
          </w:tcPr>
          <w:p>
            <w:pPr>
              <w:pStyle w:val="TableContents"/>
              <w:bidi w:val="0"/>
              <w:spacing w:before="0" w:after="283"/>
              <w:ind w:left="0" w:right="0" w:hanging="180"/>
              <w:jc w:val="left"/>
              <w:rPr/>
            </w:pPr>
            <w:r>
              <w:rPr/>
              <w:t>)</w:t>
            </w:r>
          </w:p>
        </w:tc>
      </w:tr>
      <w:tr>
        <w:trPr/>
        <w:tc>
          <w:tcPr>
            <w:tcW w:w="8131" w:type="dxa"/>
            <w:tcBorders/>
            <w:shd w:fill="CCEEFF" w:val="clear"/>
            <w:vAlign w:val="center"/>
          </w:tcPr>
          <w:p>
            <w:pPr>
              <w:pStyle w:val="TableContents"/>
              <w:bidi w:val="0"/>
              <w:spacing w:before="0" w:after="283"/>
              <w:jc w:val="left"/>
              <w:rPr/>
            </w:pPr>
            <w:r>
              <w:rPr/>
              <w:t>Total liabilities and member’s deficit</w:t>
            </w:r>
          </w:p>
        </w:tc>
        <w:tc>
          <w:tcPr>
            <w:tcW w:w="60" w:type="dxa"/>
            <w:tcBorders/>
            <w:shd w:fill="CCEEFF" w:val="clear"/>
            <w:vAlign w:val="center"/>
          </w:tcPr>
          <w:p>
            <w:pPr>
              <w:pStyle w:val="TableContents"/>
              <w:bidi w:val="0"/>
              <w:spacing w:before="0" w:after="283"/>
              <w:jc w:val="left"/>
              <w:rPr/>
            </w:pPr>
            <w:r>
              <w:rPr/>
              <w:t> </w:t>
            </w:r>
          </w:p>
        </w:tc>
        <w:tc>
          <w:tcPr>
            <w:tcW w:w="153"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744" w:type="dxa"/>
            <w:tcBorders>
              <w:bottom w:val="double" w:sz="10" w:space="0" w:color="000000"/>
            </w:tcBorders>
            <w:shd w:fill="CCEEFF" w:val="clear"/>
            <w:tcMar>
              <w:bottom w:w="28" w:type="dxa"/>
            </w:tcMar>
            <w:vAlign w:val="center"/>
          </w:tcPr>
          <w:p>
            <w:pPr>
              <w:pStyle w:val="TableContents"/>
              <w:bidi w:val="0"/>
              <w:spacing w:before="0" w:after="283"/>
              <w:jc w:val="right"/>
              <w:rPr/>
            </w:pPr>
            <w:r>
              <w:rPr/>
              <w:t>21,528</w:t>
            </w:r>
          </w:p>
        </w:tc>
        <w:tc>
          <w:tcPr>
            <w:tcW w:w="103"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jc w:val="left"/>
              <w:rPr/>
            </w:pPr>
            <w:r>
              <w:rPr/>
              <w:t> </w:t>
            </w:r>
          </w:p>
        </w:tc>
        <w:tc>
          <w:tcPr>
            <w:tcW w:w="153"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695" w:type="dxa"/>
            <w:tcBorders>
              <w:bottom w:val="double" w:sz="10" w:space="0" w:color="000000"/>
            </w:tcBorders>
            <w:shd w:fill="CCEEFF" w:val="clear"/>
            <w:tcMar>
              <w:bottom w:w="28" w:type="dxa"/>
            </w:tcMar>
            <w:vAlign w:val="center"/>
          </w:tcPr>
          <w:p>
            <w:pPr>
              <w:pStyle w:val="TableContents"/>
              <w:bidi w:val="0"/>
              <w:spacing w:before="0" w:after="283"/>
              <w:jc w:val="right"/>
              <w:rPr/>
            </w:pPr>
            <w:r>
              <w:rPr/>
              <w:t>4,977</w:t>
            </w:r>
          </w:p>
        </w:tc>
        <w:tc>
          <w:tcPr>
            <w:tcW w:w="101"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The accompanying notes are an integral part of these financial statements.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center"/>
        <w:rPr>
          <w:sz w:val="20"/>
          <w:bdr w:val="single" w:sz="12" w:space="1" w:color="000000"/>
        </w:rPr>
      </w:pPr>
      <w:r>
        <w:rPr>
          <w:sz w:val="20"/>
          <w:bdr w:val="single" w:sz="12" w:space="1" w:color="000000"/>
        </w:rPr>
        <w:t>F-115</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35" w:name="D_003"/>
      <w:bookmarkEnd w:id="35"/>
      <w:r>
        <w:rPr>
          <w:rFonts w:ascii="Times New Roman;Times;Serif" w:hAnsi="Times New Roman;Times;Serif"/>
          <w:b/>
          <w:i w:val="false"/>
          <w:caps w:val="false"/>
          <w:smallCaps w:val="false"/>
          <w:sz w:val="20"/>
        </w:rPr>
        <w:t>SUNDER ENERGY LLC</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STATEMENTS OF OPERATIONS</w:t>
      </w:r>
    </w:p>
    <w:p>
      <w:pPr>
        <w:pStyle w:val="TextBody"/>
        <w:bidi w:val="0"/>
        <w:spacing w:before="0" w:after="0"/>
        <w:ind w:left="0" w:right="0" w:hanging="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(In thousands)</w:t>
      </w:r>
    </w:p>
    <w:p>
      <w:pPr>
        <w:pStyle w:val="TextBody"/>
        <w:bidi w:val="0"/>
        <w:spacing w:before="0" w:after="0"/>
        <w:ind w:left="0" w:right="0" w:hanging="0"/>
        <w:jc w:val="center"/>
        <w:rPr>
          <w:caps w:val="false"/>
          <w:smallCaps w:val="false"/>
        </w:rPr>
      </w:pPr>
      <w:r>
        <w:rPr>
          <w:caps w:val="false"/>
          <w:smallCaps w:val="false"/>
        </w:rPr>
        <w:t> </w:t>
      </w:r>
    </w:p>
    <w:tbl>
      <w:tblPr>
        <w:tblW w:w="6267" w:type="dxa"/>
        <w:jc w:val="left"/>
        <w:tblInd w:w="0" w:type="dxa"/>
        <w:tblLayout w:type="fixed"/>
        <w:tblCellMar>
          <w:top w:w="0" w:type="dxa"/>
          <w:left w:w="0" w:type="dxa"/>
          <w:bottom w:w="0" w:type="dxa"/>
          <w:right w:w="0" w:type="dxa"/>
        </w:tblCellMar>
      </w:tblPr>
      <w:tblGrid>
        <w:gridCol w:w="3290"/>
        <w:gridCol w:w="60"/>
        <w:gridCol w:w="210"/>
        <w:gridCol w:w="1134"/>
        <w:gridCol w:w="142"/>
        <w:gridCol w:w="90"/>
        <w:gridCol w:w="210"/>
        <w:gridCol w:w="1021"/>
        <w:gridCol w:w="110"/>
      </w:tblGrid>
      <w:tr>
        <w:trPr/>
        <w:tc>
          <w:tcPr>
            <w:tcW w:w="329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807"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Years Ended December 31,</w:t>
            </w:r>
          </w:p>
        </w:tc>
        <w:tc>
          <w:tcPr>
            <w:tcW w:w="110" w:type="dxa"/>
            <w:tcBorders/>
            <w:vAlign w:val="center"/>
          </w:tcPr>
          <w:p>
            <w:pPr>
              <w:pStyle w:val="TableContents"/>
              <w:bidi w:val="0"/>
              <w:spacing w:before="0" w:after="283"/>
              <w:jc w:val="left"/>
              <w:rPr/>
            </w:pPr>
            <w:r>
              <w:rPr/>
              <w:t> </w:t>
            </w:r>
          </w:p>
        </w:tc>
      </w:tr>
      <w:tr>
        <w:trPr/>
        <w:tc>
          <w:tcPr>
            <w:tcW w:w="329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44"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2024</w:t>
            </w:r>
          </w:p>
        </w:tc>
        <w:tc>
          <w:tcPr>
            <w:tcW w:w="142"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231"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2023</w:t>
            </w:r>
          </w:p>
        </w:tc>
        <w:tc>
          <w:tcPr>
            <w:tcW w:w="110" w:type="dxa"/>
            <w:tcBorders/>
            <w:vAlign w:val="center"/>
          </w:tcPr>
          <w:p>
            <w:pPr>
              <w:pStyle w:val="TableContents"/>
              <w:bidi w:val="0"/>
              <w:spacing w:before="0" w:after="283"/>
              <w:jc w:val="left"/>
              <w:rPr/>
            </w:pPr>
            <w:r>
              <w:rPr/>
              <w:t> </w:t>
            </w:r>
          </w:p>
        </w:tc>
      </w:tr>
      <w:tr>
        <w:trPr/>
        <w:tc>
          <w:tcPr>
            <w:tcW w:w="3290" w:type="dxa"/>
            <w:tcBorders/>
            <w:shd w:fill="CCEEFF" w:val="clear"/>
            <w:vAlign w:val="center"/>
          </w:tcPr>
          <w:p>
            <w:pPr>
              <w:pStyle w:val="TableContents"/>
              <w:bidi w:val="0"/>
              <w:spacing w:before="0" w:after="283"/>
              <w:jc w:val="left"/>
              <w:rPr/>
            </w:pPr>
            <w:r>
              <w:rPr/>
              <w:t>Revenues</w:t>
            </w:r>
          </w:p>
        </w:tc>
        <w:tc>
          <w:tcPr>
            <w:tcW w:w="60" w:type="dxa"/>
            <w:tcBorders/>
            <w:shd w:fill="CCEEFF" w:val="clear"/>
            <w:vAlign w:val="center"/>
          </w:tcPr>
          <w:p>
            <w:pPr>
              <w:pStyle w:val="TableContents"/>
              <w:bidi w:val="0"/>
              <w:spacing w:before="0" w:after="283"/>
              <w:jc w:val="left"/>
              <w:rPr/>
            </w:pPr>
            <w:r>
              <w:rPr/>
              <w:t> </w:t>
            </w:r>
          </w:p>
        </w:tc>
        <w:tc>
          <w:tcPr>
            <w:tcW w:w="210" w:type="dxa"/>
            <w:tcBorders/>
            <w:shd w:fill="CCEEFF" w:val="clear"/>
            <w:vAlign w:val="center"/>
          </w:tcPr>
          <w:p>
            <w:pPr>
              <w:pStyle w:val="TableContents"/>
              <w:bidi w:val="0"/>
              <w:spacing w:before="0" w:after="283"/>
              <w:jc w:val="left"/>
              <w:rPr/>
            </w:pPr>
            <w:r>
              <w:rPr/>
              <w:t>$</w:t>
            </w:r>
          </w:p>
        </w:tc>
        <w:tc>
          <w:tcPr>
            <w:tcW w:w="1134" w:type="dxa"/>
            <w:tcBorders/>
            <w:shd w:fill="CCEEFF" w:val="clear"/>
            <w:vAlign w:val="center"/>
          </w:tcPr>
          <w:p>
            <w:pPr>
              <w:pStyle w:val="TableContents"/>
              <w:bidi w:val="0"/>
              <w:spacing w:before="0" w:after="283"/>
              <w:jc w:val="right"/>
              <w:rPr/>
            </w:pPr>
            <w:r>
              <w:rPr/>
              <w:t>44,293</w:t>
            </w:r>
          </w:p>
        </w:tc>
        <w:tc>
          <w:tcPr>
            <w:tcW w:w="142"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10" w:type="dxa"/>
            <w:tcBorders/>
            <w:shd w:fill="CCEEFF" w:val="clear"/>
            <w:vAlign w:val="center"/>
          </w:tcPr>
          <w:p>
            <w:pPr>
              <w:pStyle w:val="TableContents"/>
              <w:bidi w:val="0"/>
              <w:spacing w:before="0" w:after="283"/>
              <w:jc w:val="left"/>
              <w:rPr/>
            </w:pPr>
            <w:r>
              <w:rPr/>
              <w:t>$</w:t>
            </w:r>
          </w:p>
        </w:tc>
        <w:tc>
          <w:tcPr>
            <w:tcW w:w="1021" w:type="dxa"/>
            <w:tcBorders/>
            <w:shd w:fill="CCEEFF" w:val="clear"/>
            <w:vAlign w:val="center"/>
          </w:tcPr>
          <w:p>
            <w:pPr>
              <w:pStyle w:val="TableContents"/>
              <w:bidi w:val="0"/>
              <w:spacing w:before="0" w:after="283"/>
              <w:jc w:val="right"/>
              <w:rPr/>
            </w:pPr>
            <w:r>
              <w:rPr/>
              <w:t>56,928</w:t>
            </w:r>
          </w:p>
        </w:tc>
        <w:tc>
          <w:tcPr>
            <w:tcW w:w="110" w:type="dxa"/>
            <w:tcBorders/>
            <w:shd w:fill="CCEEFF" w:val="clear"/>
            <w:vAlign w:val="center"/>
          </w:tcPr>
          <w:p>
            <w:pPr>
              <w:pStyle w:val="TableContents"/>
              <w:bidi w:val="0"/>
              <w:spacing w:before="0" w:after="283"/>
              <w:jc w:val="left"/>
              <w:rPr/>
            </w:pPr>
            <w:r>
              <w:rPr/>
              <w:t> </w:t>
            </w:r>
          </w:p>
        </w:tc>
      </w:tr>
      <w:tr>
        <w:trPr/>
        <w:tc>
          <w:tcPr>
            <w:tcW w:w="3290" w:type="dxa"/>
            <w:tcBorders/>
            <w:shd w:fill="FFFFFF" w:val="clear"/>
            <w:vAlign w:val="center"/>
          </w:tcPr>
          <w:p>
            <w:pPr>
              <w:pStyle w:val="TableContents"/>
              <w:bidi w:val="0"/>
              <w:spacing w:before="0" w:after="283"/>
              <w:jc w:val="left"/>
              <w:rPr/>
            </w:pPr>
            <w:r>
              <w:rPr/>
              <w:t>Operating expenses:</w:t>
            </w:r>
          </w:p>
        </w:tc>
        <w:tc>
          <w:tcPr>
            <w:tcW w:w="60" w:type="dxa"/>
            <w:tcBorders/>
            <w:shd w:fill="FFFFFF" w:val="clear"/>
            <w:vAlign w:val="center"/>
          </w:tcPr>
          <w:p>
            <w:pPr>
              <w:pStyle w:val="TableContents"/>
              <w:bidi w:val="0"/>
              <w:spacing w:before="0" w:after="283"/>
              <w:jc w:val="left"/>
              <w:rPr/>
            </w:pPr>
            <w:r>
              <w:rPr/>
              <w:t> </w:t>
            </w:r>
          </w:p>
        </w:tc>
        <w:tc>
          <w:tcPr>
            <w:tcW w:w="210" w:type="dxa"/>
            <w:tcBorders/>
            <w:shd w:fill="FFFFFF" w:val="clear"/>
            <w:vAlign w:val="center"/>
          </w:tcPr>
          <w:p>
            <w:pPr>
              <w:pStyle w:val="TableContents"/>
              <w:bidi w:val="0"/>
              <w:spacing w:before="0" w:after="283"/>
              <w:jc w:val="left"/>
              <w:rPr/>
            </w:pPr>
            <w:r>
              <w:rPr/>
              <w:t> </w:t>
            </w:r>
          </w:p>
        </w:tc>
        <w:tc>
          <w:tcPr>
            <w:tcW w:w="1134" w:type="dxa"/>
            <w:tcBorders/>
            <w:shd w:fill="FFFFFF" w:val="clear"/>
            <w:vAlign w:val="center"/>
          </w:tcPr>
          <w:p>
            <w:pPr>
              <w:pStyle w:val="TableContents"/>
              <w:bidi w:val="0"/>
              <w:spacing w:before="0" w:after="283"/>
              <w:jc w:val="right"/>
              <w:rPr/>
            </w:pPr>
            <w:r>
              <w:rPr/>
              <w:t> </w:t>
            </w:r>
          </w:p>
        </w:tc>
        <w:tc>
          <w:tcPr>
            <w:tcW w:w="142"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210" w:type="dxa"/>
            <w:tcBorders/>
            <w:shd w:fill="FFFFFF" w:val="clear"/>
            <w:vAlign w:val="center"/>
          </w:tcPr>
          <w:p>
            <w:pPr>
              <w:pStyle w:val="TableContents"/>
              <w:bidi w:val="0"/>
              <w:spacing w:before="0" w:after="283"/>
              <w:jc w:val="left"/>
              <w:rPr/>
            </w:pPr>
            <w:r>
              <w:rPr/>
              <w:t> </w:t>
            </w:r>
          </w:p>
        </w:tc>
        <w:tc>
          <w:tcPr>
            <w:tcW w:w="1021"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3290" w:type="dxa"/>
            <w:tcBorders/>
            <w:shd w:fill="CCEEFF" w:val="clear"/>
            <w:vAlign w:val="center"/>
          </w:tcPr>
          <w:p>
            <w:pPr>
              <w:pStyle w:val="TableContents"/>
              <w:bidi w:val="0"/>
              <w:spacing w:before="0" w:after="283"/>
              <w:jc w:val="left"/>
              <w:rPr/>
            </w:pPr>
            <w:r>
              <w:rPr/>
              <w:t>Sales commissions</w:t>
            </w:r>
          </w:p>
        </w:tc>
        <w:tc>
          <w:tcPr>
            <w:tcW w:w="60" w:type="dxa"/>
            <w:tcBorders/>
            <w:shd w:fill="CCEEFF" w:val="clear"/>
            <w:vAlign w:val="center"/>
          </w:tcPr>
          <w:p>
            <w:pPr>
              <w:pStyle w:val="TableContents"/>
              <w:bidi w:val="0"/>
              <w:spacing w:before="0" w:after="283"/>
              <w:jc w:val="left"/>
              <w:rPr/>
            </w:pPr>
            <w:r>
              <w:rPr/>
              <w:t> </w:t>
            </w:r>
          </w:p>
        </w:tc>
        <w:tc>
          <w:tcPr>
            <w:tcW w:w="210" w:type="dxa"/>
            <w:tcBorders/>
            <w:shd w:fill="CCEEFF" w:val="clear"/>
            <w:vAlign w:val="center"/>
          </w:tcPr>
          <w:p>
            <w:pPr>
              <w:pStyle w:val="TableContents"/>
              <w:bidi w:val="0"/>
              <w:spacing w:before="0" w:after="283"/>
              <w:jc w:val="left"/>
              <w:rPr/>
            </w:pPr>
            <w:r>
              <w:rPr/>
              <w:t> </w:t>
            </w:r>
          </w:p>
        </w:tc>
        <w:tc>
          <w:tcPr>
            <w:tcW w:w="1134" w:type="dxa"/>
            <w:tcBorders/>
            <w:shd w:fill="CCEEFF" w:val="clear"/>
            <w:vAlign w:val="center"/>
          </w:tcPr>
          <w:p>
            <w:pPr>
              <w:pStyle w:val="TableContents"/>
              <w:bidi w:val="0"/>
              <w:spacing w:before="0" w:after="283"/>
              <w:jc w:val="right"/>
              <w:rPr/>
            </w:pPr>
            <w:r>
              <w:rPr/>
              <w:t>37,554</w:t>
            </w:r>
          </w:p>
        </w:tc>
        <w:tc>
          <w:tcPr>
            <w:tcW w:w="142"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10" w:type="dxa"/>
            <w:tcBorders/>
            <w:shd w:fill="CCEEFF" w:val="clear"/>
            <w:vAlign w:val="center"/>
          </w:tcPr>
          <w:p>
            <w:pPr>
              <w:pStyle w:val="TableContents"/>
              <w:bidi w:val="0"/>
              <w:spacing w:before="0" w:after="283"/>
              <w:jc w:val="left"/>
              <w:rPr/>
            </w:pPr>
            <w:r>
              <w:rPr/>
              <w:t> </w:t>
            </w:r>
          </w:p>
        </w:tc>
        <w:tc>
          <w:tcPr>
            <w:tcW w:w="1021" w:type="dxa"/>
            <w:tcBorders/>
            <w:shd w:fill="CCEEFF" w:val="clear"/>
            <w:vAlign w:val="center"/>
          </w:tcPr>
          <w:p>
            <w:pPr>
              <w:pStyle w:val="TableContents"/>
              <w:bidi w:val="0"/>
              <w:spacing w:before="0" w:after="283"/>
              <w:jc w:val="right"/>
              <w:rPr/>
            </w:pPr>
            <w:r>
              <w:rPr/>
              <w:t>46,815</w:t>
            </w:r>
          </w:p>
        </w:tc>
        <w:tc>
          <w:tcPr>
            <w:tcW w:w="110" w:type="dxa"/>
            <w:tcBorders/>
            <w:shd w:fill="CCEEFF" w:val="clear"/>
            <w:vAlign w:val="center"/>
          </w:tcPr>
          <w:p>
            <w:pPr>
              <w:pStyle w:val="TableContents"/>
              <w:bidi w:val="0"/>
              <w:spacing w:before="0" w:after="283"/>
              <w:jc w:val="left"/>
              <w:rPr/>
            </w:pPr>
            <w:r>
              <w:rPr/>
              <w:t> </w:t>
            </w:r>
          </w:p>
        </w:tc>
      </w:tr>
      <w:tr>
        <w:trPr/>
        <w:tc>
          <w:tcPr>
            <w:tcW w:w="3290" w:type="dxa"/>
            <w:tcBorders/>
            <w:shd w:fill="FFFFFF" w:val="clear"/>
            <w:vAlign w:val="center"/>
          </w:tcPr>
          <w:p>
            <w:pPr>
              <w:pStyle w:val="TableContents"/>
              <w:bidi w:val="0"/>
              <w:spacing w:before="0" w:after="283"/>
              <w:jc w:val="left"/>
              <w:rPr/>
            </w:pPr>
            <w:r>
              <w:rPr/>
              <w:t>Sales and marketing</w:t>
            </w:r>
          </w:p>
        </w:tc>
        <w:tc>
          <w:tcPr>
            <w:tcW w:w="60" w:type="dxa"/>
            <w:tcBorders/>
            <w:shd w:fill="FFFFFF" w:val="clear"/>
            <w:vAlign w:val="center"/>
          </w:tcPr>
          <w:p>
            <w:pPr>
              <w:pStyle w:val="TableContents"/>
              <w:bidi w:val="0"/>
              <w:spacing w:before="0" w:after="283"/>
              <w:jc w:val="left"/>
              <w:rPr/>
            </w:pPr>
            <w:r>
              <w:rPr/>
              <w:t> </w:t>
            </w:r>
          </w:p>
        </w:tc>
        <w:tc>
          <w:tcPr>
            <w:tcW w:w="210" w:type="dxa"/>
            <w:tcBorders/>
            <w:shd w:fill="FFFFFF" w:val="clear"/>
            <w:vAlign w:val="center"/>
          </w:tcPr>
          <w:p>
            <w:pPr>
              <w:pStyle w:val="TableContents"/>
              <w:bidi w:val="0"/>
              <w:spacing w:before="0" w:after="283"/>
              <w:jc w:val="left"/>
              <w:rPr/>
            </w:pPr>
            <w:r>
              <w:rPr/>
              <w:t> </w:t>
            </w:r>
          </w:p>
        </w:tc>
        <w:tc>
          <w:tcPr>
            <w:tcW w:w="1134" w:type="dxa"/>
            <w:tcBorders/>
            <w:shd w:fill="FFFFFF" w:val="clear"/>
            <w:vAlign w:val="center"/>
          </w:tcPr>
          <w:p>
            <w:pPr>
              <w:pStyle w:val="TableContents"/>
              <w:bidi w:val="0"/>
              <w:spacing w:before="0" w:after="283"/>
              <w:jc w:val="right"/>
              <w:rPr/>
            </w:pPr>
            <w:r>
              <w:rPr/>
              <w:t>1,170</w:t>
            </w:r>
          </w:p>
        </w:tc>
        <w:tc>
          <w:tcPr>
            <w:tcW w:w="142"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210" w:type="dxa"/>
            <w:tcBorders/>
            <w:shd w:fill="FFFFFF" w:val="clear"/>
            <w:vAlign w:val="center"/>
          </w:tcPr>
          <w:p>
            <w:pPr>
              <w:pStyle w:val="TableContents"/>
              <w:bidi w:val="0"/>
              <w:spacing w:before="0" w:after="283"/>
              <w:jc w:val="left"/>
              <w:rPr/>
            </w:pPr>
            <w:r>
              <w:rPr/>
              <w:t> </w:t>
            </w:r>
          </w:p>
        </w:tc>
        <w:tc>
          <w:tcPr>
            <w:tcW w:w="1021" w:type="dxa"/>
            <w:tcBorders/>
            <w:shd w:fill="FFFFFF" w:val="clear"/>
            <w:vAlign w:val="center"/>
          </w:tcPr>
          <w:p>
            <w:pPr>
              <w:pStyle w:val="TableContents"/>
              <w:bidi w:val="0"/>
              <w:spacing w:before="0" w:after="283"/>
              <w:jc w:val="right"/>
              <w:rPr/>
            </w:pPr>
            <w:r>
              <w:rPr/>
              <w:t>989</w:t>
            </w:r>
          </w:p>
        </w:tc>
        <w:tc>
          <w:tcPr>
            <w:tcW w:w="110" w:type="dxa"/>
            <w:tcBorders/>
            <w:shd w:fill="FFFFFF" w:val="clear"/>
            <w:vAlign w:val="center"/>
          </w:tcPr>
          <w:p>
            <w:pPr>
              <w:pStyle w:val="TableContents"/>
              <w:bidi w:val="0"/>
              <w:spacing w:before="0" w:after="283"/>
              <w:jc w:val="left"/>
              <w:rPr/>
            </w:pPr>
            <w:r>
              <w:rPr/>
              <w:t> </w:t>
            </w:r>
          </w:p>
        </w:tc>
      </w:tr>
      <w:tr>
        <w:trPr/>
        <w:tc>
          <w:tcPr>
            <w:tcW w:w="3290" w:type="dxa"/>
            <w:tcBorders/>
            <w:shd w:fill="CCEEFF" w:val="clear"/>
            <w:vAlign w:val="center"/>
          </w:tcPr>
          <w:p>
            <w:pPr>
              <w:pStyle w:val="TableContents"/>
              <w:bidi w:val="0"/>
              <w:spacing w:before="0" w:after="283"/>
              <w:jc w:val="left"/>
              <w:rPr/>
            </w:pPr>
            <w:r>
              <w:rPr/>
              <w:t>General and administrative</w:t>
            </w:r>
          </w:p>
        </w:tc>
        <w:tc>
          <w:tcPr>
            <w:tcW w:w="60" w:type="dxa"/>
            <w:tcBorders/>
            <w:shd w:fill="CCEEFF" w:val="clear"/>
            <w:vAlign w:val="center"/>
          </w:tcPr>
          <w:p>
            <w:pPr>
              <w:pStyle w:val="TableContents"/>
              <w:bidi w:val="0"/>
              <w:spacing w:before="0" w:after="283"/>
              <w:jc w:val="left"/>
              <w:rPr/>
            </w:pPr>
            <w:r>
              <w:rPr/>
              <w:t> </w:t>
            </w:r>
          </w:p>
        </w:tc>
        <w:tc>
          <w:tcPr>
            <w:tcW w:w="21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34" w:type="dxa"/>
            <w:tcBorders>
              <w:bottom w:val="single" w:sz="12" w:space="0" w:color="000000"/>
            </w:tcBorders>
            <w:shd w:fill="CCEEFF" w:val="clear"/>
            <w:tcMar>
              <w:bottom w:w="28" w:type="dxa"/>
            </w:tcMar>
            <w:vAlign w:val="center"/>
          </w:tcPr>
          <w:p>
            <w:pPr>
              <w:pStyle w:val="TableContents"/>
              <w:bidi w:val="0"/>
              <w:spacing w:before="0" w:after="283"/>
              <w:jc w:val="right"/>
              <w:rPr/>
            </w:pPr>
            <w:r>
              <w:rPr/>
              <w:t>16,146</w:t>
            </w:r>
          </w:p>
        </w:tc>
        <w:tc>
          <w:tcPr>
            <w:tcW w:w="142"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1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21" w:type="dxa"/>
            <w:tcBorders>
              <w:bottom w:val="single" w:sz="12" w:space="0" w:color="000000"/>
            </w:tcBorders>
            <w:shd w:fill="CCEEFF" w:val="clear"/>
            <w:tcMar>
              <w:bottom w:w="28" w:type="dxa"/>
            </w:tcMar>
            <w:vAlign w:val="center"/>
          </w:tcPr>
          <w:p>
            <w:pPr>
              <w:pStyle w:val="TableContents"/>
              <w:bidi w:val="0"/>
              <w:spacing w:before="0" w:after="283"/>
              <w:jc w:val="right"/>
              <w:rPr/>
            </w:pPr>
            <w:r>
              <w:rPr/>
              <w:t>15,851</w:t>
            </w:r>
          </w:p>
        </w:tc>
        <w:tc>
          <w:tcPr>
            <w:tcW w:w="110" w:type="dxa"/>
            <w:tcBorders/>
            <w:shd w:fill="CCEEFF" w:val="clear"/>
            <w:vAlign w:val="center"/>
          </w:tcPr>
          <w:p>
            <w:pPr>
              <w:pStyle w:val="TableContents"/>
              <w:bidi w:val="0"/>
              <w:spacing w:before="0" w:after="283"/>
              <w:jc w:val="left"/>
              <w:rPr/>
            </w:pPr>
            <w:r>
              <w:rPr/>
              <w:t> </w:t>
            </w:r>
          </w:p>
        </w:tc>
      </w:tr>
      <w:tr>
        <w:trPr/>
        <w:tc>
          <w:tcPr>
            <w:tcW w:w="3290" w:type="dxa"/>
            <w:tcBorders/>
            <w:shd w:fill="FFFFFF" w:val="clear"/>
            <w:vAlign w:val="center"/>
          </w:tcPr>
          <w:p>
            <w:pPr>
              <w:pStyle w:val="TableContents"/>
              <w:bidi w:val="0"/>
              <w:spacing w:before="0" w:after="283"/>
              <w:jc w:val="left"/>
              <w:rPr/>
            </w:pPr>
            <w:r>
              <w:rPr/>
              <w:t>Total operating expenses</w:t>
            </w:r>
          </w:p>
        </w:tc>
        <w:tc>
          <w:tcPr>
            <w:tcW w:w="60" w:type="dxa"/>
            <w:tcBorders/>
            <w:shd w:fill="FFFFFF" w:val="clear"/>
            <w:vAlign w:val="center"/>
          </w:tcPr>
          <w:p>
            <w:pPr>
              <w:pStyle w:val="TableContents"/>
              <w:bidi w:val="0"/>
              <w:spacing w:before="0" w:after="283"/>
              <w:jc w:val="left"/>
              <w:rPr/>
            </w:pPr>
            <w:r>
              <w:rPr/>
              <w:t> </w:t>
            </w:r>
          </w:p>
        </w:tc>
        <w:tc>
          <w:tcPr>
            <w:tcW w:w="21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34" w:type="dxa"/>
            <w:tcBorders>
              <w:bottom w:val="single" w:sz="12" w:space="0" w:color="000000"/>
            </w:tcBorders>
            <w:shd w:fill="FFFFFF" w:val="clear"/>
            <w:tcMar>
              <w:bottom w:w="28" w:type="dxa"/>
            </w:tcMar>
            <w:vAlign w:val="center"/>
          </w:tcPr>
          <w:p>
            <w:pPr>
              <w:pStyle w:val="TableContents"/>
              <w:bidi w:val="0"/>
              <w:spacing w:before="0" w:after="283"/>
              <w:jc w:val="right"/>
              <w:rPr/>
            </w:pPr>
            <w:r>
              <w:rPr/>
              <w:t>54,870</w:t>
            </w:r>
          </w:p>
        </w:tc>
        <w:tc>
          <w:tcPr>
            <w:tcW w:w="142"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21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021" w:type="dxa"/>
            <w:tcBorders>
              <w:bottom w:val="single" w:sz="12" w:space="0" w:color="000000"/>
            </w:tcBorders>
            <w:shd w:fill="FFFFFF" w:val="clear"/>
            <w:tcMar>
              <w:bottom w:w="28" w:type="dxa"/>
            </w:tcMar>
            <w:vAlign w:val="center"/>
          </w:tcPr>
          <w:p>
            <w:pPr>
              <w:pStyle w:val="TableContents"/>
              <w:bidi w:val="0"/>
              <w:spacing w:before="0" w:after="283"/>
              <w:jc w:val="right"/>
              <w:rPr/>
            </w:pPr>
            <w:r>
              <w:rPr/>
              <w:t>63,655</w:t>
            </w:r>
          </w:p>
        </w:tc>
        <w:tc>
          <w:tcPr>
            <w:tcW w:w="110" w:type="dxa"/>
            <w:tcBorders/>
            <w:shd w:fill="FFFFFF" w:val="clear"/>
            <w:vAlign w:val="center"/>
          </w:tcPr>
          <w:p>
            <w:pPr>
              <w:pStyle w:val="TableContents"/>
              <w:bidi w:val="0"/>
              <w:spacing w:before="0" w:after="283"/>
              <w:jc w:val="left"/>
              <w:rPr/>
            </w:pPr>
            <w:r>
              <w:rPr/>
              <w:t> </w:t>
            </w:r>
          </w:p>
        </w:tc>
      </w:tr>
      <w:tr>
        <w:trPr/>
        <w:tc>
          <w:tcPr>
            <w:tcW w:w="3290" w:type="dxa"/>
            <w:tcBorders/>
            <w:shd w:fill="CCEEFF" w:val="clear"/>
            <w:vAlign w:val="center"/>
          </w:tcPr>
          <w:p>
            <w:pPr>
              <w:pStyle w:val="TableContents"/>
              <w:bidi w:val="0"/>
              <w:spacing w:before="0" w:after="283"/>
              <w:jc w:val="left"/>
              <w:rPr/>
            </w:pPr>
            <w:r>
              <w:rPr/>
              <w:t>Loss from continuing operations</w:t>
            </w:r>
          </w:p>
        </w:tc>
        <w:tc>
          <w:tcPr>
            <w:tcW w:w="60" w:type="dxa"/>
            <w:tcBorders/>
            <w:shd w:fill="CCEEFF" w:val="clear"/>
            <w:vAlign w:val="center"/>
          </w:tcPr>
          <w:p>
            <w:pPr>
              <w:pStyle w:val="TableContents"/>
              <w:bidi w:val="0"/>
              <w:spacing w:before="0" w:after="283"/>
              <w:jc w:val="left"/>
              <w:rPr/>
            </w:pPr>
            <w:r>
              <w:rPr/>
              <w:t> </w:t>
            </w:r>
          </w:p>
        </w:tc>
        <w:tc>
          <w:tcPr>
            <w:tcW w:w="21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34" w:type="dxa"/>
            <w:tcBorders>
              <w:bottom w:val="single" w:sz="12" w:space="0" w:color="000000"/>
            </w:tcBorders>
            <w:shd w:fill="CCEEFF" w:val="clear"/>
            <w:tcMar>
              <w:bottom w:w="28" w:type="dxa"/>
            </w:tcMar>
            <w:vAlign w:val="center"/>
          </w:tcPr>
          <w:p>
            <w:pPr>
              <w:pStyle w:val="TableContents"/>
              <w:bidi w:val="0"/>
              <w:spacing w:before="0" w:after="283"/>
              <w:jc w:val="right"/>
              <w:rPr/>
            </w:pPr>
            <w:r>
              <w:rPr/>
              <w:t>(10,577</w:t>
            </w:r>
          </w:p>
        </w:tc>
        <w:tc>
          <w:tcPr>
            <w:tcW w:w="142"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21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21" w:type="dxa"/>
            <w:tcBorders>
              <w:bottom w:val="single" w:sz="12" w:space="0" w:color="000000"/>
            </w:tcBorders>
            <w:shd w:fill="CCEEFF" w:val="clear"/>
            <w:tcMar>
              <w:bottom w:w="28" w:type="dxa"/>
            </w:tcMar>
            <w:vAlign w:val="center"/>
          </w:tcPr>
          <w:p>
            <w:pPr>
              <w:pStyle w:val="TableContents"/>
              <w:bidi w:val="0"/>
              <w:spacing w:before="0" w:after="283"/>
              <w:jc w:val="right"/>
              <w:rPr/>
            </w:pPr>
            <w:r>
              <w:rPr/>
              <w:t>(6,727</w:t>
            </w:r>
          </w:p>
        </w:tc>
        <w:tc>
          <w:tcPr>
            <w:tcW w:w="110" w:type="dxa"/>
            <w:tcBorders/>
            <w:shd w:fill="CCEEFF" w:val="clear"/>
            <w:vAlign w:val="center"/>
          </w:tcPr>
          <w:p>
            <w:pPr>
              <w:pStyle w:val="TableContents"/>
              <w:bidi w:val="0"/>
              <w:spacing w:before="0" w:after="283"/>
              <w:jc w:val="left"/>
              <w:rPr/>
            </w:pPr>
            <w:r>
              <w:rPr/>
              <w:t>)</w:t>
            </w:r>
          </w:p>
        </w:tc>
      </w:tr>
      <w:tr>
        <w:trPr/>
        <w:tc>
          <w:tcPr>
            <w:tcW w:w="3290" w:type="dxa"/>
            <w:tcBorders/>
            <w:shd w:fill="FFFFFF" w:val="clear"/>
            <w:vAlign w:val="center"/>
          </w:tcPr>
          <w:p>
            <w:pPr>
              <w:pStyle w:val="TableContents"/>
              <w:bidi w:val="0"/>
              <w:spacing w:before="0" w:after="283"/>
              <w:jc w:val="left"/>
              <w:rPr/>
            </w:pPr>
            <w:r>
              <w:rPr/>
              <w:t>Interest expense</w:t>
            </w:r>
          </w:p>
        </w:tc>
        <w:tc>
          <w:tcPr>
            <w:tcW w:w="60" w:type="dxa"/>
            <w:tcBorders/>
            <w:shd w:fill="FFFFFF" w:val="clear"/>
            <w:vAlign w:val="center"/>
          </w:tcPr>
          <w:p>
            <w:pPr>
              <w:pStyle w:val="TableContents"/>
              <w:bidi w:val="0"/>
              <w:spacing w:before="0" w:after="283"/>
              <w:jc w:val="left"/>
              <w:rPr/>
            </w:pPr>
            <w:r>
              <w:rPr/>
              <w:t> </w:t>
            </w:r>
          </w:p>
        </w:tc>
        <w:tc>
          <w:tcPr>
            <w:tcW w:w="210" w:type="dxa"/>
            <w:tcBorders/>
            <w:shd w:fill="FFFFFF" w:val="clear"/>
            <w:vAlign w:val="center"/>
          </w:tcPr>
          <w:p>
            <w:pPr>
              <w:pStyle w:val="TableContents"/>
              <w:bidi w:val="0"/>
              <w:spacing w:before="0" w:after="283"/>
              <w:jc w:val="left"/>
              <w:rPr/>
            </w:pPr>
            <w:r>
              <w:rPr/>
              <w:t> </w:t>
            </w:r>
          </w:p>
        </w:tc>
        <w:tc>
          <w:tcPr>
            <w:tcW w:w="1134" w:type="dxa"/>
            <w:tcBorders/>
            <w:shd w:fill="FFFFFF" w:val="clear"/>
            <w:vAlign w:val="center"/>
          </w:tcPr>
          <w:p>
            <w:pPr>
              <w:pStyle w:val="TableContents"/>
              <w:bidi w:val="0"/>
              <w:spacing w:before="0" w:after="283"/>
              <w:jc w:val="right"/>
              <w:rPr/>
            </w:pPr>
            <w:r>
              <w:rPr/>
              <w:t>(180</w:t>
            </w:r>
          </w:p>
        </w:tc>
        <w:tc>
          <w:tcPr>
            <w:tcW w:w="142" w:type="dxa"/>
            <w:tcBorders/>
            <w:shd w:fill="FFFFFF" w:val="clear"/>
            <w:vAlign w:val="center"/>
          </w:tcPr>
          <w:p>
            <w:pPr>
              <w:pStyle w:val="TableContents"/>
              <w:bidi w:val="0"/>
              <w:spacing w:before="0" w:after="283"/>
              <w:jc w:val="left"/>
              <w:rPr/>
            </w:pPr>
            <w:r>
              <w:rPr/>
              <w:t>)</w:t>
            </w:r>
          </w:p>
        </w:tc>
        <w:tc>
          <w:tcPr>
            <w:tcW w:w="90" w:type="dxa"/>
            <w:tcBorders/>
            <w:shd w:fill="FFFFFF" w:val="clear"/>
            <w:vAlign w:val="center"/>
          </w:tcPr>
          <w:p>
            <w:pPr>
              <w:pStyle w:val="TableContents"/>
              <w:bidi w:val="0"/>
              <w:spacing w:before="0" w:after="283"/>
              <w:jc w:val="left"/>
              <w:rPr/>
            </w:pPr>
            <w:r>
              <w:rPr/>
              <w:t> </w:t>
            </w:r>
          </w:p>
        </w:tc>
        <w:tc>
          <w:tcPr>
            <w:tcW w:w="210" w:type="dxa"/>
            <w:tcBorders/>
            <w:shd w:fill="FFFFFF" w:val="clear"/>
            <w:vAlign w:val="center"/>
          </w:tcPr>
          <w:p>
            <w:pPr>
              <w:pStyle w:val="TableContents"/>
              <w:bidi w:val="0"/>
              <w:spacing w:before="0" w:after="283"/>
              <w:jc w:val="left"/>
              <w:rPr/>
            </w:pPr>
            <w:r>
              <w:rPr/>
              <w:t> </w:t>
            </w:r>
          </w:p>
        </w:tc>
        <w:tc>
          <w:tcPr>
            <w:tcW w:w="1021" w:type="dxa"/>
            <w:tcBorders/>
            <w:shd w:fill="FFFFFF" w:val="clear"/>
            <w:vAlign w:val="center"/>
          </w:tcPr>
          <w:p>
            <w:pPr>
              <w:pStyle w:val="TableContents"/>
              <w:bidi w:val="0"/>
              <w:spacing w:before="0" w:after="283"/>
              <w:jc w:val="right"/>
              <w:rPr/>
            </w:pPr>
            <w:r>
              <w:rPr/>
              <w:t>(18</w:t>
            </w:r>
          </w:p>
        </w:tc>
        <w:tc>
          <w:tcPr>
            <w:tcW w:w="110" w:type="dxa"/>
            <w:tcBorders/>
            <w:shd w:fill="FFFFFF" w:val="clear"/>
            <w:vAlign w:val="center"/>
          </w:tcPr>
          <w:p>
            <w:pPr>
              <w:pStyle w:val="TableContents"/>
              <w:bidi w:val="0"/>
              <w:spacing w:before="0" w:after="283"/>
              <w:jc w:val="left"/>
              <w:rPr/>
            </w:pPr>
            <w:r>
              <w:rPr/>
              <w:t>)</w:t>
            </w:r>
          </w:p>
        </w:tc>
      </w:tr>
      <w:tr>
        <w:trPr/>
        <w:tc>
          <w:tcPr>
            <w:tcW w:w="3290" w:type="dxa"/>
            <w:tcBorders/>
            <w:shd w:fill="CCEEFF" w:val="clear"/>
            <w:vAlign w:val="center"/>
          </w:tcPr>
          <w:p>
            <w:pPr>
              <w:pStyle w:val="TableContents"/>
              <w:bidi w:val="0"/>
              <w:spacing w:before="0" w:after="283"/>
              <w:jc w:val="left"/>
              <w:rPr/>
            </w:pPr>
            <w:r>
              <w:rPr/>
              <w:t>Interest income</w:t>
            </w:r>
          </w:p>
        </w:tc>
        <w:tc>
          <w:tcPr>
            <w:tcW w:w="60" w:type="dxa"/>
            <w:tcBorders/>
            <w:shd w:fill="CCEEFF" w:val="clear"/>
            <w:vAlign w:val="center"/>
          </w:tcPr>
          <w:p>
            <w:pPr>
              <w:pStyle w:val="TableContents"/>
              <w:bidi w:val="0"/>
              <w:spacing w:before="0" w:after="283"/>
              <w:jc w:val="left"/>
              <w:rPr/>
            </w:pPr>
            <w:r>
              <w:rPr/>
              <w:t> </w:t>
            </w:r>
          </w:p>
        </w:tc>
        <w:tc>
          <w:tcPr>
            <w:tcW w:w="210" w:type="dxa"/>
            <w:tcBorders/>
            <w:shd w:fill="CCEEFF" w:val="clear"/>
            <w:vAlign w:val="center"/>
          </w:tcPr>
          <w:p>
            <w:pPr>
              <w:pStyle w:val="TableContents"/>
              <w:bidi w:val="0"/>
              <w:spacing w:before="0" w:after="283"/>
              <w:jc w:val="left"/>
              <w:rPr/>
            </w:pPr>
            <w:r>
              <w:rPr/>
              <w:t> </w:t>
            </w:r>
          </w:p>
        </w:tc>
        <w:tc>
          <w:tcPr>
            <w:tcW w:w="1134" w:type="dxa"/>
            <w:tcBorders/>
            <w:shd w:fill="CCEEFF" w:val="clear"/>
            <w:vAlign w:val="center"/>
          </w:tcPr>
          <w:p>
            <w:pPr>
              <w:pStyle w:val="TableContents"/>
              <w:bidi w:val="0"/>
              <w:spacing w:before="0" w:after="283"/>
              <w:jc w:val="right"/>
              <w:rPr/>
            </w:pPr>
            <w:r>
              <w:rPr/>
              <w:t>18</w:t>
            </w:r>
          </w:p>
        </w:tc>
        <w:tc>
          <w:tcPr>
            <w:tcW w:w="142"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10" w:type="dxa"/>
            <w:tcBorders/>
            <w:shd w:fill="CCEEFF" w:val="clear"/>
            <w:vAlign w:val="center"/>
          </w:tcPr>
          <w:p>
            <w:pPr>
              <w:pStyle w:val="TableContents"/>
              <w:bidi w:val="0"/>
              <w:spacing w:before="0" w:after="283"/>
              <w:jc w:val="left"/>
              <w:rPr/>
            </w:pPr>
            <w:r>
              <w:rPr/>
              <w:t> </w:t>
            </w:r>
          </w:p>
        </w:tc>
        <w:tc>
          <w:tcPr>
            <w:tcW w:w="1021" w:type="dxa"/>
            <w:tcBorders/>
            <w:shd w:fill="CCEEFF" w:val="clear"/>
            <w:vAlign w:val="center"/>
          </w:tcPr>
          <w:p>
            <w:pPr>
              <w:pStyle w:val="TableContents"/>
              <w:bidi w:val="0"/>
              <w:spacing w:before="0" w:after="283"/>
              <w:jc w:val="right"/>
              <w:rPr/>
            </w:pPr>
            <w:r>
              <w:rPr/>
              <w:t>1</w:t>
            </w:r>
          </w:p>
        </w:tc>
        <w:tc>
          <w:tcPr>
            <w:tcW w:w="110" w:type="dxa"/>
            <w:tcBorders/>
            <w:shd w:fill="CCEEFF" w:val="clear"/>
            <w:vAlign w:val="center"/>
          </w:tcPr>
          <w:p>
            <w:pPr>
              <w:pStyle w:val="TableContents"/>
              <w:bidi w:val="0"/>
              <w:spacing w:before="0" w:after="283"/>
              <w:jc w:val="left"/>
              <w:rPr/>
            </w:pPr>
            <w:r>
              <w:rPr/>
              <w:t> </w:t>
            </w:r>
          </w:p>
        </w:tc>
      </w:tr>
      <w:tr>
        <w:trPr/>
        <w:tc>
          <w:tcPr>
            <w:tcW w:w="3290" w:type="dxa"/>
            <w:tcBorders/>
            <w:shd w:fill="FFFFFF" w:val="clear"/>
            <w:vAlign w:val="center"/>
          </w:tcPr>
          <w:p>
            <w:pPr>
              <w:pStyle w:val="TableContents"/>
              <w:bidi w:val="0"/>
              <w:spacing w:before="0" w:after="283"/>
              <w:jc w:val="left"/>
              <w:rPr/>
            </w:pPr>
            <w:r>
              <w:rPr/>
              <w:t>Other income, net</w:t>
            </w:r>
          </w:p>
        </w:tc>
        <w:tc>
          <w:tcPr>
            <w:tcW w:w="60" w:type="dxa"/>
            <w:tcBorders/>
            <w:shd w:fill="FFFFFF" w:val="clear"/>
            <w:vAlign w:val="center"/>
          </w:tcPr>
          <w:p>
            <w:pPr>
              <w:pStyle w:val="TableContents"/>
              <w:bidi w:val="0"/>
              <w:spacing w:before="0" w:after="283"/>
              <w:jc w:val="left"/>
              <w:rPr/>
            </w:pPr>
            <w:r>
              <w:rPr/>
              <w:t> </w:t>
            </w:r>
          </w:p>
        </w:tc>
        <w:tc>
          <w:tcPr>
            <w:tcW w:w="21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34" w:type="dxa"/>
            <w:tcBorders>
              <w:bottom w:val="single" w:sz="12" w:space="0" w:color="000000"/>
            </w:tcBorders>
            <w:shd w:fill="FFFFFF" w:val="clear"/>
            <w:tcMar>
              <w:bottom w:w="28" w:type="dxa"/>
            </w:tcMar>
            <w:vAlign w:val="center"/>
          </w:tcPr>
          <w:p>
            <w:pPr>
              <w:pStyle w:val="TableContents"/>
              <w:bidi w:val="0"/>
              <w:spacing w:before="0" w:after="283"/>
              <w:jc w:val="right"/>
              <w:rPr/>
            </w:pPr>
            <w:r>
              <w:rPr/>
              <w:t>4,525</w:t>
            </w:r>
          </w:p>
        </w:tc>
        <w:tc>
          <w:tcPr>
            <w:tcW w:w="142"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21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021" w:type="dxa"/>
            <w:tcBorders>
              <w:bottom w:val="single" w:sz="12" w:space="0" w:color="000000"/>
            </w:tcBorders>
            <w:shd w:fill="FFFFFF" w:val="clear"/>
            <w:tcMar>
              <w:bottom w:w="28" w:type="dxa"/>
            </w:tcMar>
            <w:vAlign w:val="center"/>
          </w:tcPr>
          <w:p>
            <w:pPr>
              <w:pStyle w:val="TableContents"/>
              <w:bidi w:val="0"/>
              <w:spacing w:before="0" w:after="283"/>
              <w:jc w:val="right"/>
              <w:rPr/>
            </w:pPr>
            <w:r>
              <w:rPr/>
              <w:t>1</w:t>
            </w:r>
          </w:p>
        </w:tc>
        <w:tc>
          <w:tcPr>
            <w:tcW w:w="110" w:type="dxa"/>
            <w:tcBorders/>
            <w:shd w:fill="FFFFFF" w:val="clear"/>
            <w:vAlign w:val="center"/>
          </w:tcPr>
          <w:p>
            <w:pPr>
              <w:pStyle w:val="TableContents"/>
              <w:bidi w:val="0"/>
              <w:spacing w:before="0" w:after="283"/>
              <w:jc w:val="left"/>
              <w:rPr/>
            </w:pPr>
            <w:r>
              <w:rPr/>
              <w:t> </w:t>
            </w:r>
          </w:p>
        </w:tc>
      </w:tr>
      <w:tr>
        <w:trPr/>
        <w:tc>
          <w:tcPr>
            <w:tcW w:w="3290" w:type="dxa"/>
            <w:tcBorders/>
            <w:shd w:fill="CCEEFF" w:val="clear"/>
            <w:vAlign w:val="center"/>
          </w:tcPr>
          <w:p>
            <w:pPr>
              <w:pStyle w:val="TableContents"/>
              <w:bidi w:val="0"/>
              <w:spacing w:before="0" w:after="283"/>
              <w:jc w:val="left"/>
              <w:rPr/>
            </w:pPr>
            <w:r>
              <w:rPr/>
              <w:t>Total other income (expense), net</w:t>
            </w:r>
          </w:p>
        </w:tc>
        <w:tc>
          <w:tcPr>
            <w:tcW w:w="60" w:type="dxa"/>
            <w:tcBorders/>
            <w:shd w:fill="CCEEFF" w:val="clear"/>
            <w:vAlign w:val="center"/>
          </w:tcPr>
          <w:p>
            <w:pPr>
              <w:pStyle w:val="TableContents"/>
              <w:bidi w:val="0"/>
              <w:spacing w:before="0" w:after="283"/>
              <w:jc w:val="left"/>
              <w:rPr/>
            </w:pPr>
            <w:r>
              <w:rPr/>
              <w:t> </w:t>
            </w:r>
          </w:p>
        </w:tc>
        <w:tc>
          <w:tcPr>
            <w:tcW w:w="21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34" w:type="dxa"/>
            <w:tcBorders>
              <w:bottom w:val="single" w:sz="12" w:space="0" w:color="000000"/>
            </w:tcBorders>
            <w:shd w:fill="CCEEFF" w:val="clear"/>
            <w:tcMar>
              <w:bottom w:w="28" w:type="dxa"/>
            </w:tcMar>
            <w:vAlign w:val="center"/>
          </w:tcPr>
          <w:p>
            <w:pPr>
              <w:pStyle w:val="TableContents"/>
              <w:bidi w:val="0"/>
              <w:spacing w:before="0" w:after="283"/>
              <w:jc w:val="right"/>
              <w:rPr/>
            </w:pPr>
            <w:r>
              <w:rPr/>
              <w:t>4,363</w:t>
            </w:r>
          </w:p>
        </w:tc>
        <w:tc>
          <w:tcPr>
            <w:tcW w:w="142"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1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21" w:type="dxa"/>
            <w:tcBorders>
              <w:bottom w:val="single" w:sz="12" w:space="0" w:color="000000"/>
            </w:tcBorders>
            <w:shd w:fill="CCEEFF" w:val="clear"/>
            <w:tcMar>
              <w:bottom w:w="28" w:type="dxa"/>
            </w:tcMar>
            <w:vAlign w:val="center"/>
          </w:tcPr>
          <w:p>
            <w:pPr>
              <w:pStyle w:val="TableContents"/>
              <w:bidi w:val="0"/>
              <w:spacing w:before="0" w:after="283"/>
              <w:jc w:val="right"/>
              <w:rPr/>
            </w:pPr>
            <w:r>
              <w:rPr/>
              <w:t>(16</w:t>
            </w:r>
          </w:p>
        </w:tc>
        <w:tc>
          <w:tcPr>
            <w:tcW w:w="110" w:type="dxa"/>
            <w:tcBorders/>
            <w:shd w:fill="CCEEFF" w:val="clear"/>
            <w:vAlign w:val="center"/>
          </w:tcPr>
          <w:p>
            <w:pPr>
              <w:pStyle w:val="TableContents"/>
              <w:bidi w:val="0"/>
              <w:spacing w:before="0" w:after="283"/>
              <w:jc w:val="left"/>
              <w:rPr/>
            </w:pPr>
            <w:r>
              <w:rPr/>
              <w:t>)</w:t>
            </w:r>
          </w:p>
        </w:tc>
      </w:tr>
      <w:tr>
        <w:trPr/>
        <w:tc>
          <w:tcPr>
            <w:tcW w:w="3290" w:type="dxa"/>
            <w:tcBorders/>
            <w:shd w:fill="FFFFFF" w:val="clear"/>
            <w:vAlign w:val="center"/>
          </w:tcPr>
          <w:p>
            <w:pPr>
              <w:pStyle w:val="TableContents"/>
              <w:bidi w:val="0"/>
              <w:spacing w:before="0" w:after="283"/>
              <w:jc w:val="left"/>
              <w:rPr/>
            </w:pPr>
            <w:r>
              <w:rPr/>
              <w:t>Loss from continuing operations</w:t>
            </w:r>
          </w:p>
        </w:tc>
        <w:tc>
          <w:tcPr>
            <w:tcW w:w="60" w:type="dxa"/>
            <w:tcBorders/>
            <w:shd w:fill="FFFFFF" w:val="clear"/>
            <w:vAlign w:val="center"/>
          </w:tcPr>
          <w:p>
            <w:pPr>
              <w:pStyle w:val="TableContents"/>
              <w:bidi w:val="0"/>
              <w:spacing w:before="0" w:after="283"/>
              <w:jc w:val="left"/>
              <w:rPr/>
            </w:pPr>
            <w:r>
              <w:rPr/>
              <w:t> </w:t>
            </w:r>
          </w:p>
        </w:tc>
        <w:tc>
          <w:tcPr>
            <w:tcW w:w="21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34" w:type="dxa"/>
            <w:tcBorders>
              <w:bottom w:val="single" w:sz="12" w:space="0" w:color="000000"/>
            </w:tcBorders>
            <w:shd w:fill="FFFFFF" w:val="clear"/>
            <w:tcMar>
              <w:bottom w:w="28" w:type="dxa"/>
            </w:tcMar>
            <w:vAlign w:val="center"/>
          </w:tcPr>
          <w:p>
            <w:pPr>
              <w:pStyle w:val="TableContents"/>
              <w:bidi w:val="0"/>
              <w:spacing w:before="0" w:after="283"/>
              <w:jc w:val="right"/>
              <w:rPr/>
            </w:pPr>
            <w:r>
              <w:rPr/>
              <w:t>(6,214</w:t>
            </w:r>
          </w:p>
        </w:tc>
        <w:tc>
          <w:tcPr>
            <w:tcW w:w="142" w:type="dxa"/>
            <w:tcBorders/>
            <w:shd w:fill="FFFFFF" w:val="clear"/>
            <w:vAlign w:val="center"/>
          </w:tcPr>
          <w:p>
            <w:pPr>
              <w:pStyle w:val="TableContents"/>
              <w:bidi w:val="0"/>
              <w:spacing w:before="0" w:after="283"/>
              <w:jc w:val="left"/>
              <w:rPr/>
            </w:pPr>
            <w:r>
              <w:rPr/>
              <w:t>)</w:t>
            </w:r>
          </w:p>
        </w:tc>
        <w:tc>
          <w:tcPr>
            <w:tcW w:w="90" w:type="dxa"/>
            <w:tcBorders/>
            <w:shd w:fill="FFFFFF" w:val="clear"/>
            <w:vAlign w:val="center"/>
          </w:tcPr>
          <w:p>
            <w:pPr>
              <w:pStyle w:val="TableContents"/>
              <w:bidi w:val="0"/>
              <w:spacing w:before="0" w:after="283"/>
              <w:jc w:val="left"/>
              <w:rPr/>
            </w:pPr>
            <w:r>
              <w:rPr/>
              <w:t> </w:t>
            </w:r>
          </w:p>
        </w:tc>
        <w:tc>
          <w:tcPr>
            <w:tcW w:w="21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021" w:type="dxa"/>
            <w:tcBorders>
              <w:bottom w:val="single" w:sz="12" w:space="0" w:color="000000"/>
            </w:tcBorders>
            <w:shd w:fill="FFFFFF" w:val="clear"/>
            <w:tcMar>
              <w:bottom w:w="28" w:type="dxa"/>
            </w:tcMar>
            <w:vAlign w:val="center"/>
          </w:tcPr>
          <w:p>
            <w:pPr>
              <w:pStyle w:val="TableContents"/>
              <w:bidi w:val="0"/>
              <w:spacing w:before="0" w:after="283"/>
              <w:jc w:val="right"/>
              <w:rPr/>
            </w:pPr>
            <w:r>
              <w:rPr/>
              <w:t>(6,743</w:t>
            </w:r>
          </w:p>
        </w:tc>
        <w:tc>
          <w:tcPr>
            <w:tcW w:w="110" w:type="dxa"/>
            <w:tcBorders/>
            <w:shd w:fill="FFFFFF" w:val="clear"/>
            <w:vAlign w:val="center"/>
          </w:tcPr>
          <w:p>
            <w:pPr>
              <w:pStyle w:val="TableContents"/>
              <w:bidi w:val="0"/>
              <w:spacing w:before="0" w:after="283"/>
              <w:jc w:val="left"/>
              <w:rPr/>
            </w:pPr>
            <w:r>
              <w:rPr/>
              <w:t>)</w:t>
            </w:r>
          </w:p>
        </w:tc>
      </w:tr>
      <w:tr>
        <w:trPr/>
        <w:tc>
          <w:tcPr>
            <w:tcW w:w="3290" w:type="dxa"/>
            <w:tcBorders/>
            <w:shd w:fill="CCEEFF" w:val="clear"/>
            <w:vAlign w:val="center"/>
          </w:tcPr>
          <w:p>
            <w:pPr>
              <w:pStyle w:val="TableContents"/>
              <w:bidi w:val="0"/>
              <w:spacing w:before="0" w:after="283"/>
              <w:jc w:val="left"/>
              <w:rPr/>
            </w:pPr>
            <w:r>
              <w:rPr/>
              <w:t>Loss from discontinued operations</w:t>
            </w:r>
          </w:p>
        </w:tc>
        <w:tc>
          <w:tcPr>
            <w:tcW w:w="60" w:type="dxa"/>
            <w:tcBorders/>
            <w:shd w:fill="CCEEFF" w:val="clear"/>
            <w:vAlign w:val="center"/>
          </w:tcPr>
          <w:p>
            <w:pPr>
              <w:pStyle w:val="TableContents"/>
              <w:bidi w:val="0"/>
              <w:spacing w:before="0" w:after="283"/>
              <w:jc w:val="left"/>
              <w:rPr/>
            </w:pPr>
            <w:r>
              <w:rPr/>
              <w:t> </w:t>
            </w:r>
          </w:p>
        </w:tc>
        <w:tc>
          <w:tcPr>
            <w:tcW w:w="21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34"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142"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1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21" w:type="dxa"/>
            <w:tcBorders>
              <w:bottom w:val="single" w:sz="12" w:space="0" w:color="000000"/>
            </w:tcBorders>
            <w:shd w:fill="CCEEFF" w:val="clear"/>
            <w:tcMar>
              <w:bottom w:w="28" w:type="dxa"/>
            </w:tcMar>
            <w:vAlign w:val="center"/>
          </w:tcPr>
          <w:p>
            <w:pPr>
              <w:pStyle w:val="TableContents"/>
              <w:bidi w:val="0"/>
              <w:spacing w:before="0" w:after="283"/>
              <w:jc w:val="right"/>
              <w:rPr/>
            </w:pPr>
            <w:r>
              <w:rPr/>
              <w:t>(60</w:t>
            </w:r>
          </w:p>
        </w:tc>
        <w:tc>
          <w:tcPr>
            <w:tcW w:w="110" w:type="dxa"/>
            <w:tcBorders/>
            <w:shd w:fill="CCEEFF" w:val="clear"/>
            <w:vAlign w:val="center"/>
          </w:tcPr>
          <w:p>
            <w:pPr>
              <w:pStyle w:val="TableContents"/>
              <w:bidi w:val="0"/>
              <w:spacing w:before="0" w:after="283"/>
              <w:jc w:val="left"/>
              <w:rPr/>
            </w:pPr>
            <w:r>
              <w:rPr/>
              <w:t>)</w:t>
            </w:r>
          </w:p>
        </w:tc>
      </w:tr>
      <w:tr>
        <w:trPr/>
        <w:tc>
          <w:tcPr>
            <w:tcW w:w="3290" w:type="dxa"/>
            <w:tcBorders/>
            <w:shd w:fill="FFFFFF" w:val="clear"/>
            <w:vAlign w:val="center"/>
          </w:tcPr>
          <w:p>
            <w:pPr>
              <w:pStyle w:val="TableContents"/>
              <w:bidi w:val="0"/>
              <w:spacing w:before="0" w:after="283"/>
              <w:jc w:val="left"/>
              <w:rPr/>
            </w:pPr>
            <w:r>
              <w:rPr/>
              <w:t>Net loss</w:t>
            </w:r>
          </w:p>
        </w:tc>
        <w:tc>
          <w:tcPr>
            <w:tcW w:w="60" w:type="dxa"/>
            <w:tcBorders/>
            <w:shd w:fill="FFFFFF" w:val="clear"/>
            <w:vAlign w:val="center"/>
          </w:tcPr>
          <w:p>
            <w:pPr>
              <w:pStyle w:val="TableContents"/>
              <w:bidi w:val="0"/>
              <w:spacing w:before="0" w:after="283"/>
              <w:jc w:val="left"/>
              <w:rPr/>
            </w:pPr>
            <w:r>
              <w:rPr/>
              <w:t> </w:t>
            </w:r>
          </w:p>
        </w:tc>
        <w:tc>
          <w:tcPr>
            <w:tcW w:w="210" w:type="dxa"/>
            <w:tcBorders>
              <w:bottom w:val="double" w:sz="10" w:space="0" w:color="000000"/>
            </w:tcBorders>
            <w:shd w:fill="FFFFFF" w:val="clear"/>
            <w:tcMar>
              <w:bottom w:w="28" w:type="dxa"/>
            </w:tcMar>
            <w:vAlign w:val="center"/>
          </w:tcPr>
          <w:p>
            <w:pPr>
              <w:pStyle w:val="TableContents"/>
              <w:bidi w:val="0"/>
              <w:spacing w:before="0" w:after="283"/>
              <w:jc w:val="left"/>
              <w:rPr/>
            </w:pPr>
            <w:r>
              <w:rPr/>
              <w:t>$</w:t>
            </w:r>
          </w:p>
        </w:tc>
        <w:tc>
          <w:tcPr>
            <w:tcW w:w="1134" w:type="dxa"/>
            <w:tcBorders>
              <w:bottom w:val="double" w:sz="10" w:space="0" w:color="000000"/>
            </w:tcBorders>
            <w:shd w:fill="FFFFFF" w:val="clear"/>
            <w:tcMar>
              <w:bottom w:w="28" w:type="dxa"/>
            </w:tcMar>
            <w:vAlign w:val="center"/>
          </w:tcPr>
          <w:p>
            <w:pPr>
              <w:pStyle w:val="TableContents"/>
              <w:bidi w:val="0"/>
              <w:spacing w:before="0" w:after="283"/>
              <w:jc w:val="right"/>
              <w:rPr/>
            </w:pPr>
            <w:r>
              <w:rPr/>
              <w:t>(6,214</w:t>
            </w:r>
          </w:p>
        </w:tc>
        <w:tc>
          <w:tcPr>
            <w:tcW w:w="142" w:type="dxa"/>
            <w:tcBorders/>
            <w:shd w:fill="FFFFFF" w:val="clear"/>
            <w:vAlign w:val="center"/>
          </w:tcPr>
          <w:p>
            <w:pPr>
              <w:pStyle w:val="TableContents"/>
              <w:bidi w:val="0"/>
              <w:spacing w:before="0" w:after="283"/>
              <w:jc w:val="left"/>
              <w:rPr/>
            </w:pPr>
            <w:r>
              <w:rPr/>
              <w:t>)</w:t>
            </w:r>
          </w:p>
        </w:tc>
        <w:tc>
          <w:tcPr>
            <w:tcW w:w="90" w:type="dxa"/>
            <w:tcBorders/>
            <w:shd w:fill="FFFFFF" w:val="clear"/>
            <w:vAlign w:val="center"/>
          </w:tcPr>
          <w:p>
            <w:pPr>
              <w:pStyle w:val="TableContents"/>
              <w:bidi w:val="0"/>
              <w:spacing w:before="0" w:after="283"/>
              <w:jc w:val="left"/>
              <w:rPr/>
            </w:pPr>
            <w:r>
              <w:rPr/>
              <w:t> </w:t>
            </w:r>
          </w:p>
        </w:tc>
        <w:tc>
          <w:tcPr>
            <w:tcW w:w="210" w:type="dxa"/>
            <w:tcBorders>
              <w:bottom w:val="double" w:sz="10" w:space="0" w:color="000000"/>
            </w:tcBorders>
            <w:shd w:fill="FFFFFF" w:val="clear"/>
            <w:tcMar>
              <w:bottom w:w="28" w:type="dxa"/>
            </w:tcMar>
            <w:vAlign w:val="center"/>
          </w:tcPr>
          <w:p>
            <w:pPr>
              <w:pStyle w:val="TableContents"/>
              <w:bidi w:val="0"/>
              <w:spacing w:before="0" w:after="283"/>
              <w:jc w:val="left"/>
              <w:rPr/>
            </w:pPr>
            <w:r>
              <w:rPr/>
              <w:t>$</w:t>
            </w:r>
          </w:p>
        </w:tc>
        <w:tc>
          <w:tcPr>
            <w:tcW w:w="1021" w:type="dxa"/>
            <w:tcBorders>
              <w:bottom w:val="double" w:sz="10" w:space="0" w:color="000000"/>
            </w:tcBorders>
            <w:shd w:fill="FFFFFF" w:val="clear"/>
            <w:tcMar>
              <w:bottom w:w="28" w:type="dxa"/>
            </w:tcMar>
            <w:vAlign w:val="center"/>
          </w:tcPr>
          <w:p>
            <w:pPr>
              <w:pStyle w:val="TableContents"/>
              <w:bidi w:val="0"/>
              <w:spacing w:before="0" w:after="283"/>
              <w:jc w:val="right"/>
              <w:rPr/>
            </w:pPr>
            <w:r>
              <w:rPr/>
              <w:t>(6,803</w:t>
            </w:r>
          </w:p>
        </w:tc>
        <w:tc>
          <w:tcPr>
            <w:tcW w:w="110" w:type="dxa"/>
            <w:tcBorders/>
            <w:shd w:fill="FFFFFF" w:val="clear"/>
            <w:vAlign w:val="center"/>
          </w:tcPr>
          <w:p>
            <w:pPr>
              <w:pStyle w:val="TableContents"/>
              <w:bidi w:val="0"/>
              <w:spacing w:before="0" w:after="283"/>
              <w:jc w:val="left"/>
              <w:rPr/>
            </w:pPr>
            <w:r>
              <w:rPr/>
              <w:t>)</w:t>
            </w:r>
          </w:p>
        </w:tc>
      </w:tr>
    </w:tbl>
    <w:p>
      <w:pPr>
        <w:pStyle w:val="TextBody"/>
        <w:bidi w:val="0"/>
        <w:spacing w:before="0" w:after="283"/>
        <w:jc w:val="left"/>
        <w:rPr/>
      </w:pPr>
      <w:r>
        <w:rPr/>
        <w:t> </w:t>
      </w:r>
    </w:p>
    <w:p>
      <w:pPr>
        <w:pStyle w:val="TextBody"/>
        <w:bidi w:val="0"/>
        <w:spacing w:before="0" w:after="0"/>
        <w:ind w:left="0" w:right="0" w:hanging="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The accompanying notes are an integral part of these financial statements.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center"/>
        <w:rPr>
          <w:sz w:val="20"/>
          <w:bdr w:val="single" w:sz="12" w:space="1" w:color="000000"/>
        </w:rPr>
      </w:pPr>
      <w:r>
        <w:rPr>
          <w:sz w:val="20"/>
          <w:bdr w:val="single" w:sz="12" w:space="1" w:color="000000"/>
        </w:rPr>
        <w:t>F-116</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bookmarkStart w:id="36" w:name="D_004"/>
      <w:bookmarkEnd w:id="36"/>
      <w:r>
        <w:rPr>
          <w:rFonts w:ascii="Times New Roman;Times;Serif" w:hAnsi="Times New Roman;Times;Serif"/>
          <w:b/>
          <w:i w:val="false"/>
          <w:caps w:val="false"/>
          <w:smallCaps w:val="false"/>
          <w:sz w:val="20"/>
        </w:rPr>
        <w:t xml:space="preserve">SUNDER ENERGY LLC </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STATEMENTS OF CHANGES IN MEMBER’S DEFICIT</w:t>
      </w:r>
    </w:p>
    <w:p>
      <w:pPr>
        <w:pStyle w:val="TextBody"/>
        <w:bidi w:val="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(Dollars in thousands)</w:t>
      </w:r>
    </w:p>
    <w:p>
      <w:pPr>
        <w:pStyle w:val="TextBody"/>
        <w:bidi w:val="0"/>
        <w:jc w:val="center"/>
        <w:rPr>
          <w:caps w:val="false"/>
          <w:smallCaps w:val="false"/>
        </w:rPr>
      </w:pPr>
      <w:r>
        <w:rPr>
          <w:caps w:val="false"/>
          <w:smallCaps w:val="false"/>
        </w:rPr>
        <w:t> </w:t>
      </w:r>
    </w:p>
    <w:tbl>
      <w:tblPr>
        <w:tblW w:w="5030" w:type="dxa"/>
        <w:jc w:val="left"/>
        <w:tblInd w:w="0" w:type="dxa"/>
        <w:tblLayout w:type="fixed"/>
        <w:tblCellMar>
          <w:top w:w="0" w:type="dxa"/>
          <w:left w:w="0" w:type="dxa"/>
          <w:bottom w:w="0" w:type="dxa"/>
          <w:right w:w="0" w:type="dxa"/>
        </w:tblCellMar>
      </w:tblPr>
      <w:tblGrid>
        <w:gridCol w:w="4085"/>
        <w:gridCol w:w="60"/>
        <w:gridCol w:w="140"/>
        <w:gridCol w:w="635"/>
        <w:gridCol w:w="110"/>
      </w:tblGrid>
      <w:tr>
        <w:trPr/>
        <w:tc>
          <w:tcPr>
            <w:tcW w:w="4085" w:type="dxa"/>
            <w:tcBorders/>
            <w:shd w:fill="CCEEFF" w:val="clear"/>
            <w:vAlign w:val="center"/>
          </w:tcPr>
          <w:p>
            <w:pPr>
              <w:pStyle w:val="TableContents"/>
              <w:bidi w:val="0"/>
              <w:spacing w:before="0" w:after="283"/>
              <w:jc w:val="left"/>
              <w:rPr/>
            </w:pPr>
            <w:r>
              <w:rPr/>
              <w:t>Member’s equity as of January 1, 2023</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635" w:type="dxa"/>
            <w:tcBorders/>
            <w:shd w:fill="CCEEFF" w:val="clear"/>
            <w:vAlign w:val="center"/>
          </w:tcPr>
          <w:p>
            <w:pPr>
              <w:pStyle w:val="TableContents"/>
              <w:bidi w:val="0"/>
              <w:spacing w:before="0" w:after="283"/>
              <w:jc w:val="right"/>
              <w:rPr/>
            </w:pPr>
            <w:r>
              <w:rPr/>
              <w:t>6,330</w:t>
            </w:r>
          </w:p>
        </w:tc>
        <w:tc>
          <w:tcPr>
            <w:tcW w:w="110" w:type="dxa"/>
            <w:tcBorders/>
            <w:shd w:fill="CCEEFF" w:val="clear"/>
            <w:vAlign w:val="center"/>
          </w:tcPr>
          <w:p>
            <w:pPr>
              <w:pStyle w:val="TableContents"/>
              <w:bidi w:val="0"/>
              <w:spacing w:before="0" w:after="283"/>
              <w:jc w:val="left"/>
              <w:rPr/>
            </w:pPr>
            <w:r>
              <w:rPr/>
              <w:t> </w:t>
            </w:r>
          </w:p>
        </w:tc>
      </w:tr>
      <w:tr>
        <w:trPr/>
        <w:tc>
          <w:tcPr>
            <w:tcW w:w="4085" w:type="dxa"/>
            <w:tcBorders/>
            <w:shd w:fill="FFFFFF" w:val="clear"/>
            <w:vAlign w:val="center"/>
          </w:tcPr>
          <w:p>
            <w:pPr>
              <w:pStyle w:val="TableContents"/>
              <w:bidi w:val="0"/>
              <w:spacing w:before="0" w:after="283"/>
              <w:jc w:val="left"/>
              <w:rPr/>
            </w:pPr>
            <w:r>
              <w:rPr/>
              <w:t>Net loss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35" w:type="dxa"/>
            <w:tcBorders/>
            <w:shd w:fill="FFFFFF" w:val="clear"/>
            <w:vAlign w:val="center"/>
          </w:tcPr>
          <w:p>
            <w:pPr>
              <w:pStyle w:val="TableContents"/>
              <w:bidi w:val="0"/>
              <w:spacing w:before="0" w:after="283"/>
              <w:jc w:val="right"/>
              <w:rPr/>
            </w:pPr>
            <w:r>
              <w:rPr/>
              <w:t>(6,803</w:t>
            </w:r>
          </w:p>
        </w:tc>
        <w:tc>
          <w:tcPr>
            <w:tcW w:w="110" w:type="dxa"/>
            <w:tcBorders/>
            <w:shd w:fill="FFFFFF" w:val="clear"/>
            <w:vAlign w:val="center"/>
          </w:tcPr>
          <w:p>
            <w:pPr>
              <w:pStyle w:val="TableContents"/>
              <w:bidi w:val="0"/>
              <w:spacing w:before="0" w:after="283"/>
              <w:jc w:val="left"/>
              <w:rPr/>
            </w:pPr>
            <w:r>
              <w:rPr/>
              <w:t>)</w:t>
            </w:r>
          </w:p>
        </w:tc>
      </w:tr>
      <w:tr>
        <w:trPr/>
        <w:tc>
          <w:tcPr>
            <w:tcW w:w="4085" w:type="dxa"/>
            <w:tcBorders/>
            <w:shd w:fill="CCEEFF" w:val="clear"/>
            <w:vAlign w:val="center"/>
          </w:tcPr>
          <w:p>
            <w:pPr>
              <w:pStyle w:val="TableContents"/>
              <w:bidi w:val="0"/>
              <w:spacing w:before="0" w:after="283"/>
              <w:jc w:val="left"/>
              <w:rPr/>
            </w:pPr>
            <w:r>
              <w:rPr/>
              <w:t>Distributions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635" w:type="dxa"/>
            <w:tcBorders>
              <w:bottom w:val="single" w:sz="12" w:space="0" w:color="000000"/>
            </w:tcBorders>
            <w:shd w:fill="CCEEFF" w:val="clear"/>
            <w:tcMar>
              <w:bottom w:w="28" w:type="dxa"/>
            </w:tcMar>
            <w:vAlign w:val="center"/>
          </w:tcPr>
          <w:p>
            <w:pPr>
              <w:pStyle w:val="TableContents"/>
              <w:bidi w:val="0"/>
              <w:spacing w:before="0" w:after="283"/>
              <w:jc w:val="right"/>
              <w:rPr/>
            </w:pPr>
            <w:r>
              <w:rPr/>
              <w:t>(3,202</w:t>
            </w:r>
          </w:p>
        </w:tc>
        <w:tc>
          <w:tcPr>
            <w:tcW w:w="110" w:type="dxa"/>
            <w:tcBorders/>
            <w:shd w:fill="CCEEFF" w:val="clear"/>
            <w:vAlign w:val="center"/>
          </w:tcPr>
          <w:p>
            <w:pPr>
              <w:pStyle w:val="TableContents"/>
              <w:bidi w:val="0"/>
              <w:spacing w:before="0" w:after="283"/>
              <w:jc w:val="left"/>
              <w:rPr/>
            </w:pPr>
            <w:r>
              <w:rPr/>
              <w:t>)</w:t>
            </w:r>
          </w:p>
        </w:tc>
      </w:tr>
      <w:tr>
        <w:trPr/>
        <w:tc>
          <w:tcPr>
            <w:tcW w:w="4085" w:type="dxa"/>
            <w:tcBorders/>
            <w:shd w:fill="FFFFFF" w:val="clear"/>
            <w:vAlign w:val="center"/>
          </w:tcPr>
          <w:p>
            <w:pPr>
              <w:pStyle w:val="TableContents"/>
              <w:bidi w:val="0"/>
              <w:spacing w:before="0" w:after="283"/>
              <w:jc w:val="left"/>
              <w:rPr/>
            </w:pPr>
            <w:r>
              <w:rPr/>
              <w:t>Member’s deficit as of December 31, 2023</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635" w:type="dxa"/>
            <w:tcBorders>
              <w:bottom w:val="single" w:sz="12" w:space="0" w:color="000000"/>
            </w:tcBorders>
            <w:shd w:fill="FFFFFF" w:val="clear"/>
            <w:tcMar>
              <w:bottom w:w="28" w:type="dxa"/>
            </w:tcMar>
            <w:vAlign w:val="center"/>
          </w:tcPr>
          <w:p>
            <w:pPr>
              <w:pStyle w:val="TableContents"/>
              <w:bidi w:val="0"/>
              <w:spacing w:before="0" w:after="283"/>
              <w:jc w:val="right"/>
              <w:rPr/>
            </w:pPr>
            <w:r>
              <w:rPr/>
              <w:t>(3,675</w:t>
            </w:r>
          </w:p>
        </w:tc>
        <w:tc>
          <w:tcPr>
            <w:tcW w:w="110" w:type="dxa"/>
            <w:tcBorders/>
            <w:shd w:fill="FFFFFF" w:val="clear"/>
            <w:vAlign w:val="center"/>
          </w:tcPr>
          <w:p>
            <w:pPr>
              <w:pStyle w:val="TableContents"/>
              <w:bidi w:val="0"/>
              <w:spacing w:before="0" w:after="283"/>
              <w:jc w:val="left"/>
              <w:rPr/>
            </w:pPr>
            <w:r>
              <w:rPr/>
              <w:t>)</w:t>
            </w:r>
          </w:p>
        </w:tc>
      </w:tr>
      <w:tr>
        <w:trPr/>
        <w:tc>
          <w:tcPr>
            <w:tcW w:w="4085" w:type="dxa"/>
            <w:tcBorders/>
            <w:shd w:fill="CCEEFF" w:val="clear"/>
            <w:vAlign w:val="center"/>
          </w:tcPr>
          <w:p>
            <w:pPr>
              <w:pStyle w:val="TableContents"/>
              <w:bidi w:val="0"/>
              <w:spacing w:before="0" w:after="283"/>
              <w:jc w:val="left"/>
              <w:rPr/>
            </w:pPr>
            <w:r>
              <w:rPr/>
              <w:t>Net loss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35" w:type="dxa"/>
            <w:tcBorders/>
            <w:shd w:fill="CCEEFF" w:val="clear"/>
            <w:vAlign w:val="center"/>
          </w:tcPr>
          <w:p>
            <w:pPr>
              <w:pStyle w:val="TableContents"/>
              <w:bidi w:val="0"/>
              <w:spacing w:before="0" w:after="283"/>
              <w:jc w:val="right"/>
              <w:rPr/>
            </w:pPr>
            <w:r>
              <w:rPr/>
              <w:t>(6,214</w:t>
            </w:r>
          </w:p>
        </w:tc>
        <w:tc>
          <w:tcPr>
            <w:tcW w:w="110" w:type="dxa"/>
            <w:tcBorders/>
            <w:shd w:fill="CCEEFF" w:val="clear"/>
            <w:vAlign w:val="center"/>
          </w:tcPr>
          <w:p>
            <w:pPr>
              <w:pStyle w:val="TableContents"/>
              <w:bidi w:val="0"/>
              <w:spacing w:before="0" w:after="283"/>
              <w:jc w:val="left"/>
              <w:rPr/>
            </w:pPr>
            <w:r>
              <w:rPr/>
              <w:t>)</w:t>
            </w:r>
          </w:p>
        </w:tc>
      </w:tr>
      <w:tr>
        <w:trPr/>
        <w:tc>
          <w:tcPr>
            <w:tcW w:w="4085" w:type="dxa"/>
            <w:tcBorders/>
            <w:shd w:fill="FFFFFF" w:val="clear"/>
            <w:vAlign w:val="center"/>
          </w:tcPr>
          <w:p>
            <w:pPr>
              <w:pStyle w:val="TableContents"/>
              <w:bidi w:val="0"/>
              <w:spacing w:before="0" w:after="283"/>
              <w:jc w:val="left"/>
              <w:rPr/>
            </w:pPr>
            <w:r>
              <w:rPr/>
              <w:t>Capital contribution</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35" w:type="dxa"/>
            <w:tcBorders/>
            <w:shd w:fill="FFFFFF" w:val="clear"/>
            <w:vAlign w:val="center"/>
          </w:tcPr>
          <w:p>
            <w:pPr>
              <w:pStyle w:val="TableContents"/>
              <w:bidi w:val="0"/>
              <w:spacing w:before="0" w:after="283"/>
              <w:jc w:val="right"/>
              <w:rPr/>
            </w:pPr>
            <w:r>
              <w:rPr/>
              <w:t>4,059</w:t>
            </w:r>
          </w:p>
        </w:tc>
        <w:tc>
          <w:tcPr>
            <w:tcW w:w="110" w:type="dxa"/>
            <w:tcBorders/>
            <w:shd w:fill="FFFFFF" w:val="clear"/>
            <w:vAlign w:val="center"/>
          </w:tcPr>
          <w:p>
            <w:pPr>
              <w:pStyle w:val="TableContents"/>
              <w:bidi w:val="0"/>
              <w:spacing w:before="0" w:after="283"/>
              <w:jc w:val="left"/>
              <w:rPr/>
            </w:pPr>
            <w:r>
              <w:rPr/>
              <w:t> </w:t>
            </w:r>
          </w:p>
        </w:tc>
      </w:tr>
      <w:tr>
        <w:trPr/>
        <w:tc>
          <w:tcPr>
            <w:tcW w:w="4085" w:type="dxa"/>
            <w:tcBorders/>
            <w:shd w:fill="CCEEFF" w:val="clear"/>
            <w:vAlign w:val="center"/>
          </w:tcPr>
          <w:p>
            <w:pPr>
              <w:pStyle w:val="TableContents"/>
              <w:bidi w:val="0"/>
              <w:spacing w:before="0" w:after="283"/>
              <w:jc w:val="left"/>
              <w:rPr/>
            </w:pPr>
            <w:r>
              <w:rPr/>
              <w:t>Distributions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635" w:type="dxa"/>
            <w:tcBorders>
              <w:bottom w:val="single" w:sz="12" w:space="0" w:color="000000"/>
            </w:tcBorders>
            <w:shd w:fill="CCEEFF" w:val="clear"/>
            <w:tcMar>
              <w:bottom w:w="28" w:type="dxa"/>
            </w:tcMar>
            <w:vAlign w:val="center"/>
          </w:tcPr>
          <w:p>
            <w:pPr>
              <w:pStyle w:val="TableContents"/>
              <w:bidi w:val="0"/>
              <w:spacing w:before="0" w:after="283"/>
              <w:jc w:val="right"/>
              <w:rPr/>
            </w:pPr>
            <w:r>
              <w:rPr/>
              <w:t>(457</w:t>
            </w:r>
          </w:p>
        </w:tc>
        <w:tc>
          <w:tcPr>
            <w:tcW w:w="110" w:type="dxa"/>
            <w:tcBorders/>
            <w:shd w:fill="CCEEFF" w:val="clear"/>
            <w:vAlign w:val="center"/>
          </w:tcPr>
          <w:p>
            <w:pPr>
              <w:pStyle w:val="TableContents"/>
              <w:bidi w:val="0"/>
              <w:spacing w:before="0" w:after="283"/>
              <w:jc w:val="left"/>
              <w:rPr/>
            </w:pPr>
            <w:r>
              <w:rPr/>
              <w:t>)</w:t>
            </w:r>
          </w:p>
        </w:tc>
      </w:tr>
      <w:tr>
        <w:trPr/>
        <w:tc>
          <w:tcPr>
            <w:tcW w:w="4085" w:type="dxa"/>
            <w:tcBorders/>
            <w:shd w:fill="FFFFFF" w:val="clear"/>
            <w:vAlign w:val="center"/>
          </w:tcPr>
          <w:p>
            <w:pPr>
              <w:pStyle w:val="TableContents"/>
              <w:bidi w:val="0"/>
              <w:spacing w:before="0" w:after="283"/>
              <w:jc w:val="left"/>
              <w:rPr/>
            </w:pPr>
            <w:r>
              <w:rPr/>
              <w:t>Member’s deficit as of December 31, 2024</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10" w:space="0" w:color="000000"/>
            </w:tcBorders>
            <w:shd w:fill="FFFFFF" w:val="clear"/>
            <w:tcMar>
              <w:bottom w:w="28" w:type="dxa"/>
            </w:tcMar>
            <w:vAlign w:val="center"/>
          </w:tcPr>
          <w:p>
            <w:pPr>
              <w:pStyle w:val="TableContents"/>
              <w:bidi w:val="0"/>
              <w:spacing w:before="0" w:after="283"/>
              <w:jc w:val="left"/>
              <w:rPr/>
            </w:pPr>
            <w:r>
              <w:rPr/>
              <w:t>$</w:t>
            </w:r>
          </w:p>
        </w:tc>
        <w:tc>
          <w:tcPr>
            <w:tcW w:w="635" w:type="dxa"/>
            <w:tcBorders>
              <w:bottom w:val="double" w:sz="10" w:space="0" w:color="000000"/>
            </w:tcBorders>
            <w:shd w:fill="FFFFFF" w:val="clear"/>
            <w:tcMar>
              <w:bottom w:w="28" w:type="dxa"/>
            </w:tcMar>
            <w:vAlign w:val="center"/>
          </w:tcPr>
          <w:p>
            <w:pPr>
              <w:pStyle w:val="TableContents"/>
              <w:bidi w:val="0"/>
              <w:spacing w:before="0" w:after="283"/>
              <w:jc w:val="right"/>
              <w:rPr/>
            </w:pPr>
            <w:r>
              <w:rPr/>
              <w:t>(6,287</w:t>
            </w:r>
          </w:p>
        </w:tc>
        <w:tc>
          <w:tcPr>
            <w:tcW w:w="110" w:type="dxa"/>
            <w:tcBorders/>
            <w:shd w:fill="FFFFFF" w:val="clear"/>
            <w:vAlign w:val="center"/>
          </w:tcPr>
          <w:p>
            <w:pPr>
              <w:pStyle w:val="TableContents"/>
              <w:bidi w:val="0"/>
              <w:spacing w:before="0" w:after="283"/>
              <w:jc w:val="left"/>
              <w:rPr/>
            </w:pPr>
            <w:r>
              <w:rPr/>
              <w:t>)</w:t>
            </w:r>
          </w:p>
        </w:tc>
      </w:tr>
    </w:tbl>
    <w:p>
      <w:pPr>
        <w:pStyle w:val="TextBody"/>
        <w:bidi w:val="0"/>
        <w:jc w:val="left"/>
        <w:rPr>
          <w:caps w:val="false"/>
          <w:smallCaps w:val="false"/>
        </w:rPr>
      </w:pPr>
      <w:r>
        <w:rPr>
          <w:caps w:val="false"/>
          <w:smallCaps w:val="false"/>
        </w:rPr>
        <w:t> </w:t>
      </w:r>
    </w:p>
    <w:p>
      <w:pPr>
        <w:pStyle w:val="TextBody"/>
        <w:bidi w:val="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The accompanying notes are an integral part of these financial statements.</w:t>
      </w:r>
    </w:p>
    <w:p>
      <w:pPr>
        <w:pStyle w:val="TextBody"/>
        <w:bidi w:val="0"/>
        <w:jc w:val="left"/>
        <w:rPr>
          <w:caps w:val="false"/>
          <w:smallCaps w:val="false"/>
        </w:rPr>
      </w:pPr>
      <w:r>
        <w:rPr>
          <w:caps w:val="false"/>
          <w:smallCaps w:val="false"/>
        </w:rPr>
        <w:t> </w:t>
      </w:r>
    </w:p>
    <w:p>
      <w:pPr>
        <w:pStyle w:val="TextBody"/>
        <w:bidi w:val="0"/>
        <w:spacing w:before="0" w:after="0"/>
        <w:ind w:left="0" w:right="0" w:hanging="0"/>
        <w:jc w:val="center"/>
        <w:rPr>
          <w:sz w:val="20"/>
          <w:bdr w:val="single" w:sz="12" w:space="1" w:color="000000"/>
        </w:rPr>
      </w:pPr>
      <w:r>
        <w:rPr>
          <w:sz w:val="20"/>
          <w:bdr w:val="single" w:sz="12" w:space="1" w:color="000000"/>
        </w:rPr>
        <w:t>F-117</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37" w:name="D_005"/>
      <w:bookmarkEnd w:id="37"/>
      <w:r>
        <w:rPr>
          <w:rFonts w:ascii="Times New Roman;Times;Serif" w:hAnsi="Times New Roman;Times;Serif"/>
          <w:b/>
          <w:i w:val="false"/>
          <w:caps w:val="false"/>
          <w:smallCaps w:val="false"/>
          <w:sz w:val="20"/>
        </w:rPr>
        <w:t xml:space="preserve">SUNDER ENERGY LLC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STATEMENTS OF CASH FLOWS</w:t>
      </w:r>
    </w:p>
    <w:p>
      <w:pPr>
        <w:pStyle w:val="TextBody"/>
        <w:bidi w:val="0"/>
        <w:spacing w:before="0" w:after="0"/>
        <w:ind w:left="0" w:right="0" w:hanging="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(In thousands)</w:t>
      </w:r>
    </w:p>
    <w:p>
      <w:pPr>
        <w:pStyle w:val="TextBody"/>
        <w:bidi w:val="0"/>
        <w:spacing w:before="0" w:after="0"/>
        <w:ind w:left="0" w:right="0" w:hanging="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8210"/>
        <w:gridCol w:w="60"/>
        <w:gridCol w:w="140"/>
        <w:gridCol w:w="755"/>
        <w:gridCol w:w="95"/>
        <w:gridCol w:w="60"/>
        <w:gridCol w:w="140"/>
        <w:gridCol w:w="635"/>
        <w:gridCol w:w="110"/>
      </w:tblGrid>
      <w:tr>
        <w:trPr/>
        <w:tc>
          <w:tcPr>
            <w:tcW w:w="821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25"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Years Ended</w:t>
              <w:br/>
              <w:t>December 31,</w:t>
            </w:r>
          </w:p>
        </w:tc>
        <w:tc>
          <w:tcPr>
            <w:tcW w:w="110" w:type="dxa"/>
            <w:tcBorders/>
            <w:vAlign w:val="center"/>
          </w:tcPr>
          <w:p>
            <w:pPr>
              <w:pStyle w:val="TableContents"/>
              <w:bidi w:val="0"/>
              <w:spacing w:before="0" w:after="283"/>
              <w:jc w:val="left"/>
              <w:rPr/>
            </w:pPr>
            <w:r>
              <w:rPr/>
              <w:t> </w:t>
            </w:r>
          </w:p>
        </w:tc>
      </w:tr>
      <w:tr>
        <w:trPr/>
        <w:tc>
          <w:tcPr>
            <w:tcW w:w="821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9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2024</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7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2023</w:t>
            </w:r>
          </w:p>
        </w:tc>
        <w:tc>
          <w:tcPr>
            <w:tcW w:w="110" w:type="dxa"/>
            <w:tcBorders/>
            <w:vAlign w:val="center"/>
          </w:tcPr>
          <w:p>
            <w:pPr>
              <w:pStyle w:val="TableContents"/>
              <w:bidi w:val="0"/>
              <w:spacing w:before="0" w:after="283"/>
              <w:jc w:val="left"/>
              <w:rPr/>
            </w:pPr>
            <w:r>
              <w:rPr/>
              <w:t> </w:t>
            </w:r>
          </w:p>
        </w:tc>
      </w:tr>
      <w:tr>
        <w:trPr/>
        <w:tc>
          <w:tcPr>
            <w:tcW w:w="8210" w:type="dxa"/>
            <w:tcBorders/>
            <w:vAlign w:val="center"/>
          </w:tcPr>
          <w:p>
            <w:pPr>
              <w:pStyle w:val="TableContents"/>
              <w:bidi w:val="0"/>
              <w:spacing w:before="0" w:after="283"/>
              <w:jc w:val="left"/>
              <w:rPr>
                <w:b/>
              </w:rPr>
            </w:pPr>
            <w:r>
              <w:rPr>
                <w:b/>
              </w:rPr>
              <w:t>Cash flows from operating activities from continuing operations</w:t>
            </w:r>
          </w:p>
        </w:tc>
        <w:tc>
          <w:tcPr>
            <w:tcW w:w="60" w:type="dxa"/>
            <w:tcBorders/>
            <w:vAlign w:val="center"/>
          </w:tcPr>
          <w:p>
            <w:pPr>
              <w:pStyle w:val="TableContents"/>
              <w:bidi w:val="0"/>
              <w:spacing w:before="0" w:after="283"/>
              <w:jc w:val="left"/>
              <w:rPr/>
            </w:pPr>
            <w:r>
              <w:rPr/>
              <w:t> </w:t>
            </w:r>
          </w:p>
        </w:tc>
        <w:tc>
          <w:tcPr>
            <w:tcW w:w="895" w:type="dxa"/>
            <w:gridSpan w:val="2"/>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75" w:type="dxa"/>
            <w:gridSpan w:val="2"/>
            <w:tcBorders/>
            <w:vAlign w:val="center"/>
          </w:tcPr>
          <w:p>
            <w:pPr>
              <w:pStyle w:val="TableContents"/>
              <w:bidi w:val="0"/>
              <w:spacing w:before="0" w:after="283"/>
              <w:jc w:val="right"/>
              <w:rPr/>
            </w:pPr>
            <w:r>
              <w:rPr/>
              <w:t> </w:t>
            </w:r>
          </w:p>
        </w:tc>
        <w:tc>
          <w:tcPr>
            <w:tcW w:w="110" w:type="dxa"/>
            <w:tcBorders/>
            <w:vAlign w:val="center"/>
          </w:tcPr>
          <w:p>
            <w:pPr>
              <w:pStyle w:val="TableContents"/>
              <w:bidi w:val="0"/>
              <w:spacing w:before="0" w:after="283"/>
              <w:jc w:val="left"/>
              <w:rPr/>
            </w:pPr>
            <w:r>
              <w:rPr/>
              <w:t> </w:t>
            </w:r>
          </w:p>
        </w:tc>
      </w:tr>
      <w:tr>
        <w:trPr/>
        <w:tc>
          <w:tcPr>
            <w:tcW w:w="8210" w:type="dxa"/>
            <w:tcBorders/>
            <w:shd w:fill="CCEEFF" w:val="clear"/>
            <w:vAlign w:val="center"/>
          </w:tcPr>
          <w:p>
            <w:pPr>
              <w:pStyle w:val="TableContents"/>
              <w:bidi w:val="0"/>
              <w:spacing w:before="0" w:after="283"/>
              <w:jc w:val="left"/>
              <w:rPr/>
            </w:pPr>
            <w:r>
              <w:rPr/>
              <w:t>Net loss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755" w:type="dxa"/>
            <w:tcBorders/>
            <w:shd w:fill="CCEEFF" w:val="clear"/>
            <w:vAlign w:val="center"/>
          </w:tcPr>
          <w:p>
            <w:pPr>
              <w:pStyle w:val="TableContents"/>
              <w:bidi w:val="0"/>
              <w:spacing w:before="0" w:after="283"/>
              <w:jc w:val="right"/>
              <w:rPr/>
            </w:pPr>
            <w:r>
              <w:rPr/>
              <w:t>(6,214</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635" w:type="dxa"/>
            <w:tcBorders/>
            <w:shd w:fill="CCEEFF" w:val="clear"/>
            <w:vAlign w:val="center"/>
          </w:tcPr>
          <w:p>
            <w:pPr>
              <w:pStyle w:val="TableContents"/>
              <w:bidi w:val="0"/>
              <w:spacing w:before="0" w:after="283"/>
              <w:jc w:val="right"/>
              <w:rPr/>
            </w:pPr>
            <w:r>
              <w:rPr/>
              <w:t>(6,803</w:t>
            </w:r>
          </w:p>
        </w:tc>
        <w:tc>
          <w:tcPr>
            <w:tcW w:w="110" w:type="dxa"/>
            <w:tcBorders/>
            <w:shd w:fill="CCEEFF" w:val="clear"/>
            <w:vAlign w:val="center"/>
          </w:tcPr>
          <w:p>
            <w:pPr>
              <w:pStyle w:val="TableContents"/>
              <w:bidi w:val="0"/>
              <w:spacing w:before="0" w:after="283"/>
              <w:jc w:val="left"/>
              <w:rPr/>
            </w:pPr>
            <w:r>
              <w:rPr/>
              <w:t>)</w:t>
            </w:r>
          </w:p>
        </w:tc>
      </w:tr>
      <w:tr>
        <w:trPr/>
        <w:tc>
          <w:tcPr>
            <w:tcW w:w="8210" w:type="dxa"/>
            <w:tcBorders/>
            <w:shd w:fill="FFFFFF" w:val="clear"/>
            <w:vAlign w:val="center"/>
          </w:tcPr>
          <w:p>
            <w:pPr>
              <w:pStyle w:val="TableContents"/>
              <w:bidi w:val="0"/>
              <w:spacing w:before="0" w:after="283"/>
              <w:jc w:val="left"/>
              <w:rPr/>
            </w:pPr>
            <w:r>
              <w:rPr/>
              <w:t>Net loss from discontinued operations, net of tax</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755"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635" w:type="dxa"/>
            <w:tcBorders>
              <w:bottom w:val="single" w:sz="12" w:space="0" w:color="000000"/>
            </w:tcBorders>
            <w:shd w:fill="FFFFFF" w:val="clear"/>
            <w:tcMar>
              <w:bottom w:w="28" w:type="dxa"/>
            </w:tcMar>
            <w:vAlign w:val="center"/>
          </w:tcPr>
          <w:p>
            <w:pPr>
              <w:pStyle w:val="TableContents"/>
              <w:bidi w:val="0"/>
              <w:spacing w:before="0" w:after="283"/>
              <w:jc w:val="right"/>
              <w:rPr/>
            </w:pPr>
            <w:r>
              <w:rPr/>
              <w:t>(60</w:t>
            </w:r>
          </w:p>
        </w:tc>
        <w:tc>
          <w:tcPr>
            <w:tcW w:w="110" w:type="dxa"/>
            <w:tcBorders/>
            <w:shd w:fill="FFFFFF" w:val="clear"/>
            <w:vAlign w:val="center"/>
          </w:tcPr>
          <w:p>
            <w:pPr>
              <w:pStyle w:val="TableContents"/>
              <w:bidi w:val="0"/>
              <w:spacing w:before="0" w:after="283"/>
              <w:jc w:val="left"/>
              <w:rPr/>
            </w:pPr>
            <w:r>
              <w:rPr/>
              <w:t>)</w:t>
            </w:r>
          </w:p>
        </w:tc>
      </w:tr>
      <w:tr>
        <w:trPr/>
        <w:tc>
          <w:tcPr>
            <w:tcW w:w="8210" w:type="dxa"/>
            <w:tcBorders/>
            <w:shd w:fill="CCEEFF" w:val="clear"/>
            <w:vAlign w:val="center"/>
          </w:tcPr>
          <w:p>
            <w:pPr>
              <w:pStyle w:val="TableContents"/>
              <w:bidi w:val="0"/>
              <w:spacing w:before="0" w:after="283"/>
              <w:jc w:val="left"/>
              <w:rPr/>
            </w:pPr>
            <w:r>
              <w:rPr/>
              <w:t>Net loss from continuing operations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755" w:type="dxa"/>
            <w:tcBorders>
              <w:bottom w:val="single" w:sz="12" w:space="0" w:color="000000"/>
            </w:tcBorders>
            <w:shd w:fill="CCEEFF" w:val="clear"/>
            <w:tcMar>
              <w:bottom w:w="28" w:type="dxa"/>
            </w:tcMar>
            <w:vAlign w:val="center"/>
          </w:tcPr>
          <w:p>
            <w:pPr>
              <w:pStyle w:val="TableContents"/>
              <w:bidi w:val="0"/>
              <w:spacing w:before="0" w:after="283"/>
              <w:jc w:val="right"/>
              <w:rPr/>
            </w:pPr>
            <w:r>
              <w:rPr/>
              <w:t>(6,214</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635" w:type="dxa"/>
            <w:tcBorders>
              <w:bottom w:val="single" w:sz="12" w:space="0" w:color="000000"/>
            </w:tcBorders>
            <w:shd w:fill="CCEEFF" w:val="clear"/>
            <w:tcMar>
              <w:bottom w:w="28" w:type="dxa"/>
            </w:tcMar>
            <w:vAlign w:val="center"/>
          </w:tcPr>
          <w:p>
            <w:pPr>
              <w:pStyle w:val="TableContents"/>
              <w:bidi w:val="0"/>
              <w:spacing w:before="0" w:after="283"/>
              <w:jc w:val="right"/>
              <w:rPr/>
            </w:pPr>
            <w:r>
              <w:rPr/>
              <w:t>(6,743</w:t>
            </w:r>
          </w:p>
        </w:tc>
        <w:tc>
          <w:tcPr>
            <w:tcW w:w="110" w:type="dxa"/>
            <w:tcBorders/>
            <w:shd w:fill="CCEEFF" w:val="clear"/>
            <w:vAlign w:val="center"/>
          </w:tcPr>
          <w:p>
            <w:pPr>
              <w:pStyle w:val="TableContents"/>
              <w:bidi w:val="0"/>
              <w:spacing w:before="0" w:after="283"/>
              <w:ind w:left="0" w:right="0" w:hanging="180"/>
              <w:jc w:val="left"/>
              <w:rPr/>
            </w:pPr>
            <w:r>
              <w:rPr/>
              <w:t>)</w:t>
            </w:r>
          </w:p>
        </w:tc>
      </w:tr>
      <w:tr>
        <w:trPr/>
        <w:tc>
          <w:tcPr>
            <w:tcW w:w="8210" w:type="dxa"/>
            <w:tcBorders/>
            <w:shd w:fill="FFFFFF" w:val="clear"/>
            <w:vAlign w:val="center"/>
          </w:tcPr>
          <w:p>
            <w:pPr>
              <w:pStyle w:val="TableContents"/>
              <w:bidi w:val="0"/>
              <w:spacing w:before="0" w:after="283"/>
              <w:jc w:val="left"/>
              <w:rPr/>
            </w:pPr>
            <w:r>
              <w:rPr/>
              <w:t>Adjustments to reconcile net loss from continuing operations to net cash from operating activities: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35"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8210" w:type="dxa"/>
            <w:tcBorders/>
            <w:shd w:fill="CCEEFF" w:val="clear"/>
            <w:vAlign w:val="center"/>
          </w:tcPr>
          <w:p>
            <w:pPr>
              <w:pStyle w:val="TableContents"/>
              <w:bidi w:val="0"/>
              <w:spacing w:before="0" w:after="283"/>
              <w:jc w:val="left"/>
              <w:rPr/>
            </w:pPr>
            <w:r>
              <w:rPr/>
              <w:t>Depreciation and amortization</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79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35" w:type="dxa"/>
            <w:tcBorders/>
            <w:shd w:fill="CCEEFF" w:val="clear"/>
            <w:vAlign w:val="center"/>
          </w:tcPr>
          <w:p>
            <w:pPr>
              <w:pStyle w:val="TableContents"/>
              <w:bidi w:val="0"/>
              <w:spacing w:before="0" w:after="283"/>
              <w:jc w:val="right"/>
              <w:rPr/>
            </w:pPr>
            <w:r>
              <w:rPr/>
              <w:t>160</w:t>
            </w:r>
          </w:p>
        </w:tc>
        <w:tc>
          <w:tcPr>
            <w:tcW w:w="110" w:type="dxa"/>
            <w:tcBorders/>
            <w:shd w:fill="CCEEFF" w:val="clear"/>
            <w:vAlign w:val="center"/>
          </w:tcPr>
          <w:p>
            <w:pPr>
              <w:pStyle w:val="TableContents"/>
              <w:bidi w:val="0"/>
              <w:spacing w:before="0" w:after="283"/>
              <w:jc w:val="left"/>
              <w:rPr/>
            </w:pPr>
            <w:r>
              <w:rPr/>
              <w:t> </w:t>
            </w:r>
          </w:p>
        </w:tc>
      </w:tr>
      <w:tr>
        <w:trPr/>
        <w:tc>
          <w:tcPr>
            <w:tcW w:w="8210" w:type="dxa"/>
            <w:tcBorders/>
            <w:shd w:fill="FFFFFF" w:val="clear"/>
            <w:vAlign w:val="center"/>
          </w:tcPr>
          <w:p>
            <w:pPr>
              <w:pStyle w:val="TableContents"/>
              <w:bidi w:val="0"/>
              <w:spacing w:before="0" w:after="283"/>
              <w:jc w:val="left"/>
              <w:rPr/>
            </w:pPr>
            <w:r>
              <w:rPr/>
              <w:t>Provision for credit losses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1,759</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35" w:type="dxa"/>
            <w:tcBorders/>
            <w:shd w:fill="FFFFFF" w:val="clear"/>
            <w:vAlign w:val="center"/>
          </w:tcPr>
          <w:p>
            <w:pPr>
              <w:pStyle w:val="TableContents"/>
              <w:bidi w:val="0"/>
              <w:spacing w:before="0" w:after="283"/>
              <w:jc w:val="right"/>
              <w:rPr/>
            </w:pPr>
            <w:r>
              <w:rPr/>
              <w:t>3,677</w:t>
            </w:r>
          </w:p>
        </w:tc>
        <w:tc>
          <w:tcPr>
            <w:tcW w:w="110" w:type="dxa"/>
            <w:tcBorders/>
            <w:shd w:fill="FFFFFF" w:val="clear"/>
            <w:vAlign w:val="center"/>
          </w:tcPr>
          <w:p>
            <w:pPr>
              <w:pStyle w:val="TableContents"/>
              <w:bidi w:val="0"/>
              <w:spacing w:before="0" w:after="283"/>
              <w:jc w:val="left"/>
              <w:rPr/>
            </w:pPr>
            <w:r>
              <w:rPr/>
              <w:t> </w:t>
            </w:r>
          </w:p>
        </w:tc>
      </w:tr>
      <w:tr>
        <w:trPr/>
        <w:tc>
          <w:tcPr>
            <w:tcW w:w="8210" w:type="dxa"/>
            <w:tcBorders/>
            <w:shd w:fill="CCEEFF" w:val="clear"/>
            <w:vAlign w:val="center"/>
          </w:tcPr>
          <w:p>
            <w:pPr>
              <w:pStyle w:val="TableContents"/>
              <w:bidi w:val="0"/>
              <w:spacing w:before="0" w:after="283"/>
              <w:jc w:val="left"/>
              <w:rPr/>
            </w:pPr>
            <w:r>
              <w:rPr/>
              <w:t>Amortization of operating lease right-of-use asset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109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35" w:type="dxa"/>
            <w:tcBorders/>
            <w:shd w:fill="CCEEFF" w:val="clear"/>
            <w:vAlign w:val="center"/>
          </w:tcPr>
          <w:p>
            <w:pPr>
              <w:pStyle w:val="TableContents"/>
              <w:bidi w:val="0"/>
              <w:spacing w:before="0" w:after="283"/>
              <w:jc w:val="right"/>
              <w:rPr/>
            </w:pPr>
            <w:r>
              <w:rPr/>
              <w:t>103</w:t>
            </w:r>
          </w:p>
        </w:tc>
        <w:tc>
          <w:tcPr>
            <w:tcW w:w="110" w:type="dxa"/>
            <w:tcBorders/>
            <w:shd w:fill="CCEEFF" w:val="clear"/>
            <w:vAlign w:val="center"/>
          </w:tcPr>
          <w:p>
            <w:pPr>
              <w:pStyle w:val="TableContents"/>
              <w:bidi w:val="0"/>
              <w:spacing w:before="0" w:after="283"/>
              <w:jc w:val="left"/>
              <w:rPr/>
            </w:pPr>
            <w:r>
              <w:rPr/>
              <w:t> </w:t>
            </w:r>
          </w:p>
        </w:tc>
      </w:tr>
      <w:tr>
        <w:trPr/>
        <w:tc>
          <w:tcPr>
            <w:tcW w:w="8210" w:type="dxa"/>
            <w:tcBorders/>
            <w:shd w:fill="FFFFFF" w:val="clear"/>
            <w:vAlign w:val="center"/>
          </w:tcPr>
          <w:p>
            <w:pPr>
              <w:pStyle w:val="TableContents"/>
              <w:bidi w:val="0"/>
              <w:spacing w:before="0" w:after="283"/>
              <w:jc w:val="left"/>
              <w:rPr/>
            </w:pPr>
            <w:r>
              <w:rPr/>
              <w:t>Changes in operating assets and liabilities: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35"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8210" w:type="dxa"/>
            <w:tcBorders/>
            <w:shd w:fill="CCEEFF" w:val="clear"/>
            <w:vAlign w:val="center"/>
          </w:tcPr>
          <w:p>
            <w:pPr>
              <w:pStyle w:val="TableContents"/>
              <w:bidi w:val="0"/>
              <w:spacing w:before="0" w:after="283"/>
              <w:jc w:val="left"/>
              <w:rPr/>
            </w:pPr>
            <w:r>
              <w:rPr/>
              <w:t>Trade accounts receivable</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(4,521</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35" w:type="dxa"/>
            <w:tcBorders/>
            <w:shd w:fill="CCEEFF" w:val="clear"/>
            <w:vAlign w:val="center"/>
          </w:tcPr>
          <w:p>
            <w:pPr>
              <w:pStyle w:val="TableContents"/>
              <w:bidi w:val="0"/>
              <w:spacing w:before="0" w:after="283"/>
              <w:jc w:val="right"/>
              <w:rPr/>
            </w:pPr>
            <w:r>
              <w:rPr/>
              <w:t>(4</w:t>
            </w:r>
          </w:p>
        </w:tc>
        <w:tc>
          <w:tcPr>
            <w:tcW w:w="110" w:type="dxa"/>
            <w:tcBorders/>
            <w:shd w:fill="CCEEFF" w:val="clear"/>
            <w:vAlign w:val="center"/>
          </w:tcPr>
          <w:p>
            <w:pPr>
              <w:pStyle w:val="TableContents"/>
              <w:bidi w:val="0"/>
              <w:spacing w:before="0" w:after="283"/>
              <w:jc w:val="left"/>
              <w:rPr/>
            </w:pPr>
            <w:r>
              <w:rPr/>
              <w:t>)</w:t>
            </w:r>
          </w:p>
        </w:tc>
      </w:tr>
      <w:tr>
        <w:trPr/>
        <w:tc>
          <w:tcPr>
            <w:tcW w:w="8210" w:type="dxa"/>
            <w:tcBorders/>
            <w:shd w:fill="FFFFFF" w:val="clear"/>
            <w:vAlign w:val="center"/>
          </w:tcPr>
          <w:p>
            <w:pPr>
              <w:pStyle w:val="TableContents"/>
              <w:bidi w:val="0"/>
              <w:spacing w:before="0" w:after="283"/>
              <w:jc w:val="left"/>
              <w:rPr/>
            </w:pPr>
            <w:r>
              <w:rPr/>
              <w:t>Due from related party</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(465</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35" w:type="dxa"/>
            <w:tcBorders/>
            <w:shd w:fill="FFFFFF" w:val="clear"/>
            <w:vAlign w:val="center"/>
          </w:tcPr>
          <w:p>
            <w:pPr>
              <w:pStyle w:val="TableContents"/>
              <w:bidi w:val="0"/>
              <w:spacing w:before="0" w:after="283"/>
              <w:jc w:val="right"/>
              <w:rPr/>
            </w:pPr>
            <w:r>
              <w:rPr/>
              <w:t>(94</w:t>
            </w:r>
          </w:p>
        </w:tc>
        <w:tc>
          <w:tcPr>
            <w:tcW w:w="110" w:type="dxa"/>
            <w:tcBorders/>
            <w:shd w:fill="FFFFFF" w:val="clear"/>
            <w:vAlign w:val="center"/>
          </w:tcPr>
          <w:p>
            <w:pPr>
              <w:pStyle w:val="TableContents"/>
              <w:bidi w:val="0"/>
              <w:spacing w:before="0" w:after="283"/>
              <w:jc w:val="left"/>
              <w:rPr/>
            </w:pPr>
            <w:r>
              <w:rPr/>
              <w:t>)</w:t>
            </w:r>
          </w:p>
        </w:tc>
      </w:tr>
      <w:tr>
        <w:trPr/>
        <w:tc>
          <w:tcPr>
            <w:tcW w:w="8210" w:type="dxa"/>
            <w:tcBorders/>
            <w:shd w:fill="CCEEFF" w:val="clear"/>
            <w:vAlign w:val="center"/>
          </w:tcPr>
          <w:p>
            <w:pPr>
              <w:pStyle w:val="TableContents"/>
              <w:bidi w:val="0"/>
              <w:spacing w:before="0" w:after="283"/>
              <w:jc w:val="left"/>
              <w:rPr/>
            </w:pPr>
            <w:r>
              <w:rPr/>
              <w:t>Prepaid expenses and other current assets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(11,669</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35" w:type="dxa"/>
            <w:tcBorders/>
            <w:shd w:fill="CCEEFF" w:val="clear"/>
            <w:vAlign w:val="center"/>
          </w:tcPr>
          <w:p>
            <w:pPr>
              <w:pStyle w:val="TableContents"/>
              <w:bidi w:val="0"/>
              <w:spacing w:before="0" w:after="283"/>
              <w:jc w:val="right"/>
              <w:rPr/>
            </w:pPr>
            <w:r>
              <w:rPr/>
              <w:t>(1,022</w:t>
            </w:r>
          </w:p>
        </w:tc>
        <w:tc>
          <w:tcPr>
            <w:tcW w:w="110" w:type="dxa"/>
            <w:tcBorders/>
            <w:shd w:fill="CCEEFF" w:val="clear"/>
            <w:vAlign w:val="center"/>
          </w:tcPr>
          <w:p>
            <w:pPr>
              <w:pStyle w:val="TableContents"/>
              <w:bidi w:val="0"/>
              <w:spacing w:before="0" w:after="283"/>
              <w:jc w:val="left"/>
              <w:rPr/>
            </w:pPr>
            <w:r>
              <w:rPr/>
              <w:t>)</w:t>
            </w:r>
          </w:p>
        </w:tc>
      </w:tr>
      <w:tr>
        <w:trPr/>
        <w:tc>
          <w:tcPr>
            <w:tcW w:w="8210" w:type="dxa"/>
            <w:tcBorders/>
            <w:shd w:fill="FFFFFF" w:val="clear"/>
            <w:vAlign w:val="center"/>
          </w:tcPr>
          <w:p>
            <w:pPr>
              <w:pStyle w:val="TableContents"/>
              <w:bidi w:val="0"/>
              <w:spacing w:before="0" w:after="283"/>
              <w:jc w:val="left"/>
              <w:rPr/>
            </w:pPr>
            <w:r>
              <w:rPr/>
              <w:t>Other noncurrent assets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17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35" w:type="dxa"/>
            <w:tcBorders/>
            <w:shd w:fill="FFFFFF" w:val="clear"/>
            <w:vAlign w:val="center"/>
          </w:tcPr>
          <w:p>
            <w:pPr>
              <w:pStyle w:val="TableContents"/>
              <w:bidi w:val="0"/>
              <w:spacing w:before="0" w:after="283"/>
              <w:jc w:val="right"/>
              <w:rPr/>
            </w:pPr>
            <w:r>
              <w:rPr/>
              <w:t>(115</w:t>
            </w:r>
          </w:p>
        </w:tc>
        <w:tc>
          <w:tcPr>
            <w:tcW w:w="110" w:type="dxa"/>
            <w:tcBorders/>
            <w:shd w:fill="FFFFFF" w:val="clear"/>
            <w:vAlign w:val="center"/>
          </w:tcPr>
          <w:p>
            <w:pPr>
              <w:pStyle w:val="TableContents"/>
              <w:bidi w:val="0"/>
              <w:spacing w:before="0" w:after="283"/>
              <w:jc w:val="left"/>
              <w:rPr/>
            </w:pPr>
            <w:r>
              <w:rPr/>
              <w:t>)</w:t>
            </w:r>
          </w:p>
        </w:tc>
      </w:tr>
      <w:tr>
        <w:trPr/>
        <w:tc>
          <w:tcPr>
            <w:tcW w:w="8210" w:type="dxa"/>
            <w:tcBorders/>
            <w:shd w:fill="CCEEFF" w:val="clear"/>
            <w:vAlign w:val="center"/>
          </w:tcPr>
          <w:p>
            <w:pPr>
              <w:pStyle w:val="TableContents"/>
              <w:bidi w:val="0"/>
              <w:spacing w:before="0" w:after="283"/>
              <w:jc w:val="left"/>
              <w:rPr/>
            </w:pPr>
            <w:r>
              <w:rPr/>
              <w:t>Accounts payable</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(2,085</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35" w:type="dxa"/>
            <w:tcBorders/>
            <w:shd w:fill="CCEEFF" w:val="clear"/>
            <w:vAlign w:val="center"/>
          </w:tcPr>
          <w:p>
            <w:pPr>
              <w:pStyle w:val="TableContents"/>
              <w:bidi w:val="0"/>
              <w:spacing w:before="0" w:after="283"/>
              <w:jc w:val="right"/>
              <w:rPr/>
            </w:pPr>
            <w:r>
              <w:rPr/>
              <w:t>3,380</w:t>
            </w:r>
          </w:p>
        </w:tc>
        <w:tc>
          <w:tcPr>
            <w:tcW w:w="110" w:type="dxa"/>
            <w:tcBorders/>
            <w:shd w:fill="CCEEFF" w:val="clear"/>
            <w:vAlign w:val="center"/>
          </w:tcPr>
          <w:p>
            <w:pPr>
              <w:pStyle w:val="TableContents"/>
              <w:bidi w:val="0"/>
              <w:spacing w:before="0" w:after="283"/>
              <w:jc w:val="left"/>
              <w:rPr/>
            </w:pPr>
            <w:r>
              <w:rPr/>
              <w:t> </w:t>
            </w:r>
          </w:p>
        </w:tc>
      </w:tr>
      <w:tr>
        <w:trPr/>
        <w:tc>
          <w:tcPr>
            <w:tcW w:w="8210" w:type="dxa"/>
            <w:tcBorders/>
            <w:shd w:fill="FFFFFF" w:val="clear"/>
            <w:vAlign w:val="center"/>
          </w:tcPr>
          <w:p>
            <w:pPr>
              <w:pStyle w:val="TableContents"/>
              <w:bidi w:val="0"/>
              <w:spacing w:before="0" w:after="283"/>
              <w:jc w:val="left"/>
              <w:rPr/>
            </w:pPr>
            <w:r>
              <w:rPr/>
              <w:t>Accrued expenses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6,256</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35" w:type="dxa"/>
            <w:tcBorders/>
            <w:shd w:fill="FFFFFF" w:val="clear"/>
            <w:vAlign w:val="center"/>
          </w:tcPr>
          <w:p>
            <w:pPr>
              <w:pStyle w:val="TableContents"/>
              <w:bidi w:val="0"/>
              <w:spacing w:before="0" w:after="283"/>
              <w:jc w:val="right"/>
              <w:rPr/>
            </w:pPr>
            <w:r>
              <w:rPr/>
              <w:t>(1,125</w:t>
            </w:r>
          </w:p>
        </w:tc>
        <w:tc>
          <w:tcPr>
            <w:tcW w:w="110" w:type="dxa"/>
            <w:tcBorders/>
            <w:shd w:fill="FFFFFF" w:val="clear"/>
            <w:vAlign w:val="center"/>
          </w:tcPr>
          <w:p>
            <w:pPr>
              <w:pStyle w:val="TableContents"/>
              <w:bidi w:val="0"/>
              <w:spacing w:before="0" w:after="283"/>
              <w:jc w:val="left"/>
              <w:rPr/>
            </w:pPr>
            <w:r>
              <w:rPr/>
              <w:t>)</w:t>
            </w:r>
          </w:p>
        </w:tc>
      </w:tr>
      <w:tr>
        <w:trPr/>
        <w:tc>
          <w:tcPr>
            <w:tcW w:w="8210" w:type="dxa"/>
            <w:tcBorders/>
            <w:shd w:fill="CCEEFF" w:val="clear"/>
            <w:vAlign w:val="center"/>
          </w:tcPr>
          <w:p>
            <w:pPr>
              <w:pStyle w:val="TableContents"/>
              <w:bidi w:val="0"/>
              <w:spacing w:before="0" w:after="283"/>
              <w:jc w:val="left"/>
              <w:rPr/>
            </w:pPr>
            <w:r>
              <w:rPr/>
              <w:t>Contract liabilities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14,850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35" w:type="dxa"/>
            <w:tcBorders/>
            <w:shd w:fill="CCEEFF" w:val="clear"/>
            <w:vAlign w:val="center"/>
          </w:tcPr>
          <w:p>
            <w:pPr>
              <w:pStyle w:val="TableContents"/>
              <w:bidi w:val="0"/>
              <w:spacing w:before="0" w:after="283"/>
              <w:jc w:val="right"/>
              <w:rPr/>
            </w:pPr>
            <w:r>
              <w:rPr/>
              <w:t>2,381</w:t>
            </w:r>
          </w:p>
        </w:tc>
        <w:tc>
          <w:tcPr>
            <w:tcW w:w="110" w:type="dxa"/>
            <w:tcBorders/>
            <w:shd w:fill="CCEEFF" w:val="clear"/>
            <w:vAlign w:val="center"/>
          </w:tcPr>
          <w:p>
            <w:pPr>
              <w:pStyle w:val="TableContents"/>
              <w:bidi w:val="0"/>
              <w:spacing w:before="0" w:after="283"/>
              <w:jc w:val="left"/>
              <w:rPr/>
            </w:pPr>
            <w:r>
              <w:rPr/>
              <w:t> </w:t>
            </w:r>
          </w:p>
        </w:tc>
      </w:tr>
      <w:tr>
        <w:trPr/>
        <w:tc>
          <w:tcPr>
            <w:tcW w:w="8210" w:type="dxa"/>
            <w:tcBorders/>
            <w:shd w:fill="FFFFFF" w:val="clear"/>
            <w:vAlign w:val="center"/>
          </w:tcPr>
          <w:p>
            <w:pPr>
              <w:pStyle w:val="TableContents"/>
              <w:bidi w:val="0"/>
              <w:spacing w:before="0" w:after="283"/>
              <w:jc w:val="left"/>
              <w:rPr/>
            </w:pPr>
            <w:r>
              <w:rPr/>
              <w:t>Operating lease liability</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755" w:type="dxa"/>
            <w:tcBorders>
              <w:bottom w:val="single" w:sz="12" w:space="0" w:color="000000"/>
            </w:tcBorders>
            <w:shd w:fill="FFFFFF" w:val="clear"/>
            <w:tcMar>
              <w:bottom w:w="28" w:type="dxa"/>
            </w:tcMar>
            <w:vAlign w:val="center"/>
          </w:tcPr>
          <w:p>
            <w:pPr>
              <w:pStyle w:val="TableContents"/>
              <w:bidi w:val="0"/>
              <w:spacing w:before="0" w:after="283"/>
              <w:jc w:val="right"/>
              <w:rPr/>
            </w:pPr>
            <w:r>
              <w:rPr/>
              <w:t>(108</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635" w:type="dxa"/>
            <w:tcBorders>
              <w:bottom w:val="single" w:sz="12" w:space="0" w:color="000000"/>
            </w:tcBorders>
            <w:shd w:fill="FFFFFF" w:val="clear"/>
            <w:tcMar>
              <w:bottom w:w="28" w:type="dxa"/>
            </w:tcMar>
            <w:vAlign w:val="center"/>
          </w:tcPr>
          <w:p>
            <w:pPr>
              <w:pStyle w:val="TableContents"/>
              <w:bidi w:val="0"/>
              <w:spacing w:before="0" w:after="283"/>
              <w:jc w:val="right"/>
              <w:rPr/>
            </w:pPr>
            <w:r>
              <w:rPr/>
              <w:t>(80</w:t>
            </w:r>
          </w:p>
        </w:tc>
        <w:tc>
          <w:tcPr>
            <w:tcW w:w="110" w:type="dxa"/>
            <w:tcBorders/>
            <w:shd w:fill="FFFFFF" w:val="clear"/>
            <w:vAlign w:val="center"/>
          </w:tcPr>
          <w:p>
            <w:pPr>
              <w:pStyle w:val="TableContents"/>
              <w:bidi w:val="0"/>
              <w:spacing w:before="0" w:after="283"/>
              <w:jc w:val="left"/>
              <w:rPr/>
            </w:pPr>
            <w:r>
              <w:rPr/>
              <w:t>)</w:t>
            </w:r>
          </w:p>
        </w:tc>
      </w:tr>
      <w:tr>
        <w:trPr/>
        <w:tc>
          <w:tcPr>
            <w:tcW w:w="8210" w:type="dxa"/>
            <w:tcBorders/>
            <w:shd w:fill="CCEEFF" w:val="clear"/>
            <w:vAlign w:val="center"/>
          </w:tcPr>
          <w:p>
            <w:pPr>
              <w:pStyle w:val="TableContents"/>
              <w:bidi w:val="0"/>
              <w:spacing w:before="0" w:after="283"/>
              <w:jc w:val="left"/>
              <w:rPr/>
            </w:pPr>
            <w:r>
              <w:rPr/>
              <w:t>Net cash (used in) provided by operating activities from continuing operations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755" w:type="dxa"/>
            <w:tcBorders>
              <w:bottom w:val="single" w:sz="12" w:space="0" w:color="000000"/>
            </w:tcBorders>
            <w:shd w:fill="CCEEFF" w:val="clear"/>
            <w:tcMar>
              <w:bottom w:w="28" w:type="dxa"/>
            </w:tcMar>
            <w:vAlign w:val="center"/>
          </w:tcPr>
          <w:p>
            <w:pPr>
              <w:pStyle w:val="TableContents"/>
              <w:bidi w:val="0"/>
              <w:spacing w:before="0" w:after="283"/>
              <w:jc w:val="right"/>
              <w:rPr/>
            </w:pPr>
            <w:r>
              <w:rPr/>
              <w:t>(1,992</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635" w:type="dxa"/>
            <w:tcBorders>
              <w:bottom w:val="single" w:sz="12" w:space="0" w:color="000000"/>
            </w:tcBorders>
            <w:shd w:fill="CCEEFF" w:val="clear"/>
            <w:tcMar>
              <w:bottom w:w="28" w:type="dxa"/>
            </w:tcMar>
            <w:vAlign w:val="center"/>
          </w:tcPr>
          <w:p>
            <w:pPr>
              <w:pStyle w:val="TableContents"/>
              <w:bidi w:val="0"/>
              <w:spacing w:before="0" w:after="283"/>
              <w:jc w:val="right"/>
              <w:rPr/>
            </w:pPr>
            <w:r>
              <w:rPr/>
              <w:t>518</w:t>
            </w:r>
          </w:p>
        </w:tc>
        <w:tc>
          <w:tcPr>
            <w:tcW w:w="110" w:type="dxa"/>
            <w:tcBorders/>
            <w:shd w:fill="CCEEFF" w:val="clear"/>
            <w:vAlign w:val="center"/>
          </w:tcPr>
          <w:p>
            <w:pPr>
              <w:pStyle w:val="TableContents"/>
              <w:bidi w:val="0"/>
              <w:spacing w:before="0" w:after="283"/>
              <w:jc w:val="left"/>
              <w:rPr/>
            </w:pPr>
            <w:r>
              <w:rPr/>
              <w:t> </w:t>
            </w:r>
          </w:p>
        </w:tc>
      </w:tr>
      <w:tr>
        <w:trPr/>
        <w:tc>
          <w:tcPr>
            <w:tcW w:w="8210" w:type="dxa"/>
            <w:tcBorders/>
            <w:shd w:fill="FFFFFF" w:val="clear"/>
            <w:vAlign w:val="center"/>
          </w:tcPr>
          <w:p>
            <w:pPr>
              <w:pStyle w:val="TableContents"/>
              <w:bidi w:val="0"/>
              <w:spacing w:before="0" w:after="283"/>
              <w:jc w:val="left"/>
              <w:rPr>
                <w:b/>
              </w:rPr>
            </w:pPr>
            <w:r>
              <w:rPr>
                <w:b/>
              </w:rPr>
              <w:t>Cash flows from investing activities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35"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8210" w:type="dxa"/>
            <w:tcBorders/>
            <w:shd w:fill="CCEEFF" w:val="clear"/>
            <w:vAlign w:val="center"/>
          </w:tcPr>
          <w:p>
            <w:pPr>
              <w:pStyle w:val="TableContents"/>
              <w:bidi w:val="0"/>
              <w:spacing w:before="0" w:after="283"/>
              <w:jc w:val="left"/>
              <w:rPr/>
            </w:pPr>
            <w:r>
              <w:rPr/>
              <w:t>Cash paid for purchase of property and equipment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755" w:type="dxa"/>
            <w:tcBorders>
              <w:bottom w:val="single" w:sz="12" w:space="0" w:color="000000"/>
            </w:tcBorders>
            <w:shd w:fill="CCEEFF" w:val="clear"/>
            <w:tcMar>
              <w:bottom w:w="28" w:type="dxa"/>
            </w:tcMar>
            <w:vAlign w:val="center"/>
          </w:tcPr>
          <w:p>
            <w:pPr>
              <w:pStyle w:val="TableContents"/>
              <w:bidi w:val="0"/>
              <w:spacing w:before="0" w:after="283"/>
              <w:jc w:val="right"/>
              <w:rPr/>
            </w:pPr>
            <w:r>
              <w:rPr/>
              <w:t>(28</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635" w:type="dxa"/>
            <w:tcBorders>
              <w:bottom w:val="single" w:sz="12" w:space="0" w:color="000000"/>
            </w:tcBorders>
            <w:shd w:fill="CCEEFF" w:val="clear"/>
            <w:tcMar>
              <w:bottom w:w="28" w:type="dxa"/>
            </w:tcMar>
            <w:vAlign w:val="center"/>
          </w:tcPr>
          <w:p>
            <w:pPr>
              <w:pStyle w:val="TableContents"/>
              <w:bidi w:val="0"/>
              <w:spacing w:before="0" w:after="283"/>
              <w:jc w:val="right"/>
              <w:rPr/>
            </w:pPr>
            <w:r>
              <w:rPr/>
              <w:t>(338</w:t>
            </w:r>
          </w:p>
        </w:tc>
        <w:tc>
          <w:tcPr>
            <w:tcW w:w="110" w:type="dxa"/>
            <w:tcBorders/>
            <w:shd w:fill="CCEEFF" w:val="clear"/>
            <w:vAlign w:val="center"/>
          </w:tcPr>
          <w:p>
            <w:pPr>
              <w:pStyle w:val="TableContents"/>
              <w:bidi w:val="0"/>
              <w:spacing w:before="0" w:after="283"/>
              <w:jc w:val="left"/>
              <w:rPr/>
            </w:pPr>
            <w:r>
              <w:rPr/>
              <w:t>)</w:t>
            </w:r>
          </w:p>
        </w:tc>
      </w:tr>
      <w:tr>
        <w:trPr/>
        <w:tc>
          <w:tcPr>
            <w:tcW w:w="8210" w:type="dxa"/>
            <w:tcBorders/>
            <w:shd w:fill="FFFFFF" w:val="clear"/>
            <w:vAlign w:val="center"/>
          </w:tcPr>
          <w:p>
            <w:pPr>
              <w:pStyle w:val="TableContents"/>
              <w:bidi w:val="0"/>
              <w:spacing w:before="0" w:after="283"/>
              <w:jc w:val="left"/>
              <w:rPr/>
            </w:pPr>
            <w:r>
              <w:rPr/>
              <w:t>Net cash used in investing activities from continuing operations</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755" w:type="dxa"/>
            <w:tcBorders>
              <w:bottom w:val="single" w:sz="12" w:space="0" w:color="000000"/>
            </w:tcBorders>
            <w:shd w:fill="FFFFFF" w:val="clear"/>
            <w:tcMar>
              <w:bottom w:w="28" w:type="dxa"/>
            </w:tcMar>
            <w:vAlign w:val="center"/>
          </w:tcPr>
          <w:p>
            <w:pPr>
              <w:pStyle w:val="TableContents"/>
              <w:bidi w:val="0"/>
              <w:spacing w:before="0" w:after="283"/>
              <w:jc w:val="right"/>
              <w:rPr/>
            </w:pPr>
            <w:r>
              <w:rPr/>
              <w:t>(28</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635" w:type="dxa"/>
            <w:tcBorders>
              <w:bottom w:val="single" w:sz="12" w:space="0" w:color="000000"/>
            </w:tcBorders>
            <w:shd w:fill="FFFFFF" w:val="clear"/>
            <w:tcMar>
              <w:bottom w:w="28" w:type="dxa"/>
            </w:tcMar>
            <w:vAlign w:val="center"/>
          </w:tcPr>
          <w:p>
            <w:pPr>
              <w:pStyle w:val="TableContents"/>
              <w:bidi w:val="0"/>
              <w:spacing w:before="0" w:after="283"/>
              <w:jc w:val="right"/>
              <w:rPr/>
            </w:pPr>
            <w:r>
              <w:rPr/>
              <w:t>(338</w:t>
            </w:r>
          </w:p>
        </w:tc>
        <w:tc>
          <w:tcPr>
            <w:tcW w:w="110" w:type="dxa"/>
            <w:tcBorders/>
            <w:shd w:fill="FFFFFF" w:val="clear"/>
            <w:vAlign w:val="center"/>
          </w:tcPr>
          <w:p>
            <w:pPr>
              <w:pStyle w:val="TableContents"/>
              <w:bidi w:val="0"/>
              <w:spacing w:before="0" w:after="283"/>
              <w:jc w:val="left"/>
              <w:rPr/>
            </w:pPr>
            <w:r>
              <w:rPr/>
              <w:t>)</w:t>
            </w:r>
          </w:p>
        </w:tc>
      </w:tr>
      <w:tr>
        <w:trPr/>
        <w:tc>
          <w:tcPr>
            <w:tcW w:w="8210" w:type="dxa"/>
            <w:tcBorders/>
            <w:shd w:fill="CCEEFF" w:val="clear"/>
            <w:vAlign w:val="center"/>
          </w:tcPr>
          <w:p>
            <w:pPr>
              <w:pStyle w:val="TableContents"/>
              <w:bidi w:val="0"/>
              <w:spacing w:before="0" w:after="283"/>
              <w:jc w:val="left"/>
              <w:rPr>
                <w:b/>
              </w:rPr>
            </w:pPr>
            <w:r>
              <w:rPr>
                <w:b/>
              </w:rPr>
              <w:t>Cash flows from financing activities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35"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8210" w:type="dxa"/>
            <w:tcBorders/>
            <w:shd w:fill="FFFFFF" w:val="clear"/>
            <w:vAlign w:val="center"/>
          </w:tcPr>
          <w:p>
            <w:pPr>
              <w:pStyle w:val="TableContents"/>
              <w:bidi w:val="0"/>
              <w:spacing w:before="0" w:after="283"/>
              <w:jc w:val="left"/>
              <w:rPr/>
            </w:pPr>
            <w:r>
              <w:rPr/>
              <w:t>Cash distribution to member</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(457</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35" w:type="dxa"/>
            <w:tcBorders/>
            <w:shd w:fill="FFFFFF" w:val="clear"/>
            <w:vAlign w:val="center"/>
          </w:tcPr>
          <w:p>
            <w:pPr>
              <w:pStyle w:val="TableContents"/>
              <w:bidi w:val="0"/>
              <w:spacing w:before="0" w:after="283"/>
              <w:jc w:val="right"/>
              <w:rPr/>
            </w:pPr>
            <w:r>
              <w:rPr/>
              <w:t>(3,202</w:t>
            </w:r>
          </w:p>
        </w:tc>
        <w:tc>
          <w:tcPr>
            <w:tcW w:w="110" w:type="dxa"/>
            <w:tcBorders/>
            <w:shd w:fill="FFFFFF" w:val="clear"/>
            <w:vAlign w:val="center"/>
          </w:tcPr>
          <w:p>
            <w:pPr>
              <w:pStyle w:val="TableContents"/>
              <w:bidi w:val="0"/>
              <w:spacing w:before="0" w:after="283"/>
              <w:jc w:val="left"/>
              <w:rPr/>
            </w:pPr>
            <w:r>
              <w:rPr/>
              <w:t>)</w:t>
            </w:r>
          </w:p>
        </w:tc>
      </w:tr>
      <w:tr>
        <w:trPr/>
        <w:tc>
          <w:tcPr>
            <w:tcW w:w="8210" w:type="dxa"/>
            <w:tcBorders/>
            <w:shd w:fill="CCEEFF" w:val="clear"/>
            <w:vAlign w:val="center"/>
          </w:tcPr>
          <w:p>
            <w:pPr>
              <w:pStyle w:val="TableContents"/>
              <w:bidi w:val="0"/>
              <w:spacing w:before="0" w:after="283"/>
              <w:jc w:val="left"/>
              <w:rPr/>
            </w:pPr>
            <w:r>
              <w:rPr/>
              <w:t>Cash contributions from member</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4,059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35" w:type="dxa"/>
            <w:tcBorders/>
            <w:shd w:fill="CCEEFF" w:val="clear"/>
            <w:vAlign w:val="center"/>
          </w:tcPr>
          <w:p>
            <w:pPr>
              <w:pStyle w:val="TableContents"/>
              <w:bidi w:val="0"/>
              <w:spacing w:before="0" w:after="283"/>
              <w:jc w:val="right"/>
              <w:rPr/>
            </w:pPr>
            <w:r>
              <w:rPr/>
              <w:t>-</w:t>
            </w:r>
          </w:p>
        </w:tc>
        <w:tc>
          <w:tcPr>
            <w:tcW w:w="110" w:type="dxa"/>
            <w:tcBorders/>
            <w:shd w:fill="CCEEFF" w:val="clear"/>
            <w:vAlign w:val="center"/>
          </w:tcPr>
          <w:p>
            <w:pPr>
              <w:pStyle w:val="TableContents"/>
              <w:bidi w:val="0"/>
              <w:spacing w:before="0" w:after="283"/>
              <w:jc w:val="left"/>
              <w:rPr/>
            </w:pPr>
            <w:r>
              <w:rPr/>
              <w:t> </w:t>
            </w:r>
          </w:p>
        </w:tc>
      </w:tr>
      <w:tr>
        <w:trPr/>
        <w:tc>
          <w:tcPr>
            <w:tcW w:w="8210" w:type="dxa"/>
            <w:tcBorders/>
            <w:shd w:fill="FFFFFF" w:val="clear"/>
            <w:vAlign w:val="center"/>
          </w:tcPr>
          <w:p>
            <w:pPr>
              <w:pStyle w:val="TableContents"/>
              <w:bidi w:val="0"/>
              <w:spacing w:before="0" w:after="283"/>
              <w:jc w:val="left"/>
              <w:rPr/>
            </w:pPr>
            <w:r>
              <w:rPr/>
              <w:t>Borrowings on the line of credit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500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35" w:type="dxa"/>
            <w:tcBorders/>
            <w:shd w:fill="FFFFFF" w:val="clear"/>
            <w:vAlign w:val="center"/>
          </w:tcPr>
          <w:p>
            <w:pPr>
              <w:pStyle w:val="TableContents"/>
              <w:bidi w:val="0"/>
              <w:spacing w:before="0" w:after="283"/>
              <w:jc w:val="right"/>
              <w:rPr/>
            </w:pPr>
            <w:r>
              <w:rPr/>
              <w:t>2,000</w:t>
            </w:r>
          </w:p>
        </w:tc>
        <w:tc>
          <w:tcPr>
            <w:tcW w:w="110" w:type="dxa"/>
            <w:tcBorders/>
            <w:shd w:fill="FFFFFF" w:val="clear"/>
            <w:vAlign w:val="center"/>
          </w:tcPr>
          <w:p>
            <w:pPr>
              <w:pStyle w:val="TableContents"/>
              <w:bidi w:val="0"/>
              <w:spacing w:before="0" w:after="283"/>
              <w:jc w:val="left"/>
              <w:rPr/>
            </w:pPr>
            <w:r>
              <w:rPr/>
              <w:t> </w:t>
            </w:r>
          </w:p>
        </w:tc>
      </w:tr>
      <w:tr>
        <w:trPr/>
        <w:tc>
          <w:tcPr>
            <w:tcW w:w="8210" w:type="dxa"/>
            <w:tcBorders/>
            <w:shd w:fill="CCEEFF" w:val="clear"/>
            <w:vAlign w:val="center"/>
          </w:tcPr>
          <w:p>
            <w:pPr>
              <w:pStyle w:val="TableContents"/>
              <w:bidi w:val="0"/>
              <w:spacing w:before="0" w:after="283"/>
              <w:jc w:val="left"/>
              <w:rPr/>
            </w:pPr>
            <w:r>
              <w:rPr/>
              <w:t>Repayments on the line of credit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755" w:type="dxa"/>
            <w:tcBorders>
              <w:bottom w:val="single" w:sz="12" w:space="0" w:color="000000"/>
            </w:tcBorders>
            <w:shd w:fill="CCEEFF" w:val="clear"/>
            <w:tcMar>
              <w:bottom w:w="28" w:type="dxa"/>
            </w:tcMar>
            <w:vAlign w:val="center"/>
          </w:tcPr>
          <w:p>
            <w:pPr>
              <w:pStyle w:val="TableContents"/>
              <w:bidi w:val="0"/>
              <w:spacing w:before="0" w:after="283"/>
              <w:jc w:val="right"/>
              <w:rPr/>
            </w:pPr>
            <w:r>
              <w:rPr/>
              <w:t>(250</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635"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110" w:type="dxa"/>
            <w:tcBorders/>
            <w:shd w:fill="CCEEFF" w:val="clear"/>
            <w:vAlign w:val="center"/>
          </w:tcPr>
          <w:p>
            <w:pPr>
              <w:pStyle w:val="TableContents"/>
              <w:bidi w:val="0"/>
              <w:spacing w:before="0" w:after="283"/>
              <w:jc w:val="left"/>
              <w:rPr/>
            </w:pPr>
            <w:r>
              <w:rPr/>
              <w:t> </w:t>
            </w:r>
          </w:p>
        </w:tc>
      </w:tr>
      <w:tr>
        <w:trPr/>
        <w:tc>
          <w:tcPr>
            <w:tcW w:w="8210" w:type="dxa"/>
            <w:tcBorders/>
            <w:shd w:fill="FFFFFF" w:val="clear"/>
            <w:vAlign w:val="center"/>
          </w:tcPr>
          <w:p>
            <w:pPr>
              <w:pStyle w:val="TableContents"/>
              <w:bidi w:val="0"/>
              <w:spacing w:before="0" w:after="283"/>
              <w:jc w:val="left"/>
              <w:rPr/>
            </w:pPr>
            <w:r>
              <w:rPr/>
              <w:t>Net cash provided by (used in) financing activities from continuing operations</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755" w:type="dxa"/>
            <w:tcBorders>
              <w:bottom w:val="single" w:sz="12" w:space="0" w:color="000000"/>
            </w:tcBorders>
            <w:shd w:fill="FFFFFF" w:val="clear"/>
            <w:tcMar>
              <w:bottom w:w="28" w:type="dxa"/>
            </w:tcMar>
            <w:vAlign w:val="center"/>
          </w:tcPr>
          <w:p>
            <w:pPr>
              <w:pStyle w:val="TableContents"/>
              <w:bidi w:val="0"/>
              <w:spacing w:before="0" w:after="283"/>
              <w:jc w:val="right"/>
              <w:rPr/>
            </w:pPr>
            <w:r>
              <w:rPr/>
              <w:t>3,852</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635" w:type="dxa"/>
            <w:tcBorders>
              <w:bottom w:val="single" w:sz="12" w:space="0" w:color="000000"/>
            </w:tcBorders>
            <w:shd w:fill="FFFFFF" w:val="clear"/>
            <w:tcMar>
              <w:bottom w:w="28" w:type="dxa"/>
            </w:tcMar>
            <w:vAlign w:val="center"/>
          </w:tcPr>
          <w:p>
            <w:pPr>
              <w:pStyle w:val="TableContents"/>
              <w:bidi w:val="0"/>
              <w:spacing w:before="0" w:after="283"/>
              <w:jc w:val="right"/>
              <w:rPr/>
            </w:pPr>
            <w:r>
              <w:rPr/>
              <w:t>(1,202</w:t>
            </w:r>
          </w:p>
        </w:tc>
        <w:tc>
          <w:tcPr>
            <w:tcW w:w="110" w:type="dxa"/>
            <w:tcBorders/>
            <w:shd w:fill="FFFFFF" w:val="clear"/>
            <w:vAlign w:val="center"/>
          </w:tcPr>
          <w:p>
            <w:pPr>
              <w:pStyle w:val="TableContents"/>
              <w:bidi w:val="0"/>
              <w:spacing w:before="0" w:after="283"/>
              <w:jc w:val="left"/>
              <w:rPr/>
            </w:pPr>
            <w:r>
              <w:rPr/>
              <w:t>)</w:t>
            </w:r>
          </w:p>
        </w:tc>
      </w:tr>
      <w:tr>
        <w:trPr/>
        <w:tc>
          <w:tcPr>
            <w:tcW w:w="8210" w:type="dxa"/>
            <w:tcBorders/>
            <w:shd w:fill="CCEEFF" w:val="clear"/>
            <w:vAlign w:val="center"/>
          </w:tcPr>
          <w:p>
            <w:pPr>
              <w:pStyle w:val="TableContents"/>
              <w:bidi w:val="0"/>
              <w:spacing w:before="0" w:after="283"/>
              <w:jc w:val="left"/>
              <w:rPr/>
            </w:pPr>
            <w:r>
              <w:rPr/>
              <w:t>Net change in cash</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755" w:type="dxa"/>
            <w:tcBorders>
              <w:bottom w:val="single" w:sz="12" w:space="0" w:color="000000"/>
            </w:tcBorders>
            <w:shd w:fill="CCEEFF" w:val="clear"/>
            <w:tcMar>
              <w:bottom w:w="28" w:type="dxa"/>
            </w:tcMar>
            <w:vAlign w:val="center"/>
          </w:tcPr>
          <w:p>
            <w:pPr>
              <w:pStyle w:val="TableContents"/>
              <w:bidi w:val="0"/>
              <w:spacing w:before="0" w:after="283"/>
              <w:jc w:val="right"/>
              <w:rPr/>
            </w:pPr>
            <w:r>
              <w:rPr/>
              <w:t>1,832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635" w:type="dxa"/>
            <w:tcBorders>
              <w:bottom w:val="single" w:sz="12" w:space="0" w:color="000000"/>
            </w:tcBorders>
            <w:shd w:fill="CCEEFF" w:val="clear"/>
            <w:tcMar>
              <w:bottom w:w="28" w:type="dxa"/>
            </w:tcMar>
            <w:vAlign w:val="center"/>
          </w:tcPr>
          <w:p>
            <w:pPr>
              <w:pStyle w:val="TableContents"/>
              <w:bidi w:val="0"/>
              <w:spacing w:before="0" w:after="283"/>
              <w:jc w:val="right"/>
              <w:rPr/>
            </w:pPr>
            <w:r>
              <w:rPr/>
              <w:t>(1,022</w:t>
            </w:r>
          </w:p>
        </w:tc>
        <w:tc>
          <w:tcPr>
            <w:tcW w:w="110" w:type="dxa"/>
            <w:tcBorders/>
            <w:shd w:fill="CCEEFF" w:val="clear"/>
            <w:vAlign w:val="center"/>
          </w:tcPr>
          <w:p>
            <w:pPr>
              <w:pStyle w:val="TableContents"/>
              <w:bidi w:val="0"/>
              <w:spacing w:before="0" w:after="283"/>
              <w:jc w:val="left"/>
              <w:rPr/>
            </w:pPr>
            <w:r>
              <w:rPr/>
              <w:t>)</w:t>
            </w:r>
          </w:p>
        </w:tc>
      </w:tr>
      <w:tr>
        <w:trPr/>
        <w:tc>
          <w:tcPr>
            <w:tcW w:w="8210" w:type="dxa"/>
            <w:tcBorders/>
            <w:shd w:fill="FFFFFF" w:val="clear"/>
            <w:vAlign w:val="center"/>
          </w:tcPr>
          <w:p>
            <w:pPr>
              <w:pStyle w:val="TableContents"/>
              <w:bidi w:val="0"/>
              <w:spacing w:before="0" w:after="283"/>
              <w:jc w:val="left"/>
              <w:rPr/>
            </w:pPr>
            <w:r>
              <w:rPr/>
              <w:t>Cash and restricted cash beginning of year</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755" w:type="dxa"/>
            <w:tcBorders>
              <w:bottom w:val="single" w:sz="12" w:space="0" w:color="000000"/>
            </w:tcBorders>
            <w:shd w:fill="FFFFFF" w:val="clear"/>
            <w:tcMar>
              <w:bottom w:w="28" w:type="dxa"/>
            </w:tcMar>
            <w:vAlign w:val="center"/>
          </w:tcPr>
          <w:p>
            <w:pPr>
              <w:pStyle w:val="TableContents"/>
              <w:bidi w:val="0"/>
              <w:spacing w:before="0" w:after="283"/>
              <w:jc w:val="right"/>
              <w:rPr/>
            </w:pPr>
            <w:r>
              <w:rPr/>
              <w:t>1,710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635" w:type="dxa"/>
            <w:tcBorders>
              <w:bottom w:val="single" w:sz="12" w:space="0" w:color="000000"/>
            </w:tcBorders>
            <w:shd w:fill="FFFFFF" w:val="clear"/>
            <w:tcMar>
              <w:bottom w:w="28" w:type="dxa"/>
            </w:tcMar>
            <w:vAlign w:val="center"/>
          </w:tcPr>
          <w:p>
            <w:pPr>
              <w:pStyle w:val="TableContents"/>
              <w:bidi w:val="0"/>
              <w:spacing w:before="0" w:after="283"/>
              <w:jc w:val="right"/>
              <w:rPr/>
            </w:pPr>
            <w:r>
              <w:rPr/>
              <w:t>2,732</w:t>
            </w:r>
          </w:p>
        </w:tc>
        <w:tc>
          <w:tcPr>
            <w:tcW w:w="110" w:type="dxa"/>
            <w:tcBorders/>
            <w:shd w:fill="FFFFFF" w:val="clear"/>
            <w:vAlign w:val="center"/>
          </w:tcPr>
          <w:p>
            <w:pPr>
              <w:pStyle w:val="TableContents"/>
              <w:bidi w:val="0"/>
              <w:spacing w:before="0" w:after="283"/>
              <w:jc w:val="left"/>
              <w:rPr/>
            </w:pPr>
            <w:r>
              <w:rPr/>
              <w:t> </w:t>
            </w:r>
          </w:p>
        </w:tc>
      </w:tr>
      <w:tr>
        <w:trPr/>
        <w:tc>
          <w:tcPr>
            <w:tcW w:w="8210" w:type="dxa"/>
            <w:tcBorders/>
            <w:shd w:fill="CCEEFF" w:val="clear"/>
            <w:vAlign w:val="center"/>
          </w:tcPr>
          <w:p>
            <w:pPr>
              <w:pStyle w:val="TableContents"/>
              <w:bidi w:val="0"/>
              <w:spacing w:before="0" w:after="283"/>
              <w:jc w:val="left"/>
              <w:rPr/>
            </w:pPr>
            <w:r>
              <w:rPr/>
              <w:t>Cash and restricted cash end of year</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755" w:type="dxa"/>
            <w:tcBorders>
              <w:bottom w:val="double" w:sz="10" w:space="0" w:color="000000"/>
            </w:tcBorders>
            <w:shd w:fill="CCEEFF" w:val="clear"/>
            <w:tcMar>
              <w:bottom w:w="28" w:type="dxa"/>
            </w:tcMar>
            <w:vAlign w:val="center"/>
          </w:tcPr>
          <w:p>
            <w:pPr>
              <w:pStyle w:val="TableContents"/>
              <w:bidi w:val="0"/>
              <w:spacing w:before="0" w:after="283"/>
              <w:jc w:val="right"/>
              <w:rPr/>
            </w:pPr>
            <w:r>
              <w:rPr/>
              <w:t>3,542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635" w:type="dxa"/>
            <w:tcBorders>
              <w:bottom w:val="double" w:sz="10" w:space="0" w:color="000000"/>
            </w:tcBorders>
            <w:shd w:fill="CCEEFF" w:val="clear"/>
            <w:tcMar>
              <w:bottom w:w="28" w:type="dxa"/>
            </w:tcMar>
            <w:vAlign w:val="center"/>
          </w:tcPr>
          <w:p>
            <w:pPr>
              <w:pStyle w:val="TableContents"/>
              <w:bidi w:val="0"/>
              <w:spacing w:before="0" w:after="283"/>
              <w:jc w:val="right"/>
              <w:rPr/>
            </w:pPr>
            <w:r>
              <w:rPr/>
              <w:t>1,710</w:t>
            </w:r>
          </w:p>
        </w:tc>
        <w:tc>
          <w:tcPr>
            <w:tcW w:w="110" w:type="dxa"/>
            <w:tcBorders/>
            <w:shd w:fill="CCEEFF" w:val="clear"/>
            <w:vAlign w:val="center"/>
          </w:tcPr>
          <w:p>
            <w:pPr>
              <w:pStyle w:val="TableContents"/>
              <w:bidi w:val="0"/>
              <w:spacing w:before="0" w:after="283"/>
              <w:jc w:val="left"/>
              <w:rPr/>
            </w:pPr>
            <w:r>
              <w:rPr/>
              <w:t> </w:t>
            </w:r>
          </w:p>
        </w:tc>
      </w:tr>
      <w:tr>
        <w:trPr/>
        <w:tc>
          <w:tcPr>
            <w:tcW w:w="821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35"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8210" w:type="dxa"/>
            <w:tcBorders/>
            <w:shd w:fill="CCEEFF" w:val="clear"/>
            <w:vAlign w:val="center"/>
          </w:tcPr>
          <w:p>
            <w:pPr>
              <w:pStyle w:val="TableContents"/>
              <w:bidi w:val="0"/>
              <w:spacing w:before="0" w:after="283"/>
              <w:jc w:val="left"/>
              <w:rPr/>
            </w:pPr>
            <w:r>
              <w:rPr/>
              <w:t>Cash</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755" w:type="dxa"/>
            <w:tcBorders/>
            <w:shd w:fill="CCEEFF" w:val="clear"/>
            <w:vAlign w:val="center"/>
          </w:tcPr>
          <w:p>
            <w:pPr>
              <w:pStyle w:val="TableContents"/>
              <w:bidi w:val="0"/>
              <w:spacing w:before="0" w:after="283"/>
              <w:jc w:val="right"/>
              <w:rPr/>
            </w:pPr>
            <w:r>
              <w:rPr/>
              <w:t>1,524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635" w:type="dxa"/>
            <w:tcBorders/>
            <w:shd w:fill="CCEEFF" w:val="clear"/>
            <w:vAlign w:val="center"/>
          </w:tcPr>
          <w:p>
            <w:pPr>
              <w:pStyle w:val="TableContents"/>
              <w:bidi w:val="0"/>
              <w:spacing w:before="0" w:after="283"/>
              <w:jc w:val="right"/>
              <w:rPr/>
            </w:pPr>
            <w:r>
              <w:rPr/>
              <w:t>1,710</w:t>
            </w:r>
          </w:p>
        </w:tc>
        <w:tc>
          <w:tcPr>
            <w:tcW w:w="110" w:type="dxa"/>
            <w:tcBorders/>
            <w:shd w:fill="CCEEFF" w:val="clear"/>
            <w:vAlign w:val="center"/>
          </w:tcPr>
          <w:p>
            <w:pPr>
              <w:pStyle w:val="TableContents"/>
              <w:bidi w:val="0"/>
              <w:spacing w:before="0" w:after="283"/>
              <w:jc w:val="left"/>
              <w:rPr/>
            </w:pPr>
            <w:r>
              <w:rPr/>
              <w:t> </w:t>
            </w:r>
          </w:p>
        </w:tc>
      </w:tr>
      <w:tr>
        <w:trPr/>
        <w:tc>
          <w:tcPr>
            <w:tcW w:w="8210" w:type="dxa"/>
            <w:tcBorders/>
            <w:shd w:fill="FFFFFF" w:val="clear"/>
            <w:vAlign w:val="center"/>
          </w:tcPr>
          <w:p>
            <w:pPr>
              <w:pStyle w:val="TableContents"/>
              <w:bidi w:val="0"/>
              <w:spacing w:before="0" w:after="283"/>
              <w:jc w:val="left"/>
              <w:rPr/>
            </w:pPr>
            <w:r>
              <w:rPr/>
              <w:t>Restricted cash</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755" w:type="dxa"/>
            <w:tcBorders>
              <w:bottom w:val="single" w:sz="12" w:space="0" w:color="000000"/>
            </w:tcBorders>
            <w:shd w:fill="FFFFFF" w:val="clear"/>
            <w:tcMar>
              <w:bottom w:w="28" w:type="dxa"/>
            </w:tcMar>
            <w:vAlign w:val="center"/>
          </w:tcPr>
          <w:p>
            <w:pPr>
              <w:pStyle w:val="TableContents"/>
              <w:bidi w:val="0"/>
              <w:spacing w:before="0" w:after="283"/>
              <w:jc w:val="right"/>
              <w:rPr/>
            </w:pPr>
            <w:r>
              <w:rPr/>
              <w:t>2,018</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635"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110" w:type="dxa"/>
            <w:tcBorders/>
            <w:shd w:fill="FFFFFF" w:val="clear"/>
            <w:vAlign w:val="center"/>
          </w:tcPr>
          <w:p>
            <w:pPr>
              <w:pStyle w:val="TableContents"/>
              <w:bidi w:val="0"/>
              <w:spacing w:before="0" w:after="283"/>
              <w:jc w:val="left"/>
              <w:rPr/>
            </w:pPr>
            <w:r>
              <w:rPr/>
              <w:t> </w:t>
            </w:r>
          </w:p>
        </w:tc>
      </w:tr>
      <w:tr>
        <w:trPr/>
        <w:tc>
          <w:tcPr>
            <w:tcW w:w="8210" w:type="dxa"/>
            <w:tcBorders/>
            <w:shd w:fill="CCEEFF" w:val="clear"/>
            <w:vAlign w:val="center"/>
          </w:tcPr>
          <w:p>
            <w:pPr>
              <w:pStyle w:val="TableContents"/>
              <w:bidi w:val="0"/>
              <w:spacing w:before="0" w:after="283"/>
              <w:jc w:val="left"/>
              <w:rPr/>
            </w:pPr>
            <w:r>
              <w:rPr/>
              <w:t>Total cash and restricted cash</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755" w:type="dxa"/>
            <w:tcBorders>
              <w:bottom w:val="double" w:sz="10" w:space="0" w:color="000000"/>
            </w:tcBorders>
            <w:shd w:fill="CCEEFF" w:val="clear"/>
            <w:tcMar>
              <w:bottom w:w="28" w:type="dxa"/>
            </w:tcMar>
            <w:vAlign w:val="center"/>
          </w:tcPr>
          <w:p>
            <w:pPr>
              <w:pStyle w:val="TableContents"/>
              <w:bidi w:val="0"/>
              <w:spacing w:before="0" w:after="283"/>
              <w:jc w:val="right"/>
              <w:rPr/>
            </w:pPr>
            <w:r>
              <w:rPr/>
              <w:t>3,542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635" w:type="dxa"/>
            <w:tcBorders>
              <w:bottom w:val="double" w:sz="10" w:space="0" w:color="000000"/>
            </w:tcBorders>
            <w:shd w:fill="CCEEFF" w:val="clear"/>
            <w:tcMar>
              <w:bottom w:w="28" w:type="dxa"/>
            </w:tcMar>
            <w:vAlign w:val="center"/>
          </w:tcPr>
          <w:p>
            <w:pPr>
              <w:pStyle w:val="TableContents"/>
              <w:bidi w:val="0"/>
              <w:spacing w:before="0" w:after="283"/>
              <w:jc w:val="right"/>
              <w:rPr/>
            </w:pPr>
            <w:r>
              <w:rPr/>
              <w:t>1,710</w:t>
            </w:r>
          </w:p>
        </w:tc>
        <w:tc>
          <w:tcPr>
            <w:tcW w:w="110" w:type="dxa"/>
            <w:tcBorders/>
            <w:shd w:fill="CCEEFF" w:val="clear"/>
            <w:vAlign w:val="center"/>
          </w:tcPr>
          <w:p>
            <w:pPr>
              <w:pStyle w:val="TableContents"/>
              <w:bidi w:val="0"/>
              <w:spacing w:before="0" w:after="283"/>
              <w:jc w:val="left"/>
              <w:rPr/>
            </w:pPr>
            <w:r>
              <w:rPr/>
              <w:t> </w:t>
            </w:r>
          </w:p>
        </w:tc>
      </w:tr>
      <w:tr>
        <w:trPr/>
        <w:tc>
          <w:tcPr>
            <w:tcW w:w="821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35"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8210" w:type="dxa"/>
            <w:tcBorders/>
            <w:shd w:fill="CCEEFF" w:val="clear"/>
            <w:vAlign w:val="center"/>
          </w:tcPr>
          <w:p>
            <w:pPr>
              <w:pStyle w:val="TableContents"/>
              <w:bidi w:val="0"/>
              <w:spacing w:before="0" w:after="283"/>
              <w:jc w:val="left"/>
              <w:rPr>
                <w:b/>
              </w:rPr>
            </w:pPr>
            <w:r>
              <w:rPr>
                <w:b/>
              </w:rPr>
              <w:t>Non-cash investing activities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35"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8210" w:type="dxa"/>
            <w:tcBorders/>
            <w:shd w:fill="FFFFFF" w:val="clear"/>
            <w:vAlign w:val="center"/>
          </w:tcPr>
          <w:p>
            <w:pPr>
              <w:pStyle w:val="TableContents"/>
              <w:bidi w:val="0"/>
              <w:spacing w:before="0" w:after="283"/>
              <w:jc w:val="left"/>
              <w:rPr/>
            </w:pPr>
            <w:r>
              <w:rPr/>
              <w:t>Right-of-use assets acquired in exchange for operating lease liability</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p>
        </w:tc>
        <w:tc>
          <w:tcPr>
            <w:tcW w:w="755"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p>
        </w:tc>
        <w:tc>
          <w:tcPr>
            <w:tcW w:w="635" w:type="dxa"/>
            <w:tcBorders/>
            <w:shd w:fill="FFFFFF" w:val="clear"/>
            <w:vAlign w:val="center"/>
          </w:tcPr>
          <w:p>
            <w:pPr>
              <w:pStyle w:val="TableContents"/>
              <w:bidi w:val="0"/>
              <w:spacing w:before="0" w:after="283"/>
              <w:jc w:val="right"/>
              <w:rPr/>
            </w:pPr>
            <w:r>
              <w:rPr/>
              <w:t>609</w:t>
            </w:r>
          </w:p>
        </w:tc>
        <w:tc>
          <w:tcPr>
            <w:tcW w:w="110" w:type="dxa"/>
            <w:tcBorders/>
            <w:shd w:fill="FFFFFF" w:val="clear"/>
            <w:vAlign w:val="center"/>
          </w:tcPr>
          <w:p>
            <w:pPr>
              <w:pStyle w:val="TableContents"/>
              <w:bidi w:val="0"/>
              <w:spacing w:before="0" w:after="283"/>
              <w:jc w:val="left"/>
              <w:rPr/>
            </w:pPr>
            <w:r>
              <w:rPr/>
              <w:t> </w:t>
            </w:r>
          </w:p>
        </w:tc>
      </w:tr>
      <w:tr>
        <w:trPr/>
        <w:tc>
          <w:tcPr>
            <w:tcW w:w="8210" w:type="dxa"/>
            <w:tcBorders/>
            <w:shd w:fill="CCEEFF" w:val="clear"/>
            <w:vAlign w:val="center"/>
          </w:tcPr>
          <w:p>
            <w:pPr>
              <w:pStyle w:val="TableContents"/>
              <w:bidi w:val="0"/>
              <w:spacing w:before="0" w:after="283"/>
              <w:jc w:val="left"/>
              <w:rPr>
                <w:b/>
              </w:rPr>
            </w:pPr>
            <w:r>
              <w:rPr>
                <w:b/>
              </w:rPr>
              <w:t>Supplemental cash flow information</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35"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8210" w:type="dxa"/>
            <w:tcBorders/>
            <w:shd w:fill="FFFFFF" w:val="clear"/>
            <w:vAlign w:val="center"/>
          </w:tcPr>
          <w:p>
            <w:pPr>
              <w:pStyle w:val="TableContents"/>
              <w:bidi w:val="0"/>
              <w:spacing w:before="0" w:after="283"/>
              <w:jc w:val="left"/>
              <w:rPr/>
            </w:pPr>
            <w:r>
              <w:rPr/>
              <w:t>Cash paid for interest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p>
        </w:tc>
        <w:tc>
          <w:tcPr>
            <w:tcW w:w="755" w:type="dxa"/>
            <w:tcBorders/>
            <w:shd w:fill="FFFFFF" w:val="clear"/>
            <w:vAlign w:val="center"/>
          </w:tcPr>
          <w:p>
            <w:pPr>
              <w:pStyle w:val="TableContents"/>
              <w:bidi w:val="0"/>
              <w:spacing w:before="0" w:after="283"/>
              <w:jc w:val="right"/>
              <w:rPr/>
            </w:pPr>
            <w:r>
              <w:rPr/>
              <w:t>152</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p>
        </w:tc>
        <w:tc>
          <w:tcPr>
            <w:tcW w:w="635" w:type="dxa"/>
            <w:tcBorders/>
            <w:shd w:fill="FFFFFF" w:val="clear"/>
            <w:vAlign w:val="center"/>
          </w:tcPr>
          <w:p>
            <w:pPr>
              <w:pStyle w:val="TableContents"/>
              <w:bidi w:val="0"/>
              <w:spacing w:before="0" w:after="283"/>
              <w:jc w:val="right"/>
              <w:rPr/>
            </w:pPr>
            <w:r>
              <w:rPr/>
              <w:t>-</w:t>
            </w:r>
          </w:p>
        </w:tc>
        <w:tc>
          <w:tcPr>
            <w:tcW w:w="11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The accompanying notes are an integral part of these financial statements.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center"/>
        <w:rPr>
          <w:sz w:val="20"/>
          <w:bdr w:val="single" w:sz="12" w:space="1" w:color="000000"/>
        </w:rPr>
      </w:pPr>
      <w:r>
        <w:rPr>
          <w:sz w:val="20"/>
          <w:bdr w:val="single" w:sz="12" w:space="1" w:color="000000"/>
        </w:rPr>
        <w:t>F-118</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38" w:name="D_006"/>
      <w:bookmarkEnd w:id="38"/>
      <w:r>
        <w:rPr>
          <w:rFonts w:ascii="Times New Roman;Times;Serif" w:hAnsi="Times New Roman;Times;Serif"/>
          <w:b/>
          <w:i w:val="false"/>
          <w:caps w:val="false"/>
          <w:smallCaps w:val="false"/>
          <w:sz w:val="20"/>
        </w:rPr>
        <w:t xml:space="preserve">SUNDER ENERGY LLC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Notes to Financial Statements</w:t>
      </w:r>
    </w:p>
    <w:p>
      <w:pPr>
        <w:pStyle w:val="TextBody"/>
        <w:bidi w:val="0"/>
        <w:spacing w:before="0" w:after="0"/>
        <w:ind w:left="0" w:right="0" w:hanging="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(Dollars in thousands except per share amounts)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Note 1. </w:t>
      </w:r>
      <w:r>
        <w:rPr>
          <w:rFonts w:ascii="Times New Roman;Times;Serif" w:hAnsi="Times New Roman;Times;Serif"/>
          <w:b/>
          <w:i/>
          <w:caps w:val="false"/>
          <w:smallCaps w:val="false"/>
          <w:sz w:val="20"/>
        </w:rPr>
        <w:t>BUSINESS AND ORGANIZATION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Description of Business and Organization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Sunder Energy LLC (“the Company”) was established as a limited liability company in 2019 under the laws of the State of Delaware. The Company provides a third-party solar energy sales force to initiate and execute contracts with customers throughout the United States. The Company’s sales force works with solar installation companies in which the Company acts as the agent for each transaction entered.</w:t>
      </w:r>
    </w:p>
    <w:p>
      <w:pPr>
        <w:pStyle w:val="TextBody"/>
        <w:bidi w:val="0"/>
        <w:spacing w:before="0" w:after="0"/>
        <w:ind w:left="0" w:right="0" w:hanging="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2023, the Company began selling internally developed software as a service (“SaaS”). On October 20, 2023, the Company spun off the internally developed software assets into a separate entity under common ownership. The Company accounted for these activities as discontinued operations within its financial statements for the year ended December 31, 2023.</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Basis of Presentation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financial statements and accompanying notes have been prepared in accordance with generally accepted accounting principles (“U.S. GAAP”).</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Summary of Significant Accounting Policies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Management Estimates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preparation of the financial statements in conformity with U.S. GAAP requires management to make estimates and assumptions that affect the amounts of assets and liabilities and disclosures of contingent assets and liabilities reported in these financial statements and accompanying notes. The Company bases its estimates on historical experience and various other assumptions believed to be reasonable. Actual financial results could materially differ from those estimates. Significant estimates include financial credit losses, valuation of contingencies such as litigation and the incremental borrowing rate used in discounting of lease liabilities.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Concentration of Credit Risk</w:t>
      </w:r>
    </w:p>
    <w:p>
      <w:pPr>
        <w:pStyle w:val="TextBody"/>
        <w:bidi w:val="0"/>
        <w:spacing w:before="0" w:after="0"/>
        <w:ind w:left="0" w:right="0" w:hanging="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financial instruments that may be exposed to concentrations of credit risk consist primarily of temporary cash investments and trade accounts receivable. The Company maintains its cash balances at financial institutions. At times, such balances may exceed federally insured limits. The Company has not experienced any losses in such accounts. The Company believes it is not exposed to any significant credit risk on cash. For the year ended December 31, 2024, the Company earned virtually all of its revenue from solar installation companies. Customer A, Customer B and Customer C accounted for 23%, 15%, and 10%, respectively, of the Company’s revenue for the year ended December 31, 2024. For part of the year ended December 31, 2023, the Company’s sales force worked exclusively with one solar installation company. The exclusive agreement, originally expiring in August 2024, was terminated on September 30, 2023. For the year ended December 31, 2023, 99% of total revenues was earned from this installation company. As of December 31, 2024, Customer D and Customer E accounted for 50% and 12%, respectively, of the Company’s trade accounts receivable. As of December 31, 2023, there were no trade accounts receivable concentrations.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sz w:val="20"/>
          <w:bdr w:val="single" w:sz="12" w:space="1" w:color="000000"/>
        </w:rPr>
      </w:pPr>
      <w:r>
        <w:rPr>
          <w:sz w:val="20"/>
          <w:bdr w:val="single" w:sz="12" w:space="1" w:color="000000"/>
        </w:rPr>
        <w:t>F-119</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Restricted Cash</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Restricted cash represents cash balances that are subject to contractual restrictions related to the Company’s litigation financing agreement. Restricted cash is included with cash when reconciling beginning and ending balances on the Statements of Cash Flows and is classified as current on the Balance Sheets based on the expected timing of its use.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Accounts Receivable, Net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Trade accounts receivable represent amounts reported by the installation companies where revenue has been recognized but that have not been paid. The Company has amounts due from sales representatives related to transaction fees on advances to the sales representatives, commission and bonus overpayments, and contractor advances. Contractor advances have no set repayment terms and have been included as a current asset based on when repayment is expected.</w:t>
      </w:r>
    </w:p>
    <w:p>
      <w:pPr>
        <w:pStyle w:val="TextBody"/>
        <w:bidi w:val="0"/>
        <w:spacing w:before="0" w:after="0"/>
        <w:ind w:left="0" w:right="0" w:hanging="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maintains an allowance for credit losses attributable to customers. These allowances are based upon current market conditions such as how installation partners are performing, if the installation partner is known to have financial or other performance issues, and historical losses incurred by the Company related to installation partners. The Company also maintains an allowance for credit losses attributable to amounts due from its sales representatives. The allowance for credit losses due from its sales representatives is estimated based upon an understanding of sales representatives’ selling activity, whether the sales representative is currently active, or if departed from the Company, the length of time that such sales representative was last active. Actual credit losses could differ from those estimates.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Due from Related Party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Due from related party represents a loan receivable from Enzy Technologies LLC (“Enzy”) an entity related to the Company by common ownership. The Company collected revenues for Enzy and paid certain shared expenses for Enzy’s benefit.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Prepaid expenses and Other Current Assets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Prepaid expenses and other current assets include amounts paid in advance for services to be received within one year, such as prepaid commissions, bonuses paid to sales representatives, and other customary prepaid expenses arising in the ordinary course of business. These amounts are recognized as expense when the associated services are utilized. Commissions are paid to sales representatives and recorded as prepaid commissions prior to the respective sale’s recognition as revenue by the Company. If the sale is cancelled, these commissions must be refunded to the Company. Commissions are recognized as Sales commissions within the Company’s statement of operations when the related revenue is recognized.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Property and Equipment, net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Property and equipment are recorded at cost less accumulated depreciation and are composed of personal property used in the business. Depreciation is computed using the straight- line method over the assets’ estimated useful lives that are estimated at 5 years or the remaining term of the lease for leasehold improvements, 5 years for computer equipment, and 7 years for furniture and fixtures. Expenditures for repairs and maintenance are charged to expense when incurred. Expenses for major renewals and betterments, which extend the useful lives of existing equipment, are capitalized and depreciated. Upon retirement or disposition of property and equipment, the cost and related accumulated depreciation are removed from the accounts and any resulting gain or loss is recognized in the statements of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sz w:val="20"/>
          <w:bdr w:val="single" w:sz="12" w:space="1" w:color="000000"/>
        </w:rPr>
      </w:pPr>
      <w:r>
        <w:rPr>
          <w:sz w:val="20"/>
          <w:bdr w:val="single" w:sz="12" w:space="1" w:color="000000"/>
        </w:rPr>
        <w:t>F-120</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Leases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determines if an arrangement contains a lease at the inception of a contract. The lease classification is determined at the commencement date. Right-of-use assets represent the Company’s right to use an underlying asset for the lease term and lease liabilities represent the Company’s obligation to make lease payments arising from the lease during the lease term. Right-of-use assets and lease liabilities are recognized at the commencement date based on the present value of the remaining future minimum lease payments during the lease term. Lease commencement is the date the Company has the right to control the property. The Company utilizes its incremental borrowing rate to discount the lease payments. Operating leases are expensed on a straight-line basis over the lease term. Short-term leases with an initial term of 12 months or less (of which there were none during the years ended December 31, 2024 and 2023) are not recorded on the balance sheets, and related lease payments are expensed on a straight-line basis over the term of the lease.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Other Noncurrent Assets</w:t>
      </w:r>
    </w:p>
    <w:p>
      <w:pPr>
        <w:pStyle w:val="TextBody"/>
        <w:bidi w:val="0"/>
        <w:spacing w:before="0" w:after="0"/>
        <w:ind w:left="0" w:right="0" w:hanging="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noncurrent assets represent a security deposit for the operating lease, noncurrent prepaid expenses, and bonus install commitments.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Contract Liabilities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Contract liabilities consist of deferred revenue and customer advances, which represent consideration received from a customer for revenue not yet recognized. Through October 2023, such consideration was accounted as contract liabilities prior to having the project installed. Thereafter, such consideration was accounted for as contract liabilities prior to achieving permission to operate (“PTO”).</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Revenue Recognition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Financial Accounting Standards Board (“FASB”) Accounting Standards Codification (“ASC”) Topic 606, Revenue from Contracts with Customers and related amendments, revenue is recognized when promised goods or services are transferred to customers in an amount that reflects the consideration to which the Company expects to be entitled in exchange for those goods and services.</w:t>
      </w:r>
    </w:p>
    <w:p>
      <w:pPr>
        <w:pStyle w:val="TextBody"/>
        <w:bidi w:val="0"/>
        <w:spacing w:before="0" w:after="0"/>
        <w:ind w:left="0" w:right="0" w:hanging="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earns sales revenue based on residential solar installation contracts for residential homeowners that are sold to installation companies in accordance with the Company’s contracts with those installation companies (the “Customer”). Through October 2023, upon entering into a sales contract, the requisite performance obligation of the Company was to assist the customer in the progress of the installation. Subsequent to October 2023, upon entering into a sales contract, the requisite performance obligation of the Company is to assist the customer in the progress of the installation and obtain PTO. PTO typically occurs within 3 to 6 months after the initial sale, but can happen as early as two months or as late as twelve months after the sale.</w:t>
      </w:r>
    </w:p>
    <w:p>
      <w:pPr>
        <w:pStyle w:val="TextBody"/>
        <w:bidi w:val="0"/>
        <w:spacing w:before="0" w:after="0"/>
        <w:ind w:left="0" w:right="0" w:hanging="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When contracts are signed by customers, initial payments are received from the installation companies and are subsequently passed down directly to the sales representative who made the sale. If the homeowner in the end decides not to go through with the installation, this amount will be returned to the installation companies. Sales representatives are not entitled to receive commissions on a sale unless funds are received from the installation company for that sale. Total sales revenue for each contract is based on the size of the system, baseline rate, and funding method used. The Company records sales revenue at a point in time when the homeowner has received permission to turn the system on. The Company records revenue as the total amount to be paid out by the installation company to the Company. As the Company is only acting as the agent in the situation, it records revenue on a net basis.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sz w:val="20"/>
          <w:bdr w:val="single" w:sz="12" w:space="1" w:color="000000"/>
        </w:rPr>
      </w:pPr>
      <w:r>
        <w:rPr>
          <w:sz w:val="20"/>
          <w:bdr w:val="single" w:sz="12" w:space="1" w:color="000000"/>
        </w:rPr>
        <w:t>F-121</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For the year ended December 31, 2023, the Company also had revenue from the sale of software as a service (these operations were discontinued, See Note 14 – </w:t>
      </w:r>
      <w:r>
        <w:rPr>
          <w:rFonts w:ascii="Times New Roman;Times;Serif" w:hAnsi="Times New Roman;Times;Serif"/>
          <w:b w:val="false"/>
          <w:i/>
          <w:caps w:val="false"/>
          <w:smallCaps w:val="false"/>
          <w:sz w:val="20"/>
        </w:rPr>
        <w:t>Discontinued Operations</w:t>
      </w:r>
      <w:r>
        <w:rPr>
          <w:rFonts w:ascii="Times New Roman;Times;Serif" w:hAnsi="Times New Roman;Times;Serif"/>
          <w:b w:val="false"/>
          <w:i w:val="false"/>
          <w:caps w:val="false"/>
          <w:smallCaps w:val="false"/>
          <w:sz w:val="20"/>
        </w:rPr>
        <w:t>). This revenue is considered earned by the Company based on the contract period and is recognized over time. For the year ended December 31, 2023, the Company had gross revenue of $321 that was earned over time. Because of the spin off, there was no further revenue earned for the sale of software as a service for the year ended December 31, 2024.</w:t>
      </w:r>
    </w:p>
    <w:p>
      <w:pPr>
        <w:pStyle w:val="TextBody"/>
        <w:bidi w:val="0"/>
        <w:spacing w:before="0" w:after="0"/>
        <w:ind w:left="0" w:right="0" w:hanging="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does not have any significant financing components. Due to being a service provider, the Company is not obligated to warranty installed systems and therefore the Company has not recorded a reserve for warranty work.</w:t>
      </w:r>
    </w:p>
    <w:p>
      <w:pPr>
        <w:pStyle w:val="TextBody"/>
        <w:bidi w:val="0"/>
        <w:spacing w:before="0" w:after="0"/>
        <w:ind w:left="0" w:right="0" w:hanging="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Contract liabilities as of December 31, 2024 and 2023 consist of deferred revenue of $17,231 and $2,381, respectively. The deferred revenue balance increased $14,850 from December 31, 2023 to December 31, 2024 primarily due to the Company’s transition to a new business model following the termination of its partnership with Freedom Forever LLC at the end of September 2023. Revenue for the year ended December 31, 2024 that was included in the contract liability balance at the beginning of the period was approximately $2,020.</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Income Taxes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income is passed through to the members for income tax purposes and therefore, no provision for federal and state income taxes has been provided for in these statements.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Tax penalties and interest, if any, would be classified with income tax expenses in the financial statements. No tax penalties or interest have been incurred or are recognized in the financial statements. Generally, three tax years remain subject to examination by tax jurisdictions.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Advertising and Promotions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costs associated with advertising and promotions are expensed in the year incurred. Advertising and promotions expense totaled $1,393 and $1,791 for the years ended December 31, 2024 and 2023, respectively.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Member Ownership Interest and Limited Liability of Member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Prior to October 30, 2023, ownership interest in the Company consisted of multiple members. On October 30, 2023, the members of the Company (consisting of common and incentive unit holders) executed multiple simultaneous actions to effectuate the transfer of their interests in the Company from themselves to a new entity, Chicken Parm Pizza LLC (“CPP”). Among these actions was to create the new entity, CPP, with a membership structure that mirrored the Company’s membership structure. Additionally, the Company’s members unanimously consented to the transfer of their interests in the Company from themselves to CPP. Finally, each unit holder executed a “Unit Transfer Power” agreement in which they transferred their personal units in the Company to CPP. Upon completion of the transfer of their interests, CPP became the sole member of Sunder.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rights and obligations of Chicken Parm Pizza, LLC as the sole member (“Parent”, “Sole Member” or “Member”) of the Company are governed by the Second Amended and Restated Limited Liability Company Agreement of Sunder Energy LLC dated as of October 30, 2023 (the “Operating Agreement”). The Operating Agreement provides that the liabilities of the Company shall be solely the liabilities of the Company, and the member shall not be obligated for any such liability solely by reason of being a member of the Company.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sz w:val="20"/>
          <w:bdr w:val="single" w:sz="12" w:space="1" w:color="000000"/>
        </w:rPr>
      </w:pPr>
      <w:r>
        <w:rPr>
          <w:sz w:val="20"/>
          <w:bdr w:val="single" w:sz="12" w:space="1" w:color="000000"/>
        </w:rPr>
        <w:t>F-122</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Stock-Based Compensation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entered into a Compensation Award plan and a liquidity-based bonus plan award with a cash settlement feature conditioned upon the closing of a liquidity event. These awards are classified as liability awards. Liability classified stock awards are remeasured at fair value each reporting period until settlement, with changes in fair value recognized in compensation expense.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Company also entered into incentive award agreements with certain employees under which the Parent company’s incentive units may be issued upon satisfaction of specified service and/or performance conditions. The awards are classified as equity awards in accordance with ASC 718, </w:t>
      </w:r>
      <w:r>
        <w:rPr>
          <w:rFonts w:ascii="Times New Roman;Times;Serif" w:hAnsi="Times New Roman;Times;Serif"/>
          <w:b w:val="false"/>
          <w:i/>
          <w:caps w:val="false"/>
          <w:smallCaps w:val="false"/>
          <w:sz w:val="20"/>
        </w:rPr>
        <w:t xml:space="preserve">Compensation—Stock Compensation.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2. </w:t>
      </w:r>
      <w:r>
        <w:rPr>
          <w:rFonts w:ascii="Times New Roman;Times;Serif" w:hAnsi="Times New Roman;Times;Serif"/>
          <w:b/>
          <w:i/>
          <w:caps w:val="false"/>
          <w:smallCaps w:val="false"/>
          <w:sz w:val="20"/>
        </w:rPr>
        <w:t>GOING CONCERN AND SALE OF COMPANY</w:t>
      </w:r>
    </w:p>
    <w:p>
      <w:pPr>
        <w:pStyle w:val="TextBody"/>
        <w:bidi w:val="0"/>
        <w:spacing w:before="0" w:after="0"/>
        <w:ind w:left="0" w:right="0" w:hanging="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Management of the Company has assessed the Company’s liquidity position. As of December 31, 2024, the Company has incurred net losses for the past two years and is experiencing liquidity constraints. The members intend to provide additional capital contributions, as necessary, to fund operations and meet the Company’s financial obligations, however, there can be no assurance that such contributions will be made or if made, sufficient to fund the Company’s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Therefore, there is substantial doubt about the Company’s ability to continue as a going concern within one year after the date that the unaudited financial statements are issued. The accompanying financial statements have been prepared assuming the Company will continue to operate as a going concern, which contemplates the realization of assets and settlement of liabilities in the normal course of business. They do not include any adjustments to reflect the possible future effects on the recoverability and classification of assets or the amounts and classifications of liabilities that may result from uncertainty related to its ability to continue as a going concern.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On September 21, 2025, the Company entered into a Membership Interest Purchase Agreement (“MIPA”) between the Company, the Sole Member and Complete Solaria, Inc., and Complete Solar, Inc., a subsidiary of Complete Solaria (collectively “Complete Solaria”) to sell all of the Member’s interest in Sunder. The sale of Sunder was completed on September 24, 2025. Refer to Note 15 – </w:t>
      </w:r>
      <w:r>
        <w:rPr>
          <w:rFonts w:ascii="Times New Roman;Times;Serif" w:hAnsi="Times New Roman;Times;Serif"/>
          <w:b w:val="false"/>
          <w:i/>
          <w:caps w:val="false"/>
          <w:smallCaps w:val="false"/>
          <w:sz w:val="20"/>
        </w:rPr>
        <w:t>Subsequent Events</w:t>
      </w:r>
      <w:r>
        <w:rPr>
          <w:rFonts w:ascii="Times New Roman;Times;Serif" w:hAnsi="Times New Roman;Times;Serif"/>
          <w:b w:val="false"/>
          <w:i w:val="false"/>
          <w:caps w:val="false"/>
          <w:smallCaps w:val="false"/>
          <w:sz w:val="20"/>
        </w:rPr>
        <w:t>, for a further discussion of the sale of the Company.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sz w:val="20"/>
          <w:bdr w:val="single" w:sz="12" w:space="1" w:color="000000"/>
        </w:rPr>
      </w:pPr>
      <w:r>
        <w:rPr>
          <w:sz w:val="20"/>
          <w:bdr w:val="single" w:sz="12" w:space="1" w:color="000000"/>
        </w:rPr>
        <w:t>F-123</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3. </w:t>
      </w:r>
      <w:r>
        <w:rPr>
          <w:rFonts w:ascii="Times New Roman;Times;Serif" w:hAnsi="Times New Roman;Times;Serif"/>
          <w:b/>
          <w:i/>
          <w:caps w:val="false"/>
          <w:smallCaps w:val="false"/>
          <w:sz w:val="20"/>
        </w:rPr>
        <w:t>ACCOUNTS RECEIVABLE, NET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Amounts comprising accounts receivable, net are as follows:</w:t>
      </w:r>
    </w:p>
    <w:p>
      <w:pPr>
        <w:pStyle w:val="TextBody"/>
        <w:bidi w:val="0"/>
        <w:spacing w:before="0" w:after="0"/>
        <w:ind w:left="0" w:right="0" w:hanging="0"/>
        <w:jc w:val="both"/>
        <w:rPr>
          <w:caps w:val="false"/>
          <w:smallCaps w:val="false"/>
        </w:rPr>
      </w:pPr>
      <w:r>
        <w:rPr>
          <w:caps w:val="false"/>
          <w:smallCaps w:val="false"/>
        </w:rPr>
        <w:t> </w:t>
      </w:r>
    </w:p>
    <w:tbl>
      <w:tblPr>
        <w:tblW w:w="5787" w:type="dxa"/>
        <w:jc w:val="left"/>
        <w:tblInd w:w="0" w:type="dxa"/>
        <w:tblLayout w:type="fixed"/>
        <w:tblCellMar>
          <w:top w:w="0" w:type="dxa"/>
          <w:left w:w="0" w:type="dxa"/>
          <w:bottom w:w="0" w:type="dxa"/>
          <w:right w:w="0" w:type="dxa"/>
        </w:tblCellMar>
      </w:tblPr>
      <w:tblGrid>
        <w:gridCol w:w="3620"/>
        <w:gridCol w:w="60"/>
        <w:gridCol w:w="203"/>
        <w:gridCol w:w="814"/>
        <w:gridCol w:w="138"/>
        <w:gridCol w:w="87"/>
        <w:gridCol w:w="203"/>
        <w:gridCol w:w="552"/>
        <w:gridCol w:w="110"/>
      </w:tblGrid>
      <w:tr>
        <w:trPr/>
        <w:tc>
          <w:tcPr>
            <w:tcW w:w="3620"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p>
        </w:tc>
        <w:tc>
          <w:tcPr>
            <w:tcW w:w="1997"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As of December 31,</w:t>
            </w:r>
          </w:p>
        </w:tc>
        <w:tc>
          <w:tcPr>
            <w:tcW w:w="110" w:type="dxa"/>
            <w:tcBorders/>
            <w:vAlign w:val="center"/>
          </w:tcPr>
          <w:p>
            <w:pPr>
              <w:pStyle w:val="TableContents"/>
              <w:bidi w:val="0"/>
              <w:spacing w:before="0" w:after="283"/>
              <w:jc w:val="left"/>
              <w:rPr/>
            </w:pPr>
            <w:r>
              <w:rPr/>
              <w:t> </w:t>
            </w:r>
          </w:p>
        </w:tc>
      </w:tr>
      <w:tr>
        <w:trPr/>
        <w:tc>
          <w:tcPr>
            <w:tcW w:w="3620"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p>
        </w:tc>
        <w:tc>
          <w:tcPr>
            <w:tcW w:w="1017"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2024</w:t>
            </w:r>
          </w:p>
        </w:tc>
        <w:tc>
          <w:tcPr>
            <w:tcW w:w="138" w:type="dxa"/>
            <w:tcBorders/>
            <w:vAlign w:val="center"/>
          </w:tcPr>
          <w:p>
            <w:pPr>
              <w:pStyle w:val="TableContents"/>
              <w:bidi w:val="0"/>
              <w:spacing w:before="0" w:after="283"/>
              <w:jc w:val="left"/>
              <w:rPr/>
            </w:pPr>
            <w:r>
              <w:rPr/>
              <w:t> </w:t>
            </w:r>
          </w:p>
        </w:tc>
        <w:tc>
          <w:tcPr>
            <w:tcW w:w="87" w:type="dxa"/>
            <w:tcBorders/>
            <w:vAlign w:val="center"/>
          </w:tcPr>
          <w:p>
            <w:pPr>
              <w:pStyle w:val="TableContents"/>
              <w:bidi w:val="0"/>
              <w:spacing w:before="0" w:after="283"/>
              <w:jc w:val="left"/>
              <w:rPr/>
            </w:pPr>
            <w:r>
              <w:rPr/>
              <w:t> </w:t>
            </w:r>
          </w:p>
        </w:tc>
        <w:tc>
          <w:tcPr>
            <w:tcW w:w="75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2023</w:t>
            </w:r>
          </w:p>
        </w:tc>
        <w:tc>
          <w:tcPr>
            <w:tcW w:w="110" w:type="dxa"/>
            <w:tcBorders/>
            <w:vAlign w:val="center"/>
          </w:tcPr>
          <w:p>
            <w:pPr>
              <w:pStyle w:val="TableContents"/>
              <w:bidi w:val="0"/>
              <w:spacing w:before="0" w:after="283"/>
              <w:jc w:val="left"/>
              <w:rPr/>
            </w:pPr>
            <w:r>
              <w:rPr/>
              <w:t> </w:t>
            </w:r>
          </w:p>
        </w:tc>
      </w:tr>
      <w:tr>
        <w:trPr/>
        <w:tc>
          <w:tcPr>
            <w:tcW w:w="3620" w:type="dxa"/>
            <w:tcBorders/>
            <w:shd w:fill="CCEEFF" w:val="clear"/>
            <w:vAlign w:val="center"/>
          </w:tcPr>
          <w:p>
            <w:pPr>
              <w:pStyle w:val="TableContents"/>
              <w:bidi w:val="0"/>
              <w:spacing w:before="0" w:after="283"/>
              <w:jc w:val="both"/>
              <w:rPr/>
            </w:pPr>
            <w:r>
              <w:rPr/>
              <w:t>Trade accounts receivable</w:t>
            </w:r>
          </w:p>
        </w:tc>
        <w:tc>
          <w:tcPr>
            <w:tcW w:w="60" w:type="dxa"/>
            <w:tcBorders/>
            <w:shd w:fill="CCEEFF" w:val="clear"/>
            <w:vAlign w:val="center"/>
          </w:tcPr>
          <w:p>
            <w:pPr>
              <w:pStyle w:val="TableContents"/>
              <w:bidi w:val="0"/>
              <w:spacing w:before="0" w:after="283"/>
              <w:jc w:val="left"/>
              <w:rPr/>
            </w:pPr>
            <w:r>
              <w:rPr/>
              <w:t> </w:t>
            </w:r>
          </w:p>
        </w:tc>
        <w:tc>
          <w:tcPr>
            <w:tcW w:w="203" w:type="dxa"/>
            <w:tcBorders/>
            <w:shd w:fill="CCEEFF" w:val="clear"/>
            <w:vAlign w:val="center"/>
          </w:tcPr>
          <w:p>
            <w:pPr>
              <w:pStyle w:val="TableContents"/>
              <w:bidi w:val="0"/>
              <w:spacing w:before="0" w:after="283"/>
              <w:jc w:val="left"/>
              <w:rPr/>
            </w:pPr>
            <w:r>
              <w:rPr/>
              <w:t>$</w:t>
            </w:r>
          </w:p>
        </w:tc>
        <w:tc>
          <w:tcPr>
            <w:tcW w:w="814" w:type="dxa"/>
            <w:tcBorders/>
            <w:shd w:fill="CCEEFF" w:val="clear"/>
            <w:vAlign w:val="center"/>
          </w:tcPr>
          <w:p>
            <w:pPr>
              <w:pStyle w:val="TableContents"/>
              <w:bidi w:val="0"/>
              <w:spacing w:before="0" w:after="283"/>
              <w:jc w:val="right"/>
              <w:rPr/>
            </w:pPr>
            <w:r>
              <w:rPr/>
              <w:t>1,199</w:t>
            </w:r>
          </w:p>
        </w:tc>
        <w:tc>
          <w:tcPr>
            <w:tcW w:w="138" w:type="dxa"/>
            <w:tcBorders/>
            <w:shd w:fill="CCEEFF" w:val="clear"/>
            <w:vAlign w:val="center"/>
          </w:tcPr>
          <w:p>
            <w:pPr>
              <w:pStyle w:val="TableContents"/>
              <w:bidi w:val="0"/>
              <w:spacing w:before="0" w:after="283"/>
              <w:jc w:val="left"/>
              <w:rPr/>
            </w:pPr>
            <w:r>
              <w:rPr/>
              <w:t> </w:t>
            </w:r>
          </w:p>
        </w:tc>
        <w:tc>
          <w:tcPr>
            <w:tcW w:w="87" w:type="dxa"/>
            <w:tcBorders/>
            <w:shd w:fill="CCEEFF" w:val="clear"/>
            <w:vAlign w:val="center"/>
          </w:tcPr>
          <w:p>
            <w:pPr>
              <w:pStyle w:val="TableContents"/>
              <w:bidi w:val="0"/>
              <w:spacing w:before="0" w:after="283"/>
              <w:jc w:val="left"/>
              <w:rPr/>
            </w:pPr>
            <w:r>
              <w:rPr/>
              <w:t> </w:t>
            </w:r>
          </w:p>
        </w:tc>
        <w:tc>
          <w:tcPr>
            <w:tcW w:w="203" w:type="dxa"/>
            <w:tcBorders/>
            <w:shd w:fill="CCEEFF" w:val="clear"/>
            <w:vAlign w:val="center"/>
          </w:tcPr>
          <w:p>
            <w:pPr>
              <w:pStyle w:val="TableContents"/>
              <w:bidi w:val="0"/>
              <w:spacing w:before="0" w:after="283"/>
              <w:jc w:val="left"/>
              <w:rPr/>
            </w:pPr>
            <w:r>
              <w:rPr/>
              <w:t>$</w:t>
            </w:r>
          </w:p>
        </w:tc>
        <w:tc>
          <w:tcPr>
            <w:tcW w:w="552" w:type="dxa"/>
            <w:tcBorders/>
            <w:shd w:fill="CCEEFF" w:val="clear"/>
            <w:vAlign w:val="center"/>
          </w:tcPr>
          <w:p>
            <w:pPr>
              <w:pStyle w:val="TableContents"/>
              <w:bidi w:val="0"/>
              <w:spacing w:before="0" w:after="283"/>
              <w:jc w:val="right"/>
              <w:rPr/>
            </w:pPr>
            <w:r>
              <w:rPr/>
              <w:t>13</w:t>
            </w:r>
          </w:p>
        </w:tc>
        <w:tc>
          <w:tcPr>
            <w:tcW w:w="110" w:type="dxa"/>
            <w:tcBorders/>
            <w:shd w:fill="CCEEFF" w:val="clear"/>
            <w:vAlign w:val="center"/>
          </w:tcPr>
          <w:p>
            <w:pPr>
              <w:pStyle w:val="TableContents"/>
              <w:bidi w:val="0"/>
              <w:spacing w:before="0" w:after="283"/>
              <w:jc w:val="left"/>
              <w:rPr/>
            </w:pPr>
            <w:r>
              <w:rPr/>
              <w:t> </w:t>
            </w:r>
          </w:p>
        </w:tc>
      </w:tr>
      <w:tr>
        <w:trPr/>
        <w:tc>
          <w:tcPr>
            <w:tcW w:w="3620" w:type="dxa"/>
            <w:tcBorders/>
            <w:shd w:fill="FFFFFF" w:val="clear"/>
            <w:vAlign w:val="center"/>
          </w:tcPr>
          <w:p>
            <w:pPr>
              <w:pStyle w:val="TableContents"/>
              <w:bidi w:val="0"/>
              <w:spacing w:before="0" w:after="283"/>
              <w:jc w:val="both"/>
              <w:rPr/>
            </w:pPr>
            <w:r>
              <w:rPr/>
              <w:t>Allowance for credit losses</w:t>
            </w:r>
          </w:p>
        </w:tc>
        <w:tc>
          <w:tcPr>
            <w:tcW w:w="60" w:type="dxa"/>
            <w:tcBorders/>
            <w:shd w:fill="FFFFFF" w:val="clear"/>
            <w:vAlign w:val="center"/>
          </w:tcPr>
          <w:p>
            <w:pPr>
              <w:pStyle w:val="TableContents"/>
              <w:bidi w:val="0"/>
              <w:spacing w:before="0" w:after="283"/>
              <w:jc w:val="left"/>
              <w:rPr/>
            </w:pPr>
            <w:r>
              <w:rPr/>
              <w:t> </w:t>
            </w:r>
          </w:p>
        </w:tc>
        <w:tc>
          <w:tcPr>
            <w:tcW w:w="203"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814" w:type="dxa"/>
            <w:tcBorders>
              <w:bottom w:val="single" w:sz="12" w:space="0" w:color="000000"/>
            </w:tcBorders>
            <w:shd w:fill="FFFFFF" w:val="clear"/>
            <w:tcMar>
              <w:bottom w:w="28" w:type="dxa"/>
            </w:tcMar>
            <w:vAlign w:val="center"/>
          </w:tcPr>
          <w:p>
            <w:pPr>
              <w:pStyle w:val="TableContents"/>
              <w:bidi w:val="0"/>
              <w:spacing w:before="0" w:after="283"/>
              <w:jc w:val="right"/>
              <w:rPr/>
            </w:pPr>
            <w:r>
              <w:rPr/>
              <w:t>(286</w:t>
            </w:r>
          </w:p>
        </w:tc>
        <w:tc>
          <w:tcPr>
            <w:tcW w:w="138" w:type="dxa"/>
            <w:tcBorders/>
            <w:shd w:fill="FFFFFF" w:val="clear"/>
            <w:vAlign w:val="center"/>
          </w:tcPr>
          <w:p>
            <w:pPr>
              <w:pStyle w:val="TableContents"/>
              <w:bidi w:val="0"/>
              <w:spacing w:before="0" w:after="283"/>
              <w:jc w:val="left"/>
              <w:rPr/>
            </w:pPr>
            <w:r>
              <w:rPr/>
              <w:t>)</w:t>
            </w:r>
          </w:p>
        </w:tc>
        <w:tc>
          <w:tcPr>
            <w:tcW w:w="87" w:type="dxa"/>
            <w:tcBorders/>
            <w:shd w:fill="FFFFFF" w:val="clear"/>
            <w:vAlign w:val="center"/>
          </w:tcPr>
          <w:p>
            <w:pPr>
              <w:pStyle w:val="TableContents"/>
              <w:bidi w:val="0"/>
              <w:spacing w:before="0" w:after="283"/>
              <w:jc w:val="left"/>
              <w:rPr/>
            </w:pPr>
            <w:r>
              <w:rPr/>
              <w:t> </w:t>
            </w:r>
          </w:p>
        </w:tc>
        <w:tc>
          <w:tcPr>
            <w:tcW w:w="203"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552"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110" w:type="dxa"/>
            <w:tcBorders/>
            <w:shd w:fill="FFFFFF" w:val="clear"/>
            <w:vAlign w:val="center"/>
          </w:tcPr>
          <w:p>
            <w:pPr>
              <w:pStyle w:val="TableContents"/>
              <w:bidi w:val="0"/>
              <w:spacing w:before="0" w:after="283"/>
              <w:jc w:val="left"/>
              <w:rPr/>
            </w:pPr>
            <w:r>
              <w:rPr/>
              <w:t> </w:t>
            </w:r>
          </w:p>
        </w:tc>
      </w:tr>
      <w:tr>
        <w:trPr/>
        <w:tc>
          <w:tcPr>
            <w:tcW w:w="3620" w:type="dxa"/>
            <w:tcBorders/>
            <w:shd w:fill="CCEEFF" w:val="clear"/>
            <w:vAlign w:val="center"/>
          </w:tcPr>
          <w:p>
            <w:pPr>
              <w:pStyle w:val="TableContents"/>
              <w:bidi w:val="0"/>
              <w:spacing w:before="0" w:after="283"/>
              <w:jc w:val="both"/>
              <w:rPr/>
            </w:pPr>
            <w:r>
              <w:rPr/>
              <w:t>Trade accounts receivable, net</w:t>
            </w:r>
          </w:p>
        </w:tc>
        <w:tc>
          <w:tcPr>
            <w:tcW w:w="60" w:type="dxa"/>
            <w:tcBorders/>
            <w:shd w:fill="CCEEFF" w:val="clear"/>
            <w:vAlign w:val="center"/>
          </w:tcPr>
          <w:p>
            <w:pPr>
              <w:pStyle w:val="TableContents"/>
              <w:bidi w:val="0"/>
              <w:spacing w:before="0" w:after="283"/>
              <w:jc w:val="left"/>
              <w:rPr/>
            </w:pPr>
            <w:r>
              <w:rPr/>
              <w:t> </w:t>
            </w:r>
          </w:p>
        </w:tc>
        <w:tc>
          <w:tcPr>
            <w:tcW w:w="203"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14" w:type="dxa"/>
            <w:tcBorders>
              <w:bottom w:val="single" w:sz="12" w:space="0" w:color="000000"/>
            </w:tcBorders>
            <w:shd w:fill="CCEEFF" w:val="clear"/>
            <w:tcMar>
              <w:bottom w:w="28" w:type="dxa"/>
            </w:tcMar>
            <w:vAlign w:val="center"/>
          </w:tcPr>
          <w:p>
            <w:pPr>
              <w:pStyle w:val="TableContents"/>
              <w:bidi w:val="0"/>
              <w:spacing w:before="0" w:after="283"/>
              <w:jc w:val="right"/>
              <w:rPr/>
            </w:pPr>
            <w:r>
              <w:rPr/>
              <w:t>913</w:t>
            </w:r>
          </w:p>
        </w:tc>
        <w:tc>
          <w:tcPr>
            <w:tcW w:w="138" w:type="dxa"/>
            <w:tcBorders/>
            <w:shd w:fill="CCEEFF" w:val="clear"/>
            <w:vAlign w:val="center"/>
          </w:tcPr>
          <w:p>
            <w:pPr>
              <w:pStyle w:val="TableContents"/>
              <w:bidi w:val="0"/>
              <w:spacing w:before="0" w:after="283"/>
              <w:jc w:val="left"/>
              <w:rPr/>
            </w:pPr>
            <w:r>
              <w:rPr/>
              <w:t> </w:t>
            </w:r>
          </w:p>
        </w:tc>
        <w:tc>
          <w:tcPr>
            <w:tcW w:w="87" w:type="dxa"/>
            <w:tcBorders/>
            <w:shd w:fill="CCEEFF" w:val="clear"/>
            <w:vAlign w:val="center"/>
          </w:tcPr>
          <w:p>
            <w:pPr>
              <w:pStyle w:val="TableContents"/>
              <w:bidi w:val="0"/>
              <w:spacing w:before="0" w:after="283"/>
              <w:jc w:val="left"/>
              <w:rPr/>
            </w:pPr>
            <w:r>
              <w:rPr/>
              <w:t> </w:t>
            </w:r>
          </w:p>
        </w:tc>
        <w:tc>
          <w:tcPr>
            <w:tcW w:w="203"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552" w:type="dxa"/>
            <w:tcBorders>
              <w:bottom w:val="single" w:sz="12" w:space="0" w:color="000000"/>
            </w:tcBorders>
            <w:shd w:fill="CCEEFF" w:val="clear"/>
            <w:tcMar>
              <w:bottom w:w="28" w:type="dxa"/>
            </w:tcMar>
            <w:vAlign w:val="center"/>
          </w:tcPr>
          <w:p>
            <w:pPr>
              <w:pStyle w:val="TableContents"/>
              <w:bidi w:val="0"/>
              <w:spacing w:before="0" w:after="283"/>
              <w:jc w:val="right"/>
              <w:rPr/>
            </w:pPr>
            <w:r>
              <w:rPr/>
              <w:t>13</w:t>
            </w:r>
          </w:p>
        </w:tc>
        <w:tc>
          <w:tcPr>
            <w:tcW w:w="110" w:type="dxa"/>
            <w:tcBorders/>
            <w:shd w:fill="CCEEFF" w:val="clear"/>
            <w:vAlign w:val="center"/>
          </w:tcPr>
          <w:p>
            <w:pPr>
              <w:pStyle w:val="TableContents"/>
              <w:bidi w:val="0"/>
              <w:spacing w:before="0" w:after="283"/>
              <w:jc w:val="left"/>
              <w:rPr/>
            </w:pPr>
            <w:r>
              <w:rPr/>
              <w:t> </w:t>
            </w:r>
          </w:p>
        </w:tc>
      </w:tr>
      <w:tr>
        <w:trPr/>
        <w:tc>
          <w:tcPr>
            <w:tcW w:w="3620" w:type="dxa"/>
            <w:tcBorders/>
            <w:shd w:fill="FFFFFF" w:val="clear"/>
            <w:vAlign w:val="center"/>
          </w:tcPr>
          <w:p>
            <w:pPr>
              <w:pStyle w:val="TableContents"/>
              <w:bidi w:val="0"/>
              <w:spacing w:before="0" w:after="283"/>
              <w:jc w:val="both"/>
              <w:rPr/>
            </w:pPr>
            <w:r>
              <w:rPr/>
              <w:t> </w:t>
            </w:r>
          </w:p>
        </w:tc>
        <w:tc>
          <w:tcPr>
            <w:tcW w:w="60" w:type="dxa"/>
            <w:tcBorders/>
            <w:shd w:fill="FFFFFF" w:val="clear"/>
            <w:vAlign w:val="center"/>
          </w:tcPr>
          <w:p>
            <w:pPr>
              <w:pStyle w:val="TableContents"/>
              <w:bidi w:val="0"/>
              <w:spacing w:before="0" w:after="283"/>
              <w:jc w:val="left"/>
              <w:rPr/>
            </w:pPr>
            <w:r>
              <w:rPr/>
              <w:t> </w:t>
            </w:r>
          </w:p>
        </w:tc>
        <w:tc>
          <w:tcPr>
            <w:tcW w:w="203" w:type="dxa"/>
            <w:tcBorders/>
            <w:shd w:fill="FFFFFF" w:val="clear"/>
            <w:vAlign w:val="center"/>
          </w:tcPr>
          <w:p>
            <w:pPr>
              <w:pStyle w:val="TableContents"/>
              <w:bidi w:val="0"/>
              <w:spacing w:before="0" w:after="283"/>
              <w:jc w:val="left"/>
              <w:rPr/>
            </w:pPr>
            <w:r>
              <w:rPr/>
              <w:t> </w:t>
            </w:r>
          </w:p>
        </w:tc>
        <w:tc>
          <w:tcPr>
            <w:tcW w:w="814" w:type="dxa"/>
            <w:tcBorders/>
            <w:shd w:fill="FFFFFF" w:val="clear"/>
            <w:vAlign w:val="center"/>
          </w:tcPr>
          <w:p>
            <w:pPr>
              <w:pStyle w:val="TableContents"/>
              <w:bidi w:val="0"/>
              <w:spacing w:before="0" w:after="283"/>
              <w:jc w:val="right"/>
              <w:rPr/>
            </w:pPr>
            <w:r>
              <w:rPr/>
              <w:t> </w:t>
            </w:r>
          </w:p>
        </w:tc>
        <w:tc>
          <w:tcPr>
            <w:tcW w:w="138" w:type="dxa"/>
            <w:tcBorders/>
            <w:shd w:fill="FFFFFF" w:val="clear"/>
            <w:vAlign w:val="center"/>
          </w:tcPr>
          <w:p>
            <w:pPr>
              <w:pStyle w:val="TableContents"/>
              <w:bidi w:val="0"/>
              <w:spacing w:before="0" w:after="283"/>
              <w:jc w:val="left"/>
              <w:rPr/>
            </w:pPr>
            <w:r>
              <w:rPr/>
              <w:t> </w:t>
            </w:r>
          </w:p>
        </w:tc>
        <w:tc>
          <w:tcPr>
            <w:tcW w:w="87" w:type="dxa"/>
            <w:tcBorders/>
            <w:shd w:fill="FFFFFF" w:val="clear"/>
            <w:vAlign w:val="center"/>
          </w:tcPr>
          <w:p>
            <w:pPr>
              <w:pStyle w:val="TableContents"/>
              <w:bidi w:val="0"/>
              <w:spacing w:before="0" w:after="283"/>
              <w:jc w:val="left"/>
              <w:rPr/>
            </w:pPr>
            <w:r>
              <w:rPr/>
              <w:t> </w:t>
            </w:r>
          </w:p>
        </w:tc>
        <w:tc>
          <w:tcPr>
            <w:tcW w:w="203" w:type="dxa"/>
            <w:tcBorders/>
            <w:shd w:fill="FFFFFF" w:val="clear"/>
            <w:vAlign w:val="center"/>
          </w:tcPr>
          <w:p>
            <w:pPr>
              <w:pStyle w:val="TableContents"/>
              <w:bidi w:val="0"/>
              <w:spacing w:before="0" w:after="283"/>
              <w:jc w:val="left"/>
              <w:rPr/>
            </w:pPr>
            <w:r>
              <w:rPr/>
              <w:t> </w:t>
            </w:r>
          </w:p>
        </w:tc>
        <w:tc>
          <w:tcPr>
            <w:tcW w:w="552"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3620" w:type="dxa"/>
            <w:tcBorders/>
            <w:shd w:fill="CCEEFF" w:val="clear"/>
            <w:vAlign w:val="center"/>
          </w:tcPr>
          <w:p>
            <w:pPr>
              <w:pStyle w:val="TableContents"/>
              <w:bidi w:val="0"/>
              <w:spacing w:before="0" w:after="283"/>
              <w:jc w:val="both"/>
              <w:rPr/>
            </w:pPr>
            <w:r>
              <w:rPr/>
              <w:t>Contractor advances receivable</w:t>
            </w:r>
          </w:p>
        </w:tc>
        <w:tc>
          <w:tcPr>
            <w:tcW w:w="60" w:type="dxa"/>
            <w:tcBorders/>
            <w:shd w:fill="CCEEFF" w:val="clear"/>
            <w:vAlign w:val="center"/>
          </w:tcPr>
          <w:p>
            <w:pPr>
              <w:pStyle w:val="TableContents"/>
              <w:bidi w:val="0"/>
              <w:spacing w:before="0" w:after="283"/>
              <w:jc w:val="left"/>
              <w:rPr/>
            </w:pPr>
            <w:r>
              <w:rPr/>
              <w:t> </w:t>
            </w:r>
          </w:p>
        </w:tc>
        <w:tc>
          <w:tcPr>
            <w:tcW w:w="203" w:type="dxa"/>
            <w:tcBorders/>
            <w:shd w:fill="CCEEFF" w:val="clear"/>
            <w:vAlign w:val="center"/>
          </w:tcPr>
          <w:p>
            <w:pPr>
              <w:pStyle w:val="TableContents"/>
              <w:bidi w:val="0"/>
              <w:spacing w:before="0" w:after="283"/>
              <w:jc w:val="left"/>
              <w:rPr/>
            </w:pPr>
            <w:r>
              <w:rPr/>
              <w:t>$</w:t>
            </w:r>
          </w:p>
        </w:tc>
        <w:tc>
          <w:tcPr>
            <w:tcW w:w="814" w:type="dxa"/>
            <w:tcBorders/>
            <w:shd w:fill="CCEEFF" w:val="clear"/>
            <w:vAlign w:val="center"/>
          </w:tcPr>
          <w:p>
            <w:pPr>
              <w:pStyle w:val="TableContents"/>
              <w:bidi w:val="0"/>
              <w:spacing w:before="0" w:after="283"/>
              <w:jc w:val="right"/>
              <w:rPr/>
            </w:pPr>
            <w:r>
              <w:rPr/>
              <w:t>786</w:t>
            </w:r>
          </w:p>
        </w:tc>
        <w:tc>
          <w:tcPr>
            <w:tcW w:w="138" w:type="dxa"/>
            <w:tcBorders/>
            <w:shd w:fill="CCEEFF" w:val="clear"/>
            <w:vAlign w:val="center"/>
          </w:tcPr>
          <w:p>
            <w:pPr>
              <w:pStyle w:val="TableContents"/>
              <w:bidi w:val="0"/>
              <w:spacing w:before="0" w:after="283"/>
              <w:jc w:val="left"/>
              <w:rPr/>
            </w:pPr>
            <w:r>
              <w:rPr/>
              <w:t> </w:t>
            </w:r>
          </w:p>
        </w:tc>
        <w:tc>
          <w:tcPr>
            <w:tcW w:w="87" w:type="dxa"/>
            <w:tcBorders/>
            <w:shd w:fill="CCEEFF" w:val="clear"/>
            <w:vAlign w:val="center"/>
          </w:tcPr>
          <w:p>
            <w:pPr>
              <w:pStyle w:val="TableContents"/>
              <w:bidi w:val="0"/>
              <w:spacing w:before="0" w:after="283"/>
              <w:jc w:val="left"/>
              <w:rPr/>
            </w:pPr>
            <w:r>
              <w:rPr/>
              <w:t> </w:t>
            </w:r>
          </w:p>
        </w:tc>
        <w:tc>
          <w:tcPr>
            <w:tcW w:w="203" w:type="dxa"/>
            <w:tcBorders/>
            <w:shd w:fill="CCEEFF" w:val="clear"/>
            <w:vAlign w:val="center"/>
          </w:tcPr>
          <w:p>
            <w:pPr>
              <w:pStyle w:val="TableContents"/>
              <w:bidi w:val="0"/>
              <w:spacing w:before="0" w:after="283"/>
              <w:jc w:val="left"/>
              <w:rPr/>
            </w:pPr>
            <w:r>
              <w:rPr/>
              <w:t>$</w:t>
            </w:r>
          </w:p>
        </w:tc>
        <w:tc>
          <w:tcPr>
            <w:tcW w:w="552" w:type="dxa"/>
            <w:tcBorders/>
            <w:shd w:fill="CCEEFF" w:val="clear"/>
            <w:vAlign w:val="center"/>
          </w:tcPr>
          <w:p>
            <w:pPr>
              <w:pStyle w:val="TableContents"/>
              <w:bidi w:val="0"/>
              <w:spacing w:before="0" w:after="283"/>
              <w:jc w:val="right"/>
              <w:rPr/>
            </w:pPr>
            <w:r>
              <w:rPr/>
              <w:t>233</w:t>
            </w:r>
          </w:p>
        </w:tc>
        <w:tc>
          <w:tcPr>
            <w:tcW w:w="110" w:type="dxa"/>
            <w:tcBorders/>
            <w:shd w:fill="CCEEFF" w:val="clear"/>
            <w:vAlign w:val="center"/>
          </w:tcPr>
          <w:p>
            <w:pPr>
              <w:pStyle w:val="TableContents"/>
              <w:bidi w:val="0"/>
              <w:spacing w:before="0" w:after="283"/>
              <w:jc w:val="left"/>
              <w:rPr/>
            </w:pPr>
            <w:r>
              <w:rPr/>
              <w:t> </w:t>
            </w:r>
          </w:p>
        </w:tc>
      </w:tr>
      <w:tr>
        <w:trPr/>
        <w:tc>
          <w:tcPr>
            <w:tcW w:w="3620" w:type="dxa"/>
            <w:tcBorders/>
            <w:shd w:fill="FFFFFF" w:val="clear"/>
            <w:vAlign w:val="center"/>
          </w:tcPr>
          <w:p>
            <w:pPr>
              <w:pStyle w:val="TableContents"/>
              <w:bidi w:val="0"/>
              <w:spacing w:before="0" w:after="283"/>
              <w:jc w:val="both"/>
              <w:rPr/>
            </w:pPr>
            <w:r>
              <w:rPr/>
              <w:t>Transaction fee receivable</w:t>
            </w:r>
          </w:p>
        </w:tc>
        <w:tc>
          <w:tcPr>
            <w:tcW w:w="60" w:type="dxa"/>
            <w:tcBorders/>
            <w:shd w:fill="FFFFFF" w:val="clear"/>
            <w:vAlign w:val="center"/>
          </w:tcPr>
          <w:p>
            <w:pPr>
              <w:pStyle w:val="TableContents"/>
              <w:bidi w:val="0"/>
              <w:spacing w:before="0" w:after="283"/>
              <w:jc w:val="left"/>
              <w:rPr/>
            </w:pPr>
            <w:r>
              <w:rPr/>
              <w:t> </w:t>
            </w:r>
          </w:p>
        </w:tc>
        <w:tc>
          <w:tcPr>
            <w:tcW w:w="203" w:type="dxa"/>
            <w:tcBorders/>
            <w:shd w:fill="FFFFFF" w:val="clear"/>
            <w:vAlign w:val="center"/>
          </w:tcPr>
          <w:p>
            <w:pPr>
              <w:pStyle w:val="TableContents"/>
              <w:bidi w:val="0"/>
              <w:spacing w:before="0" w:after="283"/>
              <w:jc w:val="left"/>
              <w:rPr/>
            </w:pPr>
            <w:r>
              <w:rPr/>
              <w:t> </w:t>
            </w:r>
          </w:p>
        </w:tc>
        <w:tc>
          <w:tcPr>
            <w:tcW w:w="814" w:type="dxa"/>
            <w:tcBorders/>
            <w:shd w:fill="FFFFFF" w:val="clear"/>
            <w:vAlign w:val="center"/>
          </w:tcPr>
          <w:p>
            <w:pPr>
              <w:pStyle w:val="TableContents"/>
              <w:bidi w:val="0"/>
              <w:spacing w:before="0" w:after="283"/>
              <w:jc w:val="right"/>
              <w:rPr/>
            </w:pPr>
            <w:r>
              <w:rPr/>
              <w:t>20</w:t>
            </w:r>
          </w:p>
        </w:tc>
        <w:tc>
          <w:tcPr>
            <w:tcW w:w="138" w:type="dxa"/>
            <w:tcBorders/>
            <w:shd w:fill="FFFFFF" w:val="clear"/>
            <w:vAlign w:val="center"/>
          </w:tcPr>
          <w:p>
            <w:pPr>
              <w:pStyle w:val="TableContents"/>
              <w:bidi w:val="0"/>
              <w:spacing w:before="0" w:after="283"/>
              <w:jc w:val="left"/>
              <w:rPr/>
            </w:pPr>
            <w:r>
              <w:rPr/>
              <w:t> </w:t>
            </w:r>
          </w:p>
        </w:tc>
        <w:tc>
          <w:tcPr>
            <w:tcW w:w="87" w:type="dxa"/>
            <w:tcBorders/>
            <w:shd w:fill="FFFFFF" w:val="clear"/>
            <w:vAlign w:val="center"/>
          </w:tcPr>
          <w:p>
            <w:pPr>
              <w:pStyle w:val="TableContents"/>
              <w:bidi w:val="0"/>
              <w:spacing w:before="0" w:after="283"/>
              <w:jc w:val="left"/>
              <w:rPr/>
            </w:pPr>
            <w:r>
              <w:rPr/>
              <w:t> </w:t>
            </w:r>
          </w:p>
        </w:tc>
        <w:tc>
          <w:tcPr>
            <w:tcW w:w="203" w:type="dxa"/>
            <w:tcBorders/>
            <w:shd w:fill="FFFFFF" w:val="clear"/>
            <w:vAlign w:val="center"/>
          </w:tcPr>
          <w:p>
            <w:pPr>
              <w:pStyle w:val="TableContents"/>
              <w:bidi w:val="0"/>
              <w:spacing w:before="0" w:after="283"/>
              <w:jc w:val="left"/>
              <w:rPr/>
            </w:pPr>
            <w:r>
              <w:rPr/>
              <w:t> </w:t>
            </w:r>
          </w:p>
        </w:tc>
        <w:tc>
          <w:tcPr>
            <w:tcW w:w="552" w:type="dxa"/>
            <w:tcBorders/>
            <w:shd w:fill="FFFFFF" w:val="clear"/>
            <w:vAlign w:val="center"/>
          </w:tcPr>
          <w:p>
            <w:pPr>
              <w:pStyle w:val="TableContents"/>
              <w:bidi w:val="0"/>
              <w:spacing w:before="0" w:after="283"/>
              <w:jc w:val="right"/>
              <w:rPr/>
            </w:pPr>
            <w:r>
              <w:rPr/>
              <w:t>23</w:t>
            </w:r>
          </w:p>
        </w:tc>
        <w:tc>
          <w:tcPr>
            <w:tcW w:w="110" w:type="dxa"/>
            <w:tcBorders/>
            <w:shd w:fill="FFFFFF" w:val="clear"/>
            <w:vAlign w:val="center"/>
          </w:tcPr>
          <w:p>
            <w:pPr>
              <w:pStyle w:val="TableContents"/>
              <w:bidi w:val="0"/>
              <w:spacing w:before="0" w:after="283"/>
              <w:jc w:val="left"/>
              <w:rPr/>
            </w:pPr>
            <w:r>
              <w:rPr/>
              <w:t> </w:t>
            </w:r>
          </w:p>
        </w:tc>
      </w:tr>
      <w:tr>
        <w:trPr/>
        <w:tc>
          <w:tcPr>
            <w:tcW w:w="3620" w:type="dxa"/>
            <w:tcBorders/>
            <w:shd w:fill="CCEEFF" w:val="clear"/>
            <w:vAlign w:val="center"/>
          </w:tcPr>
          <w:p>
            <w:pPr>
              <w:pStyle w:val="TableContents"/>
              <w:bidi w:val="0"/>
              <w:spacing w:before="0" w:after="283"/>
              <w:jc w:val="both"/>
              <w:rPr/>
            </w:pPr>
            <w:r>
              <w:rPr/>
              <w:t>Commissions overpayment receivable</w:t>
            </w:r>
          </w:p>
        </w:tc>
        <w:tc>
          <w:tcPr>
            <w:tcW w:w="60" w:type="dxa"/>
            <w:tcBorders/>
            <w:shd w:fill="CCEEFF" w:val="clear"/>
            <w:vAlign w:val="center"/>
          </w:tcPr>
          <w:p>
            <w:pPr>
              <w:pStyle w:val="TableContents"/>
              <w:bidi w:val="0"/>
              <w:spacing w:before="0" w:after="283"/>
              <w:jc w:val="left"/>
              <w:rPr/>
            </w:pPr>
            <w:r>
              <w:rPr/>
              <w:t> </w:t>
            </w:r>
          </w:p>
        </w:tc>
        <w:tc>
          <w:tcPr>
            <w:tcW w:w="203" w:type="dxa"/>
            <w:tcBorders/>
            <w:shd w:fill="CCEEFF" w:val="clear"/>
            <w:vAlign w:val="center"/>
          </w:tcPr>
          <w:p>
            <w:pPr>
              <w:pStyle w:val="TableContents"/>
              <w:bidi w:val="0"/>
              <w:spacing w:before="0" w:after="283"/>
              <w:jc w:val="left"/>
              <w:rPr/>
            </w:pPr>
            <w:r>
              <w:rPr/>
              <w:t> </w:t>
            </w:r>
          </w:p>
        </w:tc>
        <w:tc>
          <w:tcPr>
            <w:tcW w:w="814" w:type="dxa"/>
            <w:tcBorders/>
            <w:shd w:fill="CCEEFF" w:val="clear"/>
            <w:vAlign w:val="center"/>
          </w:tcPr>
          <w:p>
            <w:pPr>
              <w:pStyle w:val="TableContents"/>
              <w:bidi w:val="0"/>
              <w:spacing w:before="0" w:after="283"/>
              <w:jc w:val="right"/>
              <w:rPr/>
            </w:pPr>
            <w:r>
              <w:rPr/>
              <w:t>1,574</w:t>
            </w:r>
          </w:p>
        </w:tc>
        <w:tc>
          <w:tcPr>
            <w:tcW w:w="138" w:type="dxa"/>
            <w:tcBorders/>
            <w:shd w:fill="CCEEFF" w:val="clear"/>
            <w:vAlign w:val="center"/>
          </w:tcPr>
          <w:p>
            <w:pPr>
              <w:pStyle w:val="TableContents"/>
              <w:bidi w:val="0"/>
              <w:spacing w:before="0" w:after="283"/>
              <w:jc w:val="left"/>
              <w:rPr/>
            </w:pPr>
            <w:r>
              <w:rPr/>
              <w:t> </w:t>
            </w:r>
          </w:p>
        </w:tc>
        <w:tc>
          <w:tcPr>
            <w:tcW w:w="87" w:type="dxa"/>
            <w:tcBorders/>
            <w:shd w:fill="CCEEFF" w:val="clear"/>
            <w:vAlign w:val="center"/>
          </w:tcPr>
          <w:p>
            <w:pPr>
              <w:pStyle w:val="TableContents"/>
              <w:bidi w:val="0"/>
              <w:spacing w:before="0" w:after="283"/>
              <w:jc w:val="left"/>
              <w:rPr/>
            </w:pPr>
            <w:r>
              <w:rPr/>
              <w:t> </w:t>
            </w:r>
          </w:p>
        </w:tc>
        <w:tc>
          <w:tcPr>
            <w:tcW w:w="203" w:type="dxa"/>
            <w:tcBorders/>
            <w:shd w:fill="CCEEFF" w:val="clear"/>
            <w:vAlign w:val="center"/>
          </w:tcPr>
          <w:p>
            <w:pPr>
              <w:pStyle w:val="TableContents"/>
              <w:bidi w:val="0"/>
              <w:spacing w:before="0" w:after="283"/>
              <w:jc w:val="left"/>
              <w:rPr/>
            </w:pPr>
            <w:r>
              <w:rPr/>
              <w:t> </w:t>
            </w:r>
          </w:p>
        </w:tc>
        <w:tc>
          <w:tcPr>
            <w:tcW w:w="552" w:type="dxa"/>
            <w:tcBorders/>
            <w:shd w:fill="CCEEFF" w:val="clear"/>
            <w:vAlign w:val="center"/>
          </w:tcPr>
          <w:p>
            <w:pPr>
              <w:pStyle w:val="TableContents"/>
              <w:bidi w:val="0"/>
              <w:spacing w:before="0" w:after="283"/>
              <w:jc w:val="right"/>
              <w:rPr/>
            </w:pPr>
            <w:r>
              <w:rPr/>
              <w:t>14</w:t>
            </w:r>
          </w:p>
        </w:tc>
        <w:tc>
          <w:tcPr>
            <w:tcW w:w="110" w:type="dxa"/>
            <w:tcBorders/>
            <w:shd w:fill="CCEEFF" w:val="clear"/>
            <w:vAlign w:val="center"/>
          </w:tcPr>
          <w:p>
            <w:pPr>
              <w:pStyle w:val="TableContents"/>
              <w:bidi w:val="0"/>
              <w:spacing w:before="0" w:after="283"/>
              <w:jc w:val="left"/>
              <w:rPr/>
            </w:pPr>
            <w:r>
              <w:rPr/>
              <w:t> </w:t>
            </w:r>
          </w:p>
        </w:tc>
      </w:tr>
      <w:tr>
        <w:trPr/>
        <w:tc>
          <w:tcPr>
            <w:tcW w:w="3620" w:type="dxa"/>
            <w:tcBorders/>
            <w:shd w:fill="FFFFFF" w:val="clear"/>
            <w:vAlign w:val="center"/>
          </w:tcPr>
          <w:p>
            <w:pPr>
              <w:pStyle w:val="TableContents"/>
              <w:bidi w:val="0"/>
              <w:spacing w:before="0" w:after="283"/>
              <w:jc w:val="both"/>
              <w:rPr/>
            </w:pPr>
            <w:r>
              <w:rPr/>
              <w:t>Allowance for credit losses</w:t>
            </w:r>
          </w:p>
        </w:tc>
        <w:tc>
          <w:tcPr>
            <w:tcW w:w="60" w:type="dxa"/>
            <w:tcBorders/>
            <w:shd w:fill="FFFFFF" w:val="clear"/>
            <w:vAlign w:val="center"/>
          </w:tcPr>
          <w:p>
            <w:pPr>
              <w:pStyle w:val="TableContents"/>
              <w:bidi w:val="0"/>
              <w:spacing w:before="0" w:after="283"/>
              <w:jc w:val="left"/>
              <w:rPr/>
            </w:pPr>
            <w:r>
              <w:rPr/>
              <w:t> </w:t>
            </w:r>
          </w:p>
        </w:tc>
        <w:tc>
          <w:tcPr>
            <w:tcW w:w="203"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814" w:type="dxa"/>
            <w:tcBorders>
              <w:bottom w:val="single" w:sz="12" w:space="0" w:color="000000"/>
            </w:tcBorders>
            <w:shd w:fill="FFFFFF" w:val="clear"/>
            <w:tcMar>
              <w:bottom w:w="28" w:type="dxa"/>
            </w:tcMar>
            <w:vAlign w:val="center"/>
          </w:tcPr>
          <w:p>
            <w:pPr>
              <w:pStyle w:val="TableContents"/>
              <w:bidi w:val="0"/>
              <w:spacing w:before="0" w:after="283"/>
              <w:jc w:val="right"/>
              <w:rPr/>
            </w:pPr>
            <w:r>
              <w:rPr/>
              <w:t>(302</w:t>
            </w:r>
          </w:p>
        </w:tc>
        <w:tc>
          <w:tcPr>
            <w:tcW w:w="138" w:type="dxa"/>
            <w:tcBorders/>
            <w:shd w:fill="FFFFFF" w:val="clear"/>
            <w:vAlign w:val="center"/>
          </w:tcPr>
          <w:p>
            <w:pPr>
              <w:pStyle w:val="TableContents"/>
              <w:bidi w:val="0"/>
              <w:spacing w:before="0" w:after="283"/>
              <w:jc w:val="left"/>
              <w:rPr/>
            </w:pPr>
            <w:r>
              <w:rPr/>
              <w:t>)</w:t>
            </w:r>
          </w:p>
        </w:tc>
        <w:tc>
          <w:tcPr>
            <w:tcW w:w="87" w:type="dxa"/>
            <w:tcBorders/>
            <w:shd w:fill="FFFFFF" w:val="clear"/>
            <w:vAlign w:val="center"/>
          </w:tcPr>
          <w:p>
            <w:pPr>
              <w:pStyle w:val="TableContents"/>
              <w:bidi w:val="0"/>
              <w:spacing w:before="0" w:after="283"/>
              <w:jc w:val="left"/>
              <w:rPr/>
            </w:pPr>
            <w:r>
              <w:rPr/>
              <w:t> </w:t>
            </w:r>
          </w:p>
        </w:tc>
        <w:tc>
          <w:tcPr>
            <w:tcW w:w="203"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552" w:type="dxa"/>
            <w:tcBorders>
              <w:bottom w:val="single" w:sz="12" w:space="0" w:color="000000"/>
            </w:tcBorders>
            <w:shd w:fill="FFFFFF" w:val="clear"/>
            <w:tcMar>
              <w:bottom w:w="28" w:type="dxa"/>
            </w:tcMar>
            <w:vAlign w:val="center"/>
          </w:tcPr>
          <w:p>
            <w:pPr>
              <w:pStyle w:val="TableContents"/>
              <w:bidi w:val="0"/>
              <w:spacing w:before="0" w:after="283"/>
              <w:jc w:val="right"/>
              <w:rPr/>
            </w:pPr>
            <w:r>
              <w:rPr/>
              <w:t>(54</w:t>
            </w:r>
          </w:p>
        </w:tc>
        <w:tc>
          <w:tcPr>
            <w:tcW w:w="110" w:type="dxa"/>
            <w:tcBorders/>
            <w:shd w:fill="FFFFFF" w:val="clear"/>
            <w:vAlign w:val="center"/>
          </w:tcPr>
          <w:p>
            <w:pPr>
              <w:pStyle w:val="TableContents"/>
              <w:bidi w:val="0"/>
              <w:spacing w:before="0" w:after="283"/>
              <w:jc w:val="left"/>
              <w:rPr/>
            </w:pPr>
            <w:r>
              <w:rPr/>
              <w:t>)</w:t>
            </w:r>
          </w:p>
        </w:tc>
      </w:tr>
      <w:tr>
        <w:trPr/>
        <w:tc>
          <w:tcPr>
            <w:tcW w:w="3620" w:type="dxa"/>
            <w:tcBorders/>
            <w:shd w:fill="CCEEFF" w:val="clear"/>
            <w:vAlign w:val="center"/>
          </w:tcPr>
          <w:p>
            <w:pPr>
              <w:pStyle w:val="TableContents"/>
              <w:bidi w:val="0"/>
              <w:spacing w:before="0" w:after="283"/>
              <w:jc w:val="both"/>
              <w:rPr/>
            </w:pPr>
            <w:r>
              <w:rPr/>
              <w:t>Total due from sales representatives</w:t>
            </w:r>
          </w:p>
        </w:tc>
        <w:tc>
          <w:tcPr>
            <w:tcW w:w="60" w:type="dxa"/>
            <w:tcBorders/>
            <w:shd w:fill="CCEEFF" w:val="clear"/>
            <w:vAlign w:val="center"/>
          </w:tcPr>
          <w:p>
            <w:pPr>
              <w:pStyle w:val="TableContents"/>
              <w:bidi w:val="0"/>
              <w:spacing w:before="0" w:after="283"/>
              <w:jc w:val="left"/>
              <w:rPr/>
            </w:pPr>
            <w:r>
              <w:rPr/>
              <w:t> </w:t>
            </w:r>
          </w:p>
        </w:tc>
        <w:tc>
          <w:tcPr>
            <w:tcW w:w="203"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14" w:type="dxa"/>
            <w:tcBorders>
              <w:bottom w:val="single" w:sz="12" w:space="0" w:color="000000"/>
            </w:tcBorders>
            <w:shd w:fill="CCEEFF" w:val="clear"/>
            <w:tcMar>
              <w:bottom w:w="28" w:type="dxa"/>
            </w:tcMar>
            <w:vAlign w:val="center"/>
          </w:tcPr>
          <w:p>
            <w:pPr>
              <w:pStyle w:val="TableContents"/>
              <w:bidi w:val="0"/>
              <w:spacing w:before="0" w:after="283"/>
              <w:jc w:val="right"/>
              <w:rPr/>
            </w:pPr>
            <w:r>
              <w:rPr/>
              <w:t>2,078</w:t>
            </w:r>
          </w:p>
        </w:tc>
        <w:tc>
          <w:tcPr>
            <w:tcW w:w="138" w:type="dxa"/>
            <w:tcBorders/>
            <w:shd w:fill="CCEEFF" w:val="clear"/>
            <w:vAlign w:val="center"/>
          </w:tcPr>
          <w:p>
            <w:pPr>
              <w:pStyle w:val="TableContents"/>
              <w:bidi w:val="0"/>
              <w:spacing w:before="0" w:after="283"/>
              <w:jc w:val="left"/>
              <w:rPr/>
            </w:pPr>
            <w:r>
              <w:rPr/>
              <w:t> </w:t>
            </w:r>
          </w:p>
        </w:tc>
        <w:tc>
          <w:tcPr>
            <w:tcW w:w="87" w:type="dxa"/>
            <w:tcBorders/>
            <w:shd w:fill="CCEEFF" w:val="clear"/>
            <w:vAlign w:val="center"/>
          </w:tcPr>
          <w:p>
            <w:pPr>
              <w:pStyle w:val="TableContents"/>
              <w:bidi w:val="0"/>
              <w:spacing w:before="0" w:after="283"/>
              <w:jc w:val="left"/>
              <w:rPr/>
            </w:pPr>
            <w:r>
              <w:rPr/>
              <w:t> </w:t>
            </w:r>
          </w:p>
        </w:tc>
        <w:tc>
          <w:tcPr>
            <w:tcW w:w="203"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552" w:type="dxa"/>
            <w:tcBorders>
              <w:bottom w:val="single" w:sz="12" w:space="0" w:color="000000"/>
            </w:tcBorders>
            <w:shd w:fill="CCEEFF" w:val="clear"/>
            <w:tcMar>
              <w:bottom w:w="28" w:type="dxa"/>
            </w:tcMar>
            <w:vAlign w:val="center"/>
          </w:tcPr>
          <w:p>
            <w:pPr>
              <w:pStyle w:val="TableContents"/>
              <w:bidi w:val="0"/>
              <w:spacing w:before="0" w:after="283"/>
              <w:jc w:val="right"/>
              <w:rPr/>
            </w:pPr>
            <w:r>
              <w:rPr/>
              <w:t>216</w:t>
            </w:r>
          </w:p>
        </w:tc>
        <w:tc>
          <w:tcPr>
            <w:tcW w:w="110" w:type="dxa"/>
            <w:tcBorders/>
            <w:shd w:fill="CCEEFF" w:val="clear"/>
            <w:vAlign w:val="center"/>
          </w:tcPr>
          <w:p>
            <w:pPr>
              <w:pStyle w:val="TableContents"/>
              <w:bidi w:val="0"/>
              <w:spacing w:before="0" w:after="283"/>
              <w:jc w:val="left"/>
              <w:rPr/>
            </w:pPr>
            <w:r>
              <w:rPr/>
              <w:t> </w:t>
            </w:r>
          </w:p>
        </w:tc>
      </w:tr>
      <w:tr>
        <w:trPr/>
        <w:tc>
          <w:tcPr>
            <w:tcW w:w="3620" w:type="dxa"/>
            <w:tcBorders/>
            <w:shd w:fill="FFFFFF" w:val="clear"/>
            <w:vAlign w:val="center"/>
          </w:tcPr>
          <w:p>
            <w:pPr>
              <w:pStyle w:val="TableContents"/>
              <w:bidi w:val="0"/>
              <w:spacing w:before="0" w:after="283"/>
              <w:jc w:val="both"/>
              <w:rPr/>
            </w:pPr>
            <w:r>
              <w:rPr/>
              <w:t>Total accounts receivable, net</w:t>
            </w:r>
          </w:p>
        </w:tc>
        <w:tc>
          <w:tcPr>
            <w:tcW w:w="60" w:type="dxa"/>
            <w:tcBorders/>
            <w:shd w:fill="FFFFFF" w:val="clear"/>
            <w:vAlign w:val="center"/>
          </w:tcPr>
          <w:p>
            <w:pPr>
              <w:pStyle w:val="TableContents"/>
              <w:bidi w:val="0"/>
              <w:spacing w:before="0" w:after="283"/>
              <w:jc w:val="left"/>
              <w:rPr/>
            </w:pPr>
            <w:r>
              <w:rPr/>
              <w:t> </w:t>
            </w:r>
          </w:p>
        </w:tc>
        <w:tc>
          <w:tcPr>
            <w:tcW w:w="203" w:type="dxa"/>
            <w:tcBorders>
              <w:bottom w:val="double" w:sz="10" w:space="0" w:color="000000"/>
            </w:tcBorders>
            <w:shd w:fill="FFFFFF" w:val="clear"/>
            <w:tcMar>
              <w:bottom w:w="28" w:type="dxa"/>
            </w:tcMar>
            <w:vAlign w:val="center"/>
          </w:tcPr>
          <w:p>
            <w:pPr>
              <w:pStyle w:val="TableContents"/>
              <w:bidi w:val="0"/>
              <w:spacing w:before="0" w:after="283"/>
              <w:jc w:val="left"/>
              <w:rPr/>
            </w:pPr>
            <w:r>
              <w:rPr/>
              <w:t>$</w:t>
            </w:r>
          </w:p>
        </w:tc>
        <w:tc>
          <w:tcPr>
            <w:tcW w:w="814" w:type="dxa"/>
            <w:tcBorders>
              <w:bottom w:val="double" w:sz="10" w:space="0" w:color="000000"/>
            </w:tcBorders>
            <w:shd w:fill="FFFFFF" w:val="clear"/>
            <w:tcMar>
              <w:bottom w:w="28" w:type="dxa"/>
            </w:tcMar>
            <w:vAlign w:val="center"/>
          </w:tcPr>
          <w:p>
            <w:pPr>
              <w:pStyle w:val="TableContents"/>
              <w:bidi w:val="0"/>
              <w:spacing w:before="0" w:after="283"/>
              <w:jc w:val="right"/>
              <w:rPr/>
            </w:pPr>
            <w:r>
              <w:rPr/>
              <w:t>2,991</w:t>
            </w:r>
          </w:p>
        </w:tc>
        <w:tc>
          <w:tcPr>
            <w:tcW w:w="138" w:type="dxa"/>
            <w:tcBorders/>
            <w:shd w:fill="FFFFFF" w:val="clear"/>
            <w:vAlign w:val="center"/>
          </w:tcPr>
          <w:p>
            <w:pPr>
              <w:pStyle w:val="TableContents"/>
              <w:bidi w:val="0"/>
              <w:spacing w:before="0" w:after="283"/>
              <w:jc w:val="left"/>
              <w:rPr/>
            </w:pPr>
            <w:r>
              <w:rPr/>
              <w:t> </w:t>
            </w:r>
          </w:p>
        </w:tc>
        <w:tc>
          <w:tcPr>
            <w:tcW w:w="87" w:type="dxa"/>
            <w:tcBorders/>
            <w:shd w:fill="FFFFFF" w:val="clear"/>
            <w:vAlign w:val="center"/>
          </w:tcPr>
          <w:p>
            <w:pPr>
              <w:pStyle w:val="TableContents"/>
              <w:bidi w:val="0"/>
              <w:spacing w:before="0" w:after="283"/>
              <w:jc w:val="left"/>
              <w:rPr/>
            </w:pPr>
            <w:r>
              <w:rPr/>
              <w:t> </w:t>
            </w:r>
          </w:p>
        </w:tc>
        <w:tc>
          <w:tcPr>
            <w:tcW w:w="203" w:type="dxa"/>
            <w:tcBorders>
              <w:bottom w:val="double" w:sz="10" w:space="0" w:color="000000"/>
            </w:tcBorders>
            <w:shd w:fill="FFFFFF" w:val="clear"/>
            <w:tcMar>
              <w:bottom w:w="28" w:type="dxa"/>
            </w:tcMar>
            <w:vAlign w:val="center"/>
          </w:tcPr>
          <w:p>
            <w:pPr>
              <w:pStyle w:val="TableContents"/>
              <w:bidi w:val="0"/>
              <w:spacing w:before="0" w:after="283"/>
              <w:jc w:val="left"/>
              <w:rPr/>
            </w:pPr>
            <w:r>
              <w:rPr/>
              <w:t>$</w:t>
            </w:r>
          </w:p>
        </w:tc>
        <w:tc>
          <w:tcPr>
            <w:tcW w:w="552" w:type="dxa"/>
            <w:tcBorders>
              <w:bottom w:val="double" w:sz="10" w:space="0" w:color="000000"/>
            </w:tcBorders>
            <w:shd w:fill="FFFFFF" w:val="clear"/>
            <w:tcMar>
              <w:bottom w:w="28" w:type="dxa"/>
            </w:tcMar>
            <w:vAlign w:val="center"/>
          </w:tcPr>
          <w:p>
            <w:pPr>
              <w:pStyle w:val="TableContents"/>
              <w:bidi w:val="0"/>
              <w:spacing w:before="0" w:after="283"/>
              <w:jc w:val="right"/>
              <w:rPr/>
            </w:pPr>
            <w:r>
              <w:rPr/>
              <w:t>229</w:t>
            </w:r>
          </w:p>
        </w:tc>
        <w:tc>
          <w:tcPr>
            <w:tcW w:w="11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 xml:space="preserve">Note 4. ALLOWANCE FOR CREDIT LOSSES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allowance for credit losses for receivables by portfolio segment and the related activity for the year ended December 31, 2024 are as follows</w:t>
      </w:r>
      <w:r>
        <w:rPr>
          <w:rFonts w:ascii="Times New Roman;Times;Serif" w:hAnsi="Times New Roman;Times;Serif"/>
          <w:b w:val="false"/>
          <w:i/>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795"/>
        <w:gridCol w:w="60"/>
        <w:gridCol w:w="311"/>
        <w:gridCol w:w="1245"/>
        <w:gridCol w:w="110"/>
        <w:gridCol w:w="69"/>
        <w:gridCol w:w="433"/>
        <w:gridCol w:w="1039"/>
        <w:gridCol w:w="110"/>
        <w:gridCol w:w="69"/>
        <w:gridCol w:w="391"/>
        <w:gridCol w:w="1277"/>
        <w:gridCol w:w="110"/>
        <w:gridCol w:w="69"/>
        <w:gridCol w:w="513"/>
        <w:gridCol w:w="1397"/>
        <w:gridCol w:w="110"/>
        <w:gridCol w:w="69"/>
        <w:gridCol w:w="163"/>
        <w:gridCol w:w="743"/>
        <w:gridCol w:w="122"/>
      </w:tblGrid>
      <w:tr>
        <w:trPr/>
        <w:tc>
          <w:tcPr>
            <w:tcW w:w="17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8228" w:type="dxa"/>
            <w:gridSpan w:val="18"/>
            <w:tcBorders>
              <w:bottom w:val="single" w:sz="12" w:space="0" w:color="000000"/>
            </w:tcBorders>
            <w:tcMar>
              <w:bottom w:w="28" w:type="dxa"/>
            </w:tcMar>
            <w:vAlign w:val="center"/>
          </w:tcPr>
          <w:p>
            <w:pPr>
              <w:pStyle w:val="TableContents"/>
              <w:bidi w:val="0"/>
              <w:spacing w:before="0" w:after="283"/>
              <w:jc w:val="center"/>
              <w:rPr>
                <w:b/>
              </w:rPr>
            </w:pPr>
            <w:r>
              <w:rPr>
                <w:b/>
              </w:rPr>
              <w:t>As of and for the year ended December 31, 2024</w:t>
            </w:r>
          </w:p>
        </w:tc>
        <w:tc>
          <w:tcPr>
            <w:tcW w:w="122" w:type="dxa"/>
            <w:tcBorders/>
            <w:vAlign w:val="center"/>
          </w:tcPr>
          <w:p>
            <w:pPr>
              <w:pStyle w:val="TableContents"/>
              <w:bidi w:val="0"/>
              <w:spacing w:before="0" w:after="283"/>
              <w:jc w:val="left"/>
              <w:rPr/>
            </w:pPr>
            <w:r>
              <w:rPr/>
              <w:t> </w:t>
            </w:r>
          </w:p>
        </w:tc>
      </w:tr>
      <w:tr>
        <w:trPr/>
        <w:tc>
          <w:tcPr>
            <w:tcW w:w="17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556"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Accounts receivable</w:t>
            </w:r>
          </w:p>
        </w:tc>
        <w:tc>
          <w:tcPr>
            <w:tcW w:w="110" w:type="dxa"/>
            <w:tcBorders/>
            <w:vAlign w:val="center"/>
          </w:tcPr>
          <w:p>
            <w:pPr>
              <w:pStyle w:val="TableContents"/>
              <w:bidi w:val="0"/>
              <w:spacing w:before="0" w:after="283"/>
              <w:jc w:val="left"/>
              <w:rPr/>
            </w:pPr>
            <w:r>
              <w:rPr/>
              <w:t> </w:t>
            </w:r>
          </w:p>
        </w:tc>
        <w:tc>
          <w:tcPr>
            <w:tcW w:w="69" w:type="dxa"/>
            <w:tcBorders/>
            <w:vAlign w:val="center"/>
          </w:tcPr>
          <w:p>
            <w:pPr>
              <w:pStyle w:val="TableContents"/>
              <w:bidi w:val="0"/>
              <w:spacing w:before="0" w:after="283"/>
              <w:jc w:val="left"/>
              <w:rPr/>
            </w:pPr>
            <w:r>
              <w:rPr/>
              <w:t> </w:t>
            </w:r>
          </w:p>
        </w:tc>
        <w:tc>
          <w:tcPr>
            <w:tcW w:w="1472"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Transaction fees</w:t>
            </w:r>
          </w:p>
        </w:tc>
        <w:tc>
          <w:tcPr>
            <w:tcW w:w="110" w:type="dxa"/>
            <w:tcBorders/>
            <w:vAlign w:val="center"/>
          </w:tcPr>
          <w:p>
            <w:pPr>
              <w:pStyle w:val="TableContents"/>
              <w:bidi w:val="0"/>
              <w:spacing w:before="0" w:after="283"/>
              <w:jc w:val="left"/>
              <w:rPr/>
            </w:pPr>
            <w:r>
              <w:rPr/>
              <w:t> </w:t>
            </w:r>
          </w:p>
        </w:tc>
        <w:tc>
          <w:tcPr>
            <w:tcW w:w="69" w:type="dxa"/>
            <w:tcBorders/>
            <w:vAlign w:val="center"/>
          </w:tcPr>
          <w:p>
            <w:pPr>
              <w:pStyle w:val="TableContents"/>
              <w:bidi w:val="0"/>
              <w:spacing w:before="0" w:after="283"/>
              <w:jc w:val="left"/>
              <w:rPr/>
            </w:pPr>
            <w:r>
              <w:rPr/>
              <w:t> </w:t>
            </w:r>
          </w:p>
        </w:tc>
        <w:tc>
          <w:tcPr>
            <w:tcW w:w="1668"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Contractor advances</w:t>
            </w:r>
          </w:p>
        </w:tc>
        <w:tc>
          <w:tcPr>
            <w:tcW w:w="110" w:type="dxa"/>
            <w:tcBorders/>
            <w:vAlign w:val="center"/>
          </w:tcPr>
          <w:p>
            <w:pPr>
              <w:pStyle w:val="TableContents"/>
              <w:bidi w:val="0"/>
              <w:spacing w:before="0" w:after="283"/>
              <w:jc w:val="left"/>
              <w:rPr/>
            </w:pPr>
            <w:r>
              <w:rPr/>
              <w:t> </w:t>
            </w:r>
          </w:p>
        </w:tc>
        <w:tc>
          <w:tcPr>
            <w:tcW w:w="69" w:type="dxa"/>
            <w:tcBorders/>
            <w:vAlign w:val="center"/>
          </w:tcPr>
          <w:p>
            <w:pPr>
              <w:pStyle w:val="TableContents"/>
              <w:bidi w:val="0"/>
              <w:spacing w:before="0" w:after="283"/>
              <w:jc w:val="left"/>
              <w:rPr/>
            </w:pPr>
            <w:r>
              <w:rPr/>
              <w:t> </w:t>
            </w:r>
          </w:p>
        </w:tc>
        <w:tc>
          <w:tcPr>
            <w:tcW w:w="191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Commissions receivable</w:t>
            </w:r>
          </w:p>
        </w:tc>
        <w:tc>
          <w:tcPr>
            <w:tcW w:w="110" w:type="dxa"/>
            <w:tcBorders/>
            <w:vAlign w:val="center"/>
          </w:tcPr>
          <w:p>
            <w:pPr>
              <w:pStyle w:val="TableContents"/>
              <w:bidi w:val="0"/>
              <w:spacing w:before="0" w:after="283"/>
              <w:jc w:val="left"/>
              <w:rPr/>
            </w:pPr>
            <w:r>
              <w:rPr/>
              <w:t> </w:t>
            </w:r>
          </w:p>
        </w:tc>
        <w:tc>
          <w:tcPr>
            <w:tcW w:w="69" w:type="dxa"/>
            <w:tcBorders/>
            <w:vAlign w:val="center"/>
          </w:tcPr>
          <w:p>
            <w:pPr>
              <w:pStyle w:val="TableContents"/>
              <w:bidi w:val="0"/>
              <w:spacing w:before="0" w:after="283"/>
              <w:jc w:val="left"/>
              <w:rPr/>
            </w:pPr>
            <w:r>
              <w:rPr/>
              <w:t> </w:t>
            </w:r>
          </w:p>
        </w:tc>
        <w:tc>
          <w:tcPr>
            <w:tcW w:w="906"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Total</w:t>
            </w:r>
          </w:p>
        </w:tc>
        <w:tc>
          <w:tcPr>
            <w:tcW w:w="122" w:type="dxa"/>
            <w:tcBorders/>
            <w:vAlign w:val="center"/>
          </w:tcPr>
          <w:p>
            <w:pPr>
              <w:pStyle w:val="TableContents"/>
              <w:bidi w:val="0"/>
              <w:spacing w:before="0" w:after="283"/>
              <w:jc w:val="left"/>
              <w:rPr/>
            </w:pPr>
            <w:r>
              <w:rPr/>
              <w:t> </w:t>
            </w:r>
          </w:p>
        </w:tc>
      </w:tr>
      <w:tr>
        <w:trPr/>
        <w:tc>
          <w:tcPr>
            <w:tcW w:w="1795" w:type="dxa"/>
            <w:tcBorders/>
            <w:shd w:fill="CCEEFF" w:val="clear"/>
            <w:vAlign w:val="center"/>
          </w:tcPr>
          <w:p>
            <w:pPr>
              <w:pStyle w:val="TableContents"/>
              <w:bidi w:val="0"/>
              <w:spacing w:before="0" w:after="283"/>
              <w:jc w:val="both"/>
              <w:rPr/>
            </w:pPr>
            <w:r>
              <w:rPr/>
              <w:t>Beginning balance</w:t>
            </w:r>
          </w:p>
        </w:tc>
        <w:tc>
          <w:tcPr>
            <w:tcW w:w="60" w:type="dxa"/>
            <w:tcBorders/>
            <w:shd w:fill="CCEEFF" w:val="clear"/>
            <w:vAlign w:val="center"/>
          </w:tcPr>
          <w:p>
            <w:pPr>
              <w:pStyle w:val="TableContents"/>
              <w:bidi w:val="0"/>
              <w:spacing w:before="0" w:after="283"/>
              <w:jc w:val="left"/>
              <w:rPr/>
            </w:pPr>
            <w:r>
              <w:rPr/>
              <w:t> </w:t>
            </w:r>
          </w:p>
        </w:tc>
        <w:tc>
          <w:tcPr>
            <w:tcW w:w="311" w:type="dxa"/>
            <w:tcBorders/>
            <w:shd w:fill="CCEEFF" w:val="clear"/>
            <w:vAlign w:val="center"/>
          </w:tcPr>
          <w:p>
            <w:pPr>
              <w:pStyle w:val="TableContents"/>
              <w:bidi w:val="0"/>
              <w:spacing w:before="0" w:after="283"/>
              <w:jc w:val="left"/>
              <w:rPr/>
            </w:pPr>
            <w:r>
              <w:rPr/>
              <w:t>$</w:t>
            </w:r>
          </w:p>
        </w:tc>
        <w:tc>
          <w:tcPr>
            <w:tcW w:w="1245" w:type="dxa"/>
            <w:tcBorders/>
            <w:shd w:fill="CCEEFF" w:val="clear"/>
            <w:vAlign w:val="center"/>
          </w:tcPr>
          <w:p>
            <w:pPr>
              <w:pStyle w:val="TableContents"/>
              <w:bidi w:val="0"/>
              <w:spacing w:before="0" w:after="283"/>
              <w:jc w:val="right"/>
              <w:rPr/>
            </w:pPr>
            <w:r>
              <w:rPr/>
              <w:t>—</w:t>
            </w:r>
          </w:p>
        </w:tc>
        <w:tc>
          <w:tcPr>
            <w:tcW w:w="110" w:type="dxa"/>
            <w:tcBorders/>
            <w:shd w:fill="CCEEFF" w:val="clear"/>
            <w:vAlign w:val="center"/>
          </w:tcPr>
          <w:p>
            <w:pPr>
              <w:pStyle w:val="TableContents"/>
              <w:bidi w:val="0"/>
              <w:spacing w:before="0" w:after="283"/>
              <w:jc w:val="left"/>
              <w:rPr/>
            </w:pPr>
            <w:r>
              <w:rPr/>
              <w:t> </w:t>
            </w:r>
          </w:p>
        </w:tc>
        <w:tc>
          <w:tcPr>
            <w:tcW w:w="69" w:type="dxa"/>
            <w:tcBorders/>
            <w:shd w:fill="CCEEFF" w:val="clear"/>
            <w:vAlign w:val="center"/>
          </w:tcPr>
          <w:p>
            <w:pPr>
              <w:pStyle w:val="TableContents"/>
              <w:bidi w:val="0"/>
              <w:spacing w:before="0" w:after="283"/>
              <w:jc w:val="left"/>
              <w:rPr/>
            </w:pPr>
            <w:r>
              <w:rPr/>
              <w:t> </w:t>
            </w:r>
          </w:p>
        </w:tc>
        <w:tc>
          <w:tcPr>
            <w:tcW w:w="433" w:type="dxa"/>
            <w:tcBorders/>
            <w:shd w:fill="CCEEFF" w:val="clear"/>
            <w:vAlign w:val="center"/>
          </w:tcPr>
          <w:p>
            <w:pPr>
              <w:pStyle w:val="TableContents"/>
              <w:bidi w:val="0"/>
              <w:spacing w:before="0" w:after="283"/>
              <w:jc w:val="left"/>
              <w:rPr/>
            </w:pPr>
            <w:r>
              <w:rPr/>
              <w:t>$</w:t>
            </w:r>
          </w:p>
        </w:tc>
        <w:tc>
          <w:tcPr>
            <w:tcW w:w="1039" w:type="dxa"/>
            <w:tcBorders/>
            <w:shd w:fill="CCEEFF" w:val="clear"/>
            <w:vAlign w:val="center"/>
          </w:tcPr>
          <w:p>
            <w:pPr>
              <w:pStyle w:val="TableContents"/>
              <w:bidi w:val="0"/>
              <w:spacing w:before="0" w:after="283"/>
              <w:jc w:val="right"/>
              <w:rPr/>
            </w:pPr>
            <w:r>
              <w:rPr/>
              <w:t>5</w:t>
            </w:r>
          </w:p>
        </w:tc>
        <w:tc>
          <w:tcPr>
            <w:tcW w:w="110" w:type="dxa"/>
            <w:tcBorders/>
            <w:shd w:fill="CCEEFF" w:val="clear"/>
            <w:vAlign w:val="center"/>
          </w:tcPr>
          <w:p>
            <w:pPr>
              <w:pStyle w:val="TableContents"/>
              <w:bidi w:val="0"/>
              <w:spacing w:before="0" w:after="283"/>
              <w:jc w:val="left"/>
              <w:rPr/>
            </w:pPr>
            <w:r>
              <w:rPr/>
              <w:t> </w:t>
            </w:r>
          </w:p>
        </w:tc>
        <w:tc>
          <w:tcPr>
            <w:tcW w:w="69" w:type="dxa"/>
            <w:tcBorders/>
            <w:shd w:fill="CCEEFF" w:val="clear"/>
            <w:vAlign w:val="center"/>
          </w:tcPr>
          <w:p>
            <w:pPr>
              <w:pStyle w:val="TableContents"/>
              <w:bidi w:val="0"/>
              <w:spacing w:before="0" w:after="283"/>
              <w:jc w:val="left"/>
              <w:rPr/>
            </w:pPr>
            <w:r>
              <w:rPr/>
              <w:t> </w:t>
            </w:r>
          </w:p>
        </w:tc>
        <w:tc>
          <w:tcPr>
            <w:tcW w:w="391" w:type="dxa"/>
            <w:tcBorders/>
            <w:shd w:fill="CCEEFF" w:val="clear"/>
            <w:vAlign w:val="center"/>
          </w:tcPr>
          <w:p>
            <w:pPr>
              <w:pStyle w:val="TableContents"/>
              <w:bidi w:val="0"/>
              <w:spacing w:before="0" w:after="283"/>
              <w:jc w:val="left"/>
              <w:rPr/>
            </w:pPr>
            <w:r>
              <w:rPr/>
              <w:t>$</w:t>
            </w:r>
          </w:p>
        </w:tc>
        <w:tc>
          <w:tcPr>
            <w:tcW w:w="1277" w:type="dxa"/>
            <w:tcBorders/>
            <w:shd w:fill="CCEEFF" w:val="clear"/>
            <w:vAlign w:val="center"/>
          </w:tcPr>
          <w:p>
            <w:pPr>
              <w:pStyle w:val="TableContents"/>
              <w:bidi w:val="0"/>
              <w:spacing w:before="0" w:after="283"/>
              <w:jc w:val="right"/>
              <w:rPr/>
            </w:pPr>
            <w:r>
              <w:rPr/>
              <w:t>46</w:t>
            </w:r>
          </w:p>
        </w:tc>
        <w:tc>
          <w:tcPr>
            <w:tcW w:w="110" w:type="dxa"/>
            <w:tcBorders/>
            <w:shd w:fill="CCEEFF" w:val="clear"/>
            <w:vAlign w:val="center"/>
          </w:tcPr>
          <w:p>
            <w:pPr>
              <w:pStyle w:val="TableContents"/>
              <w:bidi w:val="0"/>
              <w:spacing w:before="0" w:after="283"/>
              <w:jc w:val="left"/>
              <w:rPr/>
            </w:pPr>
            <w:r>
              <w:rPr/>
              <w:t> </w:t>
            </w:r>
          </w:p>
        </w:tc>
        <w:tc>
          <w:tcPr>
            <w:tcW w:w="69" w:type="dxa"/>
            <w:tcBorders/>
            <w:shd w:fill="CCEEFF" w:val="clear"/>
            <w:vAlign w:val="center"/>
          </w:tcPr>
          <w:p>
            <w:pPr>
              <w:pStyle w:val="TableContents"/>
              <w:bidi w:val="0"/>
              <w:spacing w:before="0" w:after="283"/>
              <w:jc w:val="left"/>
              <w:rPr/>
            </w:pPr>
            <w:r>
              <w:rPr/>
              <w:t> </w:t>
            </w:r>
          </w:p>
        </w:tc>
        <w:tc>
          <w:tcPr>
            <w:tcW w:w="513" w:type="dxa"/>
            <w:tcBorders/>
            <w:shd w:fill="CCEEFF" w:val="clear"/>
            <w:vAlign w:val="center"/>
          </w:tcPr>
          <w:p>
            <w:pPr>
              <w:pStyle w:val="TableContents"/>
              <w:bidi w:val="0"/>
              <w:spacing w:before="0" w:after="283"/>
              <w:jc w:val="left"/>
              <w:rPr/>
            </w:pPr>
            <w:r>
              <w:rPr/>
              <w:t>$</w:t>
            </w:r>
          </w:p>
        </w:tc>
        <w:tc>
          <w:tcPr>
            <w:tcW w:w="1397" w:type="dxa"/>
            <w:tcBorders/>
            <w:shd w:fill="CCEEFF" w:val="clear"/>
            <w:vAlign w:val="center"/>
          </w:tcPr>
          <w:p>
            <w:pPr>
              <w:pStyle w:val="TableContents"/>
              <w:bidi w:val="0"/>
              <w:spacing w:before="0" w:after="283"/>
              <w:jc w:val="right"/>
              <w:rPr/>
            </w:pPr>
            <w:r>
              <w:rPr/>
              <w:t>3</w:t>
            </w:r>
          </w:p>
        </w:tc>
        <w:tc>
          <w:tcPr>
            <w:tcW w:w="110" w:type="dxa"/>
            <w:tcBorders/>
            <w:shd w:fill="CCEEFF" w:val="clear"/>
            <w:vAlign w:val="center"/>
          </w:tcPr>
          <w:p>
            <w:pPr>
              <w:pStyle w:val="TableContents"/>
              <w:bidi w:val="0"/>
              <w:spacing w:before="0" w:after="283"/>
              <w:jc w:val="left"/>
              <w:rPr/>
            </w:pPr>
            <w:r>
              <w:rPr/>
              <w:t> </w:t>
            </w:r>
          </w:p>
        </w:tc>
        <w:tc>
          <w:tcPr>
            <w:tcW w:w="69" w:type="dxa"/>
            <w:tcBorders/>
            <w:shd w:fill="CCEEFF" w:val="clear"/>
            <w:vAlign w:val="center"/>
          </w:tcPr>
          <w:p>
            <w:pPr>
              <w:pStyle w:val="TableContents"/>
              <w:bidi w:val="0"/>
              <w:spacing w:before="0" w:after="283"/>
              <w:jc w:val="left"/>
              <w:rPr/>
            </w:pPr>
            <w:r>
              <w:rPr/>
              <w:t> </w:t>
            </w:r>
          </w:p>
        </w:tc>
        <w:tc>
          <w:tcPr>
            <w:tcW w:w="163" w:type="dxa"/>
            <w:tcBorders/>
            <w:shd w:fill="CCEEFF" w:val="clear"/>
            <w:vAlign w:val="center"/>
          </w:tcPr>
          <w:p>
            <w:pPr>
              <w:pStyle w:val="TableContents"/>
              <w:bidi w:val="0"/>
              <w:spacing w:before="0" w:after="283"/>
              <w:jc w:val="left"/>
              <w:rPr/>
            </w:pPr>
            <w:r>
              <w:rPr/>
              <w:t>$</w:t>
            </w:r>
          </w:p>
        </w:tc>
        <w:tc>
          <w:tcPr>
            <w:tcW w:w="743" w:type="dxa"/>
            <w:tcBorders/>
            <w:shd w:fill="CCEEFF" w:val="clear"/>
            <w:vAlign w:val="center"/>
          </w:tcPr>
          <w:p>
            <w:pPr>
              <w:pStyle w:val="TableContents"/>
              <w:bidi w:val="0"/>
              <w:spacing w:before="0" w:after="283"/>
              <w:jc w:val="right"/>
              <w:rPr/>
            </w:pPr>
            <w:r>
              <w:rPr/>
              <w:t>54</w:t>
            </w:r>
          </w:p>
        </w:tc>
        <w:tc>
          <w:tcPr>
            <w:tcW w:w="122" w:type="dxa"/>
            <w:tcBorders/>
            <w:shd w:fill="CCEEFF" w:val="clear"/>
            <w:vAlign w:val="center"/>
          </w:tcPr>
          <w:p>
            <w:pPr>
              <w:pStyle w:val="TableContents"/>
              <w:bidi w:val="0"/>
              <w:spacing w:before="0" w:after="283"/>
              <w:ind w:left="0" w:right="0" w:hanging="180"/>
              <w:jc w:val="left"/>
              <w:rPr/>
            </w:pPr>
            <w:r>
              <w:rPr/>
              <w:t> </w:t>
            </w:r>
          </w:p>
        </w:tc>
      </w:tr>
      <w:tr>
        <w:trPr/>
        <w:tc>
          <w:tcPr>
            <w:tcW w:w="1795" w:type="dxa"/>
            <w:tcBorders/>
            <w:shd w:fill="FFFFFF" w:val="clear"/>
            <w:vAlign w:val="center"/>
          </w:tcPr>
          <w:p>
            <w:pPr>
              <w:pStyle w:val="TableContents"/>
              <w:bidi w:val="0"/>
              <w:spacing w:before="0" w:after="283"/>
              <w:jc w:val="left"/>
              <w:rPr/>
            </w:pPr>
            <w:r>
              <w:rPr/>
              <w:t>Provision for credit losses</w:t>
            </w:r>
          </w:p>
        </w:tc>
        <w:tc>
          <w:tcPr>
            <w:tcW w:w="60" w:type="dxa"/>
            <w:tcBorders/>
            <w:shd w:fill="FFFFFF" w:val="clear"/>
            <w:vAlign w:val="center"/>
          </w:tcPr>
          <w:p>
            <w:pPr>
              <w:pStyle w:val="TableContents"/>
              <w:bidi w:val="0"/>
              <w:spacing w:before="0" w:after="283"/>
              <w:jc w:val="left"/>
              <w:rPr/>
            </w:pPr>
            <w:r>
              <w:rPr/>
              <w:t> </w:t>
            </w:r>
          </w:p>
        </w:tc>
        <w:tc>
          <w:tcPr>
            <w:tcW w:w="311" w:type="dxa"/>
            <w:tcBorders/>
            <w:shd w:fill="FFFFFF" w:val="clear"/>
            <w:vAlign w:val="center"/>
          </w:tcPr>
          <w:p>
            <w:pPr>
              <w:pStyle w:val="TableContents"/>
              <w:bidi w:val="0"/>
              <w:spacing w:before="0" w:after="283"/>
              <w:jc w:val="left"/>
              <w:rPr/>
            </w:pPr>
            <w:r>
              <w:rPr/>
              <w:t> </w:t>
            </w:r>
          </w:p>
        </w:tc>
        <w:tc>
          <w:tcPr>
            <w:tcW w:w="1245" w:type="dxa"/>
            <w:tcBorders/>
            <w:shd w:fill="FFFFFF" w:val="clear"/>
            <w:vAlign w:val="center"/>
          </w:tcPr>
          <w:p>
            <w:pPr>
              <w:pStyle w:val="TableContents"/>
              <w:bidi w:val="0"/>
              <w:spacing w:before="0" w:after="283"/>
              <w:jc w:val="right"/>
              <w:rPr/>
            </w:pPr>
            <w:r>
              <w:rPr/>
              <w:t>1,053</w:t>
            </w:r>
          </w:p>
        </w:tc>
        <w:tc>
          <w:tcPr>
            <w:tcW w:w="110" w:type="dxa"/>
            <w:tcBorders/>
            <w:shd w:fill="FFFFFF" w:val="clear"/>
            <w:vAlign w:val="center"/>
          </w:tcPr>
          <w:p>
            <w:pPr>
              <w:pStyle w:val="TableContents"/>
              <w:bidi w:val="0"/>
              <w:spacing w:before="0" w:after="283"/>
              <w:jc w:val="left"/>
              <w:rPr/>
            </w:pPr>
            <w:r>
              <w:rPr/>
              <w:t> </w:t>
            </w:r>
          </w:p>
        </w:tc>
        <w:tc>
          <w:tcPr>
            <w:tcW w:w="69" w:type="dxa"/>
            <w:tcBorders/>
            <w:shd w:fill="FFFFFF" w:val="clear"/>
            <w:vAlign w:val="center"/>
          </w:tcPr>
          <w:p>
            <w:pPr>
              <w:pStyle w:val="TableContents"/>
              <w:bidi w:val="0"/>
              <w:spacing w:before="0" w:after="283"/>
              <w:jc w:val="left"/>
              <w:rPr/>
            </w:pPr>
            <w:r>
              <w:rPr/>
              <w:t> </w:t>
            </w:r>
          </w:p>
        </w:tc>
        <w:tc>
          <w:tcPr>
            <w:tcW w:w="433" w:type="dxa"/>
            <w:tcBorders/>
            <w:shd w:fill="FFFFFF" w:val="clear"/>
            <w:vAlign w:val="center"/>
          </w:tcPr>
          <w:p>
            <w:pPr>
              <w:pStyle w:val="TableContents"/>
              <w:bidi w:val="0"/>
              <w:spacing w:before="0" w:after="283"/>
              <w:jc w:val="left"/>
              <w:rPr/>
            </w:pPr>
            <w:r>
              <w:rPr/>
              <w:t> </w:t>
            </w:r>
          </w:p>
        </w:tc>
        <w:tc>
          <w:tcPr>
            <w:tcW w:w="1039" w:type="dxa"/>
            <w:tcBorders/>
            <w:shd w:fill="FFFFFF" w:val="clear"/>
            <w:vAlign w:val="center"/>
          </w:tcPr>
          <w:p>
            <w:pPr>
              <w:pStyle w:val="TableContents"/>
              <w:bidi w:val="0"/>
              <w:spacing w:before="0" w:after="283"/>
              <w:jc w:val="right"/>
              <w:rPr/>
            </w:pPr>
            <w:r>
              <w:rPr/>
              <w:t>26</w:t>
            </w:r>
          </w:p>
        </w:tc>
        <w:tc>
          <w:tcPr>
            <w:tcW w:w="110" w:type="dxa"/>
            <w:tcBorders/>
            <w:shd w:fill="FFFFFF" w:val="clear"/>
            <w:vAlign w:val="center"/>
          </w:tcPr>
          <w:p>
            <w:pPr>
              <w:pStyle w:val="TableContents"/>
              <w:bidi w:val="0"/>
              <w:spacing w:before="0" w:after="283"/>
              <w:jc w:val="left"/>
              <w:rPr/>
            </w:pPr>
            <w:r>
              <w:rPr/>
              <w:t> </w:t>
            </w:r>
          </w:p>
        </w:tc>
        <w:tc>
          <w:tcPr>
            <w:tcW w:w="69" w:type="dxa"/>
            <w:tcBorders/>
            <w:shd w:fill="FFFFFF" w:val="clear"/>
            <w:vAlign w:val="center"/>
          </w:tcPr>
          <w:p>
            <w:pPr>
              <w:pStyle w:val="TableContents"/>
              <w:bidi w:val="0"/>
              <w:spacing w:before="0" w:after="283"/>
              <w:jc w:val="left"/>
              <w:rPr/>
            </w:pPr>
            <w:r>
              <w:rPr/>
              <w:t> </w:t>
            </w:r>
          </w:p>
        </w:tc>
        <w:tc>
          <w:tcPr>
            <w:tcW w:w="391" w:type="dxa"/>
            <w:tcBorders/>
            <w:shd w:fill="FFFFFF" w:val="clear"/>
            <w:vAlign w:val="center"/>
          </w:tcPr>
          <w:p>
            <w:pPr>
              <w:pStyle w:val="TableContents"/>
              <w:bidi w:val="0"/>
              <w:spacing w:before="0" w:after="283"/>
              <w:jc w:val="left"/>
              <w:rPr/>
            </w:pPr>
            <w:r>
              <w:rPr/>
              <w:t> </w:t>
            </w:r>
          </w:p>
        </w:tc>
        <w:tc>
          <w:tcPr>
            <w:tcW w:w="1277" w:type="dxa"/>
            <w:tcBorders/>
            <w:shd w:fill="FFFFFF" w:val="clear"/>
            <w:vAlign w:val="center"/>
          </w:tcPr>
          <w:p>
            <w:pPr>
              <w:pStyle w:val="TableContents"/>
              <w:bidi w:val="0"/>
              <w:spacing w:before="0" w:after="283"/>
              <w:jc w:val="right"/>
              <w:rPr/>
            </w:pPr>
            <w:r>
              <w:rPr/>
              <w:t>545</w:t>
            </w:r>
          </w:p>
        </w:tc>
        <w:tc>
          <w:tcPr>
            <w:tcW w:w="110" w:type="dxa"/>
            <w:tcBorders/>
            <w:shd w:fill="FFFFFF" w:val="clear"/>
            <w:vAlign w:val="center"/>
          </w:tcPr>
          <w:p>
            <w:pPr>
              <w:pStyle w:val="TableContents"/>
              <w:bidi w:val="0"/>
              <w:spacing w:before="0" w:after="283"/>
              <w:jc w:val="left"/>
              <w:rPr/>
            </w:pPr>
            <w:r>
              <w:rPr/>
              <w:t> </w:t>
            </w:r>
          </w:p>
        </w:tc>
        <w:tc>
          <w:tcPr>
            <w:tcW w:w="69" w:type="dxa"/>
            <w:tcBorders/>
            <w:shd w:fill="FFFFFF" w:val="clear"/>
            <w:vAlign w:val="center"/>
          </w:tcPr>
          <w:p>
            <w:pPr>
              <w:pStyle w:val="TableContents"/>
              <w:bidi w:val="0"/>
              <w:spacing w:before="0" w:after="283"/>
              <w:jc w:val="left"/>
              <w:rPr/>
            </w:pPr>
            <w:r>
              <w:rPr/>
              <w:t> </w:t>
            </w:r>
          </w:p>
        </w:tc>
        <w:tc>
          <w:tcPr>
            <w:tcW w:w="513" w:type="dxa"/>
            <w:tcBorders/>
            <w:shd w:fill="FFFFFF" w:val="clear"/>
            <w:vAlign w:val="center"/>
          </w:tcPr>
          <w:p>
            <w:pPr>
              <w:pStyle w:val="TableContents"/>
              <w:bidi w:val="0"/>
              <w:spacing w:before="0" w:after="283"/>
              <w:jc w:val="left"/>
              <w:rPr/>
            </w:pPr>
            <w:r>
              <w:rPr/>
              <w:t> </w:t>
            </w:r>
          </w:p>
        </w:tc>
        <w:tc>
          <w:tcPr>
            <w:tcW w:w="1397" w:type="dxa"/>
            <w:tcBorders/>
            <w:shd w:fill="FFFFFF" w:val="clear"/>
            <w:vAlign w:val="center"/>
          </w:tcPr>
          <w:p>
            <w:pPr>
              <w:pStyle w:val="TableContents"/>
              <w:bidi w:val="0"/>
              <w:spacing w:before="0" w:after="283"/>
              <w:jc w:val="right"/>
              <w:rPr/>
            </w:pPr>
            <w:r>
              <w:rPr/>
              <w:t>189</w:t>
            </w:r>
          </w:p>
        </w:tc>
        <w:tc>
          <w:tcPr>
            <w:tcW w:w="110" w:type="dxa"/>
            <w:tcBorders/>
            <w:shd w:fill="FFFFFF" w:val="clear"/>
            <w:vAlign w:val="center"/>
          </w:tcPr>
          <w:p>
            <w:pPr>
              <w:pStyle w:val="TableContents"/>
              <w:bidi w:val="0"/>
              <w:spacing w:before="0" w:after="283"/>
              <w:jc w:val="left"/>
              <w:rPr/>
            </w:pPr>
            <w:r>
              <w:rPr/>
              <w:t> </w:t>
            </w:r>
          </w:p>
        </w:tc>
        <w:tc>
          <w:tcPr>
            <w:tcW w:w="69" w:type="dxa"/>
            <w:tcBorders/>
            <w:shd w:fill="FFFFFF" w:val="clear"/>
            <w:vAlign w:val="center"/>
          </w:tcPr>
          <w:p>
            <w:pPr>
              <w:pStyle w:val="TableContents"/>
              <w:bidi w:val="0"/>
              <w:spacing w:before="0" w:after="283"/>
              <w:jc w:val="left"/>
              <w:rPr/>
            </w:pPr>
            <w:r>
              <w:rPr/>
              <w:t> </w:t>
            </w:r>
          </w:p>
        </w:tc>
        <w:tc>
          <w:tcPr>
            <w:tcW w:w="163" w:type="dxa"/>
            <w:tcBorders/>
            <w:shd w:fill="FFFFFF" w:val="clear"/>
            <w:vAlign w:val="center"/>
          </w:tcPr>
          <w:p>
            <w:pPr>
              <w:pStyle w:val="TableContents"/>
              <w:bidi w:val="0"/>
              <w:spacing w:before="0" w:after="283"/>
              <w:jc w:val="left"/>
              <w:rPr/>
            </w:pPr>
            <w:r>
              <w:rPr/>
              <w:t> </w:t>
            </w:r>
          </w:p>
        </w:tc>
        <w:tc>
          <w:tcPr>
            <w:tcW w:w="743" w:type="dxa"/>
            <w:tcBorders/>
            <w:shd w:fill="FFFFFF" w:val="clear"/>
            <w:vAlign w:val="center"/>
          </w:tcPr>
          <w:p>
            <w:pPr>
              <w:pStyle w:val="TableContents"/>
              <w:bidi w:val="0"/>
              <w:spacing w:before="0" w:after="283"/>
              <w:jc w:val="right"/>
              <w:rPr/>
            </w:pPr>
            <w:r>
              <w:rPr/>
              <w:t>1,813</w:t>
            </w:r>
          </w:p>
        </w:tc>
        <w:tc>
          <w:tcPr>
            <w:tcW w:w="122" w:type="dxa"/>
            <w:tcBorders/>
            <w:shd w:fill="FFFFFF" w:val="clear"/>
            <w:vAlign w:val="center"/>
          </w:tcPr>
          <w:p>
            <w:pPr>
              <w:pStyle w:val="TableContents"/>
              <w:bidi w:val="0"/>
              <w:spacing w:before="0" w:after="283"/>
              <w:jc w:val="left"/>
              <w:rPr/>
            </w:pPr>
            <w:r>
              <w:rPr/>
              <w:t> </w:t>
            </w:r>
          </w:p>
        </w:tc>
      </w:tr>
      <w:tr>
        <w:trPr/>
        <w:tc>
          <w:tcPr>
            <w:tcW w:w="1795" w:type="dxa"/>
            <w:tcBorders/>
            <w:shd w:fill="CCEEFF" w:val="clear"/>
            <w:vAlign w:val="center"/>
          </w:tcPr>
          <w:p>
            <w:pPr>
              <w:pStyle w:val="TableContents"/>
              <w:bidi w:val="0"/>
              <w:spacing w:before="0" w:after="283"/>
              <w:jc w:val="both"/>
              <w:rPr/>
            </w:pPr>
            <w:r>
              <w:rPr/>
              <w:t>Write-offs</w:t>
            </w:r>
          </w:p>
        </w:tc>
        <w:tc>
          <w:tcPr>
            <w:tcW w:w="60" w:type="dxa"/>
            <w:tcBorders/>
            <w:shd w:fill="CCEEFF" w:val="clear"/>
            <w:vAlign w:val="center"/>
          </w:tcPr>
          <w:p>
            <w:pPr>
              <w:pStyle w:val="TableContents"/>
              <w:bidi w:val="0"/>
              <w:spacing w:before="0" w:after="283"/>
              <w:jc w:val="left"/>
              <w:rPr/>
            </w:pPr>
            <w:r>
              <w:rPr/>
              <w:t> </w:t>
            </w:r>
          </w:p>
        </w:tc>
        <w:tc>
          <w:tcPr>
            <w:tcW w:w="311" w:type="dxa"/>
            <w:tcBorders/>
            <w:shd w:fill="CCEEFF" w:val="clear"/>
            <w:vAlign w:val="center"/>
          </w:tcPr>
          <w:p>
            <w:pPr>
              <w:pStyle w:val="TableContents"/>
              <w:bidi w:val="0"/>
              <w:spacing w:before="0" w:after="283"/>
              <w:jc w:val="left"/>
              <w:rPr/>
            </w:pPr>
            <w:r>
              <w:rPr/>
              <w:t> </w:t>
            </w:r>
          </w:p>
        </w:tc>
        <w:tc>
          <w:tcPr>
            <w:tcW w:w="1245" w:type="dxa"/>
            <w:tcBorders/>
            <w:shd w:fill="CCEEFF" w:val="clear"/>
            <w:vAlign w:val="center"/>
          </w:tcPr>
          <w:p>
            <w:pPr>
              <w:pStyle w:val="TableContents"/>
              <w:bidi w:val="0"/>
              <w:spacing w:before="0" w:after="283"/>
              <w:jc w:val="right"/>
              <w:rPr/>
            </w:pPr>
            <w:r>
              <w:rPr/>
              <w:t>(767</w:t>
            </w:r>
          </w:p>
        </w:tc>
        <w:tc>
          <w:tcPr>
            <w:tcW w:w="110" w:type="dxa"/>
            <w:tcBorders/>
            <w:shd w:fill="CCEEFF" w:val="clear"/>
            <w:vAlign w:val="center"/>
          </w:tcPr>
          <w:p>
            <w:pPr>
              <w:pStyle w:val="TableContents"/>
              <w:bidi w:val="0"/>
              <w:spacing w:before="0" w:after="283"/>
              <w:jc w:val="left"/>
              <w:rPr/>
            </w:pPr>
            <w:r>
              <w:rPr/>
              <w:t>)</w:t>
            </w:r>
          </w:p>
        </w:tc>
        <w:tc>
          <w:tcPr>
            <w:tcW w:w="69" w:type="dxa"/>
            <w:tcBorders/>
            <w:shd w:fill="CCEEFF" w:val="clear"/>
            <w:vAlign w:val="center"/>
          </w:tcPr>
          <w:p>
            <w:pPr>
              <w:pStyle w:val="TableContents"/>
              <w:bidi w:val="0"/>
              <w:spacing w:before="0" w:after="283"/>
              <w:jc w:val="left"/>
              <w:rPr/>
            </w:pPr>
            <w:r>
              <w:rPr/>
              <w:t> </w:t>
            </w:r>
          </w:p>
        </w:tc>
        <w:tc>
          <w:tcPr>
            <w:tcW w:w="433" w:type="dxa"/>
            <w:tcBorders/>
            <w:shd w:fill="CCEEFF" w:val="clear"/>
            <w:vAlign w:val="center"/>
          </w:tcPr>
          <w:p>
            <w:pPr>
              <w:pStyle w:val="TableContents"/>
              <w:bidi w:val="0"/>
              <w:spacing w:before="0" w:after="283"/>
              <w:jc w:val="left"/>
              <w:rPr/>
            </w:pPr>
            <w:r>
              <w:rPr/>
              <w:t> </w:t>
            </w:r>
          </w:p>
        </w:tc>
        <w:tc>
          <w:tcPr>
            <w:tcW w:w="1039" w:type="dxa"/>
            <w:tcBorders/>
            <w:shd w:fill="CCEEFF" w:val="clear"/>
            <w:vAlign w:val="center"/>
          </w:tcPr>
          <w:p>
            <w:pPr>
              <w:pStyle w:val="TableContents"/>
              <w:bidi w:val="0"/>
              <w:spacing w:before="0" w:after="283"/>
              <w:jc w:val="right"/>
              <w:rPr/>
            </w:pPr>
            <w:r>
              <w:rPr/>
              <w:t>(24</w:t>
            </w:r>
          </w:p>
        </w:tc>
        <w:tc>
          <w:tcPr>
            <w:tcW w:w="110" w:type="dxa"/>
            <w:tcBorders/>
            <w:shd w:fill="CCEEFF" w:val="clear"/>
            <w:vAlign w:val="center"/>
          </w:tcPr>
          <w:p>
            <w:pPr>
              <w:pStyle w:val="TableContents"/>
              <w:bidi w:val="0"/>
              <w:spacing w:before="0" w:after="283"/>
              <w:jc w:val="left"/>
              <w:rPr/>
            </w:pPr>
            <w:r>
              <w:rPr/>
              <w:t>)</w:t>
            </w:r>
          </w:p>
        </w:tc>
        <w:tc>
          <w:tcPr>
            <w:tcW w:w="69" w:type="dxa"/>
            <w:tcBorders/>
            <w:shd w:fill="CCEEFF" w:val="clear"/>
            <w:vAlign w:val="center"/>
          </w:tcPr>
          <w:p>
            <w:pPr>
              <w:pStyle w:val="TableContents"/>
              <w:bidi w:val="0"/>
              <w:spacing w:before="0" w:after="283"/>
              <w:jc w:val="left"/>
              <w:rPr/>
            </w:pPr>
            <w:r>
              <w:rPr/>
              <w:t> </w:t>
            </w:r>
          </w:p>
        </w:tc>
        <w:tc>
          <w:tcPr>
            <w:tcW w:w="391" w:type="dxa"/>
            <w:tcBorders/>
            <w:shd w:fill="CCEEFF" w:val="clear"/>
            <w:vAlign w:val="center"/>
          </w:tcPr>
          <w:p>
            <w:pPr>
              <w:pStyle w:val="TableContents"/>
              <w:bidi w:val="0"/>
              <w:spacing w:before="0" w:after="283"/>
              <w:jc w:val="left"/>
              <w:rPr/>
            </w:pPr>
            <w:r>
              <w:rPr/>
              <w:t> </w:t>
            </w:r>
          </w:p>
        </w:tc>
        <w:tc>
          <w:tcPr>
            <w:tcW w:w="1277" w:type="dxa"/>
            <w:tcBorders/>
            <w:shd w:fill="CCEEFF" w:val="clear"/>
            <w:vAlign w:val="center"/>
          </w:tcPr>
          <w:p>
            <w:pPr>
              <w:pStyle w:val="TableContents"/>
              <w:bidi w:val="0"/>
              <w:spacing w:before="0" w:after="283"/>
              <w:jc w:val="right"/>
              <w:rPr/>
            </w:pPr>
            <w:r>
              <w:rPr/>
              <w:t>(414</w:t>
            </w:r>
          </w:p>
        </w:tc>
        <w:tc>
          <w:tcPr>
            <w:tcW w:w="110" w:type="dxa"/>
            <w:tcBorders/>
            <w:shd w:fill="CCEEFF" w:val="clear"/>
            <w:vAlign w:val="center"/>
          </w:tcPr>
          <w:p>
            <w:pPr>
              <w:pStyle w:val="TableContents"/>
              <w:bidi w:val="0"/>
              <w:spacing w:before="0" w:after="283"/>
              <w:jc w:val="left"/>
              <w:rPr/>
            </w:pPr>
            <w:r>
              <w:rPr/>
              <w:t>)</w:t>
            </w:r>
          </w:p>
        </w:tc>
        <w:tc>
          <w:tcPr>
            <w:tcW w:w="69" w:type="dxa"/>
            <w:tcBorders/>
            <w:shd w:fill="CCEEFF" w:val="clear"/>
            <w:vAlign w:val="center"/>
          </w:tcPr>
          <w:p>
            <w:pPr>
              <w:pStyle w:val="TableContents"/>
              <w:bidi w:val="0"/>
              <w:spacing w:before="0" w:after="283"/>
              <w:jc w:val="left"/>
              <w:rPr/>
            </w:pPr>
            <w:r>
              <w:rPr/>
              <w:t> </w:t>
            </w:r>
          </w:p>
        </w:tc>
        <w:tc>
          <w:tcPr>
            <w:tcW w:w="513" w:type="dxa"/>
            <w:tcBorders/>
            <w:shd w:fill="CCEEFF" w:val="clear"/>
            <w:vAlign w:val="center"/>
          </w:tcPr>
          <w:p>
            <w:pPr>
              <w:pStyle w:val="TableContents"/>
              <w:bidi w:val="0"/>
              <w:spacing w:before="0" w:after="283"/>
              <w:jc w:val="left"/>
              <w:rPr/>
            </w:pPr>
            <w:r>
              <w:rPr/>
              <w:t> </w:t>
            </w:r>
          </w:p>
        </w:tc>
        <w:tc>
          <w:tcPr>
            <w:tcW w:w="1397" w:type="dxa"/>
            <w:tcBorders/>
            <w:shd w:fill="CCEEFF" w:val="clear"/>
            <w:vAlign w:val="center"/>
          </w:tcPr>
          <w:p>
            <w:pPr>
              <w:pStyle w:val="TableContents"/>
              <w:bidi w:val="0"/>
              <w:spacing w:before="0" w:after="283"/>
              <w:jc w:val="right"/>
              <w:rPr/>
            </w:pPr>
            <w:r>
              <w:rPr/>
              <w:t>(20</w:t>
            </w:r>
          </w:p>
        </w:tc>
        <w:tc>
          <w:tcPr>
            <w:tcW w:w="110" w:type="dxa"/>
            <w:tcBorders/>
            <w:shd w:fill="CCEEFF" w:val="clear"/>
            <w:vAlign w:val="center"/>
          </w:tcPr>
          <w:p>
            <w:pPr>
              <w:pStyle w:val="TableContents"/>
              <w:bidi w:val="0"/>
              <w:spacing w:before="0" w:after="283"/>
              <w:jc w:val="left"/>
              <w:rPr/>
            </w:pPr>
            <w:r>
              <w:rPr/>
              <w:t>)</w:t>
            </w:r>
          </w:p>
        </w:tc>
        <w:tc>
          <w:tcPr>
            <w:tcW w:w="69" w:type="dxa"/>
            <w:tcBorders/>
            <w:shd w:fill="CCEEFF" w:val="clear"/>
            <w:vAlign w:val="center"/>
          </w:tcPr>
          <w:p>
            <w:pPr>
              <w:pStyle w:val="TableContents"/>
              <w:bidi w:val="0"/>
              <w:spacing w:before="0" w:after="283"/>
              <w:jc w:val="left"/>
              <w:rPr/>
            </w:pPr>
            <w:r>
              <w:rPr/>
              <w:t> </w:t>
            </w:r>
          </w:p>
        </w:tc>
        <w:tc>
          <w:tcPr>
            <w:tcW w:w="163" w:type="dxa"/>
            <w:tcBorders/>
            <w:shd w:fill="CCEEFF" w:val="clear"/>
            <w:vAlign w:val="center"/>
          </w:tcPr>
          <w:p>
            <w:pPr>
              <w:pStyle w:val="TableContents"/>
              <w:bidi w:val="0"/>
              <w:spacing w:before="0" w:after="283"/>
              <w:jc w:val="left"/>
              <w:rPr/>
            </w:pPr>
            <w:r>
              <w:rPr/>
              <w:t> </w:t>
            </w:r>
          </w:p>
        </w:tc>
        <w:tc>
          <w:tcPr>
            <w:tcW w:w="743" w:type="dxa"/>
            <w:tcBorders/>
            <w:shd w:fill="CCEEFF" w:val="clear"/>
            <w:vAlign w:val="center"/>
          </w:tcPr>
          <w:p>
            <w:pPr>
              <w:pStyle w:val="TableContents"/>
              <w:bidi w:val="0"/>
              <w:spacing w:before="0" w:after="283"/>
              <w:jc w:val="right"/>
              <w:rPr/>
            </w:pPr>
            <w:r>
              <w:rPr/>
              <w:t>(1,225</w:t>
            </w:r>
          </w:p>
        </w:tc>
        <w:tc>
          <w:tcPr>
            <w:tcW w:w="122" w:type="dxa"/>
            <w:tcBorders/>
            <w:shd w:fill="CCEEFF" w:val="clear"/>
            <w:vAlign w:val="center"/>
          </w:tcPr>
          <w:p>
            <w:pPr>
              <w:pStyle w:val="TableContents"/>
              <w:bidi w:val="0"/>
              <w:spacing w:before="0" w:after="283"/>
              <w:ind w:left="0" w:right="0" w:hanging="180"/>
              <w:jc w:val="left"/>
              <w:rPr/>
            </w:pPr>
            <w:r>
              <w:rPr/>
              <w:t>)</w:t>
            </w:r>
          </w:p>
        </w:tc>
      </w:tr>
      <w:tr>
        <w:trPr/>
        <w:tc>
          <w:tcPr>
            <w:tcW w:w="1795" w:type="dxa"/>
            <w:tcBorders/>
            <w:shd w:fill="FFFFFF" w:val="clear"/>
            <w:vAlign w:val="center"/>
          </w:tcPr>
          <w:p>
            <w:pPr>
              <w:pStyle w:val="TableContents"/>
              <w:bidi w:val="0"/>
              <w:spacing w:before="0" w:after="283"/>
              <w:jc w:val="left"/>
              <w:rPr/>
            </w:pPr>
            <w:r>
              <w:rPr/>
              <w:t>Recoveries</w:t>
            </w:r>
          </w:p>
        </w:tc>
        <w:tc>
          <w:tcPr>
            <w:tcW w:w="60" w:type="dxa"/>
            <w:tcBorders/>
            <w:shd w:fill="FFFFFF" w:val="clear"/>
            <w:vAlign w:val="center"/>
          </w:tcPr>
          <w:p>
            <w:pPr>
              <w:pStyle w:val="TableContents"/>
              <w:bidi w:val="0"/>
              <w:spacing w:before="0" w:after="283"/>
              <w:jc w:val="left"/>
              <w:rPr/>
            </w:pPr>
            <w:r>
              <w:rPr/>
              <w:t> </w:t>
            </w:r>
          </w:p>
        </w:tc>
        <w:tc>
          <w:tcPr>
            <w:tcW w:w="311"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45"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110" w:type="dxa"/>
            <w:tcBorders/>
            <w:shd w:fill="FFFFFF" w:val="clear"/>
            <w:vAlign w:val="center"/>
          </w:tcPr>
          <w:p>
            <w:pPr>
              <w:pStyle w:val="TableContents"/>
              <w:bidi w:val="0"/>
              <w:spacing w:before="0" w:after="283"/>
              <w:jc w:val="left"/>
              <w:rPr/>
            </w:pPr>
            <w:r>
              <w:rPr/>
              <w:t> </w:t>
            </w:r>
          </w:p>
        </w:tc>
        <w:tc>
          <w:tcPr>
            <w:tcW w:w="69" w:type="dxa"/>
            <w:tcBorders/>
            <w:shd w:fill="FFFFFF" w:val="clear"/>
            <w:vAlign w:val="center"/>
          </w:tcPr>
          <w:p>
            <w:pPr>
              <w:pStyle w:val="TableContents"/>
              <w:bidi w:val="0"/>
              <w:spacing w:before="0" w:after="283"/>
              <w:jc w:val="left"/>
              <w:rPr/>
            </w:pPr>
            <w:r>
              <w:rPr/>
              <w:t> </w:t>
            </w:r>
          </w:p>
        </w:tc>
        <w:tc>
          <w:tcPr>
            <w:tcW w:w="433"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039" w:type="dxa"/>
            <w:tcBorders>
              <w:bottom w:val="single" w:sz="12" w:space="0" w:color="000000"/>
            </w:tcBorders>
            <w:shd w:fill="FFFFFF" w:val="clear"/>
            <w:tcMar>
              <w:bottom w:w="28" w:type="dxa"/>
            </w:tcMar>
            <w:vAlign w:val="center"/>
          </w:tcPr>
          <w:p>
            <w:pPr>
              <w:pStyle w:val="TableContents"/>
              <w:bidi w:val="0"/>
              <w:spacing w:before="0" w:after="283"/>
              <w:jc w:val="right"/>
              <w:rPr/>
            </w:pPr>
            <w:r>
              <w:rPr/>
              <w:t>(5</w:t>
            </w:r>
          </w:p>
        </w:tc>
        <w:tc>
          <w:tcPr>
            <w:tcW w:w="110" w:type="dxa"/>
            <w:tcBorders/>
            <w:shd w:fill="FFFFFF" w:val="clear"/>
            <w:vAlign w:val="center"/>
          </w:tcPr>
          <w:p>
            <w:pPr>
              <w:pStyle w:val="TableContents"/>
              <w:bidi w:val="0"/>
              <w:spacing w:before="0" w:after="283"/>
              <w:jc w:val="left"/>
              <w:rPr/>
            </w:pPr>
            <w:r>
              <w:rPr/>
              <w:t>)</w:t>
            </w:r>
          </w:p>
        </w:tc>
        <w:tc>
          <w:tcPr>
            <w:tcW w:w="69" w:type="dxa"/>
            <w:tcBorders/>
            <w:shd w:fill="FFFFFF" w:val="clear"/>
            <w:vAlign w:val="center"/>
          </w:tcPr>
          <w:p>
            <w:pPr>
              <w:pStyle w:val="TableContents"/>
              <w:bidi w:val="0"/>
              <w:spacing w:before="0" w:after="283"/>
              <w:jc w:val="left"/>
              <w:rPr/>
            </w:pPr>
            <w:r>
              <w:rPr/>
              <w:t> </w:t>
            </w:r>
          </w:p>
        </w:tc>
        <w:tc>
          <w:tcPr>
            <w:tcW w:w="391"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77" w:type="dxa"/>
            <w:tcBorders>
              <w:bottom w:val="single" w:sz="12" w:space="0" w:color="000000"/>
            </w:tcBorders>
            <w:shd w:fill="FFFFFF" w:val="clear"/>
            <w:tcMar>
              <w:bottom w:w="28" w:type="dxa"/>
            </w:tcMar>
            <w:vAlign w:val="center"/>
          </w:tcPr>
          <w:p>
            <w:pPr>
              <w:pStyle w:val="TableContents"/>
              <w:bidi w:val="0"/>
              <w:spacing w:before="0" w:after="283"/>
              <w:jc w:val="right"/>
              <w:rPr/>
            </w:pPr>
            <w:r>
              <w:rPr/>
              <w:t>(46</w:t>
            </w:r>
          </w:p>
        </w:tc>
        <w:tc>
          <w:tcPr>
            <w:tcW w:w="110" w:type="dxa"/>
            <w:tcBorders/>
            <w:shd w:fill="FFFFFF" w:val="clear"/>
            <w:vAlign w:val="center"/>
          </w:tcPr>
          <w:p>
            <w:pPr>
              <w:pStyle w:val="TableContents"/>
              <w:bidi w:val="0"/>
              <w:spacing w:before="0" w:after="283"/>
              <w:jc w:val="left"/>
              <w:rPr/>
            </w:pPr>
            <w:r>
              <w:rPr/>
              <w:t>)</w:t>
            </w:r>
          </w:p>
        </w:tc>
        <w:tc>
          <w:tcPr>
            <w:tcW w:w="69" w:type="dxa"/>
            <w:tcBorders/>
            <w:shd w:fill="FFFFFF" w:val="clear"/>
            <w:vAlign w:val="center"/>
          </w:tcPr>
          <w:p>
            <w:pPr>
              <w:pStyle w:val="TableContents"/>
              <w:bidi w:val="0"/>
              <w:spacing w:before="0" w:after="283"/>
              <w:jc w:val="left"/>
              <w:rPr/>
            </w:pPr>
            <w:r>
              <w:rPr/>
              <w:t> </w:t>
            </w:r>
          </w:p>
        </w:tc>
        <w:tc>
          <w:tcPr>
            <w:tcW w:w="513"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397" w:type="dxa"/>
            <w:tcBorders>
              <w:bottom w:val="single" w:sz="12" w:space="0" w:color="000000"/>
            </w:tcBorders>
            <w:shd w:fill="FFFFFF" w:val="clear"/>
            <w:tcMar>
              <w:bottom w:w="28" w:type="dxa"/>
            </w:tcMar>
            <w:vAlign w:val="center"/>
          </w:tcPr>
          <w:p>
            <w:pPr>
              <w:pStyle w:val="TableContents"/>
              <w:bidi w:val="0"/>
              <w:spacing w:before="0" w:after="283"/>
              <w:jc w:val="right"/>
              <w:rPr/>
            </w:pPr>
            <w:r>
              <w:rPr/>
              <w:t>(3</w:t>
            </w:r>
          </w:p>
        </w:tc>
        <w:tc>
          <w:tcPr>
            <w:tcW w:w="110" w:type="dxa"/>
            <w:tcBorders/>
            <w:shd w:fill="FFFFFF" w:val="clear"/>
            <w:vAlign w:val="center"/>
          </w:tcPr>
          <w:p>
            <w:pPr>
              <w:pStyle w:val="TableContents"/>
              <w:bidi w:val="0"/>
              <w:spacing w:before="0" w:after="283"/>
              <w:jc w:val="left"/>
              <w:rPr/>
            </w:pPr>
            <w:r>
              <w:rPr/>
              <w:t>)</w:t>
            </w:r>
          </w:p>
        </w:tc>
        <w:tc>
          <w:tcPr>
            <w:tcW w:w="69" w:type="dxa"/>
            <w:tcBorders/>
            <w:shd w:fill="FFFFFF" w:val="clear"/>
            <w:vAlign w:val="center"/>
          </w:tcPr>
          <w:p>
            <w:pPr>
              <w:pStyle w:val="TableContents"/>
              <w:bidi w:val="0"/>
              <w:spacing w:before="0" w:after="283"/>
              <w:jc w:val="left"/>
              <w:rPr/>
            </w:pPr>
            <w:r>
              <w:rPr/>
              <w:t> </w:t>
            </w:r>
          </w:p>
        </w:tc>
        <w:tc>
          <w:tcPr>
            <w:tcW w:w="163"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743" w:type="dxa"/>
            <w:tcBorders>
              <w:bottom w:val="single" w:sz="12" w:space="0" w:color="000000"/>
            </w:tcBorders>
            <w:shd w:fill="FFFFFF" w:val="clear"/>
            <w:tcMar>
              <w:bottom w:w="28" w:type="dxa"/>
            </w:tcMar>
            <w:vAlign w:val="center"/>
          </w:tcPr>
          <w:p>
            <w:pPr>
              <w:pStyle w:val="TableContents"/>
              <w:bidi w:val="0"/>
              <w:spacing w:before="0" w:after="283"/>
              <w:jc w:val="right"/>
              <w:rPr/>
            </w:pPr>
            <w:r>
              <w:rPr/>
              <w:t>(54</w:t>
            </w:r>
          </w:p>
        </w:tc>
        <w:tc>
          <w:tcPr>
            <w:tcW w:w="122" w:type="dxa"/>
            <w:tcBorders/>
            <w:shd w:fill="FFFFFF" w:val="clear"/>
            <w:vAlign w:val="center"/>
          </w:tcPr>
          <w:p>
            <w:pPr>
              <w:pStyle w:val="TableContents"/>
              <w:bidi w:val="0"/>
              <w:spacing w:before="0" w:after="283"/>
              <w:jc w:val="left"/>
              <w:rPr/>
            </w:pPr>
            <w:r>
              <w:rPr/>
              <w:t>)</w:t>
            </w:r>
          </w:p>
        </w:tc>
      </w:tr>
      <w:tr>
        <w:trPr/>
        <w:tc>
          <w:tcPr>
            <w:tcW w:w="1795" w:type="dxa"/>
            <w:tcBorders/>
            <w:shd w:fill="CCEEFF" w:val="clear"/>
            <w:vAlign w:val="center"/>
          </w:tcPr>
          <w:p>
            <w:pPr>
              <w:pStyle w:val="TableContents"/>
              <w:bidi w:val="0"/>
              <w:spacing w:before="0" w:after="283"/>
              <w:jc w:val="both"/>
              <w:rPr/>
            </w:pPr>
            <w:r>
              <w:rPr/>
              <w:t>Total</w:t>
            </w:r>
          </w:p>
        </w:tc>
        <w:tc>
          <w:tcPr>
            <w:tcW w:w="60" w:type="dxa"/>
            <w:tcBorders/>
            <w:shd w:fill="CCEEFF" w:val="clear"/>
            <w:vAlign w:val="center"/>
          </w:tcPr>
          <w:p>
            <w:pPr>
              <w:pStyle w:val="TableContents"/>
              <w:bidi w:val="0"/>
              <w:spacing w:before="0" w:after="283"/>
              <w:jc w:val="left"/>
              <w:rPr/>
            </w:pPr>
            <w:r>
              <w:rPr/>
              <w:t> </w:t>
            </w:r>
          </w:p>
        </w:tc>
        <w:tc>
          <w:tcPr>
            <w:tcW w:w="311"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245" w:type="dxa"/>
            <w:tcBorders>
              <w:bottom w:val="double" w:sz="10" w:space="0" w:color="000000"/>
            </w:tcBorders>
            <w:shd w:fill="CCEEFF" w:val="clear"/>
            <w:tcMar>
              <w:bottom w:w="28" w:type="dxa"/>
            </w:tcMar>
            <w:vAlign w:val="center"/>
          </w:tcPr>
          <w:p>
            <w:pPr>
              <w:pStyle w:val="TableContents"/>
              <w:bidi w:val="0"/>
              <w:spacing w:before="0" w:after="283"/>
              <w:jc w:val="right"/>
              <w:rPr/>
            </w:pPr>
            <w:r>
              <w:rPr/>
              <w:t>286</w:t>
            </w:r>
          </w:p>
        </w:tc>
        <w:tc>
          <w:tcPr>
            <w:tcW w:w="110" w:type="dxa"/>
            <w:tcBorders/>
            <w:shd w:fill="CCEEFF" w:val="clear"/>
            <w:vAlign w:val="center"/>
          </w:tcPr>
          <w:p>
            <w:pPr>
              <w:pStyle w:val="TableContents"/>
              <w:bidi w:val="0"/>
              <w:spacing w:before="0" w:after="283"/>
              <w:jc w:val="left"/>
              <w:rPr/>
            </w:pPr>
            <w:r>
              <w:rPr/>
              <w:t> </w:t>
            </w:r>
          </w:p>
        </w:tc>
        <w:tc>
          <w:tcPr>
            <w:tcW w:w="69" w:type="dxa"/>
            <w:tcBorders/>
            <w:shd w:fill="CCEEFF" w:val="clear"/>
            <w:vAlign w:val="center"/>
          </w:tcPr>
          <w:p>
            <w:pPr>
              <w:pStyle w:val="TableContents"/>
              <w:bidi w:val="0"/>
              <w:spacing w:before="0" w:after="283"/>
              <w:jc w:val="left"/>
              <w:rPr/>
            </w:pPr>
            <w:r>
              <w:rPr/>
              <w:t> </w:t>
            </w:r>
          </w:p>
        </w:tc>
        <w:tc>
          <w:tcPr>
            <w:tcW w:w="433"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039" w:type="dxa"/>
            <w:tcBorders>
              <w:bottom w:val="double" w:sz="10" w:space="0" w:color="000000"/>
            </w:tcBorders>
            <w:shd w:fill="CCEEFF" w:val="clear"/>
            <w:tcMar>
              <w:bottom w:w="28" w:type="dxa"/>
            </w:tcMar>
            <w:vAlign w:val="center"/>
          </w:tcPr>
          <w:p>
            <w:pPr>
              <w:pStyle w:val="TableContents"/>
              <w:bidi w:val="0"/>
              <w:spacing w:before="0" w:after="283"/>
              <w:jc w:val="right"/>
              <w:rPr/>
            </w:pPr>
            <w:r>
              <w:rPr/>
              <w:t>2</w:t>
            </w:r>
          </w:p>
        </w:tc>
        <w:tc>
          <w:tcPr>
            <w:tcW w:w="110" w:type="dxa"/>
            <w:tcBorders/>
            <w:shd w:fill="CCEEFF" w:val="clear"/>
            <w:vAlign w:val="center"/>
          </w:tcPr>
          <w:p>
            <w:pPr>
              <w:pStyle w:val="TableContents"/>
              <w:bidi w:val="0"/>
              <w:spacing w:before="0" w:after="283"/>
              <w:jc w:val="left"/>
              <w:rPr/>
            </w:pPr>
            <w:r>
              <w:rPr/>
              <w:t> </w:t>
            </w:r>
          </w:p>
        </w:tc>
        <w:tc>
          <w:tcPr>
            <w:tcW w:w="69" w:type="dxa"/>
            <w:tcBorders/>
            <w:shd w:fill="CCEEFF" w:val="clear"/>
            <w:vAlign w:val="center"/>
          </w:tcPr>
          <w:p>
            <w:pPr>
              <w:pStyle w:val="TableContents"/>
              <w:bidi w:val="0"/>
              <w:spacing w:before="0" w:after="283"/>
              <w:jc w:val="left"/>
              <w:rPr/>
            </w:pPr>
            <w:r>
              <w:rPr/>
              <w:t> </w:t>
            </w:r>
          </w:p>
        </w:tc>
        <w:tc>
          <w:tcPr>
            <w:tcW w:w="391"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277" w:type="dxa"/>
            <w:tcBorders>
              <w:bottom w:val="double" w:sz="10" w:space="0" w:color="000000"/>
            </w:tcBorders>
            <w:shd w:fill="CCEEFF" w:val="clear"/>
            <w:tcMar>
              <w:bottom w:w="28" w:type="dxa"/>
            </w:tcMar>
            <w:vAlign w:val="center"/>
          </w:tcPr>
          <w:p>
            <w:pPr>
              <w:pStyle w:val="TableContents"/>
              <w:bidi w:val="0"/>
              <w:spacing w:before="0" w:after="283"/>
              <w:jc w:val="right"/>
              <w:rPr/>
            </w:pPr>
            <w:r>
              <w:rPr/>
              <w:t>131</w:t>
            </w:r>
          </w:p>
        </w:tc>
        <w:tc>
          <w:tcPr>
            <w:tcW w:w="110" w:type="dxa"/>
            <w:tcBorders/>
            <w:shd w:fill="CCEEFF" w:val="clear"/>
            <w:vAlign w:val="center"/>
          </w:tcPr>
          <w:p>
            <w:pPr>
              <w:pStyle w:val="TableContents"/>
              <w:bidi w:val="0"/>
              <w:spacing w:before="0" w:after="283"/>
              <w:jc w:val="left"/>
              <w:rPr/>
            </w:pPr>
            <w:r>
              <w:rPr/>
              <w:t> </w:t>
            </w:r>
          </w:p>
        </w:tc>
        <w:tc>
          <w:tcPr>
            <w:tcW w:w="69" w:type="dxa"/>
            <w:tcBorders/>
            <w:shd w:fill="CCEEFF" w:val="clear"/>
            <w:vAlign w:val="center"/>
          </w:tcPr>
          <w:p>
            <w:pPr>
              <w:pStyle w:val="TableContents"/>
              <w:bidi w:val="0"/>
              <w:spacing w:before="0" w:after="283"/>
              <w:jc w:val="left"/>
              <w:rPr/>
            </w:pPr>
            <w:r>
              <w:rPr/>
              <w:t> </w:t>
            </w:r>
          </w:p>
        </w:tc>
        <w:tc>
          <w:tcPr>
            <w:tcW w:w="513"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397" w:type="dxa"/>
            <w:tcBorders>
              <w:bottom w:val="double" w:sz="10" w:space="0" w:color="000000"/>
            </w:tcBorders>
            <w:shd w:fill="CCEEFF" w:val="clear"/>
            <w:tcMar>
              <w:bottom w:w="28" w:type="dxa"/>
            </w:tcMar>
            <w:vAlign w:val="center"/>
          </w:tcPr>
          <w:p>
            <w:pPr>
              <w:pStyle w:val="TableContents"/>
              <w:bidi w:val="0"/>
              <w:spacing w:before="0" w:after="283"/>
              <w:jc w:val="right"/>
              <w:rPr/>
            </w:pPr>
            <w:r>
              <w:rPr/>
              <w:t>169</w:t>
            </w:r>
          </w:p>
        </w:tc>
        <w:tc>
          <w:tcPr>
            <w:tcW w:w="110" w:type="dxa"/>
            <w:tcBorders/>
            <w:shd w:fill="CCEEFF" w:val="clear"/>
            <w:vAlign w:val="center"/>
          </w:tcPr>
          <w:p>
            <w:pPr>
              <w:pStyle w:val="TableContents"/>
              <w:bidi w:val="0"/>
              <w:spacing w:before="0" w:after="283"/>
              <w:jc w:val="left"/>
              <w:rPr/>
            </w:pPr>
            <w:r>
              <w:rPr/>
              <w:t> </w:t>
            </w:r>
          </w:p>
        </w:tc>
        <w:tc>
          <w:tcPr>
            <w:tcW w:w="69" w:type="dxa"/>
            <w:tcBorders/>
            <w:shd w:fill="CCEEFF" w:val="clear"/>
            <w:vAlign w:val="center"/>
          </w:tcPr>
          <w:p>
            <w:pPr>
              <w:pStyle w:val="TableContents"/>
              <w:bidi w:val="0"/>
              <w:spacing w:before="0" w:after="283"/>
              <w:jc w:val="left"/>
              <w:rPr/>
            </w:pPr>
            <w:r>
              <w:rPr/>
              <w:t> </w:t>
            </w:r>
          </w:p>
        </w:tc>
        <w:tc>
          <w:tcPr>
            <w:tcW w:w="163"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743" w:type="dxa"/>
            <w:tcBorders>
              <w:bottom w:val="double" w:sz="10" w:space="0" w:color="000000"/>
            </w:tcBorders>
            <w:shd w:fill="CCEEFF" w:val="clear"/>
            <w:tcMar>
              <w:bottom w:w="28" w:type="dxa"/>
            </w:tcMar>
            <w:vAlign w:val="center"/>
          </w:tcPr>
          <w:p>
            <w:pPr>
              <w:pStyle w:val="TableContents"/>
              <w:bidi w:val="0"/>
              <w:spacing w:before="0" w:after="283"/>
              <w:jc w:val="right"/>
              <w:rPr/>
            </w:pPr>
            <w:r>
              <w:rPr/>
              <w:t>588</w:t>
            </w:r>
          </w:p>
        </w:tc>
        <w:tc>
          <w:tcPr>
            <w:tcW w:w="122"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allowance for credit losses for receivables by portfolio segment and the related activity for the year ended December 31, 2023 are as follows:</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844"/>
        <w:gridCol w:w="60"/>
        <w:gridCol w:w="286"/>
        <w:gridCol w:w="1306"/>
        <w:gridCol w:w="105"/>
        <w:gridCol w:w="66"/>
        <w:gridCol w:w="520"/>
        <w:gridCol w:w="968"/>
        <w:gridCol w:w="66"/>
        <w:gridCol w:w="66"/>
        <w:gridCol w:w="340"/>
        <w:gridCol w:w="1363"/>
        <w:gridCol w:w="105"/>
        <w:gridCol w:w="66"/>
        <w:gridCol w:w="309"/>
        <w:gridCol w:w="1639"/>
        <w:gridCol w:w="66"/>
        <w:gridCol w:w="66"/>
        <w:gridCol w:w="155"/>
        <w:gridCol w:w="705"/>
        <w:gridCol w:w="104"/>
      </w:tblGrid>
      <w:tr>
        <w:trPr/>
        <w:tc>
          <w:tcPr>
            <w:tcW w:w="1844"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8197" w:type="dxa"/>
            <w:gridSpan w:val="18"/>
            <w:tcBorders>
              <w:bottom w:val="single" w:sz="12" w:space="0" w:color="000000"/>
            </w:tcBorders>
            <w:tcMar>
              <w:bottom w:w="28" w:type="dxa"/>
            </w:tcMar>
            <w:vAlign w:val="center"/>
          </w:tcPr>
          <w:p>
            <w:pPr>
              <w:pStyle w:val="TableContents"/>
              <w:bidi w:val="0"/>
              <w:spacing w:before="0" w:after="283"/>
              <w:jc w:val="center"/>
              <w:rPr>
                <w:b/>
              </w:rPr>
            </w:pPr>
            <w:r>
              <w:rPr>
                <w:b/>
              </w:rPr>
              <w:t>As of and for the year ended December 31, 2023</w:t>
            </w:r>
          </w:p>
        </w:tc>
        <w:tc>
          <w:tcPr>
            <w:tcW w:w="104" w:type="dxa"/>
            <w:tcBorders/>
            <w:vAlign w:val="center"/>
          </w:tcPr>
          <w:p>
            <w:pPr>
              <w:pStyle w:val="TableContents"/>
              <w:bidi w:val="0"/>
              <w:spacing w:before="0" w:after="283"/>
              <w:jc w:val="left"/>
              <w:rPr/>
            </w:pPr>
            <w:r>
              <w:rPr/>
              <w:t> </w:t>
            </w:r>
          </w:p>
        </w:tc>
      </w:tr>
      <w:tr>
        <w:trPr/>
        <w:tc>
          <w:tcPr>
            <w:tcW w:w="1844"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592"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Accounts receivable</w:t>
            </w:r>
          </w:p>
        </w:tc>
        <w:tc>
          <w:tcPr>
            <w:tcW w:w="105" w:type="dxa"/>
            <w:tcBorders/>
            <w:vAlign w:val="center"/>
          </w:tcPr>
          <w:p>
            <w:pPr>
              <w:pStyle w:val="TableContents"/>
              <w:bidi w:val="0"/>
              <w:spacing w:before="0" w:after="283"/>
              <w:jc w:val="left"/>
              <w:rPr/>
            </w:pPr>
            <w:r>
              <w:rPr/>
              <w:t> </w:t>
            </w:r>
          </w:p>
        </w:tc>
        <w:tc>
          <w:tcPr>
            <w:tcW w:w="66" w:type="dxa"/>
            <w:tcBorders/>
            <w:vAlign w:val="center"/>
          </w:tcPr>
          <w:p>
            <w:pPr>
              <w:pStyle w:val="TableContents"/>
              <w:bidi w:val="0"/>
              <w:spacing w:before="0" w:after="283"/>
              <w:jc w:val="left"/>
              <w:rPr/>
            </w:pPr>
            <w:r>
              <w:rPr/>
              <w:t> </w:t>
            </w:r>
          </w:p>
        </w:tc>
        <w:tc>
          <w:tcPr>
            <w:tcW w:w="1488"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Transaction fees</w:t>
            </w:r>
          </w:p>
        </w:tc>
        <w:tc>
          <w:tcPr>
            <w:tcW w:w="66" w:type="dxa"/>
            <w:tcBorders/>
            <w:vAlign w:val="center"/>
          </w:tcPr>
          <w:p>
            <w:pPr>
              <w:pStyle w:val="TableContents"/>
              <w:bidi w:val="0"/>
              <w:spacing w:before="0" w:after="283"/>
              <w:jc w:val="left"/>
              <w:rPr/>
            </w:pPr>
            <w:r>
              <w:rPr/>
              <w:t> </w:t>
            </w:r>
          </w:p>
        </w:tc>
        <w:tc>
          <w:tcPr>
            <w:tcW w:w="66" w:type="dxa"/>
            <w:tcBorders/>
            <w:vAlign w:val="center"/>
          </w:tcPr>
          <w:p>
            <w:pPr>
              <w:pStyle w:val="TableContents"/>
              <w:bidi w:val="0"/>
              <w:spacing w:before="0" w:after="283"/>
              <w:jc w:val="left"/>
              <w:rPr/>
            </w:pPr>
            <w:r>
              <w:rPr/>
              <w:t> </w:t>
            </w:r>
          </w:p>
        </w:tc>
        <w:tc>
          <w:tcPr>
            <w:tcW w:w="1703"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Contractor advances</w:t>
            </w:r>
          </w:p>
        </w:tc>
        <w:tc>
          <w:tcPr>
            <w:tcW w:w="105" w:type="dxa"/>
            <w:tcBorders/>
            <w:vAlign w:val="center"/>
          </w:tcPr>
          <w:p>
            <w:pPr>
              <w:pStyle w:val="TableContents"/>
              <w:bidi w:val="0"/>
              <w:spacing w:before="0" w:after="283"/>
              <w:jc w:val="left"/>
              <w:rPr/>
            </w:pPr>
            <w:r>
              <w:rPr/>
              <w:t> </w:t>
            </w:r>
          </w:p>
        </w:tc>
        <w:tc>
          <w:tcPr>
            <w:tcW w:w="66" w:type="dxa"/>
            <w:tcBorders/>
            <w:vAlign w:val="center"/>
          </w:tcPr>
          <w:p>
            <w:pPr>
              <w:pStyle w:val="TableContents"/>
              <w:bidi w:val="0"/>
              <w:spacing w:before="0" w:after="283"/>
              <w:jc w:val="left"/>
              <w:rPr/>
            </w:pPr>
            <w:r>
              <w:rPr/>
              <w:t> </w:t>
            </w:r>
          </w:p>
        </w:tc>
        <w:tc>
          <w:tcPr>
            <w:tcW w:w="1948"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Commissions receivable</w:t>
            </w:r>
          </w:p>
        </w:tc>
        <w:tc>
          <w:tcPr>
            <w:tcW w:w="66" w:type="dxa"/>
            <w:tcBorders/>
            <w:vAlign w:val="center"/>
          </w:tcPr>
          <w:p>
            <w:pPr>
              <w:pStyle w:val="TableContents"/>
              <w:bidi w:val="0"/>
              <w:spacing w:before="0" w:after="283"/>
              <w:jc w:val="left"/>
              <w:rPr/>
            </w:pPr>
            <w:r>
              <w:rPr/>
              <w:t> </w:t>
            </w:r>
          </w:p>
        </w:tc>
        <w:tc>
          <w:tcPr>
            <w:tcW w:w="66" w:type="dxa"/>
            <w:tcBorders/>
            <w:vAlign w:val="center"/>
          </w:tcPr>
          <w:p>
            <w:pPr>
              <w:pStyle w:val="TableContents"/>
              <w:bidi w:val="0"/>
              <w:spacing w:before="0" w:after="283"/>
              <w:jc w:val="left"/>
              <w:rPr/>
            </w:pPr>
            <w:r>
              <w:rPr/>
              <w:t> </w:t>
            </w:r>
          </w:p>
        </w:tc>
        <w:tc>
          <w:tcPr>
            <w:tcW w:w="86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Total</w:t>
            </w:r>
          </w:p>
        </w:tc>
        <w:tc>
          <w:tcPr>
            <w:tcW w:w="104" w:type="dxa"/>
            <w:tcBorders/>
            <w:vAlign w:val="center"/>
          </w:tcPr>
          <w:p>
            <w:pPr>
              <w:pStyle w:val="TableContents"/>
              <w:bidi w:val="0"/>
              <w:spacing w:before="0" w:after="283"/>
              <w:jc w:val="left"/>
              <w:rPr/>
            </w:pPr>
            <w:r>
              <w:rPr/>
              <w:t> </w:t>
            </w:r>
          </w:p>
        </w:tc>
      </w:tr>
      <w:tr>
        <w:trPr/>
        <w:tc>
          <w:tcPr>
            <w:tcW w:w="1844" w:type="dxa"/>
            <w:tcBorders/>
            <w:shd w:fill="CCEEFF" w:val="clear"/>
            <w:vAlign w:val="center"/>
          </w:tcPr>
          <w:p>
            <w:pPr>
              <w:pStyle w:val="TableContents"/>
              <w:bidi w:val="0"/>
              <w:spacing w:before="0" w:after="283"/>
              <w:jc w:val="both"/>
              <w:rPr/>
            </w:pPr>
            <w:r>
              <w:rPr/>
              <w:t>Beginning balance</w:t>
            </w:r>
          </w:p>
        </w:tc>
        <w:tc>
          <w:tcPr>
            <w:tcW w:w="60" w:type="dxa"/>
            <w:tcBorders/>
            <w:shd w:fill="CCEEFF" w:val="clear"/>
            <w:vAlign w:val="center"/>
          </w:tcPr>
          <w:p>
            <w:pPr>
              <w:pStyle w:val="TableContents"/>
              <w:bidi w:val="0"/>
              <w:spacing w:before="0" w:after="283"/>
              <w:jc w:val="left"/>
              <w:rPr/>
            </w:pPr>
            <w:r>
              <w:rPr/>
              <w:t> </w:t>
            </w:r>
          </w:p>
        </w:tc>
        <w:tc>
          <w:tcPr>
            <w:tcW w:w="286" w:type="dxa"/>
            <w:tcBorders/>
            <w:shd w:fill="CCEEFF" w:val="clear"/>
            <w:vAlign w:val="center"/>
          </w:tcPr>
          <w:p>
            <w:pPr>
              <w:pStyle w:val="TableContents"/>
              <w:bidi w:val="0"/>
              <w:spacing w:before="0" w:after="283"/>
              <w:jc w:val="left"/>
              <w:rPr/>
            </w:pPr>
            <w:r>
              <w:rPr/>
              <w:t>$</w:t>
            </w:r>
          </w:p>
        </w:tc>
        <w:tc>
          <w:tcPr>
            <w:tcW w:w="1306" w:type="dxa"/>
            <w:tcBorders/>
            <w:shd w:fill="CCEEFF" w:val="clear"/>
            <w:vAlign w:val="center"/>
          </w:tcPr>
          <w:p>
            <w:pPr>
              <w:pStyle w:val="TableContents"/>
              <w:bidi w:val="0"/>
              <w:spacing w:before="0" w:after="283"/>
              <w:jc w:val="right"/>
              <w:rPr/>
            </w:pPr>
            <w:r>
              <w:rPr/>
              <w:t>—</w:t>
            </w:r>
          </w:p>
        </w:tc>
        <w:tc>
          <w:tcPr>
            <w:tcW w:w="105" w:type="dxa"/>
            <w:tcBorders/>
            <w:shd w:fill="CCEEFF" w:val="clear"/>
            <w:vAlign w:val="center"/>
          </w:tcPr>
          <w:p>
            <w:pPr>
              <w:pStyle w:val="TableContents"/>
              <w:bidi w:val="0"/>
              <w:spacing w:before="0" w:after="283"/>
              <w:jc w:val="left"/>
              <w:rPr/>
            </w:pPr>
            <w:r>
              <w:rPr/>
              <w:t> </w:t>
            </w:r>
          </w:p>
        </w:tc>
        <w:tc>
          <w:tcPr>
            <w:tcW w:w="66" w:type="dxa"/>
            <w:tcBorders/>
            <w:shd w:fill="CCEEFF" w:val="clear"/>
            <w:vAlign w:val="center"/>
          </w:tcPr>
          <w:p>
            <w:pPr>
              <w:pStyle w:val="TableContents"/>
              <w:bidi w:val="0"/>
              <w:spacing w:before="0" w:after="283"/>
              <w:jc w:val="left"/>
              <w:rPr/>
            </w:pPr>
            <w:r>
              <w:rPr/>
              <w:t> </w:t>
            </w:r>
          </w:p>
        </w:tc>
        <w:tc>
          <w:tcPr>
            <w:tcW w:w="520" w:type="dxa"/>
            <w:tcBorders/>
            <w:shd w:fill="CCEEFF" w:val="clear"/>
            <w:vAlign w:val="center"/>
          </w:tcPr>
          <w:p>
            <w:pPr>
              <w:pStyle w:val="TableContents"/>
              <w:bidi w:val="0"/>
              <w:spacing w:before="0" w:after="283"/>
              <w:jc w:val="left"/>
              <w:rPr/>
            </w:pPr>
            <w:r>
              <w:rPr/>
              <w:t>$</w:t>
            </w:r>
          </w:p>
        </w:tc>
        <w:tc>
          <w:tcPr>
            <w:tcW w:w="968" w:type="dxa"/>
            <w:tcBorders/>
            <w:shd w:fill="CCEEFF" w:val="clear"/>
            <w:vAlign w:val="center"/>
          </w:tcPr>
          <w:p>
            <w:pPr>
              <w:pStyle w:val="TableContents"/>
              <w:bidi w:val="0"/>
              <w:spacing w:before="0" w:after="283"/>
              <w:jc w:val="right"/>
              <w:rPr/>
            </w:pPr>
            <w:r>
              <w:rPr/>
              <w:t>—</w:t>
            </w:r>
          </w:p>
        </w:tc>
        <w:tc>
          <w:tcPr>
            <w:tcW w:w="66" w:type="dxa"/>
            <w:tcBorders/>
            <w:shd w:fill="CCEEFF" w:val="clear"/>
            <w:vAlign w:val="center"/>
          </w:tcPr>
          <w:p>
            <w:pPr>
              <w:pStyle w:val="TableContents"/>
              <w:bidi w:val="0"/>
              <w:spacing w:before="0" w:after="283"/>
              <w:jc w:val="left"/>
              <w:rPr/>
            </w:pPr>
            <w:r>
              <w:rPr/>
              <w:t> </w:t>
            </w:r>
          </w:p>
        </w:tc>
        <w:tc>
          <w:tcPr>
            <w:tcW w:w="66" w:type="dxa"/>
            <w:tcBorders/>
            <w:shd w:fill="CCEEFF" w:val="clear"/>
            <w:vAlign w:val="center"/>
          </w:tcPr>
          <w:p>
            <w:pPr>
              <w:pStyle w:val="TableContents"/>
              <w:bidi w:val="0"/>
              <w:spacing w:before="0" w:after="283"/>
              <w:jc w:val="left"/>
              <w:rPr/>
            </w:pPr>
            <w:r>
              <w:rPr/>
              <w:t> </w:t>
            </w:r>
          </w:p>
        </w:tc>
        <w:tc>
          <w:tcPr>
            <w:tcW w:w="340" w:type="dxa"/>
            <w:tcBorders/>
            <w:shd w:fill="CCEEFF" w:val="clear"/>
            <w:vAlign w:val="center"/>
          </w:tcPr>
          <w:p>
            <w:pPr>
              <w:pStyle w:val="TableContents"/>
              <w:bidi w:val="0"/>
              <w:spacing w:before="0" w:after="283"/>
              <w:jc w:val="left"/>
              <w:rPr/>
            </w:pPr>
            <w:r>
              <w:rPr/>
              <w:t>$</w:t>
            </w:r>
          </w:p>
        </w:tc>
        <w:tc>
          <w:tcPr>
            <w:tcW w:w="1363" w:type="dxa"/>
            <w:tcBorders/>
            <w:shd w:fill="CCEEFF" w:val="clear"/>
            <w:vAlign w:val="center"/>
          </w:tcPr>
          <w:p>
            <w:pPr>
              <w:pStyle w:val="TableContents"/>
              <w:bidi w:val="0"/>
              <w:spacing w:before="0" w:after="283"/>
              <w:jc w:val="right"/>
              <w:rPr/>
            </w:pPr>
            <w:r>
              <w:rPr/>
              <w:t>—</w:t>
            </w:r>
          </w:p>
        </w:tc>
        <w:tc>
          <w:tcPr>
            <w:tcW w:w="105" w:type="dxa"/>
            <w:tcBorders/>
            <w:shd w:fill="CCEEFF" w:val="clear"/>
            <w:vAlign w:val="center"/>
          </w:tcPr>
          <w:p>
            <w:pPr>
              <w:pStyle w:val="TableContents"/>
              <w:bidi w:val="0"/>
              <w:spacing w:before="0" w:after="283"/>
              <w:jc w:val="left"/>
              <w:rPr/>
            </w:pPr>
            <w:r>
              <w:rPr/>
              <w:t> </w:t>
            </w:r>
          </w:p>
        </w:tc>
        <w:tc>
          <w:tcPr>
            <w:tcW w:w="66" w:type="dxa"/>
            <w:tcBorders/>
            <w:shd w:fill="CCEEFF" w:val="clear"/>
            <w:vAlign w:val="center"/>
          </w:tcPr>
          <w:p>
            <w:pPr>
              <w:pStyle w:val="TableContents"/>
              <w:bidi w:val="0"/>
              <w:spacing w:before="0" w:after="283"/>
              <w:jc w:val="left"/>
              <w:rPr/>
            </w:pPr>
            <w:r>
              <w:rPr/>
              <w:t> </w:t>
            </w:r>
          </w:p>
        </w:tc>
        <w:tc>
          <w:tcPr>
            <w:tcW w:w="309" w:type="dxa"/>
            <w:tcBorders/>
            <w:shd w:fill="CCEEFF" w:val="clear"/>
            <w:vAlign w:val="center"/>
          </w:tcPr>
          <w:p>
            <w:pPr>
              <w:pStyle w:val="TableContents"/>
              <w:bidi w:val="0"/>
              <w:spacing w:before="0" w:after="283"/>
              <w:jc w:val="left"/>
              <w:rPr/>
            </w:pPr>
            <w:r>
              <w:rPr/>
              <w:t>$</w:t>
            </w:r>
          </w:p>
        </w:tc>
        <w:tc>
          <w:tcPr>
            <w:tcW w:w="1639" w:type="dxa"/>
            <w:tcBorders/>
            <w:shd w:fill="CCEEFF" w:val="clear"/>
            <w:vAlign w:val="center"/>
          </w:tcPr>
          <w:p>
            <w:pPr>
              <w:pStyle w:val="TableContents"/>
              <w:bidi w:val="0"/>
              <w:spacing w:before="0" w:after="283"/>
              <w:jc w:val="right"/>
              <w:rPr/>
            </w:pPr>
            <w:r>
              <w:rPr/>
              <w:t>        —</w:t>
            </w:r>
          </w:p>
        </w:tc>
        <w:tc>
          <w:tcPr>
            <w:tcW w:w="66" w:type="dxa"/>
            <w:tcBorders/>
            <w:shd w:fill="CCEEFF" w:val="clear"/>
            <w:vAlign w:val="center"/>
          </w:tcPr>
          <w:p>
            <w:pPr>
              <w:pStyle w:val="TableContents"/>
              <w:bidi w:val="0"/>
              <w:spacing w:before="0" w:after="283"/>
              <w:jc w:val="left"/>
              <w:rPr/>
            </w:pPr>
            <w:r>
              <w:rPr/>
              <w:t> </w:t>
            </w:r>
          </w:p>
        </w:tc>
        <w:tc>
          <w:tcPr>
            <w:tcW w:w="66"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pPr>
            <w:r>
              <w:rPr/>
              <w:t>$</w:t>
            </w:r>
          </w:p>
        </w:tc>
        <w:tc>
          <w:tcPr>
            <w:tcW w:w="705" w:type="dxa"/>
            <w:tcBorders/>
            <w:shd w:fill="CCEEFF" w:val="clear"/>
            <w:vAlign w:val="center"/>
          </w:tcPr>
          <w:p>
            <w:pPr>
              <w:pStyle w:val="TableContents"/>
              <w:bidi w:val="0"/>
              <w:spacing w:before="0" w:after="283"/>
              <w:jc w:val="right"/>
              <w:rPr/>
            </w:pPr>
            <w:r>
              <w:rPr/>
              <w:t>—</w:t>
            </w:r>
          </w:p>
        </w:tc>
        <w:tc>
          <w:tcPr>
            <w:tcW w:w="104" w:type="dxa"/>
            <w:tcBorders/>
            <w:shd w:fill="CCEEFF" w:val="clear"/>
            <w:vAlign w:val="center"/>
          </w:tcPr>
          <w:p>
            <w:pPr>
              <w:pStyle w:val="TableContents"/>
              <w:bidi w:val="0"/>
              <w:spacing w:before="0" w:after="283"/>
              <w:ind w:left="0" w:right="0" w:hanging="180"/>
              <w:jc w:val="left"/>
              <w:rPr/>
            </w:pPr>
            <w:r>
              <w:rPr/>
              <w:t> </w:t>
            </w:r>
          </w:p>
        </w:tc>
      </w:tr>
      <w:tr>
        <w:trPr/>
        <w:tc>
          <w:tcPr>
            <w:tcW w:w="1844" w:type="dxa"/>
            <w:tcBorders/>
            <w:shd w:fill="FFFFFF" w:val="clear"/>
            <w:vAlign w:val="center"/>
          </w:tcPr>
          <w:p>
            <w:pPr>
              <w:pStyle w:val="TableContents"/>
              <w:bidi w:val="0"/>
              <w:spacing w:before="0" w:after="283"/>
              <w:jc w:val="left"/>
              <w:rPr/>
            </w:pPr>
            <w:r>
              <w:rPr/>
              <w:t>Provision for credit losses</w:t>
            </w:r>
          </w:p>
        </w:tc>
        <w:tc>
          <w:tcPr>
            <w:tcW w:w="60" w:type="dxa"/>
            <w:tcBorders/>
            <w:shd w:fill="FFFFFF" w:val="clear"/>
            <w:vAlign w:val="center"/>
          </w:tcPr>
          <w:p>
            <w:pPr>
              <w:pStyle w:val="TableContents"/>
              <w:bidi w:val="0"/>
              <w:spacing w:before="0" w:after="283"/>
              <w:jc w:val="left"/>
              <w:rPr/>
            </w:pPr>
            <w:r>
              <w:rPr/>
              <w:t> </w:t>
            </w:r>
          </w:p>
        </w:tc>
        <w:tc>
          <w:tcPr>
            <w:tcW w:w="286" w:type="dxa"/>
            <w:tcBorders/>
            <w:shd w:fill="FFFFFF" w:val="clear"/>
            <w:vAlign w:val="center"/>
          </w:tcPr>
          <w:p>
            <w:pPr>
              <w:pStyle w:val="TableContents"/>
              <w:bidi w:val="0"/>
              <w:spacing w:before="0" w:after="283"/>
              <w:jc w:val="left"/>
              <w:rPr/>
            </w:pPr>
            <w:r>
              <w:rPr/>
              <w:t> </w:t>
            </w:r>
          </w:p>
        </w:tc>
        <w:tc>
          <w:tcPr>
            <w:tcW w:w="1306" w:type="dxa"/>
            <w:tcBorders/>
            <w:shd w:fill="FFFFFF" w:val="clear"/>
            <w:vAlign w:val="center"/>
          </w:tcPr>
          <w:p>
            <w:pPr>
              <w:pStyle w:val="TableContents"/>
              <w:bidi w:val="0"/>
              <w:spacing w:before="0" w:after="283"/>
              <w:jc w:val="right"/>
              <w:rPr/>
            </w:pPr>
            <w:r>
              <w:rPr/>
              <w:t>4,157</w:t>
            </w:r>
          </w:p>
        </w:tc>
        <w:tc>
          <w:tcPr>
            <w:tcW w:w="105" w:type="dxa"/>
            <w:tcBorders/>
            <w:shd w:fill="FFFFFF" w:val="clear"/>
            <w:vAlign w:val="center"/>
          </w:tcPr>
          <w:p>
            <w:pPr>
              <w:pStyle w:val="TableContents"/>
              <w:bidi w:val="0"/>
              <w:spacing w:before="0" w:after="283"/>
              <w:jc w:val="left"/>
              <w:rPr/>
            </w:pPr>
            <w:r>
              <w:rPr/>
              <w:t> </w:t>
            </w:r>
          </w:p>
        </w:tc>
        <w:tc>
          <w:tcPr>
            <w:tcW w:w="66" w:type="dxa"/>
            <w:tcBorders/>
            <w:shd w:fill="FFFFFF" w:val="clear"/>
            <w:vAlign w:val="center"/>
          </w:tcPr>
          <w:p>
            <w:pPr>
              <w:pStyle w:val="TableContents"/>
              <w:bidi w:val="0"/>
              <w:spacing w:before="0" w:after="283"/>
              <w:jc w:val="left"/>
              <w:rPr/>
            </w:pPr>
            <w:r>
              <w:rPr/>
              <w:t> </w:t>
            </w:r>
          </w:p>
        </w:tc>
        <w:tc>
          <w:tcPr>
            <w:tcW w:w="520" w:type="dxa"/>
            <w:tcBorders/>
            <w:shd w:fill="FFFFFF" w:val="clear"/>
            <w:vAlign w:val="center"/>
          </w:tcPr>
          <w:p>
            <w:pPr>
              <w:pStyle w:val="TableContents"/>
              <w:bidi w:val="0"/>
              <w:spacing w:before="0" w:after="283"/>
              <w:jc w:val="left"/>
              <w:rPr/>
            </w:pPr>
            <w:r>
              <w:rPr/>
              <w:t> </w:t>
            </w:r>
          </w:p>
        </w:tc>
        <w:tc>
          <w:tcPr>
            <w:tcW w:w="968" w:type="dxa"/>
            <w:tcBorders/>
            <w:shd w:fill="FFFFFF" w:val="clear"/>
            <w:vAlign w:val="center"/>
          </w:tcPr>
          <w:p>
            <w:pPr>
              <w:pStyle w:val="TableContents"/>
              <w:bidi w:val="0"/>
              <w:spacing w:before="0" w:after="283"/>
              <w:jc w:val="right"/>
              <w:rPr/>
            </w:pPr>
            <w:r>
              <w:rPr/>
              <w:t>5</w:t>
            </w:r>
          </w:p>
        </w:tc>
        <w:tc>
          <w:tcPr>
            <w:tcW w:w="66" w:type="dxa"/>
            <w:tcBorders/>
            <w:shd w:fill="FFFFFF" w:val="clear"/>
            <w:vAlign w:val="center"/>
          </w:tcPr>
          <w:p>
            <w:pPr>
              <w:pStyle w:val="TableContents"/>
              <w:bidi w:val="0"/>
              <w:spacing w:before="0" w:after="283"/>
              <w:jc w:val="left"/>
              <w:rPr/>
            </w:pPr>
            <w:r>
              <w:rPr/>
              <w:t> </w:t>
            </w:r>
          </w:p>
        </w:tc>
        <w:tc>
          <w:tcPr>
            <w:tcW w:w="66" w:type="dxa"/>
            <w:tcBorders/>
            <w:shd w:fill="FFFFFF" w:val="clear"/>
            <w:vAlign w:val="center"/>
          </w:tcPr>
          <w:p>
            <w:pPr>
              <w:pStyle w:val="TableContents"/>
              <w:bidi w:val="0"/>
              <w:spacing w:before="0" w:after="283"/>
              <w:jc w:val="left"/>
              <w:rPr/>
            </w:pPr>
            <w:r>
              <w:rPr/>
              <w:t> </w:t>
            </w:r>
          </w:p>
        </w:tc>
        <w:tc>
          <w:tcPr>
            <w:tcW w:w="340" w:type="dxa"/>
            <w:tcBorders/>
            <w:shd w:fill="FFFFFF" w:val="clear"/>
            <w:vAlign w:val="center"/>
          </w:tcPr>
          <w:p>
            <w:pPr>
              <w:pStyle w:val="TableContents"/>
              <w:bidi w:val="0"/>
              <w:spacing w:before="0" w:after="283"/>
              <w:jc w:val="left"/>
              <w:rPr/>
            </w:pPr>
            <w:r>
              <w:rPr/>
              <w:t> </w:t>
            </w:r>
          </w:p>
        </w:tc>
        <w:tc>
          <w:tcPr>
            <w:tcW w:w="1363" w:type="dxa"/>
            <w:tcBorders/>
            <w:shd w:fill="FFFFFF" w:val="clear"/>
            <w:vAlign w:val="center"/>
          </w:tcPr>
          <w:p>
            <w:pPr>
              <w:pStyle w:val="TableContents"/>
              <w:bidi w:val="0"/>
              <w:spacing w:before="0" w:after="283"/>
              <w:jc w:val="right"/>
              <w:rPr/>
            </w:pPr>
            <w:r>
              <w:rPr/>
              <w:t>1,041</w:t>
            </w:r>
          </w:p>
        </w:tc>
        <w:tc>
          <w:tcPr>
            <w:tcW w:w="105" w:type="dxa"/>
            <w:tcBorders/>
            <w:shd w:fill="FFFFFF" w:val="clear"/>
            <w:vAlign w:val="center"/>
          </w:tcPr>
          <w:p>
            <w:pPr>
              <w:pStyle w:val="TableContents"/>
              <w:bidi w:val="0"/>
              <w:spacing w:before="0" w:after="283"/>
              <w:jc w:val="left"/>
              <w:rPr/>
            </w:pPr>
            <w:r>
              <w:rPr/>
              <w:t> </w:t>
            </w:r>
          </w:p>
        </w:tc>
        <w:tc>
          <w:tcPr>
            <w:tcW w:w="66" w:type="dxa"/>
            <w:tcBorders/>
            <w:shd w:fill="FFFFFF" w:val="clear"/>
            <w:vAlign w:val="center"/>
          </w:tcPr>
          <w:p>
            <w:pPr>
              <w:pStyle w:val="TableContents"/>
              <w:bidi w:val="0"/>
              <w:spacing w:before="0" w:after="283"/>
              <w:jc w:val="left"/>
              <w:rPr/>
            </w:pPr>
            <w:r>
              <w:rPr/>
              <w:t> </w:t>
            </w:r>
          </w:p>
        </w:tc>
        <w:tc>
          <w:tcPr>
            <w:tcW w:w="309" w:type="dxa"/>
            <w:tcBorders/>
            <w:shd w:fill="FFFFFF" w:val="clear"/>
            <w:vAlign w:val="center"/>
          </w:tcPr>
          <w:p>
            <w:pPr>
              <w:pStyle w:val="TableContents"/>
              <w:bidi w:val="0"/>
              <w:spacing w:before="0" w:after="283"/>
              <w:jc w:val="left"/>
              <w:rPr/>
            </w:pPr>
            <w:r>
              <w:rPr/>
              <w:t> </w:t>
            </w:r>
          </w:p>
        </w:tc>
        <w:tc>
          <w:tcPr>
            <w:tcW w:w="1639" w:type="dxa"/>
            <w:tcBorders/>
            <w:shd w:fill="FFFFFF" w:val="clear"/>
            <w:vAlign w:val="center"/>
          </w:tcPr>
          <w:p>
            <w:pPr>
              <w:pStyle w:val="TableContents"/>
              <w:bidi w:val="0"/>
              <w:spacing w:before="0" w:after="283"/>
              <w:jc w:val="right"/>
              <w:rPr/>
            </w:pPr>
            <w:r>
              <w:rPr/>
              <w:t>3</w:t>
            </w:r>
          </w:p>
        </w:tc>
        <w:tc>
          <w:tcPr>
            <w:tcW w:w="66" w:type="dxa"/>
            <w:tcBorders/>
            <w:shd w:fill="FFFFFF" w:val="clear"/>
            <w:vAlign w:val="center"/>
          </w:tcPr>
          <w:p>
            <w:pPr>
              <w:pStyle w:val="TableContents"/>
              <w:bidi w:val="0"/>
              <w:spacing w:before="0" w:after="283"/>
              <w:jc w:val="left"/>
              <w:rPr/>
            </w:pPr>
            <w:r>
              <w:rPr/>
              <w:t> </w:t>
            </w:r>
          </w:p>
        </w:tc>
        <w:tc>
          <w:tcPr>
            <w:tcW w:w="66" w:type="dxa"/>
            <w:tcBorders/>
            <w:shd w:fill="FFFFFF" w:val="clear"/>
            <w:vAlign w:val="center"/>
          </w:tcPr>
          <w:p>
            <w:pPr>
              <w:pStyle w:val="TableContents"/>
              <w:bidi w:val="0"/>
              <w:spacing w:before="0" w:after="283"/>
              <w:jc w:val="left"/>
              <w:rPr/>
            </w:pPr>
            <w:r>
              <w:rPr/>
              <w:t> </w:t>
            </w:r>
          </w:p>
        </w:tc>
        <w:tc>
          <w:tcPr>
            <w:tcW w:w="155" w:type="dxa"/>
            <w:tcBorders/>
            <w:shd w:fill="FFFFFF" w:val="clear"/>
            <w:vAlign w:val="center"/>
          </w:tcPr>
          <w:p>
            <w:pPr>
              <w:pStyle w:val="TableContents"/>
              <w:bidi w:val="0"/>
              <w:spacing w:before="0" w:after="283"/>
              <w:jc w:val="left"/>
              <w:rPr/>
            </w:pPr>
            <w:r>
              <w:rPr/>
              <w:t> </w:t>
            </w:r>
          </w:p>
        </w:tc>
        <w:tc>
          <w:tcPr>
            <w:tcW w:w="705" w:type="dxa"/>
            <w:tcBorders/>
            <w:shd w:fill="FFFFFF" w:val="clear"/>
            <w:vAlign w:val="center"/>
          </w:tcPr>
          <w:p>
            <w:pPr>
              <w:pStyle w:val="TableContents"/>
              <w:bidi w:val="0"/>
              <w:spacing w:before="0" w:after="283"/>
              <w:jc w:val="right"/>
              <w:rPr/>
            </w:pPr>
            <w:r>
              <w:rPr/>
              <w:t>5,206</w:t>
            </w:r>
          </w:p>
        </w:tc>
        <w:tc>
          <w:tcPr>
            <w:tcW w:w="104" w:type="dxa"/>
            <w:tcBorders/>
            <w:shd w:fill="FFFFFF" w:val="clear"/>
            <w:vAlign w:val="center"/>
          </w:tcPr>
          <w:p>
            <w:pPr>
              <w:pStyle w:val="TableContents"/>
              <w:bidi w:val="0"/>
              <w:spacing w:before="0" w:after="283"/>
              <w:jc w:val="left"/>
              <w:rPr/>
            </w:pPr>
            <w:r>
              <w:rPr/>
              <w:t> </w:t>
            </w:r>
          </w:p>
        </w:tc>
      </w:tr>
      <w:tr>
        <w:trPr/>
        <w:tc>
          <w:tcPr>
            <w:tcW w:w="1844" w:type="dxa"/>
            <w:tcBorders/>
            <w:shd w:fill="CCEEFF" w:val="clear"/>
            <w:vAlign w:val="center"/>
          </w:tcPr>
          <w:p>
            <w:pPr>
              <w:pStyle w:val="TableContents"/>
              <w:bidi w:val="0"/>
              <w:spacing w:before="0" w:after="283"/>
              <w:jc w:val="both"/>
              <w:rPr/>
            </w:pPr>
            <w:r>
              <w:rPr/>
              <w:t>Write-offs</w:t>
            </w:r>
          </w:p>
        </w:tc>
        <w:tc>
          <w:tcPr>
            <w:tcW w:w="60" w:type="dxa"/>
            <w:tcBorders/>
            <w:shd w:fill="CCEEFF" w:val="clear"/>
            <w:vAlign w:val="center"/>
          </w:tcPr>
          <w:p>
            <w:pPr>
              <w:pStyle w:val="TableContents"/>
              <w:bidi w:val="0"/>
              <w:spacing w:before="0" w:after="283"/>
              <w:jc w:val="left"/>
              <w:rPr/>
            </w:pPr>
            <w:r>
              <w:rPr/>
              <w:t> </w:t>
            </w:r>
          </w:p>
        </w:tc>
        <w:tc>
          <w:tcPr>
            <w:tcW w:w="286" w:type="dxa"/>
            <w:tcBorders/>
            <w:shd w:fill="CCEEFF" w:val="clear"/>
            <w:vAlign w:val="center"/>
          </w:tcPr>
          <w:p>
            <w:pPr>
              <w:pStyle w:val="TableContents"/>
              <w:bidi w:val="0"/>
              <w:spacing w:before="0" w:after="283"/>
              <w:jc w:val="left"/>
              <w:rPr/>
            </w:pPr>
            <w:r>
              <w:rPr/>
              <w:t> </w:t>
            </w:r>
          </w:p>
        </w:tc>
        <w:tc>
          <w:tcPr>
            <w:tcW w:w="1306" w:type="dxa"/>
            <w:tcBorders/>
            <w:shd w:fill="CCEEFF" w:val="clear"/>
            <w:vAlign w:val="center"/>
          </w:tcPr>
          <w:p>
            <w:pPr>
              <w:pStyle w:val="TableContents"/>
              <w:bidi w:val="0"/>
              <w:spacing w:before="0" w:after="283"/>
              <w:jc w:val="right"/>
              <w:rPr/>
            </w:pPr>
            <w:r>
              <w:rPr/>
              <w:t>(4,157</w:t>
            </w:r>
          </w:p>
        </w:tc>
        <w:tc>
          <w:tcPr>
            <w:tcW w:w="105" w:type="dxa"/>
            <w:tcBorders/>
            <w:shd w:fill="CCEEFF" w:val="clear"/>
            <w:vAlign w:val="center"/>
          </w:tcPr>
          <w:p>
            <w:pPr>
              <w:pStyle w:val="TableContents"/>
              <w:bidi w:val="0"/>
              <w:spacing w:before="0" w:after="283"/>
              <w:jc w:val="left"/>
              <w:rPr/>
            </w:pPr>
            <w:r>
              <w:rPr/>
              <w:t>)</w:t>
            </w:r>
          </w:p>
        </w:tc>
        <w:tc>
          <w:tcPr>
            <w:tcW w:w="66" w:type="dxa"/>
            <w:tcBorders/>
            <w:shd w:fill="CCEEFF" w:val="clear"/>
            <w:vAlign w:val="center"/>
          </w:tcPr>
          <w:p>
            <w:pPr>
              <w:pStyle w:val="TableContents"/>
              <w:bidi w:val="0"/>
              <w:spacing w:before="0" w:after="283"/>
              <w:jc w:val="left"/>
              <w:rPr/>
            </w:pPr>
            <w:r>
              <w:rPr/>
              <w:t> </w:t>
            </w:r>
          </w:p>
        </w:tc>
        <w:tc>
          <w:tcPr>
            <w:tcW w:w="520" w:type="dxa"/>
            <w:tcBorders/>
            <w:shd w:fill="CCEEFF" w:val="clear"/>
            <w:vAlign w:val="center"/>
          </w:tcPr>
          <w:p>
            <w:pPr>
              <w:pStyle w:val="TableContents"/>
              <w:bidi w:val="0"/>
              <w:spacing w:before="0" w:after="283"/>
              <w:jc w:val="left"/>
              <w:rPr/>
            </w:pPr>
            <w:r>
              <w:rPr/>
              <w:t> </w:t>
            </w:r>
          </w:p>
        </w:tc>
        <w:tc>
          <w:tcPr>
            <w:tcW w:w="968" w:type="dxa"/>
            <w:tcBorders/>
            <w:shd w:fill="CCEEFF" w:val="clear"/>
            <w:vAlign w:val="center"/>
          </w:tcPr>
          <w:p>
            <w:pPr>
              <w:pStyle w:val="TableContents"/>
              <w:bidi w:val="0"/>
              <w:spacing w:before="0" w:after="283"/>
              <w:jc w:val="right"/>
              <w:rPr/>
            </w:pPr>
            <w:r>
              <w:rPr/>
              <w:t>—</w:t>
            </w:r>
          </w:p>
        </w:tc>
        <w:tc>
          <w:tcPr>
            <w:tcW w:w="66" w:type="dxa"/>
            <w:tcBorders/>
            <w:shd w:fill="CCEEFF" w:val="clear"/>
            <w:vAlign w:val="center"/>
          </w:tcPr>
          <w:p>
            <w:pPr>
              <w:pStyle w:val="TableContents"/>
              <w:bidi w:val="0"/>
              <w:spacing w:before="0" w:after="283"/>
              <w:jc w:val="left"/>
              <w:rPr/>
            </w:pPr>
            <w:r>
              <w:rPr/>
              <w:t> </w:t>
            </w:r>
          </w:p>
        </w:tc>
        <w:tc>
          <w:tcPr>
            <w:tcW w:w="66" w:type="dxa"/>
            <w:tcBorders/>
            <w:shd w:fill="CCEEFF" w:val="clear"/>
            <w:vAlign w:val="center"/>
          </w:tcPr>
          <w:p>
            <w:pPr>
              <w:pStyle w:val="TableContents"/>
              <w:bidi w:val="0"/>
              <w:spacing w:before="0" w:after="283"/>
              <w:jc w:val="left"/>
              <w:rPr/>
            </w:pPr>
            <w:r>
              <w:rPr/>
              <w:t> </w:t>
            </w:r>
          </w:p>
        </w:tc>
        <w:tc>
          <w:tcPr>
            <w:tcW w:w="340" w:type="dxa"/>
            <w:tcBorders/>
            <w:shd w:fill="CCEEFF" w:val="clear"/>
            <w:vAlign w:val="center"/>
          </w:tcPr>
          <w:p>
            <w:pPr>
              <w:pStyle w:val="TableContents"/>
              <w:bidi w:val="0"/>
              <w:spacing w:before="0" w:after="283"/>
              <w:jc w:val="left"/>
              <w:rPr/>
            </w:pPr>
            <w:r>
              <w:rPr/>
              <w:t> </w:t>
            </w:r>
          </w:p>
        </w:tc>
        <w:tc>
          <w:tcPr>
            <w:tcW w:w="1363" w:type="dxa"/>
            <w:tcBorders/>
            <w:shd w:fill="CCEEFF" w:val="clear"/>
            <w:vAlign w:val="center"/>
          </w:tcPr>
          <w:p>
            <w:pPr>
              <w:pStyle w:val="TableContents"/>
              <w:bidi w:val="0"/>
              <w:spacing w:before="0" w:after="283"/>
              <w:jc w:val="right"/>
              <w:rPr/>
            </w:pPr>
            <w:r>
              <w:rPr/>
              <w:t>(995</w:t>
            </w:r>
          </w:p>
        </w:tc>
        <w:tc>
          <w:tcPr>
            <w:tcW w:w="105" w:type="dxa"/>
            <w:tcBorders/>
            <w:shd w:fill="CCEEFF" w:val="clear"/>
            <w:vAlign w:val="center"/>
          </w:tcPr>
          <w:p>
            <w:pPr>
              <w:pStyle w:val="TableContents"/>
              <w:bidi w:val="0"/>
              <w:spacing w:before="0" w:after="283"/>
              <w:jc w:val="left"/>
              <w:rPr/>
            </w:pPr>
            <w:r>
              <w:rPr/>
              <w:t>)</w:t>
            </w:r>
          </w:p>
        </w:tc>
        <w:tc>
          <w:tcPr>
            <w:tcW w:w="66" w:type="dxa"/>
            <w:tcBorders/>
            <w:shd w:fill="CCEEFF" w:val="clear"/>
            <w:vAlign w:val="center"/>
          </w:tcPr>
          <w:p>
            <w:pPr>
              <w:pStyle w:val="TableContents"/>
              <w:bidi w:val="0"/>
              <w:spacing w:before="0" w:after="283"/>
              <w:jc w:val="left"/>
              <w:rPr/>
            </w:pPr>
            <w:r>
              <w:rPr/>
              <w:t> </w:t>
            </w:r>
          </w:p>
        </w:tc>
        <w:tc>
          <w:tcPr>
            <w:tcW w:w="309" w:type="dxa"/>
            <w:tcBorders/>
            <w:shd w:fill="CCEEFF" w:val="clear"/>
            <w:vAlign w:val="center"/>
          </w:tcPr>
          <w:p>
            <w:pPr>
              <w:pStyle w:val="TableContents"/>
              <w:bidi w:val="0"/>
              <w:spacing w:before="0" w:after="283"/>
              <w:jc w:val="left"/>
              <w:rPr/>
            </w:pPr>
            <w:r>
              <w:rPr/>
              <w:t> </w:t>
            </w:r>
          </w:p>
        </w:tc>
        <w:tc>
          <w:tcPr>
            <w:tcW w:w="1639" w:type="dxa"/>
            <w:tcBorders/>
            <w:shd w:fill="CCEEFF" w:val="clear"/>
            <w:vAlign w:val="center"/>
          </w:tcPr>
          <w:p>
            <w:pPr>
              <w:pStyle w:val="TableContents"/>
              <w:bidi w:val="0"/>
              <w:spacing w:before="0" w:after="283"/>
              <w:jc w:val="right"/>
              <w:rPr/>
            </w:pPr>
            <w:r>
              <w:rPr/>
              <w:t>—</w:t>
            </w:r>
          </w:p>
        </w:tc>
        <w:tc>
          <w:tcPr>
            <w:tcW w:w="66" w:type="dxa"/>
            <w:tcBorders/>
            <w:shd w:fill="CCEEFF" w:val="clear"/>
            <w:vAlign w:val="center"/>
          </w:tcPr>
          <w:p>
            <w:pPr>
              <w:pStyle w:val="TableContents"/>
              <w:bidi w:val="0"/>
              <w:spacing w:before="0" w:after="283"/>
              <w:jc w:val="left"/>
              <w:rPr/>
            </w:pPr>
            <w:r>
              <w:rPr/>
              <w:t> </w:t>
            </w:r>
          </w:p>
        </w:tc>
        <w:tc>
          <w:tcPr>
            <w:tcW w:w="66"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pPr>
            <w:r>
              <w:rPr/>
              <w:t> </w:t>
            </w:r>
          </w:p>
        </w:tc>
        <w:tc>
          <w:tcPr>
            <w:tcW w:w="705" w:type="dxa"/>
            <w:tcBorders/>
            <w:shd w:fill="CCEEFF" w:val="clear"/>
            <w:vAlign w:val="center"/>
          </w:tcPr>
          <w:p>
            <w:pPr>
              <w:pStyle w:val="TableContents"/>
              <w:bidi w:val="0"/>
              <w:spacing w:before="0" w:after="283"/>
              <w:jc w:val="right"/>
              <w:rPr/>
            </w:pPr>
            <w:r>
              <w:rPr/>
              <w:t>(5,152</w:t>
            </w:r>
          </w:p>
        </w:tc>
        <w:tc>
          <w:tcPr>
            <w:tcW w:w="104" w:type="dxa"/>
            <w:tcBorders/>
            <w:shd w:fill="CCEEFF" w:val="clear"/>
            <w:vAlign w:val="center"/>
          </w:tcPr>
          <w:p>
            <w:pPr>
              <w:pStyle w:val="TableContents"/>
              <w:bidi w:val="0"/>
              <w:spacing w:before="0" w:after="283"/>
              <w:ind w:left="0" w:right="0" w:hanging="180"/>
              <w:jc w:val="left"/>
              <w:rPr/>
            </w:pPr>
            <w:r>
              <w:rPr/>
              <w:t>)</w:t>
            </w:r>
          </w:p>
        </w:tc>
      </w:tr>
      <w:tr>
        <w:trPr/>
        <w:tc>
          <w:tcPr>
            <w:tcW w:w="1844" w:type="dxa"/>
            <w:tcBorders/>
            <w:shd w:fill="FFFFFF" w:val="clear"/>
            <w:vAlign w:val="center"/>
          </w:tcPr>
          <w:p>
            <w:pPr>
              <w:pStyle w:val="TableContents"/>
              <w:bidi w:val="0"/>
              <w:spacing w:before="0" w:after="283"/>
              <w:jc w:val="left"/>
              <w:rPr/>
            </w:pPr>
            <w:r>
              <w:rPr/>
              <w:t>Recoveries</w:t>
            </w:r>
          </w:p>
        </w:tc>
        <w:tc>
          <w:tcPr>
            <w:tcW w:w="60" w:type="dxa"/>
            <w:tcBorders/>
            <w:shd w:fill="FFFFFF" w:val="clear"/>
            <w:vAlign w:val="center"/>
          </w:tcPr>
          <w:p>
            <w:pPr>
              <w:pStyle w:val="TableContents"/>
              <w:bidi w:val="0"/>
              <w:spacing w:before="0" w:after="283"/>
              <w:jc w:val="left"/>
              <w:rPr/>
            </w:pPr>
            <w:r>
              <w:rPr/>
              <w:t> </w:t>
            </w:r>
          </w:p>
        </w:tc>
        <w:tc>
          <w:tcPr>
            <w:tcW w:w="286"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306"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105" w:type="dxa"/>
            <w:tcBorders/>
            <w:shd w:fill="FFFFFF" w:val="clear"/>
            <w:vAlign w:val="center"/>
          </w:tcPr>
          <w:p>
            <w:pPr>
              <w:pStyle w:val="TableContents"/>
              <w:bidi w:val="0"/>
              <w:spacing w:before="0" w:after="283"/>
              <w:jc w:val="left"/>
              <w:rPr/>
            </w:pPr>
            <w:r>
              <w:rPr/>
              <w:t> </w:t>
            </w:r>
          </w:p>
        </w:tc>
        <w:tc>
          <w:tcPr>
            <w:tcW w:w="66" w:type="dxa"/>
            <w:tcBorders/>
            <w:shd w:fill="FFFFFF" w:val="clear"/>
            <w:vAlign w:val="center"/>
          </w:tcPr>
          <w:p>
            <w:pPr>
              <w:pStyle w:val="TableContents"/>
              <w:bidi w:val="0"/>
              <w:spacing w:before="0" w:after="283"/>
              <w:jc w:val="left"/>
              <w:rPr/>
            </w:pPr>
            <w:r>
              <w:rPr/>
              <w:t> </w:t>
            </w:r>
          </w:p>
        </w:tc>
        <w:tc>
          <w:tcPr>
            <w:tcW w:w="52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968"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66" w:type="dxa"/>
            <w:tcBorders/>
            <w:shd w:fill="FFFFFF" w:val="clear"/>
            <w:vAlign w:val="center"/>
          </w:tcPr>
          <w:p>
            <w:pPr>
              <w:pStyle w:val="TableContents"/>
              <w:bidi w:val="0"/>
              <w:spacing w:before="0" w:after="283"/>
              <w:jc w:val="left"/>
              <w:rPr/>
            </w:pPr>
            <w:r>
              <w:rPr/>
              <w:t> </w:t>
            </w:r>
          </w:p>
        </w:tc>
        <w:tc>
          <w:tcPr>
            <w:tcW w:w="66" w:type="dxa"/>
            <w:tcBorders/>
            <w:shd w:fill="FFFFFF" w:val="clear"/>
            <w:vAlign w:val="center"/>
          </w:tcPr>
          <w:p>
            <w:pPr>
              <w:pStyle w:val="TableContents"/>
              <w:bidi w:val="0"/>
              <w:spacing w:before="0" w:after="283"/>
              <w:jc w:val="left"/>
              <w:rPr/>
            </w:pPr>
            <w:r>
              <w:rPr/>
              <w:t> </w:t>
            </w:r>
          </w:p>
        </w:tc>
        <w:tc>
          <w:tcPr>
            <w:tcW w:w="3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363"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105" w:type="dxa"/>
            <w:tcBorders/>
            <w:shd w:fill="FFFFFF" w:val="clear"/>
            <w:vAlign w:val="center"/>
          </w:tcPr>
          <w:p>
            <w:pPr>
              <w:pStyle w:val="TableContents"/>
              <w:bidi w:val="0"/>
              <w:spacing w:before="0" w:after="283"/>
              <w:jc w:val="left"/>
              <w:rPr/>
            </w:pPr>
            <w:r>
              <w:rPr/>
              <w:t> </w:t>
            </w:r>
          </w:p>
        </w:tc>
        <w:tc>
          <w:tcPr>
            <w:tcW w:w="66" w:type="dxa"/>
            <w:tcBorders/>
            <w:shd w:fill="FFFFFF" w:val="clear"/>
            <w:vAlign w:val="center"/>
          </w:tcPr>
          <w:p>
            <w:pPr>
              <w:pStyle w:val="TableContents"/>
              <w:bidi w:val="0"/>
              <w:spacing w:before="0" w:after="283"/>
              <w:jc w:val="left"/>
              <w:rPr/>
            </w:pPr>
            <w:r>
              <w:rPr/>
              <w:t> </w:t>
            </w:r>
          </w:p>
        </w:tc>
        <w:tc>
          <w:tcPr>
            <w:tcW w:w="309"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639"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66" w:type="dxa"/>
            <w:tcBorders/>
            <w:shd w:fill="FFFFFF" w:val="clear"/>
            <w:vAlign w:val="center"/>
          </w:tcPr>
          <w:p>
            <w:pPr>
              <w:pStyle w:val="TableContents"/>
              <w:bidi w:val="0"/>
              <w:spacing w:before="0" w:after="283"/>
              <w:jc w:val="left"/>
              <w:rPr/>
            </w:pPr>
            <w:r>
              <w:rPr/>
              <w:t> </w:t>
            </w:r>
          </w:p>
        </w:tc>
        <w:tc>
          <w:tcPr>
            <w:tcW w:w="66" w:type="dxa"/>
            <w:tcBorders/>
            <w:shd w:fill="FFFFFF" w:val="clear"/>
            <w:vAlign w:val="center"/>
          </w:tcPr>
          <w:p>
            <w:pPr>
              <w:pStyle w:val="TableContents"/>
              <w:bidi w:val="0"/>
              <w:spacing w:before="0" w:after="283"/>
              <w:jc w:val="left"/>
              <w:rPr/>
            </w:pPr>
            <w:r>
              <w:rPr/>
              <w:t> </w:t>
            </w:r>
          </w:p>
        </w:tc>
        <w:tc>
          <w:tcPr>
            <w:tcW w:w="155"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705"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104" w:type="dxa"/>
            <w:tcBorders/>
            <w:shd w:fill="FFFFFF" w:val="clear"/>
            <w:vAlign w:val="center"/>
          </w:tcPr>
          <w:p>
            <w:pPr>
              <w:pStyle w:val="TableContents"/>
              <w:bidi w:val="0"/>
              <w:spacing w:before="0" w:after="283"/>
              <w:jc w:val="left"/>
              <w:rPr/>
            </w:pPr>
            <w:r>
              <w:rPr/>
              <w:t> </w:t>
            </w:r>
          </w:p>
        </w:tc>
      </w:tr>
      <w:tr>
        <w:trPr/>
        <w:tc>
          <w:tcPr>
            <w:tcW w:w="1844" w:type="dxa"/>
            <w:tcBorders/>
            <w:shd w:fill="CCEEFF" w:val="clear"/>
            <w:vAlign w:val="center"/>
          </w:tcPr>
          <w:p>
            <w:pPr>
              <w:pStyle w:val="TableContents"/>
              <w:bidi w:val="0"/>
              <w:spacing w:before="0" w:after="283"/>
              <w:jc w:val="both"/>
              <w:rPr/>
            </w:pPr>
            <w:r>
              <w:rPr/>
              <w:t>Total</w:t>
            </w:r>
          </w:p>
        </w:tc>
        <w:tc>
          <w:tcPr>
            <w:tcW w:w="60" w:type="dxa"/>
            <w:tcBorders/>
            <w:shd w:fill="CCEEFF" w:val="clear"/>
            <w:vAlign w:val="center"/>
          </w:tcPr>
          <w:p>
            <w:pPr>
              <w:pStyle w:val="TableContents"/>
              <w:bidi w:val="0"/>
              <w:spacing w:before="0" w:after="283"/>
              <w:jc w:val="left"/>
              <w:rPr/>
            </w:pPr>
            <w:r>
              <w:rPr/>
              <w:t> </w:t>
            </w:r>
          </w:p>
        </w:tc>
        <w:tc>
          <w:tcPr>
            <w:tcW w:w="286"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306" w:type="dxa"/>
            <w:tcBorders>
              <w:bottom w:val="double" w:sz="10" w:space="0" w:color="000000"/>
            </w:tcBorders>
            <w:shd w:fill="CCEEFF" w:val="clear"/>
            <w:tcMar>
              <w:bottom w:w="28" w:type="dxa"/>
            </w:tcMar>
            <w:vAlign w:val="center"/>
          </w:tcPr>
          <w:p>
            <w:pPr>
              <w:pStyle w:val="TableContents"/>
              <w:bidi w:val="0"/>
              <w:spacing w:before="0" w:after="283"/>
              <w:jc w:val="right"/>
              <w:rPr/>
            </w:pPr>
            <w:r>
              <w:rPr/>
              <w:t>—</w:t>
            </w:r>
          </w:p>
        </w:tc>
        <w:tc>
          <w:tcPr>
            <w:tcW w:w="105" w:type="dxa"/>
            <w:tcBorders/>
            <w:shd w:fill="CCEEFF" w:val="clear"/>
            <w:vAlign w:val="center"/>
          </w:tcPr>
          <w:p>
            <w:pPr>
              <w:pStyle w:val="TableContents"/>
              <w:bidi w:val="0"/>
              <w:spacing w:before="0" w:after="283"/>
              <w:jc w:val="left"/>
              <w:rPr/>
            </w:pPr>
            <w:r>
              <w:rPr/>
              <w:t> </w:t>
            </w:r>
          </w:p>
        </w:tc>
        <w:tc>
          <w:tcPr>
            <w:tcW w:w="66" w:type="dxa"/>
            <w:tcBorders/>
            <w:shd w:fill="CCEEFF" w:val="clear"/>
            <w:vAlign w:val="center"/>
          </w:tcPr>
          <w:p>
            <w:pPr>
              <w:pStyle w:val="TableContents"/>
              <w:bidi w:val="0"/>
              <w:spacing w:before="0" w:after="283"/>
              <w:jc w:val="left"/>
              <w:rPr/>
            </w:pPr>
            <w:r>
              <w:rPr/>
              <w:t> </w:t>
            </w:r>
          </w:p>
        </w:tc>
        <w:tc>
          <w:tcPr>
            <w:tcW w:w="520"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968" w:type="dxa"/>
            <w:tcBorders>
              <w:bottom w:val="double" w:sz="10" w:space="0" w:color="000000"/>
            </w:tcBorders>
            <w:shd w:fill="CCEEFF" w:val="clear"/>
            <w:tcMar>
              <w:bottom w:w="28" w:type="dxa"/>
            </w:tcMar>
            <w:vAlign w:val="center"/>
          </w:tcPr>
          <w:p>
            <w:pPr>
              <w:pStyle w:val="TableContents"/>
              <w:bidi w:val="0"/>
              <w:spacing w:before="0" w:after="283"/>
              <w:jc w:val="right"/>
              <w:rPr/>
            </w:pPr>
            <w:r>
              <w:rPr/>
              <w:t>5</w:t>
            </w:r>
          </w:p>
        </w:tc>
        <w:tc>
          <w:tcPr>
            <w:tcW w:w="66" w:type="dxa"/>
            <w:tcBorders/>
            <w:shd w:fill="CCEEFF" w:val="clear"/>
            <w:vAlign w:val="center"/>
          </w:tcPr>
          <w:p>
            <w:pPr>
              <w:pStyle w:val="TableContents"/>
              <w:bidi w:val="0"/>
              <w:spacing w:before="0" w:after="283"/>
              <w:jc w:val="left"/>
              <w:rPr/>
            </w:pPr>
            <w:r>
              <w:rPr/>
              <w:t> </w:t>
            </w:r>
          </w:p>
        </w:tc>
        <w:tc>
          <w:tcPr>
            <w:tcW w:w="66" w:type="dxa"/>
            <w:tcBorders/>
            <w:shd w:fill="CCEEFF" w:val="clear"/>
            <w:vAlign w:val="center"/>
          </w:tcPr>
          <w:p>
            <w:pPr>
              <w:pStyle w:val="TableContents"/>
              <w:bidi w:val="0"/>
              <w:spacing w:before="0" w:after="283"/>
              <w:jc w:val="left"/>
              <w:rPr/>
            </w:pPr>
            <w:r>
              <w:rPr/>
              <w:t> </w:t>
            </w:r>
          </w:p>
        </w:tc>
        <w:tc>
          <w:tcPr>
            <w:tcW w:w="340"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363" w:type="dxa"/>
            <w:tcBorders>
              <w:bottom w:val="double" w:sz="10" w:space="0" w:color="000000"/>
            </w:tcBorders>
            <w:shd w:fill="CCEEFF" w:val="clear"/>
            <w:tcMar>
              <w:bottom w:w="28" w:type="dxa"/>
            </w:tcMar>
            <w:vAlign w:val="center"/>
          </w:tcPr>
          <w:p>
            <w:pPr>
              <w:pStyle w:val="TableContents"/>
              <w:bidi w:val="0"/>
              <w:spacing w:before="0" w:after="283"/>
              <w:jc w:val="right"/>
              <w:rPr/>
            </w:pPr>
            <w:r>
              <w:rPr/>
              <w:t>46</w:t>
            </w:r>
          </w:p>
        </w:tc>
        <w:tc>
          <w:tcPr>
            <w:tcW w:w="105" w:type="dxa"/>
            <w:tcBorders/>
            <w:shd w:fill="CCEEFF" w:val="clear"/>
            <w:vAlign w:val="center"/>
          </w:tcPr>
          <w:p>
            <w:pPr>
              <w:pStyle w:val="TableContents"/>
              <w:bidi w:val="0"/>
              <w:spacing w:before="0" w:after="283"/>
              <w:jc w:val="left"/>
              <w:rPr/>
            </w:pPr>
            <w:r>
              <w:rPr/>
              <w:t> </w:t>
            </w:r>
          </w:p>
        </w:tc>
        <w:tc>
          <w:tcPr>
            <w:tcW w:w="66" w:type="dxa"/>
            <w:tcBorders/>
            <w:shd w:fill="CCEEFF" w:val="clear"/>
            <w:vAlign w:val="center"/>
          </w:tcPr>
          <w:p>
            <w:pPr>
              <w:pStyle w:val="TableContents"/>
              <w:bidi w:val="0"/>
              <w:spacing w:before="0" w:after="283"/>
              <w:jc w:val="left"/>
              <w:rPr/>
            </w:pPr>
            <w:r>
              <w:rPr/>
              <w:t> </w:t>
            </w:r>
          </w:p>
        </w:tc>
        <w:tc>
          <w:tcPr>
            <w:tcW w:w="309"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639" w:type="dxa"/>
            <w:tcBorders>
              <w:bottom w:val="double" w:sz="10" w:space="0" w:color="000000"/>
            </w:tcBorders>
            <w:shd w:fill="CCEEFF" w:val="clear"/>
            <w:tcMar>
              <w:bottom w:w="28" w:type="dxa"/>
            </w:tcMar>
            <w:vAlign w:val="center"/>
          </w:tcPr>
          <w:p>
            <w:pPr>
              <w:pStyle w:val="TableContents"/>
              <w:bidi w:val="0"/>
              <w:spacing w:before="0" w:after="283"/>
              <w:jc w:val="right"/>
              <w:rPr/>
            </w:pPr>
            <w:r>
              <w:rPr/>
              <w:t>3</w:t>
            </w:r>
          </w:p>
        </w:tc>
        <w:tc>
          <w:tcPr>
            <w:tcW w:w="66" w:type="dxa"/>
            <w:tcBorders/>
            <w:shd w:fill="CCEEFF" w:val="clear"/>
            <w:vAlign w:val="center"/>
          </w:tcPr>
          <w:p>
            <w:pPr>
              <w:pStyle w:val="TableContents"/>
              <w:bidi w:val="0"/>
              <w:spacing w:before="0" w:after="283"/>
              <w:jc w:val="left"/>
              <w:rPr/>
            </w:pPr>
            <w:r>
              <w:rPr/>
              <w:t> </w:t>
            </w:r>
          </w:p>
        </w:tc>
        <w:tc>
          <w:tcPr>
            <w:tcW w:w="66" w:type="dxa"/>
            <w:tcBorders/>
            <w:shd w:fill="CCEEFF" w:val="clear"/>
            <w:vAlign w:val="center"/>
          </w:tcPr>
          <w:p>
            <w:pPr>
              <w:pStyle w:val="TableContents"/>
              <w:bidi w:val="0"/>
              <w:spacing w:before="0" w:after="283"/>
              <w:jc w:val="left"/>
              <w:rPr/>
            </w:pPr>
            <w:r>
              <w:rPr/>
              <w:t> </w:t>
            </w:r>
          </w:p>
        </w:tc>
        <w:tc>
          <w:tcPr>
            <w:tcW w:w="155"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705" w:type="dxa"/>
            <w:tcBorders>
              <w:bottom w:val="double" w:sz="10" w:space="0" w:color="000000"/>
            </w:tcBorders>
            <w:shd w:fill="CCEEFF" w:val="clear"/>
            <w:tcMar>
              <w:bottom w:w="28" w:type="dxa"/>
            </w:tcMar>
            <w:vAlign w:val="center"/>
          </w:tcPr>
          <w:p>
            <w:pPr>
              <w:pStyle w:val="TableContents"/>
              <w:bidi w:val="0"/>
              <w:spacing w:before="0" w:after="283"/>
              <w:jc w:val="right"/>
              <w:rPr/>
            </w:pPr>
            <w:r>
              <w:rPr/>
              <w:t>54</w:t>
            </w:r>
          </w:p>
        </w:tc>
        <w:tc>
          <w:tcPr>
            <w:tcW w:w="104"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Note 5. </w:t>
      </w:r>
      <w:r>
        <w:rPr>
          <w:rFonts w:ascii="Times New Roman;Times;Serif" w:hAnsi="Times New Roman;Times;Serif"/>
          <w:b/>
          <w:i/>
          <w:caps w:val="false"/>
          <w:smallCaps w:val="false"/>
          <w:sz w:val="20"/>
        </w:rPr>
        <w:t>PREPAID EXPENSES AND OTHER CURRENT ASSETS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Amounts comprising prepaid expenses and other current assets are as follows:</w:t>
      </w:r>
    </w:p>
    <w:p>
      <w:pPr>
        <w:pStyle w:val="TextBody"/>
        <w:bidi w:val="0"/>
        <w:spacing w:before="0" w:after="0"/>
        <w:ind w:left="0" w:right="0" w:hanging="0"/>
        <w:jc w:val="both"/>
        <w:rPr>
          <w:caps w:val="false"/>
          <w:smallCaps w:val="false"/>
        </w:rPr>
      </w:pPr>
      <w:r>
        <w:rPr>
          <w:caps w:val="false"/>
          <w:smallCaps w:val="false"/>
        </w:rPr>
        <w:t> </w:t>
      </w:r>
    </w:p>
    <w:tbl>
      <w:tblPr>
        <w:tblW w:w="6067" w:type="dxa"/>
        <w:jc w:val="left"/>
        <w:tblInd w:w="0" w:type="dxa"/>
        <w:tblLayout w:type="fixed"/>
        <w:tblCellMar>
          <w:top w:w="0" w:type="dxa"/>
          <w:left w:w="0" w:type="dxa"/>
          <w:bottom w:w="0" w:type="dxa"/>
          <w:right w:w="0" w:type="dxa"/>
        </w:tblCellMar>
      </w:tblPr>
      <w:tblGrid>
        <w:gridCol w:w="3935"/>
        <w:gridCol w:w="60"/>
        <w:gridCol w:w="170"/>
        <w:gridCol w:w="829"/>
        <w:gridCol w:w="73"/>
        <w:gridCol w:w="73"/>
        <w:gridCol w:w="170"/>
        <w:gridCol w:w="682"/>
        <w:gridCol w:w="75"/>
      </w:tblGrid>
      <w:tr>
        <w:trPr/>
        <w:tc>
          <w:tcPr>
            <w:tcW w:w="3935"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p>
        </w:tc>
        <w:tc>
          <w:tcPr>
            <w:tcW w:w="1997"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As of December 31,</w:t>
            </w:r>
          </w:p>
        </w:tc>
        <w:tc>
          <w:tcPr>
            <w:tcW w:w="75" w:type="dxa"/>
            <w:tcBorders/>
            <w:vAlign w:val="center"/>
          </w:tcPr>
          <w:p>
            <w:pPr>
              <w:pStyle w:val="TableContents"/>
              <w:bidi w:val="0"/>
              <w:spacing w:before="0" w:after="283"/>
              <w:jc w:val="left"/>
              <w:rPr/>
            </w:pPr>
            <w:r>
              <w:rPr/>
              <w:t> </w:t>
            </w:r>
          </w:p>
        </w:tc>
      </w:tr>
      <w:tr>
        <w:trPr/>
        <w:tc>
          <w:tcPr>
            <w:tcW w:w="3935"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p>
        </w:tc>
        <w:tc>
          <w:tcPr>
            <w:tcW w:w="999"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2024</w:t>
            </w:r>
          </w:p>
        </w:tc>
        <w:tc>
          <w:tcPr>
            <w:tcW w:w="73" w:type="dxa"/>
            <w:tcBorders/>
            <w:vAlign w:val="center"/>
          </w:tcPr>
          <w:p>
            <w:pPr>
              <w:pStyle w:val="TableContents"/>
              <w:bidi w:val="0"/>
              <w:spacing w:before="0" w:after="283"/>
              <w:jc w:val="left"/>
              <w:rPr/>
            </w:pPr>
            <w:r>
              <w:rPr/>
              <w:t> </w:t>
            </w:r>
          </w:p>
        </w:tc>
        <w:tc>
          <w:tcPr>
            <w:tcW w:w="73" w:type="dxa"/>
            <w:tcBorders/>
            <w:vAlign w:val="center"/>
          </w:tcPr>
          <w:p>
            <w:pPr>
              <w:pStyle w:val="TableContents"/>
              <w:bidi w:val="0"/>
              <w:spacing w:before="0" w:after="283"/>
              <w:jc w:val="left"/>
              <w:rPr/>
            </w:pPr>
            <w:r>
              <w:rPr/>
              <w:t> </w:t>
            </w:r>
          </w:p>
        </w:tc>
        <w:tc>
          <w:tcPr>
            <w:tcW w:w="852"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2023</w:t>
            </w:r>
          </w:p>
        </w:tc>
        <w:tc>
          <w:tcPr>
            <w:tcW w:w="75" w:type="dxa"/>
            <w:tcBorders/>
            <w:vAlign w:val="center"/>
          </w:tcPr>
          <w:p>
            <w:pPr>
              <w:pStyle w:val="TableContents"/>
              <w:bidi w:val="0"/>
              <w:spacing w:before="0" w:after="283"/>
              <w:jc w:val="left"/>
              <w:rPr/>
            </w:pPr>
            <w:r>
              <w:rPr/>
              <w:t> </w:t>
            </w:r>
          </w:p>
        </w:tc>
      </w:tr>
      <w:tr>
        <w:trPr/>
        <w:tc>
          <w:tcPr>
            <w:tcW w:w="3935" w:type="dxa"/>
            <w:tcBorders/>
            <w:shd w:fill="CCEEFF" w:val="clear"/>
            <w:vAlign w:val="center"/>
          </w:tcPr>
          <w:p>
            <w:pPr>
              <w:pStyle w:val="TableContents"/>
              <w:bidi w:val="0"/>
              <w:spacing w:before="0" w:after="283"/>
              <w:jc w:val="both"/>
              <w:rPr/>
            </w:pPr>
            <w:r>
              <w:rPr/>
              <w:t>Deferred commissions</w:t>
            </w:r>
          </w:p>
        </w:tc>
        <w:tc>
          <w:tcPr>
            <w:tcW w:w="6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829" w:type="dxa"/>
            <w:tcBorders/>
            <w:shd w:fill="CCEEFF" w:val="clear"/>
            <w:vAlign w:val="center"/>
          </w:tcPr>
          <w:p>
            <w:pPr>
              <w:pStyle w:val="TableContents"/>
              <w:bidi w:val="0"/>
              <w:spacing w:before="0" w:after="283"/>
              <w:jc w:val="right"/>
              <w:rPr/>
            </w:pPr>
            <w:r>
              <w:rPr/>
              <w:t>12,840</w:t>
            </w:r>
          </w:p>
        </w:tc>
        <w:tc>
          <w:tcPr>
            <w:tcW w:w="73" w:type="dxa"/>
            <w:tcBorders/>
            <w:shd w:fill="CCEEFF" w:val="clear"/>
            <w:vAlign w:val="center"/>
          </w:tcPr>
          <w:p>
            <w:pPr>
              <w:pStyle w:val="TableContents"/>
              <w:bidi w:val="0"/>
              <w:spacing w:before="0" w:after="283"/>
              <w:jc w:val="left"/>
              <w:rPr/>
            </w:pPr>
            <w:r>
              <w:rPr/>
              <w:t> </w:t>
            </w:r>
          </w:p>
        </w:tc>
        <w:tc>
          <w:tcPr>
            <w:tcW w:w="73"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682" w:type="dxa"/>
            <w:tcBorders/>
            <w:shd w:fill="CCEEFF" w:val="clear"/>
            <w:vAlign w:val="center"/>
          </w:tcPr>
          <w:p>
            <w:pPr>
              <w:pStyle w:val="TableContents"/>
              <w:bidi w:val="0"/>
              <w:spacing w:before="0" w:after="283"/>
              <w:jc w:val="right"/>
              <w:rPr/>
            </w:pPr>
            <w:r>
              <w:rPr/>
              <w:t>1,423</w:t>
            </w:r>
          </w:p>
        </w:tc>
        <w:tc>
          <w:tcPr>
            <w:tcW w:w="75" w:type="dxa"/>
            <w:tcBorders/>
            <w:shd w:fill="CCEEFF" w:val="clear"/>
            <w:vAlign w:val="center"/>
          </w:tcPr>
          <w:p>
            <w:pPr>
              <w:pStyle w:val="TableContents"/>
              <w:bidi w:val="0"/>
              <w:spacing w:before="0" w:after="283"/>
              <w:jc w:val="left"/>
              <w:rPr/>
            </w:pPr>
            <w:r>
              <w:rPr/>
              <w:t> </w:t>
            </w:r>
          </w:p>
        </w:tc>
      </w:tr>
      <w:tr>
        <w:trPr/>
        <w:tc>
          <w:tcPr>
            <w:tcW w:w="3935" w:type="dxa"/>
            <w:tcBorders/>
            <w:shd w:fill="FFFFFF" w:val="clear"/>
            <w:vAlign w:val="center"/>
          </w:tcPr>
          <w:p>
            <w:pPr>
              <w:pStyle w:val="TableContents"/>
              <w:bidi w:val="0"/>
              <w:spacing w:before="0" w:after="283"/>
              <w:jc w:val="both"/>
              <w:rPr/>
            </w:pPr>
            <w:r>
              <w:rPr/>
              <w:t>Bonus install commitment</w:t>
            </w:r>
          </w:p>
        </w:tc>
        <w:tc>
          <w:tcPr>
            <w:tcW w:w="6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829" w:type="dxa"/>
            <w:tcBorders/>
            <w:shd w:fill="FFFFFF" w:val="clear"/>
            <w:vAlign w:val="center"/>
          </w:tcPr>
          <w:p>
            <w:pPr>
              <w:pStyle w:val="TableContents"/>
              <w:bidi w:val="0"/>
              <w:spacing w:before="0" w:after="283"/>
              <w:jc w:val="right"/>
              <w:rPr/>
            </w:pPr>
            <w:r>
              <w:rPr/>
              <w:t>435</w:t>
            </w:r>
          </w:p>
        </w:tc>
        <w:tc>
          <w:tcPr>
            <w:tcW w:w="73" w:type="dxa"/>
            <w:tcBorders/>
            <w:shd w:fill="FFFFFF" w:val="clear"/>
            <w:vAlign w:val="center"/>
          </w:tcPr>
          <w:p>
            <w:pPr>
              <w:pStyle w:val="TableContents"/>
              <w:bidi w:val="0"/>
              <w:spacing w:before="0" w:after="283"/>
              <w:jc w:val="left"/>
              <w:rPr/>
            </w:pPr>
            <w:r>
              <w:rPr/>
              <w:t> </w:t>
            </w:r>
          </w:p>
        </w:tc>
        <w:tc>
          <w:tcPr>
            <w:tcW w:w="73"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682" w:type="dxa"/>
            <w:tcBorders/>
            <w:shd w:fill="FFFFFF" w:val="clear"/>
            <w:vAlign w:val="center"/>
          </w:tcPr>
          <w:p>
            <w:pPr>
              <w:pStyle w:val="TableContents"/>
              <w:bidi w:val="0"/>
              <w:spacing w:before="0" w:after="283"/>
              <w:jc w:val="right"/>
              <w:rPr/>
            </w:pPr>
            <w:r>
              <w:rPr/>
              <w:t>234</w:t>
            </w:r>
          </w:p>
        </w:tc>
        <w:tc>
          <w:tcPr>
            <w:tcW w:w="75" w:type="dxa"/>
            <w:tcBorders/>
            <w:shd w:fill="FFFFFF" w:val="clear"/>
            <w:vAlign w:val="center"/>
          </w:tcPr>
          <w:p>
            <w:pPr>
              <w:pStyle w:val="TableContents"/>
              <w:bidi w:val="0"/>
              <w:spacing w:before="0" w:after="283"/>
              <w:jc w:val="left"/>
              <w:rPr/>
            </w:pPr>
            <w:r>
              <w:rPr/>
              <w:t> </w:t>
            </w:r>
          </w:p>
        </w:tc>
      </w:tr>
      <w:tr>
        <w:trPr/>
        <w:tc>
          <w:tcPr>
            <w:tcW w:w="3935" w:type="dxa"/>
            <w:tcBorders/>
            <w:shd w:fill="CCEEFF" w:val="clear"/>
            <w:vAlign w:val="center"/>
          </w:tcPr>
          <w:p>
            <w:pPr>
              <w:pStyle w:val="TableContents"/>
              <w:bidi w:val="0"/>
              <w:spacing w:before="0" w:after="283"/>
              <w:jc w:val="both"/>
              <w:rPr/>
            </w:pPr>
            <w:r>
              <w:rPr/>
              <w:t>Other</w:t>
            </w:r>
          </w:p>
        </w:tc>
        <w:tc>
          <w:tcPr>
            <w:tcW w:w="60" w:type="dxa"/>
            <w:tcBorders/>
            <w:shd w:fill="CCEEFF" w:val="clear"/>
            <w:vAlign w:val="center"/>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29" w:type="dxa"/>
            <w:tcBorders>
              <w:bottom w:val="single" w:sz="12" w:space="0" w:color="000000"/>
            </w:tcBorders>
            <w:shd w:fill="CCEEFF" w:val="clear"/>
            <w:tcMar>
              <w:bottom w:w="28" w:type="dxa"/>
            </w:tcMar>
            <w:vAlign w:val="center"/>
          </w:tcPr>
          <w:p>
            <w:pPr>
              <w:pStyle w:val="TableContents"/>
              <w:bidi w:val="0"/>
              <w:spacing w:before="0" w:after="283"/>
              <w:jc w:val="right"/>
              <w:rPr/>
            </w:pPr>
            <w:r>
              <w:rPr/>
              <w:t>233</w:t>
            </w:r>
          </w:p>
        </w:tc>
        <w:tc>
          <w:tcPr>
            <w:tcW w:w="73" w:type="dxa"/>
            <w:tcBorders/>
            <w:shd w:fill="CCEEFF" w:val="clear"/>
            <w:vAlign w:val="center"/>
          </w:tcPr>
          <w:p>
            <w:pPr>
              <w:pStyle w:val="TableContents"/>
              <w:bidi w:val="0"/>
              <w:spacing w:before="0" w:after="283"/>
              <w:jc w:val="left"/>
              <w:rPr/>
            </w:pPr>
            <w:r>
              <w:rPr/>
              <w:t> </w:t>
            </w:r>
          </w:p>
        </w:tc>
        <w:tc>
          <w:tcPr>
            <w:tcW w:w="73" w:type="dxa"/>
            <w:tcBorders/>
            <w:shd w:fill="CCEEFF" w:val="clear"/>
            <w:vAlign w:val="center"/>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682" w:type="dxa"/>
            <w:tcBorders>
              <w:bottom w:val="single" w:sz="12" w:space="0" w:color="000000"/>
            </w:tcBorders>
            <w:shd w:fill="CCEEFF" w:val="clear"/>
            <w:tcMar>
              <w:bottom w:w="28" w:type="dxa"/>
            </w:tcMar>
            <w:vAlign w:val="center"/>
          </w:tcPr>
          <w:p>
            <w:pPr>
              <w:pStyle w:val="TableContents"/>
              <w:bidi w:val="0"/>
              <w:spacing w:before="0" w:after="283"/>
              <w:jc w:val="right"/>
              <w:rPr/>
            </w:pPr>
            <w:r>
              <w:rPr/>
              <w:t>182</w:t>
            </w:r>
          </w:p>
        </w:tc>
        <w:tc>
          <w:tcPr>
            <w:tcW w:w="75" w:type="dxa"/>
            <w:tcBorders/>
            <w:shd w:fill="CCEEFF" w:val="clear"/>
            <w:vAlign w:val="center"/>
          </w:tcPr>
          <w:p>
            <w:pPr>
              <w:pStyle w:val="TableContents"/>
              <w:bidi w:val="0"/>
              <w:spacing w:before="0" w:after="283"/>
              <w:jc w:val="left"/>
              <w:rPr/>
            </w:pPr>
            <w:r>
              <w:rPr/>
              <w:t> </w:t>
            </w:r>
          </w:p>
        </w:tc>
      </w:tr>
      <w:tr>
        <w:trPr/>
        <w:tc>
          <w:tcPr>
            <w:tcW w:w="3935" w:type="dxa"/>
            <w:tcBorders/>
            <w:shd w:fill="FFFFFF" w:val="clear"/>
            <w:vAlign w:val="center"/>
          </w:tcPr>
          <w:p>
            <w:pPr>
              <w:pStyle w:val="TableContents"/>
              <w:bidi w:val="0"/>
              <w:spacing w:before="0" w:after="283"/>
              <w:jc w:val="both"/>
              <w:rPr/>
            </w:pPr>
            <w:r>
              <w:rPr/>
              <w:t>Prepaid expenses and other current assets</w:t>
            </w:r>
          </w:p>
        </w:tc>
        <w:tc>
          <w:tcPr>
            <w:tcW w:w="60" w:type="dxa"/>
            <w:tcBorders/>
            <w:shd w:fill="FFFFFF" w:val="clear"/>
            <w:vAlign w:val="center"/>
          </w:tcPr>
          <w:p>
            <w:pPr>
              <w:pStyle w:val="TableContents"/>
              <w:bidi w:val="0"/>
              <w:spacing w:before="0" w:after="283"/>
              <w:jc w:val="left"/>
              <w:rPr/>
            </w:pPr>
            <w:r>
              <w:rPr/>
              <w:t> </w:t>
            </w:r>
          </w:p>
        </w:tc>
        <w:tc>
          <w:tcPr>
            <w:tcW w:w="170" w:type="dxa"/>
            <w:tcBorders>
              <w:bottom w:val="double" w:sz="10" w:space="0" w:color="000000"/>
            </w:tcBorders>
            <w:shd w:fill="FFFFFF" w:val="clear"/>
            <w:tcMar>
              <w:bottom w:w="28" w:type="dxa"/>
            </w:tcMar>
            <w:vAlign w:val="center"/>
          </w:tcPr>
          <w:p>
            <w:pPr>
              <w:pStyle w:val="TableContents"/>
              <w:bidi w:val="0"/>
              <w:spacing w:before="0" w:after="283"/>
              <w:jc w:val="left"/>
              <w:rPr/>
            </w:pPr>
            <w:r>
              <w:rPr/>
              <w:t>$</w:t>
            </w:r>
          </w:p>
        </w:tc>
        <w:tc>
          <w:tcPr>
            <w:tcW w:w="829" w:type="dxa"/>
            <w:tcBorders>
              <w:bottom w:val="double" w:sz="10" w:space="0" w:color="000000"/>
            </w:tcBorders>
            <w:shd w:fill="FFFFFF" w:val="clear"/>
            <w:tcMar>
              <w:bottom w:w="28" w:type="dxa"/>
            </w:tcMar>
            <w:vAlign w:val="center"/>
          </w:tcPr>
          <w:p>
            <w:pPr>
              <w:pStyle w:val="TableContents"/>
              <w:bidi w:val="0"/>
              <w:spacing w:before="0" w:after="283"/>
              <w:jc w:val="right"/>
              <w:rPr/>
            </w:pPr>
            <w:r>
              <w:rPr/>
              <w:t>13,508</w:t>
            </w:r>
          </w:p>
        </w:tc>
        <w:tc>
          <w:tcPr>
            <w:tcW w:w="73" w:type="dxa"/>
            <w:tcBorders/>
            <w:shd w:fill="FFFFFF" w:val="clear"/>
            <w:vAlign w:val="center"/>
          </w:tcPr>
          <w:p>
            <w:pPr>
              <w:pStyle w:val="TableContents"/>
              <w:bidi w:val="0"/>
              <w:spacing w:before="0" w:after="283"/>
              <w:jc w:val="left"/>
              <w:rPr/>
            </w:pPr>
            <w:r>
              <w:rPr/>
              <w:t> </w:t>
            </w:r>
          </w:p>
        </w:tc>
        <w:tc>
          <w:tcPr>
            <w:tcW w:w="73" w:type="dxa"/>
            <w:tcBorders/>
            <w:shd w:fill="FFFFFF" w:val="clear"/>
            <w:vAlign w:val="center"/>
          </w:tcPr>
          <w:p>
            <w:pPr>
              <w:pStyle w:val="TableContents"/>
              <w:bidi w:val="0"/>
              <w:spacing w:before="0" w:after="283"/>
              <w:jc w:val="left"/>
              <w:rPr/>
            </w:pPr>
            <w:r>
              <w:rPr/>
              <w:t> </w:t>
            </w:r>
          </w:p>
        </w:tc>
        <w:tc>
          <w:tcPr>
            <w:tcW w:w="170" w:type="dxa"/>
            <w:tcBorders>
              <w:bottom w:val="double" w:sz="10" w:space="0" w:color="000000"/>
            </w:tcBorders>
            <w:shd w:fill="FFFFFF" w:val="clear"/>
            <w:tcMar>
              <w:bottom w:w="28" w:type="dxa"/>
            </w:tcMar>
            <w:vAlign w:val="center"/>
          </w:tcPr>
          <w:p>
            <w:pPr>
              <w:pStyle w:val="TableContents"/>
              <w:bidi w:val="0"/>
              <w:spacing w:before="0" w:after="283"/>
              <w:jc w:val="left"/>
              <w:rPr/>
            </w:pPr>
            <w:r>
              <w:rPr/>
              <w:t>$</w:t>
            </w:r>
          </w:p>
        </w:tc>
        <w:tc>
          <w:tcPr>
            <w:tcW w:w="682" w:type="dxa"/>
            <w:tcBorders>
              <w:bottom w:val="double" w:sz="10" w:space="0" w:color="000000"/>
            </w:tcBorders>
            <w:shd w:fill="FFFFFF" w:val="clear"/>
            <w:tcMar>
              <w:bottom w:w="28" w:type="dxa"/>
            </w:tcMar>
            <w:vAlign w:val="center"/>
          </w:tcPr>
          <w:p>
            <w:pPr>
              <w:pStyle w:val="TableContents"/>
              <w:bidi w:val="0"/>
              <w:spacing w:before="0" w:after="283"/>
              <w:jc w:val="right"/>
              <w:rPr/>
            </w:pPr>
            <w:r>
              <w:rPr/>
              <w:t>1,839</w:t>
            </w:r>
          </w:p>
        </w:tc>
        <w:tc>
          <w:tcPr>
            <w:tcW w:w="75"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recognized $1,247 of commission expense in the year ended December 31, 2024 that was included in the deferred commission balance at the beginning of the period.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sz w:val="20"/>
          <w:bdr w:val="single" w:sz="12" w:space="1" w:color="000000"/>
        </w:rPr>
      </w:pPr>
      <w:r>
        <w:rPr>
          <w:sz w:val="20"/>
          <w:bdr w:val="single" w:sz="12" w:space="1" w:color="000000"/>
        </w:rPr>
        <w:t>F-124</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Note 6. </w:t>
      </w:r>
      <w:r>
        <w:rPr>
          <w:rFonts w:ascii="Times New Roman;Times;Serif" w:hAnsi="Times New Roman;Times;Serif"/>
          <w:b/>
          <w:i/>
          <w:caps w:val="false"/>
          <w:smallCaps w:val="false"/>
          <w:sz w:val="20"/>
        </w:rPr>
        <w:t>PROPERTY AND EQUIPMENT, NET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Property and equipment consists of the following:</w:t>
      </w:r>
    </w:p>
    <w:p>
      <w:pPr>
        <w:pStyle w:val="TextBody"/>
        <w:bidi w:val="0"/>
        <w:spacing w:before="0" w:after="0"/>
        <w:ind w:left="0" w:right="0" w:hanging="0"/>
        <w:jc w:val="both"/>
        <w:rPr>
          <w:caps w:val="false"/>
          <w:smallCaps w:val="false"/>
        </w:rPr>
      </w:pPr>
      <w:r>
        <w:rPr>
          <w:caps w:val="false"/>
          <w:smallCaps w:val="false"/>
        </w:rPr>
        <w:t> </w:t>
      </w:r>
    </w:p>
    <w:tbl>
      <w:tblPr>
        <w:tblW w:w="6792" w:type="dxa"/>
        <w:jc w:val="left"/>
        <w:tblInd w:w="0" w:type="dxa"/>
        <w:tblLayout w:type="fixed"/>
        <w:tblCellMar>
          <w:top w:w="0" w:type="dxa"/>
          <w:left w:w="0" w:type="dxa"/>
          <w:bottom w:w="0" w:type="dxa"/>
          <w:right w:w="0" w:type="dxa"/>
        </w:tblCellMar>
      </w:tblPr>
      <w:tblGrid>
        <w:gridCol w:w="4625"/>
        <w:gridCol w:w="60"/>
        <w:gridCol w:w="220"/>
        <w:gridCol w:w="716"/>
        <w:gridCol w:w="149"/>
        <w:gridCol w:w="94"/>
        <w:gridCol w:w="220"/>
        <w:gridCol w:w="598"/>
        <w:gridCol w:w="110"/>
      </w:tblGrid>
      <w:tr>
        <w:trPr/>
        <w:tc>
          <w:tcPr>
            <w:tcW w:w="4625"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p>
        </w:tc>
        <w:tc>
          <w:tcPr>
            <w:tcW w:w="1997"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As of December 31,</w:t>
            </w:r>
          </w:p>
        </w:tc>
        <w:tc>
          <w:tcPr>
            <w:tcW w:w="110" w:type="dxa"/>
            <w:tcBorders/>
            <w:vAlign w:val="center"/>
          </w:tcPr>
          <w:p>
            <w:pPr>
              <w:pStyle w:val="TableContents"/>
              <w:bidi w:val="0"/>
              <w:spacing w:before="0" w:after="283"/>
              <w:jc w:val="left"/>
              <w:rPr/>
            </w:pPr>
            <w:r>
              <w:rPr/>
              <w:t> </w:t>
            </w:r>
          </w:p>
        </w:tc>
      </w:tr>
      <w:tr>
        <w:trPr/>
        <w:tc>
          <w:tcPr>
            <w:tcW w:w="4625"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p>
        </w:tc>
        <w:tc>
          <w:tcPr>
            <w:tcW w:w="936"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2024</w:t>
            </w:r>
          </w:p>
        </w:tc>
        <w:tc>
          <w:tcPr>
            <w:tcW w:w="149" w:type="dxa"/>
            <w:tcBorders/>
            <w:vAlign w:val="center"/>
          </w:tcPr>
          <w:p>
            <w:pPr>
              <w:pStyle w:val="TableContents"/>
              <w:bidi w:val="0"/>
              <w:spacing w:before="0" w:after="283"/>
              <w:jc w:val="left"/>
              <w:rPr/>
            </w:pPr>
            <w:r>
              <w:rPr/>
              <w:t> </w:t>
            </w:r>
          </w:p>
        </w:tc>
        <w:tc>
          <w:tcPr>
            <w:tcW w:w="94" w:type="dxa"/>
            <w:tcBorders/>
            <w:vAlign w:val="center"/>
          </w:tcPr>
          <w:p>
            <w:pPr>
              <w:pStyle w:val="TableContents"/>
              <w:bidi w:val="0"/>
              <w:spacing w:before="0" w:after="283"/>
              <w:jc w:val="left"/>
              <w:rPr/>
            </w:pPr>
            <w:r>
              <w:rPr/>
              <w:t> </w:t>
            </w:r>
          </w:p>
        </w:tc>
        <w:tc>
          <w:tcPr>
            <w:tcW w:w="818"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2023</w:t>
            </w:r>
          </w:p>
        </w:tc>
        <w:tc>
          <w:tcPr>
            <w:tcW w:w="110" w:type="dxa"/>
            <w:tcBorders/>
            <w:vAlign w:val="center"/>
          </w:tcPr>
          <w:p>
            <w:pPr>
              <w:pStyle w:val="TableContents"/>
              <w:bidi w:val="0"/>
              <w:spacing w:before="0" w:after="283"/>
              <w:jc w:val="left"/>
              <w:rPr/>
            </w:pPr>
            <w:r>
              <w:rPr/>
              <w:t> </w:t>
            </w:r>
          </w:p>
        </w:tc>
      </w:tr>
      <w:tr>
        <w:trPr/>
        <w:tc>
          <w:tcPr>
            <w:tcW w:w="4625" w:type="dxa"/>
            <w:tcBorders/>
            <w:shd w:fill="CCEEFF" w:val="clear"/>
            <w:vAlign w:val="center"/>
          </w:tcPr>
          <w:p>
            <w:pPr>
              <w:pStyle w:val="TableContents"/>
              <w:bidi w:val="0"/>
              <w:spacing w:before="0" w:after="283"/>
              <w:jc w:val="both"/>
              <w:rPr/>
            </w:pPr>
            <w:r>
              <w:rPr/>
              <w:t>Leasehold improvements</w:t>
            </w:r>
          </w:p>
        </w:tc>
        <w:tc>
          <w:tcPr>
            <w:tcW w:w="60" w:type="dxa"/>
            <w:tcBorders/>
            <w:shd w:fill="CCEEFF" w:val="clear"/>
            <w:vAlign w:val="center"/>
          </w:tcPr>
          <w:p>
            <w:pPr>
              <w:pStyle w:val="TableContents"/>
              <w:bidi w:val="0"/>
              <w:spacing w:before="0" w:after="283"/>
              <w:jc w:val="left"/>
              <w:rPr/>
            </w:pPr>
            <w:r>
              <w:rPr/>
              <w:t> </w:t>
            </w:r>
          </w:p>
        </w:tc>
        <w:tc>
          <w:tcPr>
            <w:tcW w:w="220" w:type="dxa"/>
            <w:tcBorders/>
            <w:shd w:fill="CCEEFF" w:val="clear"/>
            <w:vAlign w:val="center"/>
          </w:tcPr>
          <w:p>
            <w:pPr>
              <w:pStyle w:val="TableContents"/>
              <w:bidi w:val="0"/>
              <w:spacing w:before="0" w:after="283"/>
              <w:jc w:val="left"/>
              <w:rPr/>
            </w:pPr>
            <w:r>
              <w:rPr/>
              <w:t>$</w:t>
            </w:r>
          </w:p>
        </w:tc>
        <w:tc>
          <w:tcPr>
            <w:tcW w:w="716" w:type="dxa"/>
            <w:tcBorders/>
            <w:shd w:fill="CCEEFF" w:val="clear"/>
            <w:vAlign w:val="center"/>
          </w:tcPr>
          <w:p>
            <w:pPr>
              <w:pStyle w:val="TableContents"/>
              <w:bidi w:val="0"/>
              <w:spacing w:before="0" w:after="283"/>
              <w:jc w:val="right"/>
              <w:rPr/>
            </w:pPr>
            <w:r>
              <w:rPr/>
              <w:t>202</w:t>
            </w:r>
          </w:p>
        </w:tc>
        <w:tc>
          <w:tcPr>
            <w:tcW w:w="149" w:type="dxa"/>
            <w:tcBorders/>
            <w:shd w:fill="CCEEFF" w:val="clear"/>
            <w:vAlign w:val="center"/>
          </w:tcPr>
          <w:p>
            <w:pPr>
              <w:pStyle w:val="TableContents"/>
              <w:bidi w:val="0"/>
              <w:spacing w:before="0" w:after="283"/>
              <w:jc w:val="left"/>
              <w:rPr/>
            </w:pPr>
            <w:r>
              <w:rPr/>
              <w:t> </w:t>
            </w:r>
          </w:p>
        </w:tc>
        <w:tc>
          <w:tcPr>
            <w:tcW w:w="94" w:type="dxa"/>
            <w:tcBorders/>
            <w:shd w:fill="CCEEFF" w:val="clear"/>
            <w:vAlign w:val="center"/>
          </w:tcPr>
          <w:p>
            <w:pPr>
              <w:pStyle w:val="TableContents"/>
              <w:bidi w:val="0"/>
              <w:spacing w:before="0" w:after="283"/>
              <w:jc w:val="left"/>
              <w:rPr/>
            </w:pPr>
            <w:r>
              <w:rPr/>
              <w:t> </w:t>
            </w:r>
          </w:p>
        </w:tc>
        <w:tc>
          <w:tcPr>
            <w:tcW w:w="220" w:type="dxa"/>
            <w:tcBorders/>
            <w:shd w:fill="CCEEFF" w:val="clear"/>
            <w:vAlign w:val="center"/>
          </w:tcPr>
          <w:p>
            <w:pPr>
              <w:pStyle w:val="TableContents"/>
              <w:bidi w:val="0"/>
              <w:spacing w:before="0" w:after="283"/>
              <w:jc w:val="left"/>
              <w:rPr/>
            </w:pPr>
            <w:r>
              <w:rPr/>
              <w:t>$</w:t>
            </w:r>
          </w:p>
        </w:tc>
        <w:tc>
          <w:tcPr>
            <w:tcW w:w="598" w:type="dxa"/>
            <w:tcBorders/>
            <w:shd w:fill="CCEEFF" w:val="clear"/>
            <w:vAlign w:val="center"/>
          </w:tcPr>
          <w:p>
            <w:pPr>
              <w:pStyle w:val="TableContents"/>
              <w:bidi w:val="0"/>
              <w:spacing w:before="0" w:after="283"/>
              <w:jc w:val="right"/>
              <w:rPr/>
            </w:pPr>
            <w:r>
              <w:rPr/>
              <w:t>202</w:t>
            </w:r>
          </w:p>
        </w:tc>
        <w:tc>
          <w:tcPr>
            <w:tcW w:w="110" w:type="dxa"/>
            <w:tcBorders/>
            <w:shd w:fill="CCEEFF" w:val="clear"/>
            <w:vAlign w:val="center"/>
          </w:tcPr>
          <w:p>
            <w:pPr>
              <w:pStyle w:val="TableContents"/>
              <w:bidi w:val="0"/>
              <w:spacing w:before="0" w:after="283"/>
              <w:jc w:val="left"/>
              <w:rPr/>
            </w:pPr>
            <w:r>
              <w:rPr/>
              <w:t> </w:t>
            </w:r>
          </w:p>
        </w:tc>
      </w:tr>
      <w:tr>
        <w:trPr/>
        <w:tc>
          <w:tcPr>
            <w:tcW w:w="4625" w:type="dxa"/>
            <w:tcBorders/>
            <w:shd w:fill="FFFFFF" w:val="clear"/>
            <w:vAlign w:val="center"/>
          </w:tcPr>
          <w:p>
            <w:pPr>
              <w:pStyle w:val="TableContents"/>
              <w:bidi w:val="0"/>
              <w:spacing w:before="0" w:after="283"/>
              <w:jc w:val="both"/>
              <w:rPr/>
            </w:pPr>
            <w:r>
              <w:rPr/>
              <w:t>Furniture and fixtures</w:t>
            </w:r>
          </w:p>
        </w:tc>
        <w:tc>
          <w:tcPr>
            <w:tcW w:w="60" w:type="dxa"/>
            <w:tcBorders/>
            <w:shd w:fill="FFFFFF" w:val="clear"/>
            <w:vAlign w:val="center"/>
          </w:tcPr>
          <w:p>
            <w:pPr>
              <w:pStyle w:val="TableContents"/>
              <w:bidi w:val="0"/>
              <w:spacing w:before="0" w:after="283"/>
              <w:jc w:val="left"/>
              <w:rPr/>
            </w:pPr>
            <w:r>
              <w:rPr/>
              <w:t> </w:t>
            </w:r>
          </w:p>
        </w:tc>
        <w:tc>
          <w:tcPr>
            <w:tcW w:w="220" w:type="dxa"/>
            <w:tcBorders/>
            <w:shd w:fill="FFFFFF" w:val="clear"/>
            <w:vAlign w:val="center"/>
          </w:tcPr>
          <w:p>
            <w:pPr>
              <w:pStyle w:val="TableContents"/>
              <w:bidi w:val="0"/>
              <w:spacing w:before="0" w:after="283"/>
              <w:jc w:val="left"/>
              <w:rPr/>
            </w:pPr>
            <w:r>
              <w:rPr/>
              <w:t> </w:t>
            </w:r>
          </w:p>
        </w:tc>
        <w:tc>
          <w:tcPr>
            <w:tcW w:w="716" w:type="dxa"/>
            <w:tcBorders/>
            <w:shd w:fill="FFFFFF" w:val="clear"/>
            <w:vAlign w:val="center"/>
          </w:tcPr>
          <w:p>
            <w:pPr>
              <w:pStyle w:val="TableContents"/>
              <w:bidi w:val="0"/>
              <w:spacing w:before="0" w:after="283"/>
              <w:jc w:val="right"/>
              <w:rPr/>
            </w:pPr>
            <w:r>
              <w:rPr/>
              <w:t>188</w:t>
            </w:r>
          </w:p>
        </w:tc>
        <w:tc>
          <w:tcPr>
            <w:tcW w:w="149" w:type="dxa"/>
            <w:tcBorders/>
            <w:shd w:fill="FFFFFF" w:val="clear"/>
            <w:vAlign w:val="center"/>
          </w:tcPr>
          <w:p>
            <w:pPr>
              <w:pStyle w:val="TableContents"/>
              <w:bidi w:val="0"/>
              <w:spacing w:before="0" w:after="283"/>
              <w:jc w:val="left"/>
              <w:rPr/>
            </w:pPr>
            <w:r>
              <w:rPr/>
              <w:t> </w:t>
            </w:r>
          </w:p>
        </w:tc>
        <w:tc>
          <w:tcPr>
            <w:tcW w:w="94" w:type="dxa"/>
            <w:tcBorders/>
            <w:shd w:fill="FFFFFF" w:val="clear"/>
            <w:vAlign w:val="center"/>
          </w:tcPr>
          <w:p>
            <w:pPr>
              <w:pStyle w:val="TableContents"/>
              <w:bidi w:val="0"/>
              <w:spacing w:before="0" w:after="283"/>
              <w:jc w:val="left"/>
              <w:rPr/>
            </w:pPr>
            <w:r>
              <w:rPr/>
              <w:t> </w:t>
            </w:r>
          </w:p>
        </w:tc>
        <w:tc>
          <w:tcPr>
            <w:tcW w:w="220" w:type="dxa"/>
            <w:tcBorders/>
            <w:shd w:fill="FFFFFF" w:val="clear"/>
            <w:vAlign w:val="center"/>
          </w:tcPr>
          <w:p>
            <w:pPr>
              <w:pStyle w:val="TableContents"/>
              <w:bidi w:val="0"/>
              <w:spacing w:before="0" w:after="283"/>
              <w:jc w:val="left"/>
              <w:rPr/>
            </w:pPr>
            <w:r>
              <w:rPr/>
              <w:t> </w:t>
            </w:r>
          </w:p>
        </w:tc>
        <w:tc>
          <w:tcPr>
            <w:tcW w:w="598" w:type="dxa"/>
            <w:tcBorders/>
            <w:shd w:fill="FFFFFF" w:val="clear"/>
            <w:vAlign w:val="center"/>
          </w:tcPr>
          <w:p>
            <w:pPr>
              <w:pStyle w:val="TableContents"/>
              <w:bidi w:val="0"/>
              <w:spacing w:before="0" w:after="283"/>
              <w:jc w:val="right"/>
              <w:rPr/>
            </w:pPr>
            <w:r>
              <w:rPr/>
              <w:t>176</w:t>
            </w:r>
          </w:p>
        </w:tc>
        <w:tc>
          <w:tcPr>
            <w:tcW w:w="110" w:type="dxa"/>
            <w:tcBorders/>
            <w:shd w:fill="FFFFFF" w:val="clear"/>
            <w:vAlign w:val="center"/>
          </w:tcPr>
          <w:p>
            <w:pPr>
              <w:pStyle w:val="TableContents"/>
              <w:bidi w:val="0"/>
              <w:spacing w:before="0" w:after="283"/>
              <w:jc w:val="left"/>
              <w:rPr/>
            </w:pPr>
            <w:r>
              <w:rPr/>
              <w:t> </w:t>
            </w:r>
          </w:p>
        </w:tc>
      </w:tr>
      <w:tr>
        <w:trPr/>
        <w:tc>
          <w:tcPr>
            <w:tcW w:w="4625" w:type="dxa"/>
            <w:tcBorders/>
            <w:shd w:fill="CCEEFF" w:val="clear"/>
            <w:vAlign w:val="center"/>
          </w:tcPr>
          <w:p>
            <w:pPr>
              <w:pStyle w:val="TableContents"/>
              <w:bidi w:val="0"/>
              <w:spacing w:before="0" w:after="283"/>
              <w:jc w:val="both"/>
              <w:rPr/>
            </w:pPr>
            <w:r>
              <w:rPr/>
              <w:t>Computer equipment</w:t>
            </w:r>
          </w:p>
        </w:tc>
        <w:tc>
          <w:tcPr>
            <w:tcW w:w="60" w:type="dxa"/>
            <w:tcBorders/>
            <w:shd w:fill="CCEEFF" w:val="clear"/>
            <w:vAlign w:val="center"/>
          </w:tcPr>
          <w:p>
            <w:pPr>
              <w:pStyle w:val="TableContents"/>
              <w:bidi w:val="0"/>
              <w:spacing w:before="0" w:after="283"/>
              <w:jc w:val="left"/>
              <w:rPr/>
            </w:pPr>
            <w:r>
              <w:rPr/>
              <w:t> </w:t>
            </w:r>
          </w:p>
        </w:tc>
        <w:tc>
          <w:tcPr>
            <w:tcW w:w="22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716" w:type="dxa"/>
            <w:tcBorders>
              <w:bottom w:val="single" w:sz="12" w:space="0" w:color="000000"/>
            </w:tcBorders>
            <w:shd w:fill="CCEEFF" w:val="clear"/>
            <w:tcMar>
              <w:bottom w:w="28" w:type="dxa"/>
            </w:tcMar>
            <w:vAlign w:val="center"/>
          </w:tcPr>
          <w:p>
            <w:pPr>
              <w:pStyle w:val="TableContents"/>
              <w:bidi w:val="0"/>
              <w:spacing w:before="0" w:after="283"/>
              <w:jc w:val="right"/>
              <w:rPr/>
            </w:pPr>
            <w:r>
              <w:rPr/>
              <w:t>73</w:t>
            </w:r>
          </w:p>
        </w:tc>
        <w:tc>
          <w:tcPr>
            <w:tcW w:w="149" w:type="dxa"/>
            <w:tcBorders/>
            <w:shd w:fill="CCEEFF" w:val="clear"/>
            <w:vAlign w:val="center"/>
          </w:tcPr>
          <w:p>
            <w:pPr>
              <w:pStyle w:val="TableContents"/>
              <w:bidi w:val="0"/>
              <w:spacing w:before="0" w:after="283"/>
              <w:jc w:val="left"/>
              <w:rPr/>
            </w:pPr>
            <w:r>
              <w:rPr/>
              <w:t> </w:t>
            </w:r>
          </w:p>
        </w:tc>
        <w:tc>
          <w:tcPr>
            <w:tcW w:w="94" w:type="dxa"/>
            <w:tcBorders/>
            <w:shd w:fill="CCEEFF" w:val="clear"/>
            <w:vAlign w:val="center"/>
          </w:tcPr>
          <w:p>
            <w:pPr>
              <w:pStyle w:val="TableContents"/>
              <w:bidi w:val="0"/>
              <w:spacing w:before="0" w:after="283"/>
              <w:jc w:val="left"/>
              <w:rPr/>
            </w:pPr>
            <w:r>
              <w:rPr/>
              <w:t> </w:t>
            </w:r>
          </w:p>
        </w:tc>
        <w:tc>
          <w:tcPr>
            <w:tcW w:w="22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598" w:type="dxa"/>
            <w:tcBorders>
              <w:bottom w:val="single" w:sz="12" w:space="0" w:color="000000"/>
            </w:tcBorders>
            <w:shd w:fill="CCEEFF" w:val="clear"/>
            <w:tcMar>
              <w:bottom w:w="28" w:type="dxa"/>
            </w:tcMar>
            <w:vAlign w:val="center"/>
          </w:tcPr>
          <w:p>
            <w:pPr>
              <w:pStyle w:val="TableContents"/>
              <w:bidi w:val="0"/>
              <w:spacing w:before="0" w:after="283"/>
              <w:jc w:val="right"/>
              <w:rPr/>
            </w:pPr>
            <w:r>
              <w:rPr/>
              <w:t>57</w:t>
            </w:r>
          </w:p>
        </w:tc>
        <w:tc>
          <w:tcPr>
            <w:tcW w:w="110" w:type="dxa"/>
            <w:tcBorders/>
            <w:shd w:fill="CCEEFF" w:val="clear"/>
            <w:vAlign w:val="center"/>
          </w:tcPr>
          <w:p>
            <w:pPr>
              <w:pStyle w:val="TableContents"/>
              <w:bidi w:val="0"/>
              <w:spacing w:before="0" w:after="283"/>
              <w:jc w:val="left"/>
              <w:rPr/>
            </w:pPr>
            <w:r>
              <w:rPr/>
              <w:t> </w:t>
            </w:r>
          </w:p>
        </w:tc>
      </w:tr>
      <w:tr>
        <w:trPr/>
        <w:tc>
          <w:tcPr>
            <w:tcW w:w="4625" w:type="dxa"/>
            <w:tcBorders/>
            <w:shd w:fill="FFFFFF" w:val="clear"/>
            <w:vAlign w:val="center"/>
          </w:tcPr>
          <w:p>
            <w:pPr>
              <w:pStyle w:val="TableContents"/>
              <w:bidi w:val="0"/>
              <w:spacing w:before="0" w:after="283"/>
              <w:jc w:val="both"/>
              <w:rPr/>
            </w:pPr>
            <w:r>
              <w:rPr/>
              <w:t>Total cost</w:t>
            </w:r>
          </w:p>
        </w:tc>
        <w:tc>
          <w:tcPr>
            <w:tcW w:w="60" w:type="dxa"/>
            <w:tcBorders/>
            <w:shd w:fill="FFFFFF" w:val="clear"/>
            <w:vAlign w:val="center"/>
          </w:tcPr>
          <w:p>
            <w:pPr>
              <w:pStyle w:val="TableContents"/>
              <w:bidi w:val="0"/>
              <w:spacing w:before="0" w:after="283"/>
              <w:jc w:val="left"/>
              <w:rPr/>
            </w:pPr>
            <w:r>
              <w:rPr/>
              <w:t> </w:t>
            </w:r>
          </w:p>
        </w:tc>
        <w:tc>
          <w:tcPr>
            <w:tcW w:w="22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716" w:type="dxa"/>
            <w:tcBorders>
              <w:bottom w:val="single" w:sz="12" w:space="0" w:color="000000"/>
            </w:tcBorders>
            <w:shd w:fill="FFFFFF" w:val="clear"/>
            <w:tcMar>
              <w:bottom w:w="28" w:type="dxa"/>
            </w:tcMar>
            <w:vAlign w:val="center"/>
          </w:tcPr>
          <w:p>
            <w:pPr>
              <w:pStyle w:val="TableContents"/>
              <w:bidi w:val="0"/>
              <w:spacing w:before="0" w:after="283"/>
              <w:jc w:val="right"/>
              <w:rPr/>
            </w:pPr>
            <w:r>
              <w:rPr/>
              <w:t>463</w:t>
            </w:r>
          </w:p>
        </w:tc>
        <w:tc>
          <w:tcPr>
            <w:tcW w:w="149" w:type="dxa"/>
            <w:tcBorders/>
            <w:shd w:fill="FFFFFF" w:val="clear"/>
            <w:vAlign w:val="center"/>
          </w:tcPr>
          <w:p>
            <w:pPr>
              <w:pStyle w:val="TableContents"/>
              <w:bidi w:val="0"/>
              <w:spacing w:before="0" w:after="283"/>
              <w:jc w:val="left"/>
              <w:rPr/>
            </w:pPr>
            <w:r>
              <w:rPr/>
              <w:t> </w:t>
            </w:r>
          </w:p>
        </w:tc>
        <w:tc>
          <w:tcPr>
            <w:tcW w:w="94" w:type="dxa"/>
            <w:tcBorders/>
            <w:shd w:fill="FFFFFF" w:val="clear"/>
            <w:vAlign w:val="center"/>
          </w:tcPr>
          <w:p>
            <w:pPr>
              <w:pStyle w:val="TableContents"/>
              <w:bidi w:val="0"/>
              <w:spacing w:before="0" w:after="283"/>
              <w:jc w:val="left"/>
              <w:rPr/>
            </w:pPr>
            <w:r>
              <w:rPr/>
              <w:t> </w:t>
            </w:r>
          </w:p>
        </w:tc>
        <w:tc>
          <w:tcPr>
            <w:tcW w:w="22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598" w:type="dxa"/>
            <w:tcBorders>
              <w:bottom w:val="single" w:sz="12" w:space="0" w:color="000000"/>
            </w:tcBorders>
            <w:shd w:fill="FFFFFF" w:val="clear"/>
            <w:tcMar>
              <w:bottom w:w="28" w:type="dxa"/>
            </w:tcMar>
            <w:vAlign w:val="center"/>
          </w:tcPr>
          <w:p>
            <w:pPr>
              <w:pStyle w:val="TableContents"/>
              <w:bidi w:val="0"/>
              <w:spacing w:before="0" w:after="283"/>
              <w:jc w:val="right"/>
              <w:rPr/>
            </w:pPr>
            <w:r>
              <w:rPr/>
              <w:t>435</w:t>
            </w:r>
          </w:p>
        </w:tc>
        <w:tc>
          <w:tcPr>
            <w:tcW w:w="110" w:type="dxa"/>
            <w:tcBorders/>
            <w:shd w:fill="FFFFFF" w:val="clear"/>
            <w:vAlign w:val="center"/>
          </w:tcPr>
          <w:p>
            <w:pPr>
              <w:pStyle w:val="TableContents"/>
              <w:bidi w:val="0"/>
              <w:spacing w:before="0" w:after="283"/>
              <w:jc w:val="left"/>
              <w:rPr/>
            </w:pPr>
            <w:r>
              <w:rPr/>
              <w:t> </w:t>
            </w:r>
          </w:p>
        </w:tc>
      </w:tr>
      <w:tr>
        <w:trPr/>
        <w:tc>
          <w:tcPr>
            <w:tcW w:w="4625" w:type="dxa"/>
            <w:tcBorders/>
            <w:shd w:fill="CCEEFF" w:val="clear"/>
            <w:vAlign w:val="center"/>
          </w:tcPr>
          <w:p>
            <w:pPr>
              <w:pStyle w:val="TableContents"/>
              <w:bidi w:val="0"/>
              <w:spacing w:before="0" w:after="283"/>
              <w:jc w:val="both"/>
              <w:rPr/>
            </w:pPr>
            <w:r>
              <w:rPr/>
              <w:t>Less: accumulated depreciation and amortization</w:t>
            </w:r>
          </w:p>
        </w:tc>
        <w:tc>
          <w:tcPr>
            <w:tcW w:w="60" w:type="dxa"/>
            <w:tcBorders/>
            <w:shd w:fill="CCEEFF" w:val="clear"/>
            <w:vAlign w:val="center"/>
          </w:tcPr>
          <w:p>
            <w:pPr>
              <w:pStyle w:val="TableContents"/>
              <w:bidi w:val="0"/>
              <w:spacing w:before="0" w:after="283"/>
              <w:jc w:val="left"/>
              <w:rPr/>
            </w:pPr>
            <w:r>
              <w:rPr/>
              <w:t> </w:t>
            </w:r>
          </w:p>
        </w:tc>
        <w:tc>
          <w:tcPr>
            <w:tcW w:w="22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716" w:type="dxa"/>
            <w:tcBorders>
              <w:bottom w:val="single" w:sz="12" w:space="0" w:color="000000"/>
            </w:tcBorders>
            <w:shd w:fill="CCEEFF" w:val="clear"/>
            <w:tcMar>
              <w:bottom w:w="28" w:type="dxa"/>
            </w:tcMar>
            <w:vAlign w:val="center"/>
          </w:tcPr>
          <w:p>
            <w:pPr>
              <w:pStyle w:val="TableContents"/>
              <w:bidi w:val="0"/>
              <w:spacing w:before="0" w:after="283"/>
              <w:jc w:val="right"/>
              <w:rPr/>
            </w:pPr>
            <w:r>
              <w:rPr/>
              <w:t>(165</w:t>
            </w:r>
          </w:p>
        </w:tc>
        <w:tc>
          <w:tcPr>
            <w:tcW w:w="149" w:type="dxa"/>
            <w:tcBorders/>
            <w:shd w:fill="CCEEFF" w:val="clear"/>
            <w:vAlign w:val="center"/>
          </w:tcPr>
          <w:p>
            <w:pPr>
              <w:pStyle w:val="TableContents"/>
              <w:bidi w:val="0"/>
              <w:spacing w:before="0" w:after="283"/>
              <w:jc w:val="left"/>
              <w:rPr/>
            </w:pPr>
            <w:r>
              <w:rPr/>
              <w:t>)</w:t>
            </w:r>
          </w:p>
        </w:tc>
        <w:tc>
          <w:tcPr>
            <w:tcW w:w="94" w:type="dxa"/>
            <w:tcBorders/>
            <w:shd w:fill="CCEEFF" w:val="clear"/>
            <w:vAlign w:val="center"/>
          </w:tcPr>
          <w:p>
            <w:pPr>
              <w:pStyle w:val="TableContents"/>
              <w:bidi w:val="0"/>
              <w:spacing w:before="0" w:after="283"/>
              <w:jc w:val="left"/>
              <w:rPr/>
            </w:pPr>
            <w:r>
              <w:rPr/>
              <w:t> </w:t>
            </w:r>
          </w:p>
        </w:tc>
        <w:tc>
          <w:tcPr>
            <w:tcW w:w="22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598" w:type="dxa"/>
            <w:tcBorders>
              <w:bottom w:val="single" w:sz="12" w:space="0" w:color="000000"/>
            </w:tcBorders>
            <w:shd w:fill="CCEEFF" w:val="clear"/>
            <w:tcMar>
              <w:bottom w:w="28" w:type="dxa"/>
            </w:tcMar>
            <w:vAlign w:val="center"/>
          </w:tcPr>
          <w:p>
            <w:pPr>
              <w:pStyle w:val="TableContents"/>
              <w:bidi w:val="0"/>
              <w:spacing w:before="0" w:after="283"/>
              <w:jc w:val="right"/>
              <w:rPr/>
            </w:pPr>
            <w:r>
              <w:rPr/>
              <w:t>(86</w:t>
            </w:r>
          </w:p>
        </w:tc>
        <w:tc>
          <w:tcPr>
            <w:tcW w:w="110" w:type="dxa"/>
            <w:tcBorders/>
            <w:shd w:fill="CCEEFF" w:val="clear"/>
            <w:vAlign w:val="center"/>
          </w:tcPr>
          <w:p>
            <w:pPr>
              <w:pStyle w:val="TableContents"/>
              <w:bidi w:val="0"/>
              <w:spacing w:before="0" w:after="283"/>
              <w:jc w:val="left"/>
              <w:rPr/>
            </w:pPr>
            <w:r>
              <w:rPr/>
              <w:t>)</w:t>
            </w:r>
          </w:p>
        </w:tc>
      </w:tr>
      <w:tr>
        <w:trPr/>
        <w:tc>
          <w:tcPr>
            <w:tcW w:w="4625" w:type="dxa"/>
            <w:tcBorders/>
            <w:shd w:fill="FFFFFF" w:val="clear"/>
            <w:vAlign w:val="center"/>
          </w:tcPr>
          <w:p>
            <w:pPr>
              <w:pStyle w:val="TableContents"/>
              <w:bidi w:val="0"/>
              <w:spacing w:before="0" w:after="283"/>
              <w:jc w:val="both"/>
              <w:rPr/>
            </w:pPr>
            <w:r>
              <w:rPr/>
              <w:t>Property and equipment, net</w:t>
            </w:r>
          </w:p>
        </w:tc>
        <w:tc>
          <w:tcPr>
            <w:tcW w:w="60" w:type="dxa"/>
            <w:tcBorders/>
            <w:shd w:fill="FFFFFF" w:val="clear"/>
            <w:vAlign w:val="center"/>
          </w:tcPr>
          <w:p>
            <w:pPr>
              <w:pStyle w:val="TableContents"/>
              <w:bidi w:val="0"/>
              <w:spacing w:before="0" w:after="283"/>
              <w:jc w:val="left"/>
              <w:rPr/>
            </w:pPr>
            <w:r>
              <w:rPr/>
              <w:t> </w:t>
            </w:r>
          </w:p>
        </w:tc>
        <w:tc>
          <w:tcPr>
            <w:tcW w:w="220" w:type="dxa"/>
            <w:tcBorders>
              <w:bottom w:val="double" w:sz="10" w:space="0" w:color="000000"/>
            </w:tcBorders>
            <w:shd w:fill="FFFFFF" w:val="clear"/>
            <w:tcMar>
              <w:bottom w:w="28" w:type="dxa"/>
            </w:tcMar>
            <w:vAlign w:val="center"/>
          </w:tcPr>
          <w:p>
            <w:pPr>
              <w:pStyle w:val="TableContents"/>
              <w:bidi w:val="0"/>
              <w:spacing w:before="0" w:after="283"/>
              <w:jc w:val="left"/>
              <w:rPr/>
            </w:pPr>
            <w:r>
              <w:rPr/>
              <w:t>$</w:t>
            </w:r>
          </w:p>
        </w:tc>
        <w:tc>
          <w:tcPr>
            <w:tcW w:w="716" w:type="dxa"/>
            <w:tcBorders>
              <w:bottom w:val="double" w:sz="10" w:space="0" w:color="000000"/>
            </w:tcBorders>
            <w:shd w:fill="FFFFFF" w:val="clear"/>
            <w:tcMar>
              <w:bottom w:w="28" w:type="dxa"/>
            </w:tcMar>
            <w:vAlign w:val="center"/>
          </w:tcPr>
          <w:p>
            <w:pPr>
              <w:pStyle w:val="TableContents"/>
              <w:bidi w:val="0"/>
              <w:spacing w:before="0" w:after="283"/>
              <w:jc w:val="right"/>
              <w:rPr/>
            </w:pPr>
            <w:r>
              <w:rPr/>
              <w:t>298</w:t>
            </w:r>
          </w:p>
        </w:tc>
        <w:tc>
          <w:tcPr>
            <w:tcW w:w="149" w:type="dxa"/>
            <w:tcBorders/>
            <w:shd w:fill="FFFFFF" w:val="clear"/>
            <w:vAlign w:val="center"/>
          </w:tcPr>
          <w:p>
            <w:pPr>
              <w:pStyle w:val="TableContents"/>
              <w:bidi w:val="0"/>
              <w:spacing w:before="0" w:after="283"/>
              <w:jc w:val="left"/>
              <w:rPr/>
            </w:pPr>
            <w:r>
              <w:rPr/>
              <w:t> </w:t>
            </w:r>
          </w:p>
        </w:tc>
        <w:tc>
          <w:tcPr>
            <w:tcW w:w="94" w:type="dxa"/>
            <w:tcBorders/>
            <w:shd w:fill="FFFFFF" w:val="clear"/>
            <w:vAlign w:val="center"/>
          </w:tcPr>
          <w:p>
            <w:pPr>
              <w:pStyle w:val="TableContents"/>
              <w:bidi w:val="0"/>
              <w:spacing w:before="0" w:after="283"/>
              <w:jc w:val="left"/>
              <w:rPr/>
            </w:pPr>
            <w:r>
              <w:rPr/>
              <w:t> </w:t>
            </w:r>
          </w:p>
        </w:tc>
        <w:tc>
          <w:tcPr>
            <w:tcW w:w="220" w:type="dxa"/>
            <w:tcBorders>
              <w:bottom w:val="double" w:sz="10" w:space="0" w:color="000000"/>
            </w:tcBorders>
            <w:shd w:fill="FFFFFF" w:val="clear"/>
            <w:tcMar>
              <w:bottom w:w="28" w:type="dxa"/>
            </w:tcMar>
            <w:vAlign w:val="center"/>
          </w:tcPr>
          <w:p>
            <w:pPr>
              <w:pStyle w:val="TableContents"/>
              <w:bidi w:val="0"/>
              <w:spacing w:before="0" w:after="283"/>
              <w:jc w:val="left"/>
              <w:rPr/>
            </w:pPr>
            <w:r>
              <w:rPr/>
              <w:t>$</w:t>
            </w:r>
          </w:p>
        </w:tc>
        <w:tc>
          <w:tcPr>
            <w:tcW w:w="598" w:type="dxa"/>
            <w:tcBorders>
              <w:bottom w:val="double" w:sz="10" w:space="0" w:color="000000"/>
            </w:tcBorders>
            <w:shd w:fill="FFFFFF" w:val="clear"/>
            <w:tcMar>
              <w:bottom w:w="28" w:type="dxa"/>
            </w:tcMar>
            <w:vAlign w:val="center"/>
          </w:tcPr>
          <w:p>
            <w:pPr>
              <w:pStyle w:val="TableContents"/>
              <w:bidi w:val="0"/>
              <w:spacing w:before="0" w:after="283"/>
              <w:jc w:val="right"/>
              <w:rPr/>
            </w:pPr>
            <w:r>
              <w:rPr/>
              <w:t>349</w:t>
            </w:r>
          </w:p>
        </w:tc>
        <w:tc>
          <w:tcPr>
            <w:tcW w:w="11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Depreciation and amortization expense for the years ended December 31, 2024 and 2023 was $79 and $160, respectively</w:t>
      </w:r>
      <w:r>
        <w:rPr>
          <w:rFonts w:ascii="Times New Roman;Times;Serif" w:hAnsi="Times New Roman;Times;Serif"/>
          <w:b/>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Note 7. </w:t>
      </w:r>
      <w:r>
        <w:rPr>
          <w:rFonts w:ascii="Times New Roman;Times;Serif" w:hAnsi="Times New Roman;Times;Serif"/>
          <w:b/>
          <w:i/>
          <w:caps w:val="false"/>
          <w:smallCaps w:val="false"/>
          <w:sz w:val="20"/>
        </w:rPr>
        <w:t>ACCRUED EXPENSES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Accrued expenses are as follows:</w:t>
      </w:r>
    </w:p>
    <w:p>
      <w:pPr>
        <w:pStyle w:val="TextBody"/>
        <w:bidi w:val="0"/>
        <w:spacing w:before="0" w:after="0"/>
        <w:ind w:left="0" w:right="0" w:hanging="0"/>
        <w:jc w:val="both"/>
        <w:rPr>
          <w:caps w:val="false"/>
          <w:smallCaps w:val="false"/>
        </w:rPr>
      </w:pPr>
      <w:r>
        <w:rPr>
          <w:caps w:val="false"/>
          <w:smallCaps w:val="false"/>
        </w:rPr>
        <w:t> </w:t>
      </w:r>
    </w:p>
    <w:tbl>
      <w:tblPr>
        <w:tblW w:w="6936" w:type="dxa"/>
        <w:jc w:val="left"/>
        <w:tblInd w:w="0" w:type="dxa"/>
        <w:tblLayout w:type="fixed"/>
        <w:tblCellMar>
          <w:top w:w="0" w:type="dxa"/>
          <w:left w:w="0" w:type="dxa"/>
          <w:bottom w:w="0" w:type="dxa"/>
          <w:right w:w="0" w:type="dxa"/>
        </w:tblCellMar>
      </w:tblPr>
      <w:tblGrid>
        <w:gridCol w:w="4805"/>
        <w:gridCol w:w="60"/>
        <w:gridCol w:w="208"/>
        <w:gridCol w:w="835"/>
        <w:gridCol w:w="89"/>
        <w:gridCol w:w="89"/>
        <w:gridCol w:w="208"/>
        <w:gridCol w:w="567"/>
        <w:gridCol w:w="75"/>
      </w:tblGrid>
      <w:tr>
        <w:trPr/>
        <w:tc>
          <w:tcPr>
            <w:tcW w:w="4805"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p>
        </w:tc>
        <w:tc>
          <w:tcPr>
            <w:tcW w:w="1996"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As of December 31,</w:t>
            </w:r>
          </w:p>
        </w:tc>
        <w:tc>
          <w:tcPr>
            <w:tcW w:w="75" w:type="dxa"/>
            <w:tcBorders/>
            <w:vAlign w:val="center"/>
          </w:tcPr>
          <w:p>
            <w:pPr>
              <w:pStyle w:val="TableContents"/>
              <w:bidi w:val="0"/>
              <w:spacing w:before="0" w:after="283"/>
              <w:jc w:val="left"/>
              <w:rPr/>
            </w:pPr>
            <w:r>
              <w:rPr/>
              <w:t> </w:t>
            </w:r>
          </w:p>
        </w:tc>
      </w:tr>
      <w:tr>
        <w:trPr/>
        <w:tc>
          <w:tcPr>
            <w:tcW w:w="4805"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p>
        </w:tc>
        <w:tc>
          <w:tcPr>
            <w:tcW w:w="1043"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2024</w:t>
            </w:r>
          </w:p>
        </w:tc>
        <w:tc>
          <w:tcPr>
            <w:tcW w:w="89" w:type="dxa"/>
            <w:tcBorders/>
            <w:vAlign w:val="center"/>
          </w:tcPr>
          <w:p>
            <w:pPr>
              <w:pStyle w:val="TableContents"/>
              <w:bidi w:val="0"/>
              <w:spacing w:before="0" w:after="283"/>
              <w:jc w:val="left"/>
              <w:rPr/>
            </w:pPr>
            <w:r>
              <w:rPr/>
              <w:t> </w:t>
            </w:r>
          </w:p>
        </w:tc>
        <w:tc>
          <w:tcPr>
            <w:tcW w:w="89" w:type="dxa"/>
            <w:tcBorders/>
            <w:vAlign w:val="center"/>
          </w:tcPr>
          <w:p>
            <w:pPr>
              <w:pStyle w:val="TableContents"/>
              <w:bidi w:val="0"/>
              <w:spacing w:before="0" w:after="283"/>
              <w:jc w:val="left"/>
              <w:rPr/>
            </w:pPr>
            <w:r>
              <w:rPr/>
              <w:t> </w:t>
            </w:r>
          </w:p>
        </w:tc>
        <w:tc>
          <w:tcPr>
            <w:tcW w:w="77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2023</w:t>
            </w:r>
          </w:p>
        </w:tc>
        <w:tc>
          <w:tcPr>
            <w:tcW w:w="75" w:type="dxa"/>
            <w:tcBorders/>
            <w:vAlign w:val="center"/>
          </w:tcPr>
          <w:p>
            <w:pPr>
              <w:pStyle w:val="TableContents"/>
              <w:bidi w:val="0"/>
              <w:spacing w:before="0" w:after="283"/>
              <w:jc w:val="left"/>
              <w:rPr/>
            </w:pPr>
            <w:r>
              <w:rPr/>
              <w:t> </w:t>
            </w:r>
          </w:p>
        </w:tc>
      </w:tr>
      <w:tr>
        <w:trPr/>
        <w:tc>
          <w:tcPr>
            <w:tcW w:w="4805" w:type="dxa"/>
            <w:tcBorders/>
            <w:shd w:fill="CCEEFF" w:val="clear"/>
            <w:vAlign w:val="center"/>
          </w:tcPr>
          <w:p>
            <w:pPr>
              <w:pStyle w:val="TableContents"/>
              <w:bidi w:val="0"/>
              <w:spacing w:before="0" w:after="283"/>
              <w:jc w:val="both"/>
              <w:rPr/>
            </w:pPr>
            <w:r>
              <w:rPr/>
              <w:t>Accrued salaries, wages and related expenses</w:t>
            </w:r>
          </w:p>
        </w:tc>
        <w:tc>
          <w:tcPr>
            <w:tcW w:w="60" w:type="dxa"/>
            <w:tcBorders/>
            <w:shd w:fill="CCEEFF" w:val="clear"/>
            <w:vAlign w:val="center"/>
          </w:tcPr>
          <w:p>
            <w:pPr>
              <w:pStyle w:val="TableContents"/>
              <w:bidi w:val="0"/>
              <w:spacing w:before="0" w:after="283"/>
              <w:jc w:val="left"/>
              <w:rPr/>
            </w:pPr>
            <w:r>
              <w:rPr/>
              <w:t> </w:t>
            </w:r>
          </w:p>
        </w:tc>
        <w:tc>
          <w:tcPr>
            <w:tcW w:w="208" w:type="dxa"/>
            <w:tcBorders/>
            <w:shd w:fill="CCEEFF" w:val="clear"/>
            <w:vAlign w:val="center"/>
          </w:tcPr>
          <w:p>
            <w:pPr>
              <w:pStyle w:val="TableContents"/>
              <w:bidi w:val="0"/>
              <w:spacing w:before="0" w:after="283"/>
              <w:jc w:val="left"/>
              <w:rPr/>
            </w:pPr>
            <w:r>
              <w:rPr/>
              <w:t>$</w:t>
            </w:r>
          </w:p>
        </w:tc>
        <w:tc>
          <w:tcPr>
            <w:tcW w:w="835" w:type="dxa"/>
            <w:tcBorders/>
            <w:shd w:fill="CCEEFF" w:val="clear"/>
            <w:vAlign w:val="center"/>
          </w:tcPr>
          <w:p>
            <w:pPr>
              <w:pStyle w:val="TableContents"/>
              <w:bidi w:val="0"/>
              <w:spacing w:before="0" w:after="283"/>
              <w:jc w:val="right"/>
              <w:rPr/>
            </w:pPr>
            <w:r>
              <w:rPr/>
              <w:t>120</w:t>
            </w:r>
          </w:p>
        </w:tc>
        <w:tc>
          <w:tcPr>
            <w:tcW w:w="89" w:type="dxa"/>
            <w:tcBorders/>
            <w:shd w:fill="CCEEFF" w:val="clear"/>
            <w:vAlign w:val="center"/>
          </w:tcPr>
          <w:p>
            <w:pPr>
              <w:pStyle w:val="TableContents"/>
              <w:bidi w:val="0"/>
              <w:spacing w:before="0" w:after="283"/>
              <w:jc w:val="left"/>
              <w:rPr/>
            </w:pPr>
            <w:r>
              <w:rPr/>
              <w:t> </w:t>
            </w:r>
          </w:p>
        </w:tc>
        <w:tc>
          <w:tcPr>
            <w:tcW w:w="89" w:type="dxa"/>
            <w:tcBorders/>
            <w:shd w:fill="CCEEFF" w:val="clear"/>
            <w:vAlign w:val="center"/>
          </w:tcPr>
          <w:p>
            <w:pPr>
              <w:pStyle w:val="TableContents"/>
              <w:bidi w:val="0"/>
              <w:spacing w:before="0" w:after="283"/>
              <w:jc w:val="left"/>
              <w:rPr/>
            </w:pPr>
            <w:r>
              <w:rPr/>
              <w:t> </w:t>
            </w:r>
          </w:p>
        </w:tc>
        <w:tc>
          <w:tcPr>
            <w:tcW w:w="208" w:type="dxa"/>
            <w:tcBorders/>
            <w:shd w:fill="CCEEFF" w:val="clear"/>
            <w:vAlign w:val="center"/>
          </w:tcPr>
          <w:p>
            <w:pPr>
              <w:pStyle w:val="TableContents"/>
              <w:bidi w:val="0"/>
              <w:spacing w:before="0" w:after="283"/>
              <w:jc w:val="left"/>
              <w:rPr/>
            </w:pPr>
            <w:r>
              <w:rPr/>
              <w:t>$</w:t>
            </w:r>
          </w:p>
        </w:tc>
        <w:tc>
          <w:tcPr>
            <w:tcW w:w="567" w:type="dxa"/>
            <w:tcBorders/>
            <w:shd w:fill="CCEEFF" w:val="clear"/>
            <w:vAlign w:val="center"/>
          </w:tcPr>
          <w:p>
            <w:pPr>
              <w:pStyle w:val="TableContents"/>
              <w:bidi w:val="0"/>
              <w:spacing w:before="0" w:after="283"/>
              <w:jc w:val="right"/>
              <w:rPr/>
            </w:pPr>
            <w:r>
              <w:rPr/>
              <w:t>124</w:t>
            </w:r>
          </w:p>
        </w:tc>
        <w:tc>
          <w:tcPr>
            <w:tcW w:w="75" w:type="dxa"/>
            <w:tcBorders/>
            <w:shd w:fill="CCEEFF" w:val="clear"/>
            <w:vAlign w:val="center"/>
          </w:tcPr>
          <w:p>
            <w:pPr>
              <w:pStyle w:val="TableContents"/>
              <w:bidi w:val="0"/>
              <w:spacing w:before="0" w:after="283"/>
              <w:jc w:val="left"/>
              <w:rPr/>
            </w:pPr>
            <w:r>
              <w:rPr/>
              <w:t> </w:t>
            </w:r>
          </w:p>
        </w:tc>
      </w:tr>
      <w:tr>
        <w:trPr/>
        <w:tc>
          <w:tcPr>
            <w:tcW w:w="4805" w:type="dxa"/>
            <w:tcBorders/>
            <w:shd w:fill="FFFFFF" w:val="clear"/>
            <w:vAlign w:val="center"/>
          </w:tcPr>
          <w:p>
            <w:pPr>
              <w:pStyle w:val="TableContents"/>
              <w:bidi w:val="0"/>
              <w:spacing w:before="0" w:after="283"/>
              <w:jc w:val="both"/>
              <w:rPr/>
            </w:pPr>
            <w:r>
              <w:rPr/>
              <w:t>Legal fees payable</w:t>
            </w:r>
          </w:p>
        </w:tc>
        <w:tc>
          <w:tcPr>
            <w:tcW w:w="60" w:type="dxa"/>
            <w:tcBorders/>
            <w:shd w:fill="FFFFFF" w:val="clear"/>
            <w:vAlign w:val="center"/>
          </w:tcPr>
          <w:p>
            <w:pPr>
              <w:pStyle w:val="TableContents"/>
              <w:bidi w:val="0"/>
              <w:spacing w:before="0" w:after="283"/>
              <w:jc w:val="left"/>
              <w:rPr/>
            </w:pPr>
            <w:r>
              <w:rPr/>
              <w:t> </w:t>
            </w:r>
          </w:p>
        </w:tc>
        <w:tc>
          <w:tcPr>
            <w:tcW w:w="208" w:type="dxa"/>
            <w:tcBorders/>
            <w:shd w:fill="FFFFFF" w:val="clear"/>
            <w:vAlign w:val="center"/>
          </w:tcPr>
          <w:p>
            <w:pPr>
              <w:pStyle w:val="TableContents"/>
              <w:bidi w:val="0"/>
              <w:spacing w:before="0" w:after="283"/>
              <w:jc w:val="left"/>
              <w:rPr/>
            </w:pPr>
            <w:r>
              <w:rPr/>
              <w:t> </w:t>
            </w:r>
          </w:p>
        </w:tc>
        <w:tc>
          <w:tcPr>
            <w:tcW w:w="835" w:type="dxa"/>
            <w:tcBorders/>
            <w:shd w:fill="FFFFFF" w:val="clear"/>
            <w:vAlign w:val="center"/>
          </w:tcPr>
          <w:p>
            <w:pPr>
              <w:pStyle w:val="TableContents"/>
              <w:bidi w:val="0"/>
              <w:spacing w:before="0" w:after="283"/>
              <w:jc w:val="right"/>
              <w:rPr/>
            </w:pPr>
            <w:r>
              <w:rPr/>
              <w:t>4,136</w:t>
            </w:r>
          </w:p>
        </w:tc>
        <w:tc>
          <w:tcPr>
            <w:tcW w:w="89" w:type="dxa"/>
            <w:tcBorders/>
            <w:shd w:fill="FFFFFF" w:val="clear"/>
            <w:vAlign w:val="center"/>
          </w:tcPr>
          <w:p>
            <w:pPr>
              <w:pStyle w:val="TableContents"/>
              <w:bidi w:val="0"/>
              <w:spacing w:before="0" w:after="283"/>
              <w:jc w:val="left"/>
              <w:rPr/>
            </w:pPr>
            <w:r>
              <w:rPr/>
              <w:t> </w:t>
            </w:r>
          </w:p>
        </w:tc>
        <w:tc>
          <w:tcPr>
            <w:tcW w:w="89" w:type="dxa"/>
            <w:tcBorders/>
            <w:shd w:fill="FFFFFF" w:val="clear"/>
            <w:vAlign w:val="center"/>
          </w:tcPr>
          <w:p>
            <w:pPr>
              <w:pStyle w:val="TableContents"/>
              <w:bidi w:val="0"/>
              <w:spacing w:before="0" w:after="283"/>
              <w:jc w:val="left"/>
              <w:rPr/>
            </w:pPr>
            <w:r>
              <w:rPr/>
              <w:t> </w:t>
            </w:r>
          </w:p>
        </w:tc>
        <w:tc>
          <w:tcPr>
            <w:tcW w:w="208" w:type="dxa"/>
            <w:tcBorders/>
            <w:shd w:fill="FFFFFF" w:val="clear"/>
            <w:vAlign w:val="center"/>
          </w:tcPr>
          <w:p>
            <w:pPr>
              <w:pStyle w:val="TableContents"/>
              <w:bidi w:val="0"/>
              <w:spacing w:before="0" w:after="283"/>
              <w:jc w:val="left"/>
              <w:rPr/>
            </w:pPr>
            <w:r>
              <w:rPr/>
              <w:t> </w:t>
            </w:r>
          </w:p>
        </w:tc>
        <w:tc>
          <w:tcPr>
            <w:tcW w:w="567" w:type="dxa"/>
            <w:tcBorders/>
            <w:shd w:fill="FFFFFF" w:val="clear"/>
            <w:vAlign w:val="center"/>
          </w:tcPr>
          <w:p>
            <w:pPr>
              <w:pStyle w:val="TableContents"/>
              <w:bidi w:val="0"/>
              <w:spacing w:before="0" w:after="283"/>
              <w:jc w:val="right"/>
              <w:rPr/>
            </w:pPr>
            <w:r>
              <w:rPr/>
              <w:t>—</w:t>
            </w:r>
          </w:p>
        </w:tc>
        <w:tc>
          <w:tcPr>
            <w:tcW w:w="75" w:type="dxa"/>
            <w:tcBorders/>
            <w:shd w:fill="FFFFFF" w:val="clear"/>
            <w:vAlign w:val="center"/>
          </w:tcPr>
          <w:p>
            <w:pPr>
              <w:pStyle w:val="TableContents"/>
              <w:bidi w:val="0"/>
              <w:spacing w:before="0" w:after="283"/>
              <w:jc w:val="left"/>
              <w:rPr/>
            </w:pPr>
            <w:r>
              <w:rPr/>
              <w:t> </w:t>
            </w:r>
          </w:p>
        </w:tc>
      </w:tr>
      <w:tr>
        <w:trPr/>
        <w:tc>
          <w:tcPr>
            <w:tcW w:w="4805" w:type="dxa"/>
            <w:tcBorders/>
            <w:shd w:fill="CCEEFF" w:val="clear"/>
            <w:vAlign w:val="center"/>
          </w:tcPr>
          <w:p>
            <w:pPr>
              <w:pStyle w:val="TableContents"/>
              <w:bidi w:val="0"/>
              <w:spacing w:before="0" w:after="283"/>
              <w:jc w:val="both"/>
              <w:rPr/>
            </w:pPr>
            <w:r>
              <w:rPr/>
              <w:t>Commissions payable</w:t>
            </w:r>
          </w:p>
        </w:tc>
        <w:tc>
          <w:tcPr>
            <w:tcW w:w="60" w:type="dxa"/>
            <w:tcBorders/>
            <w:shd w:fill="CCEEFF" w:val="clear"/>
            <w:vAlign w:val="center"/>
          </w:tcPr>
          <w:p>
            <w:pPr>
              <w:pStyle w:val="TableContents"/>
              <w:bidi w:val="0"/>
              <w:spacing w:before="0" w:after="283"/>
              <w:jc w:val="left"/>
              <w:rPr/>
            </w:pPr>
            <w:r>
              <w:rPr/>
              <w:t> </w:t>
            </w:r>
          </w:p>
        </w:tc>
        <w:tc>
          <w:tcPr>
            <w:tcW w:w="208" w:type="dxa"/>
            <w:tcBorders/>
            <w:shd w:fill="CCEEFF" w:val="clear"/>
            <w:vAlign w:val="center"/>
          </w:tcPr>
          <w:p>
            <w:pPr>
              <w:pStyle w:val="TableContents"/>
              <w:bidi w:val="0"/>
              <w:spacing w:before="0" w:after="283"/>
              <w:jc w:val="left"/>
              <w:rPr/>
            </w:pPr>
            <w:r>
              <w:rPr/>
              <w:t> </w:t>
            </w:r>
          </w:p>
        </w:tc>
        <w:tc>
          <w:tcPr>
            <w:tcW w:w="835" w:type="dxa"/>
            <w:tcBorders/>
            <w:shd w:fill="CCEEFF" w:val="clear"/>
            <w:vAlign w:val="center"/>
          </w:tcPr>
          <w:p>
            <w:pPr>
              <w:pStyle w:val="TableContents"/>
              <w:bidi w:val="0"/>
              <w:spacing w:before="0" w:after="283"/>
              <w:jc w:val="right"/>
              <w:rPr/>
            </w:pPr>
            <w:r>
              <w:rPr/>
              <w:t>1,814</w:t>
            </w:r>
          </w:p>
        </w:tc>
        <w:tc>
          <w:tcPr>
            <w:tcW w:w="89" w:type="dxa"/>
            <w:tcBorders/>
            <w:shd w:fill="CCEEFF" w:val="clear"/>
            <w:vAlign w:val="center"/>
          </w:tcPr>
          <w:p>
            <w:pPr>
              <w:pStyle w:val="TableContents"/>
              <w:bidi w:val="0"/>
              <w:spacing w:before="0" w:after="283"/>
              <w:jc w:val="left"/>
              <w:rPr/>
            </w:pPr>
            <w:r>
              <w:rPr/>
              <w:t> </w:t>
            </w:r>
          </w:p>
        </w:tc>
        <w:tc>
          <w:tcPr>
            <w:tcW w:w="89" w:type="dxa"/>
            <w:tcBorders/>
            <w:shd w:fill="CCEEFF" w:val="clear"/>
            <w:vAlign w:val="center"/>
          </w:tcPr>
          <w:p>
            <w:pPr>
              <w:pStyle w:val="TableContents"/>
              <w:bidi w:val="0"/>
              <w:spacing w:before="0" w:after="283"/>
              <w:jc w:val="left"/>
              <w:rPr/>
            </w:pPr>
            <w:r>
              <w:rPr/>
              <w:t> </w:t>
            </w:r>
          </w:p>
        </w:tc>
        <w:tc>
          <w:tcPr>
            <w:tcW w:w="208" w:type="dxa"/>
            <w:tcBorders/>
            <w:shd w:fill="CCEEFF" w:val="clear"/>
            <w:vAlign w:val="center"/>
          </w:tcPr>
          <w:p>
            <w:pPr>
              <w:pStyle w:val="TableContents"/>
              <w:bidi w:val="0"/>
              <w:spacing w:before="0" w:after="283"/>
              <w:jc w:val="left"/>
              <w:rPr/>
            </w:pPr>
            <w:r>
              <w:rPr/>
              <w:t> </w:t>
            </w:r>
          </w:p>
        </w:tc>
        <w:tc>
          <w:tcPr>
            <w:tcW w:w="567" w:type="dxa"/>
            <w:tcBorders/>
            <w:shd w:fill="CCEEFF" w:val="clear"/>
            <w:vAlign w:val="center"/>
          </w:tcPr>
          <w:p>
            <w:pPr>
              <w:pStyle w:val="TableContents"/>
              <w:bidi w:val="0"/>
              <w:spacing w:before="0" w:after="283"/>
              <w:jc w:val="right"/>
              <w:rPr/>
            </w:pPr>
            <w:r>
              <w:rPr/>
              <w:t>32</w:t>
            </w:r>
          </w:p>
        </w:tc>
        <w:tc>
          <w:tcPr>
            <w:tcW w:w="75" w:type="dxa"/>
            <w:tcBorders/>
            <w:shd w:fill="CCEEFF" w:val="clear"/>
            <w:vAlign w:val="center"/>
          </w:tcPr>
          <w:p>
            <w:pPr>
              <w:pStyle w:val="TableContents"/>
              <w:bidi w:val="0"/>
              <w:spacing w:before="0" w:after="283"/>
              <w:jc w:val="left"/>
              <w:rPr/>
            </w:pPr>
            <w:r>
              <w:rPr/>
              <w:t> </w:t>
            </w:r>
          </w:p>
        </w:tc>
      </w:tr>
      <w:tr>
        <w:trPr/>
        <w:tc>
          <w:tcPr>
            <w:tcW w:w="4805" w:type="dxa"/>
            <w:tcBorders/>
            <w:shd w:fill="FFFFFF" w:val="clear"/>
            <w:vAlign w:val="center"/>
          </w:tcPr>
          <w:p>
            <w:pPr>
              <w:pStyle w:val="TableContents"/>
              <w:bidi w:val="0"/>
              <w:spacing w:before="0" w:after="283"/>
              <w:jc w:val="both"/>
              <w:rPr/>
            </w:pPr>
            <w:r>
              <w:rPr/>
              <w:t>Accrued interest payable</w:t>
            </w:r>
          </w:p>
        </w:tc>
        <w:tc>
          <w:tcPr>
            <w:tcW w:w="60" w:type="dxa"/>
            <w:tcBorders/>
            <w:shd w:fill="FFFFFF" w:val="clear"/>
            <w:vAlign w:val="center"/>
          </w:tcPr>
          <w:p>
            <w:pPr>
              <w:pStyle w:val="TableContents"/>
              <w:bidi w:val="0"/>
              <w:spacing w:before="0" w:after="283"/>
              <w:jc w:val="left"/>
              <w:rPr/>
            </w:pPr>
            <w:r>
              <w:rPr/>
              <w:t> </w:t>
            </w:r>
          </w:p>
        </w:tc>
        <w:tc>
          <w:tcPr>
            <w:tcW w:w="208" w:type="dxa"/>
            <w:tcBorders/>
            <w:shd w:fill="FFFFFF" w:val="clear"/>
            <w:vAlign w:val="center"/>
          </w:tcPr>
          <w:p>
            <w:pPr>
              <w:pStyle w:val="TableContents"/>
              <w:bidi w:val="0"/>
              <w:spacing w:before="0" w:after="283"/>
              <w:jc w:val="left"/>
              <w:rPr/>
            </w:pPr>
            <w:r>
              <w:rPr/>
              <w:t> </w:t>
            </w:r>
          </w:p>
        </w:tc>
        <w:tc>
          <w:tcPr>
            <w:tcW w:w="835" w:type="dxa"/>
            <w:tcBorders/>
            <w:shd w:fill="FFFFFF" w:val="clear"/>
            <w:vAlign w:val="center"/>
          </w:tcPr>
          <w:p>
            <w:pPr>
              <w:pStyle w:val="TableContents"/>
              <w:bidi w:val="0"/>
              <w:spacing w:before="0" w:after="283"/>
              <w:jc w:val="right"/>
              <w:rPr/>
            </w:pPr>
            <w:r>
              <w:rPr/>
              <w:t>47</w:t>
            </w:r>
          </w:p>
        </w:tc>
        <w:tc>
          <w:tcPr>
            <w:tcW w:w="89" w:type="dxa"/>
            <w:tcBorders/>
            <w:shd w:fill="FFFFFF" w:val="clear"/>
            <w:vAlign w:val="center"/>
          </w:tcPr>
          <w:p>
            <w:pPr>
              <w:pStyle w:val="TableContents"/>
              <w:bidi w:val="0"/>
              <w:spacing w:before="0" w:after="283"/>
              <w:jc w:val="left"/>
              <w:rPr/>
            </w:pPr>
            <w:r>
              <w:rPr/>
              <w:t> </w:t>
            </w:r>
          </w:p>
        </w:tc>
        <w:tc>
          <w:tcPr>
            <w:tcW w:w="89" w:type="dxa"/>
            <w:tcBorders/>
            <w:shd w:fill="FFFFFF" w:val="clear"/>
            <w:vAlign w:val="center"/>
          </w:tcPr>
          <w:p>
            <w:pPr>
              <w:pStyle w:val="TableContents"/>
              <w:bidi w:val="0"/>
              <w:spacing w:before="0" w:after="283"/>
              <w:jc w:val="left"/>
              <w:rPr/>
            </w:pPr>
            <w:r>
              <w:rPr/>
              <w:t> </w:t>
            </w:r>
          </w:p>
        </w:tc>
        <w:tc>
          <w:tcPr>
            <w:tcW w:w="208" w:type="dxa"/>
            <w:tcBorders/>
            <w:shd w:fill="FFFFFF" w:val="clear"/>
            <w:vAlign w:val="center"/>
          </w:tcPr>
          <w:p>
            <w:pPr>
              <w:pStyle w:val="TableContents"/>
              <w:bidi w:val="0"/>
              <w:spacing w:before="0" w:after="283"/>
              <w:jc w:val="left"/>
              <w:rPr/>
            </w:pPr>
            <w:r>
              <w:rPr/>
              <w:t> </w:t>
            </w:r>
          </w:p>
        </w:tc>
        <w:tc>
          <w:tcPr>
            <w:tcW w:w="567" w:type="dxa"/>
            <w:tcBorders/>
            <w:shd w:fill="FFFFFF" w:val="clear"/>
            <w:vAlign w:val="center"/>
          </w:tcPr>
          <w:p>
            <w:pPr>
              <w:pStyle w:val="TableContents"/>
              <w:bidi w:val="0"/>
              <w:spacing w:before="0" w:after="283"/>
              <w:jc w:val="right"/>
              <w:rPr/>
            </w:pPr>
            <w:r>
              <w:rPr/>
              <w:t>19</w:t>
            </w:r>
          </w:p>
        </w:tc>
        <w:tc>
          <w:tcPr>
            <w:tcW w:w="75" w:type="dxa"/>
            <w:tcBorders/>
            <w:shd w:fill="FFFFFF" w:val="clear"/>
            <w:vAlign w:val="center"/>
          </w:tcPr>
          <w:p>
            <w:pPr>
              <w:pStyle w:val="TableContents"/>
              <w:bidi w:val="0"/>
              <w:spacing w:before="0" w:after="283"/>
              <w:jc w:val="left"/>
              <w:rPr/>
            </w:pPr>
            <w:r>
              <w:rPr/>
              <w:t> </w:t>
            </w:r>
          </w:p>
        </w:tc>
      </w:tr>
      <w:tr>
        <w:trPr/>
        <w:tc>
          <w:tcPr>
            <w:tcW w:w="4805" w:type="dxa"/>
            <w:tcBorders/>
            <w:shd w:fill="CCEEFF" w:val="clear"/>
            <w:vAlign w:val="center"/>
          </w:tcPr>
          <w:p>
            <w:pPr>
              <w:pStyle w:val="TableContents"/>
              <w:bidi w:val="0"/>
              <w:spacing w:before="0" w:after="283"/>
              <w:jc w:val="both"/>
              <w:rPr/>
            </w:pPr>
            <w:r>
              <w:rPr/>
              <w:t>Sales tax payable</w:t>
            </w:r>
          </w:p>
        </w:tc>
        <w:tc>
          <w:tcPr>
            <w:tcW w:w="60" w:type="dxa"/>
            <w:tcBorders/>
            <w:shd w:fill="CCEEFF" w:val="clear"/>
            <w:vAlign w:val="center"/>
          </w:tcPr>
          <w:p>
            <w:pPr>
              <w:pStyle w:val="TableContents"/>
              <w:bidi w:val="0"/>
              <w:spacing w:before="0" w:after="283"/>
              <w:jc w:val="left"/>
              <w:rPr/>
            </w:pPr>
            <w:r>
              <w:rPr/>
              <w:t> </w:t>
            </w:r>
          </w:p>
        </w:tc>
        <w:tc>
          <w:tcPr>
            <w:tcW w:w="208" w:type="dxa"/>
            <w:tcBorders/>
            <w:shd w:fill="CCEEFF" w:val="clear"/>
            <w:vAlign w:val="center"/>
          </w:tcPr>
          <w:p>
            <w:pPr>
              <w:pStyle w:val="TableContents"/>
              <w:bidi w:val="0"/>
              <w:spacing w:before="0" w:after="283"/>
              <w:jc w:val="left"/>
              <w:rPr/>
            </w:pPr>
            <w:r>
              <w:rPr/>
              <w:t> </w:t>
            </w:r>
          </w:p>
        </w:tc>
        <w:tc>
          <w:tcPr>
            <w:tcW w:w="835" w:type="dxa"/>
            <w:tcBorders/>
            <w:shd w:fill="CCEEFF" w:val="clear"/>
            <w:vAlign w:val="center"/>
          </w:tcPr>
          <w:p>
            <w:pPr>
              <w:pStyle w:val="TableContents"/>
              <w:bidi w:val="0"/>
              <w:spacing w:before="0" w:after="283"/>
              <w:jc w:val="right"/>
              <w:rPr/>
            </w:pPr>
            <w:r>
              <w:rPr/>
              <w:t>—</w:t>
            </w:r>
          </w:p>
        </w:tc>
        <w:tc>
          <w:tcPr>
            <w:tcW w:w="89" w:type="dxa"/>
            <w:tcBorders/>
            <w:shd w:fill="CCEEFF" w:val="clear"/>
            <w:vAlign w:val="center"/>
          </w:tcPr>
          <w:p>
            <w:pPr>
              <w:pStyle w:val="TableContents"/>
              <w:bidi w:val="0"/>
              <w:spacing w:before="0" w:after="283"/>
              <w:jc w:val="left"/>
              <w:rPr/>
            </w:pPr>
            <w:r>
              <w:rPr/>
              <w:t> </w:t>
            </w:r>
          </w:p>
        </w:tc>
        <w:tc>
          <w:tcPr>
            <w:tcW w:w="89" w:type="dxa"/>
            <w:tcBorders/>
            <w:shd w:fill="CCEEFF" w:val="clear"/>
            <w:vAlign w:val="center"/>
          </w:tcPr>
          <w:p>
            <w:pPr>
              <w:pStyle w:val="TableContents"/>
              <w:bidi w:val="0"/>
              <w:spacing w:before="0" w:after="283"/>
              <w:jc w:val="left"/>
              <w:rPr/>
            </w:pPr>
            <w:r>
              <w:rPr/>
              <w:t> </w:t>
            </w:r>
          </w:p>
        </w:tc>
        <w:tc>
          <w:tcPr>
            <w:tcW w:w="208" w:type="dxa"/>
            <w:tcBorders/>
            <w:shd w:fill="CCEEFF" w:val="clear"/>
            <w:vAlign w:val="center"/>
          </w:tcPr>
          <w:p>
            <w:pPr>
              <w:pStyle w:val="TableContents"/>
              <w:bidi w:val="0"/>
              <w:spacing w:before="0" w:after="283"/>
              <w:jc w:val="left"/>
              <w:rPr/>
            </w:pPr>
            <w:r>
              <w:rPr/>
              <w:t> </w:t>
            </w:r>
          </w:p>
        </w:tc>
        <w:tc>
          <w:tcPr>
            <w:tcW w:w="567" w:type="dxa"/>
            <w:tcBorders/>
            <w:shd w:fill="CCEEFF" w:val="clear"/>
            <w:vAlign w:val="center"/>
          </w:tcPr>
          <w:p>
            <w:pPr>
              <w:pStyle w:val="TableContents"/>
              <w:bidi w:val="0"/>
              <w:spacing w:before="0" w:after="283"/>
              <w:jc w:val="right"/>
              <w:rPr/>
            </w:pPr>
            <w:r>
              <w:rPr/>
              <w:t>41</w:t>
            </w:r>
          </w:p>
        </w:tc>
        <w:tc>
          <w:tcPr>
            <w:tcW w:w="75" w:type="dxa"/>
            <w:tcBorders/>
            <w:shd w:fill="CCEEFF" w:val="clear"/>
            <w:vAlign w:val="center"/>
          </w:tcPr>
          <w:p>
            <w:pPr>
              <w:pStyle w:val="TableContents"/>
              <w:bidi w:val="0"/>
              <w:spacing w:before="0" w:after="283"/>
              <w:jc w:val="left"/>
              <w:rPr/>
            </w:pPr>
            <w:r>
              <w:rPr/>
              <w:t> </w:t>
            </w:r>
          </w:p>
        </w:tc>
      </w:tr>
      <w:tr>
        <w:trPr/>
        <w:tc>
          <w:tcPr>
            <w:tcW w:w="4805" w:type="dxa"/>
            <w:tcBorders/>
            <w:shd w:fill="FFFFFF" w:val="clear"/>
            <w:vAlign w:val="center"/>
          </w:tcPr>
          <w:p>
            <w:pPr>
              <w:pStyle w:val="TableContents"/>
              <w:bidi w:val="0"/>
              <w:spacing w:before="0" w:after="283"/>
              <w:jc w:val="both"/>
              <w:rPr/>
            </w:pPr>
            <w:r>
              <w:rPr/>
              <w:t>Credit card obligation</w:t>
            </w:r>
          </w:p>
        </w:tc>
        <w:tc>
          <w:tcPr>
            <w:tcW w:w="60" w:type="dxa"/>
            <w:tcBorders/>
            <w:shd w:fill="FFFFFF" w:val="clear"/>
            <w:vAlign w:val="center"/>
          </w:tcPr>
          <w:p>
            <w:pPr>
              <w:pStyle w:val="TableContents"/>
              <w:bidi w:val="0"/>
              <w:spacing w:before="0" w:after="283"/>
              <w:jc w:val="left"/>
              <w:rPr/>
            </w:pPr>
            <w:r>
              <w:rPr/>
              <w:t> </w:t>
            </w:r>
          </w:p>
        </w:tc>
        <w:tc>
          <w:tcPr>
            <w:tcW w:w="208" w:type="dxa"/>
            <w:tcBorders/>
            <w:shd w:fill="FFFFFF" w:val="clear"/>
            <w:vAlign w:val="center"/>
          </w:tcPr>
          <w:p>
            <w:pPr>
              <w:pStyle w:val="TableContents"/>
              <w:bidi w:val="0"/>
              <w:spacing w:before="0" w:after="283"/>
              <w:jc w:val="left"/>
              <w:rPr/>
            </w:pPr>
            <w:r>
              <w:rPr/>
              <w:t> </w:t>
            </w:r>
          </w:p>
        </w:tc>
        <w:tc>
          <w:tcPr>
            <w:tcW w:w="835" w:type="dxa"/>
            <w:tcBorders/>
            <w:shd w:fill="FFFFFF" w:val="clear"/>
            <w:vAlign w:val="center"/>
          </w:tcPr>
          <w:p>
            <w:pPr>
              <w:pStyle w:val="TableContents"/>
              <w:bidi w:val="0"/>
              <w:spacing w:before="0" w:after="283"/>
              <w:jc w:val="right"/>
              <w:rPr/>
            </w:pPr>
            <w:r>
              <w:rPr/>
              <w:t>101</w:t>
            </w:r>
          </w:p>
        </w:tc>
        <w:tc>
          <w:tcPr>
            <w:tcW w:w="89" w:type="dxa"/>
            <w:tcBorders/>
            <w:shd w:fill="FFFFFF" w:val="clear"/>
            <w:vAlign w:val="center"/>
          </w:tcPr>
          <w:p>
            <w:pPr>
              <w:pStyle w:val="TableContents"/>
              <w:bidi w:val="0"/>
              <w:spacing w:before="0" w:after="283"/>
              <w:jc w:val="left"/>
              <w:rPr/>
            </w:pPr>
            <w:r>
              <w:rPr/>
              <w:t> </w:t>
            </w:r>
          </w:p>
        </w:tc>
        <w:tc>
          <w:tcPr>
            <w:tcW w:w="89" w:type="dxa"/>
            <w:tcBorders/>
            <w:shd w:fill="FFFFFF" w:val="clear"/>
            <w:vAlign w:val="center"/>
          </w:tcPr>
          <w:p>
            <w:pPr>
              <w:pStyle w:val="TableContents"/>
              <w:bidi w:val="0"/>
              <w:spacing w:before="0" w:after="283"/>
              <w:jc w:val="left"/>
              <w:rPr/>
            </w:pPr>
            <w:r>
              <w:rPr/>
              <w:t> </w:t>
            </w:r>
          </w:p>
        </w:tc>
        <w:tc>
          <w:tcPr>
            <w:tcW w:w="208" w:type="dxa"/>
            <w:tcBorders/>
            <w:shd w:fill="FFFFFF" w:val="clear"/>
            <w:vAlign w:val="center"/>
          </w:tcPr>
          <w:p>
            <w:pPr>
              <w:pStyle w:val="TableContents"/>
              <w:bidi w:val="0"/>
              <w:spacing w:before="0" w:after="283"/>
              <w:jc w:val="left"/>
              <w:rPr/>
            </w:pPr>
            <w:r>
              <w:rPr/>
              <w:t> </w:t>
            </w:r>
          </w:p>
        </w:tc>
        <w:tc>
          <w:tcPr>
            <w:tcW w:w="567" w:type="dxa"/>
            <w:tcBorders/>
            <w:shd w:fill="FFFFFF" w:val="clear"/>
            <w:vAlign w:val="center"/>
          </w:tcPr>
          <w:p>
            <w:pPr>
              <w:pStyle w:val="TableContents"/>
              <w:bidi w:val="0"/>
              <w:spacing w:before="0" w:after="283"/>
              <w:jc w:val="right"/>
              <w:rPr/>
            </w:pPr>
            <w:r>
              <w:rPr/>
              <w:t>39</w:t>
            </w:r>
          </w:p>
        </w:tc>
        <w:tc>
          <w:tcPr>
            <w:tcW w:w="75" w:type="dxa"/>
            <w:tcBorders/>
            <w:shd w:fill="FFFFFF" w:val="clear"/>
            <w:vAlign w:val="center"/>
          </w:tcPr>
          <w:p>
            <w:pPr>
              <w:pStyle w:val="TableContents"/>
              <w:bidi w:val="0"/>
              <w:spacing w:before="0" w:after="283"/>
              <w:jc w:val="left"/>
              <w:rPr/>
            </w:pPr>
            <w:r>
              <w:rPr/>
              <w:t> </w:t>
            </w:r>
          </w:p>
        </w:tc>
      </w:tr>
      <w:tr>
        <w:trPr/>
        <w:tc>
          <w:tcPr>
            <w:tcW w:w="4805" w:type="dxa"/>
            <w:tcBorders/>
            <w:shd w:fill="CCEEFF" w:val="clear"/>
            <w:vAlign w:val="center"/>
          </w:tcPr>
          <w:p>
            <w:pPr>
              <w:pStyle w:val="TableContents"/>
              <w:bidi w:val="0"/>
              <w:spacing w:before="0" w:after="283"/>
              <w:jc w:val="both"/>
              <w:rPr/>
            </w:pPr>
            <w:r>
              <w:rPr/>
              <w:t>Other</w:t>
            </w:r>
          </w:p>
        </w:tc>
        <w:tc>
          <w:tcPr>
            <w:tcW w:w="60" w:type="dxa"/>
            <w:tcBorders/>
            <w:shd w:fill="CCEEFF" w:val="clear"/>
            <w:vAlign w:val="center"/>
          </w:tcPr>
          <w:p>
            <w:pPr>
              <w:pStyle w:val="TableContents"/>
              <w:bidi w:val="0"/>
              <w:spacing w:before="0" w:after="283"/>
              <w:jc w:val="left"/>
              <w:rPr/>
            </w:pPr>
            <w:r>
              <w:rPr/>
              <w:t> </w:t>
            </w:r>
          </w:p>
        </w:tc>
        <w:tc>
          <w:tcPr>
            <w:tcW w:w="208"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35" w:type="dxa"/>
            <w:tcBorders>
              <w:bottom w:val="single" w:sz="12" w:space="0" w:color="000000"/>
            </w:tcBorders>
            <w:shd w:fill="CCEEFF" w:val="clear"/>
            <w:tcMar>
              <w:bottom w:w="28" w:type="dxa"/>
            </w:tcMar>
            <w:vAlign w:val="center"/>
          </w:tcPr>
          <w:p>
            <w:pPr>
              <w:pStyle w:val="TableContents"/>
              <w:bidi w:val="0"/>
              <w:spacing w:before="0" w:after="283"/>
              <w:jc w:val="right"/>
              <w:rPr/>
            </w:pPr>
            <w:r>
              <w:rPr/>
              <w:t>293</w:t>
            </w:r>
          </w:p>
        </w:tc>
        <w:tc>
          <w:tcPr>
            <w:tcW w:w="89" w:type="dxa"/>
            <w:tcBorders/>
            <w:shd w:fill="CCEEFF" w:val="clear"/>
            <w:vAlign w:val="center"/>
          </w:tcPr>
          <w:p>
            <w:pPr>
              <w:pStyle w:val="TableContents"/>
              <w:bidi w:val="0"/>
              <w:spacing w:before="0" w:after="283"/>
              <w:jc w:val="left"/>
              <w:rPr/>
            </w:pPr>
            <w:r>
              <w:rPr/>
              <w:t> </w:t>
            </w:r>
          </w:p>
        </w:tc>
        <w:tc>
          <w:tcPr>
            <w:tcW w:w="89" w:type="dxa"/>
            <w:tcBorders/>
            <w:shd w:fill="CCEEFF" w:val="clear"/>
            <w:vAlign w:val="center"/>
          </w:tcPr>
          <w:p>
            <w:pPr>
              <w:pStyle w:val="TableContents"/>
              <w:bidi w:val="0"/>
              <w:spacing w:before="0" w:after="283"/>
              <w:jc w:val="left"/>
              <w:rPr/>
            </w:pPr>
            <w:r>
              <w:rPr/>
              <w:t> </w:t>
            </w:r>
          </w:p>
        </w:tc>
        <w:tc>
          <w:tcPr>
            <w:tcW w:w="208"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567"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75" w:type="dxa"/>
            <w:tcBorders/>
            <w:shd w:fill="CCEEFF" w:val="clear"/>
            <w:vAlign w:val="center"/>
          </w:tcPr>
          <w:p>
            <w:pPr>
              <w:pStyle w:val="TableContents"/>
              <w:bidi w:val="0"/>
              <w:spacing w:before="0" w:after="283"/>
              <w:jc w:val="left"/>
              <w:rPr/>
            </w:pPr>
            <w:r>
              <w:rPr/>
              <w:t> </w:t>
            </w:r>
          </w:p>
        </w:tc>
      </w:tr>
      <w:tr>
        <w:trPr/>
        <w:tc>
          <w:tcPr>
            <w:tcW w:w="4805" w:type="dxa"/>
            <w:tcBorders/>
            <w:shd w:fill="FFFFFF" w:val="clear"/>
            <w:vAlign w:val="center"/>
          </w:tcPr>
          <w:p>
            <w:pPr>
              <w:pStyle w:val="TableContents"/>
              <w:bidi w:val="0"/>
              <w:spacing w:before="0" w:after="283"/>
              <w:jc w:val="both"/>
              <w:rPr/>
            </w:pPr>
            <w:r>
              <w:rPr/>
              <w:t>Total accrued expenses and other current liabilities</w:t>
            </w:r>
          </w:p>
        </w:tc>
        <w:tc>
          <w:tcPr>
            <w:tcW w:w="60" w:type="dxa"/>
            <w:tcBorders/>
            <w:shd w:fill="FFFFFF" w:val="clear"/>
            <w:vAlign w:val="center"/>
          </w:tcPr>
          <w:p>
            <w:pPr>
              <w:pStyle w:val="TableContents"/>
              <w:bidi w:val="0"/>
              <w:spacing w:before="0" w:after="283"/>
              <w:jc w:val="left"/>
              <w:rPr/>
            </w:pPr>
            <w:r>
              <w:rPr/>
              <w:t> </w:t>
            </w:r>
          </w:p>
        </w:tc>
        <w:tc>
          <w:tcPr>
            <w:tcW w:w="208" w:type="dxa"/>
            <w:tcBorders>
              <w:bottom w:val="double" w:sz="10" w:space="0" w:color="000000"/>
            </w:tcBorders>
            <w:shd w:fill="FFFFFF" w:val="clear"/>
            <w:tcMar>
              <w:bottom w:w="28" w:type="dxa"/>
            </w:tcMar>
            <w:vAlign w:val="center"/>
          </w:tcPr>
          <w:p>
            <w:pPr>
              <w:pStyle w:val="TableContents"/>
              <w:bidi w:val="0"/>
              <w:spacing w:before="0" w:after="283"/>
              <w:jc w:val="left"/>
              <w:rPr/>
            </w:pPr>
            <w:r>
              <w:rPr/>
              <w:t>$</w:t>
            </w:r>
          </w:p>
        </w:tc>
        <w:tc>
          <w:tcPr>
            <w:tcW w:w="835" w:type="dxa"/>
            <w:tcBorders>
              <w:bottom w:val="double" w:sz="10" w:space="0" w:color="000000"/>
            </w:tcBorders>
            <w:shd w:fill="FFFFFF" w:val="clear"/>
            <w:tcMar>
              <w:bottom w:w="28" w:type="dxa"/>
            </w:tcMar>
            <w:vAlign w:val="center"/>
          </w:tcPr>
          <w:p>
            <w:pPr>
              <w:pStyle w:val="TableContents"/>
              <w:bidi w:val="0"/>
              <w:spacing w:before="0" w:after="283"/>
              <w:jc w:val="right"/>
              <w:rPr/>
            </w:pPr>
            <w:r>
              <w:rPr/>
              <w:t>6,511</w:t>
            </w:r>
          </w:p>
        </w:tc>
        <w:tc>
          <w:tcPr>
            <w:tcW w:w="89" w:type="dxa"/>
            <w:tcBorders/>
            <w:shd w:fill="FFFFFF" w:val="clear"/>
            <w:vAlign w:val="center"/>
          </w:tcPr>
          <w:p>
            <w:pPr>
              <w:pStyle w:val="TableContents"/>
              <w:bidi w:val="0"/>
              <w:spacing w:before="0" w:after="283"/>
              <w:jc w:val="left"/>
              <w:rPr/>
            </w:pPr>
            <w:r>
              <w:rPr/>
              <w:t> </w:t>
            </w:r>
          </w:p>
        </w:tc>
        <w:tc>
          <w:tcPr>
            <w:tcW w:w="89" w:type="dxa"/>
            <w:tcBorders/>
            <w:shd w:fill="FFFFFF" w:val="clear"/>
            <w:vAlign w:val="center"/>
          </w:tcPr>
          <w:p>
            <w:pPr>
              <w:pStyle w:val="TableContents"/>
              <w:bidi w:val="0"/>
              <w:spacing w:before="0" w:after="283"/>
              <w:jc w:val="left"/>
              <w:rPr/>
            </w:pPr>
            <w:r>
              <w:rPr/>
              <w:t> </w:t>
            </w:r>
          </w:p>
        </w:tc>
        <w:tc>
          <w:tcPr>
            <w:tcW w:w="208" w:type="dxa"/>
            <w:tcBorders>
              <w:bottom w:val="double" w:sz="10" w:space="0" w:color="000000"/>
            </w:tcBorders>
            <w:shd w:fill="FFFFFF" w:val="clear"/>
            <w:tcMar>
              <w:bottom w:w="28" w:type="dxa"/>
            </w:tcMar>
            <w:vAlign w:val="center"/>
          </w:tcPr>
          <w:p>
            <w:pPr>
              <w:pStyle w:val="TableContents"/>
              <w:bidi w:val="0"/>
              <w:spacing w:before="0" w:after="283"/>
              <w:jc w:val="left"/>
              <w:rPr/>
            </w:pPr>
            <w:r>
              <w:rPr/>
              <w:t>$</w:t>
            </w:r>
          </w:p>
        </w:tc>
        <w:tc>
          <w:tcPr>
            <w:tcW w:w="567" w:type="dxa"/>
            <w:tcBorders>
              <w:bottom w:val="double" w:sz="10" w:space="0" w:color="000000"/>
            </w:tcBorders>
            <w:shd w:fill="FFFFFF" w:val="clear"/>
            <w:tcMar>
              <w:bottom w:w="28" w:type="dxa"/>
            </w:tcMar>
            <w:vAlign w:val="center"/>
          </w:tcPr>
          <w:p>
            <w:pPr>
              <w:pStyle w:val="TableContents"/>
              <w:bidi w:val="0"/>
              <w:spacing w:before="0" w:after="283"/>
              <w:jc w:val="right"/>
              <w:rPr/>
            </w:pPr>
            <w:r>
              <w:rPr/>
              <w:t>255</w:t>
            </w:r>
          </w:p>
        </w:tc>
        <w:tc>
          <w:tcPr>
            <w:tcW w:w="75"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Note 8. </w:t>
      </w:r>
      <w:r>
        <w:rPr>
          <w:rFonts w:ascii="Times New Roman;Times;Serif" w:hAnsi="Times New Roman;Times;Serif"/>
          <w:b/>
          <w:i/>
          <w:caps w:val="false"/>
          <w:smallCaps w:val="false"/>
          <w:sz w:val="20"/>
        </w:rPr>
        <w:t xml:space="preserve">LINE OF CREDIT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the year ended December 31, 2023, the Company entered into an unsecured line of credit (“LOC”) agreement with a borrowing limit of $3,000. The LOC had a fixed interest rate of 7.5% and was scheduled to mature on June 30, 2025. The outstanding balance on the line was $2,250 and $2,000 as of December 31, 2024, and 2023, respectively. The remaining available balance under the facility as of December 31, 2024 was $750.</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As of December 31, 2024, the Company was not in compliance with certain financial covenants under its LOC agreement with SolarEdge Technologies, Inc, specifically related to the maximum additional external financing covenant. The breach in compliance was related to the litigation financing the Company received of $3,325 during 2024 discussed in Note 9 – </w:t>
      </w:r>
      <w:r>
        <w:rPr>
          <w:rFonts w:ascii="Times New Roman;Times;Serif" w:hAnsi="Times New Roman;Times;Serif"/>
          <w:b w:val="false"/>
          <w:i/>
          <w:caps w:val="false"/>
          <w:smallCaps w:val="false"/>
          <w:sz w:val="20"/>
        </w:rPr>
        <w:t>Litigation Financing and Settlement</w:t>
      </w:r>
      <w:r>
        <w:rPr>
          <w:rFonts w:ascii="Times New Roman;Times;Serif" w:hAnsi="Times New Roman;Times;Serif"/>
          <w:b w:val="false"/>
          <w:i w:val="false"/>
          <w:caps w:val="false"/>
          <w:smallCaps w:val="false"/>
          <w:sz w:val="20"/>
        </w:rPr>
        <w:t xml:space="preserve">. The covenant violation provided the lender the right to accelerate repayment of the outstanding balance at its discretion. The LOC was repaid in full in September 2025 in connection with the sale of the membership interest in the Company. Refer to Note 15 – </w:t>
      </w:r>
      <w:r>
        <w:rPr>
          <w:rFonts w:ascii="Times New Roman;Times;Serif" w:hAnsi="Times New Roman;Times;Serif"/>
          <w:b w:val="false"/>
          <w:i/>
          <w:caps w:val="false"/>
          <w:smallCaps w:val="false"/>
          <w:sz w:val="20"/>
        </w:rPr>
        <w:t xml:space="preserve">Subsequent Events </w:t>
      </w:r>
      <w:r>
        <w:rPr>
          <w:rFonts w:ascii="Times New Roman;Times;Serif" w:hAnsi="Times New Roman;Times;Serif"/>
          <w:b w:val="false"/>
          <w:i w:val="false"/>
          <w:caps w:val="false"/>
          <w:smallCaps w:val="false"/>
          <w:sz w:val="20"/>
        </w:rPr>
        <w:t>for details of the sale of the Company.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Note 9. </w:t>
      </w:r>
      <w:r>
        <w:rPr>
          <w:rFonts w:ascii="Times New Roman;Times;Serif" w:hAnsi="Times New Roman;Times;Serif"/>
          <w:b/>
          <w:i/>
          <w:caps w:val="false"/>
          <w:smallCaps w:val="false"/>
          <w:sz w:val="20"/>
        </w:rPr>
        <w:t>LITIGATION FINANCING AND SETTLEMENT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December 31, 2023, the Company filed suit against the former exclusive installation company, Freedom Forever, LLC (“Freedom Forever”) for breach of contract. Freedom Forever filed a counter suit based on a similar claim. The parties completed discovery, and a hearing commenced on May 5, 2025.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During the year ended December 31, 2024, the Company filed a claim for, and received, $800 in insurance proceeds for loss of key employees and for business litigation in connection with the dispute with Freedom Forever. Of this amount $500 was received from the Company’s insurance captive, a related party. Refer to Note 11 – </w:t>
      </w:r>
      <w:r>
        <w:rPr>
          <w:rFonts w:ascii="Times New Roman;Times;Serif" w:hAnsi="Times New Roman;Times;Serif"/>
          <w:b w:val="false"/>
          <w:i/>
          <w:caps w:val="false"/>
          <w:smallCaps w:val="false"/>
          <w:sz w:val="20"/>
        </w:rPr>
        <w:t>Related Party Transactions</w:t>
      </w:r>
      <w:r>
        <w:rPr>
          <w:rFonts w:ascii="Times New Roman;Times;Serif" w:hAnsi="Times New Roman;Times;Serif"/>
          <w:b w:val="false"/>
          <w:i w:val="false"/>
          <w:caps w:val="false"/>
          <w:smallCaps w:val="false"/>
          <w:sz w:val="20"/>
        </w:rPr>
        <w:t xml:space="preserve"> for detail. These proceeds are presented within Other income, net on the statement of operations and member’s deficit.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sz w:val="20"/>
          <w:bdr w:val="single" w:sz="12" w:space="1" w:color="000000"/>
        </w:rPr>
      </w:pPr>
      <w:r>
        <w:rPr>
          <w:sz w:val="20"/>
          <w:bdr w:val="single" w:sz="12" w:space="1" w:color="000000"/>
        </w:rPr>
        <w:t>F-125</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 October 2024, the Company obtained litigation funding of $3,400 via a funding and investment agreement from a third party. The investment will be repaid upon settlement of the associated Freedom Forever lawsuit. If the outcome is in favor of the Company, then the investor will be repaid the full investment amount plus a multiple of the investment, dependent on timing between the closing date and the date of repayment. If the lawsuit is mutually settled or is in favor of the defendant, the Company may be liable to pay up to $2,000 to the investor and a portion of proceeds up to the original investment amount. The investor has a security interest in the proceeds of the lawsuit and the Company may not encumber or pledge the proceeds to any other party. The repayment of the funding received is contingent upon future events which does not meet the criteria under ASC 470 – </w:t>
      </w:r>
      <w:r>
        <w:rPr>
          <w:rFonts w:ascii="Times New Roman;Times;Serif" w:hAnsi="Times New Roman;Times;Serif"/>
          <w:b w:val="false"/>
          <w:i/>
          <w:caps w:val="false"/>
          <w:smallCaps w:val="false"/>
          <w:sz w:val="20"/>
        </w:rPr>
        <w:t>Debt</w:t>
      </w:r>
      <w:r>
        <w:rPr>
          <w:rFonts w:ascii="Times New Roman;Times;Serif" w:hAnsi="Times New Roman;Times;Serif"/>
          <w:b w:val="false"/>
          <w:i w:val="false"/>
          <w:caps w:val="false"/>
          <w:smallCaps w:val="false"/>
          <w:sz w:val="20"/>
        </w:rPr>
        <w:t xml:space="preserve"> (“ASC 470”), to be accounted for as debt. Accordingly, the Company concluded that while the litigation funding did not meet the criteria to be accounted for as debt under ASC 470, it may be accounted for as a contingent obligation under ASC 450 – </w:t>
      </w:r>
      <w:r>
        <w:rPr>
          <w:rFonts w:ascii="Times New Roman;Times;Serif" w:hAnsi="Times New Roman;Times;Serif"/>
          <w:b w:val="false"/>
          <w:i/>
          <w:caps w:val="false"/>
          <w:smallCaps w:val="false"/>
          <w:sz w:val="20"/>
        </w:rPr>
        <w:t>Contingencies,</w:t>
      </w:r>
      <w:r>
        <w:rPr>
          <w:rFonts w:ascii="Times New Roman;Times;Serif" w:hAnsi="Times New Roman;Times;Serif"/>
          <w:b w:val="false"/>
          <w:i w:val="false"/>
          <w:caps w:val="false"/>
          <w:smallCaps w:val="false"/>
          <w:sz w:val="20"/>
        </w:rPr>
        <w:t xml:space="preserve"> with no balance sheet recognition as of the reporting dates. The cash received via the funding and investment agreement has been recorded as other income on the Statement of Operations for the fiscal year December 31, 2024.</w:t>
      </w:r>
    </w:p>
    <w:p>
      <w:pPr>
        <w:pStyle w:val="TextBody"/>
        <w:bidi w:val="0"/>
        <w:spacing w:before="0" w:after="0"/>
        <w:ind w:left="0" w:right="0" w:hanging="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July 15, 2025, the arbitrator issued a final and binding award in the Company’s arbitration proceeding against Freedom Forever. The Company was awarded $6,772 in net damages inclusive of interest of 10%. The decision fully resolves all claims between the parties as it relates to this matter and provides a clear and enforceable outcome in the Company’s favor. The Company is required to pay these proceeds to the investor that provided litigation funding. On September 22, 2025, the Company entered into a settlement agreement (“Settlement Agreement”) with Freedom Forever with respect to the Company’s outstanding litigation matters with Freedom Forever. The Settlement Agreement became a global settlement to include further resolution on the amount owed by Freedom Forever as a result of the arbitration decision. In full settlement of all pending matters, the Company subsequently agreed to a modification of the damage award from $6,772 to a $4,000 settlement with Freedom Forever. Freedom Forever agreed to pay the Company in four installments of $1,000 on or about October 6, 2025, November 5, 2025, December 5, 2025 and January 4, 2026. Management worked with the litigation finance investor and agreed that the Company would pay any of the $4,000 received from Freedom Forever to the litigation finance investor, plus an additional $250. The Company remitted the $250 on September 24, 2025. To date, none of the installment payments has been received from Freedom Forever, and no amounts have been recorded in the Company’s financial statements related to the Settlement Agreement or payment of the litigation funding investment. The Company’s obligation to pay the litigation finance investor is only required when Freedom Forever makes a payment to the Company.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Note 10. </w:t>
      </w:r>
      <w:r>
        <w:rPr>
          <w:rFonts w:ascii="Times New Roman;Times;Serif" w:hAnsi="Times New Roman;Times;Serif"/>
          <w:b/>
          <w:i/>
          <w:caps w:val="false"/>
          <w:smallCaps w:val="false"/>
          <w:sz w:val="20"/>
        </w:rPr>
        <w:t>LEASES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leases certain office space through a non-cancelable operating lease. The Company assesses whether an arrangement qualifies as a lease (i.e., conveys the right to control the use of an identified asset for a period of time in exchange for consideration) at inception and only reassesses its determination if the terms and conditions of the arrangement are changed. Leases with an initial term of 12 months or less are not recorded on the balances sheet. Lease expense is recognized for these leases on a straight-line basis over the lease term. Leases may include one or more options to renew. The exercise of any lease renewal option is at the Company’s sole discretion.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summarizes the line items in the balance sheets which include amounts for operating leases:</w:t>
      </w:r>
    </w:p>
    <w:p>
      <w:pPr>
        <w:pStyle w:val="TextBody"/>
        <w:bidi w:val="0"/>
        <w:spacing w:before="0" w:after="0"/>
        <w:ind w:left="0" w:right="0" w:hanging="0"/>
        <w:jc w:val="both"/>
        <w:rPr>
          <w:caps w:val="false"/>
          <w:smallCaps w:val="false"/>
        </w:rPr>
      </w:pPr>
      <w:r>
        <w:rPr>
          <w:caps w:val="false"/>
          <w:smallCaps w:val="false"/>
        </w:rPr>
        <w:t> </w:t>
      </w:r>
    </w:p>
    <w:tbl>
      <w:tblPr>
        <w:tblW w:w="6473" w:type="dxa"/>
        <w:jc w:val="left"/>
        <w:tblInd w:w="0" w:type="dxa"/>
        <w:tblLayout w:type="fixed"/>
        <w:tblCellMar>
          <w:top w:w="0" w:type="dxa"/>
          <w:left w:w="0" w:type="dxa"/>
          <w:bottom w:w="0" w:type="dxa"/>
          <w:right w:w="0" w:type="dxa"/>
        </w:tblCellMar>
      </w:tblPr>
      <w:tblGrid>
        <w:gridCol w:w="4340"/>
        <w:gridCol w:w="60"/>
        <w:gridCol w:w="241"/>
        <w:gridCol w:w="655"/>
        <w:gridCol w:w="103"/>
        <w:gridCol w:w="103"/>
        <w:gridCol w:w="241"/>
        <w:gridCol w:w="655"/>
        <w:gridCol w:w="75"/>
      </w:tblGrid>
      <w:tr>
        <w:trPr/>
        <w:tc>
          <w:tcPr>
            <w:tcW w:w="4340"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p>
        </w:tc>
        <w:tc>
          <w:tcPr>
            <w:tcW w:w="1998"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As of December 31,</w:t>
            </w:r>
          </w:p>
        </w:tc>
        <w:tc>
          <w:tcPr>
            <w:tcW w:w="75" w:type="dxa"/>
            <w:tcBorders/>
            <w:vAlign w:val="center"/>
          </w:tcPr>
          <w:p>
            <w:pPr>
              <w:pStyle w:val="TableContents"/>
              <w:bidi w:val="0"/>
              <w:spacing w:before="0" w:after="283"/>
              <w:jc w:val="left"/>
              <w:rPr/>
            </w:pPr>
            <w:r>
              <w:rPr/>
              <w:t> </w:t>
            </w:r>
          </w:p>
        </w:tc>
      </w:tr>
      <w:tr>
        <w:trPr/>
        <w:tc>
          <w:tcPr>
            <w:tcW w:w="4340"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p>
        </w:tc>
        <w:tc>
          <w:tcPr>
            <w:tcW w:w="896"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2024</w:t>
            </w:r>
          </w:p>
        </w:tc>
        <w:tc>
          <w:tcPr>
            <w:tcW w:w="103" w:type="dxa"/>
            <w:tcBorders/>
            <w:vAlign w:val="center"/>
          </w:tcPr>
          <w:p>
            <w:pPr>
              <w:pStyle w:val="TableContents"/>
              <w:bidi w:val="0"/>
              <w:spacing w:before="0" w:after="283"/>
              <w:jc w:val="left"/>
              <w:rPr/>
            </w:pPr>
            <w:r>
              <w:rPr/>
              <w:t> </w:t>
            </w:r>
          </w:p>
        </w:tc>
        <w:tc>
          <w:tcPr>
            <w:tcW w:w="103" w:type="dxa"/>
            <w:tcBorders/>
            <w:vAlign w:val="center"/>
          </w:tcPr>
          <w:p>
            <w:pPr>
              <w:pStyle w:val="TableContents"/>
              <w:bidi w:val="0"/>
              <w:spacing w:before="0" w:after="283"/>
              <w:jc w:val="left"/>
              <w:rPr/>
            </w:pPr>
            <w:r>
              <w:rPr/>
              <w:t> </w:t>
            </w:r>
          </w:p>
        </w:tc>
        <w:tc>
          <w:tcPr>
            <w:tcW w:w="896"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2023</w:t>
            </w:r>
          </w:p>
        </w:tc>
        <w:tc>
          <w:tcPr>
            <w:tcW w:w="75" w:type="dxa"/>
            <w:tcBorders/>
            <w:vAlign w:val="center"/>
          </w:tcPr>
          <w:p>
            <w:pPr>
              <w:pStyle w:val="TableContents"/>
              <w:bidi w:val="0"/>
              <w:spacing w:before="0" w:after="283"/>
              <w:jc w:val="left"/>
              <w:rPr/>
            </w:pPr>
            <w:r>
              <w:rPr/>
              <w:t> </w:t>
            </w:r>
          </w:p>
        </w:tc>
      </w:tr>
      <w:tr>
        <w:trPr/>
        <w:tc>
          <w:tcPr>
            <w:tcW w:w="4340" w:type="dxa"/>
            <w:tcBorders/>
            <w:shd w:fill="CCEEFF" w:val="clear"/>
            <w:vAlign w:val="center"/>
          </w:tcPr>
          <w:p>
            <w:pPr>
              <w:pStyle w:val="TableContents"/>
              <w:bidi w:val="0"/>
              <w:spacing w:before="0" w:after="283"/>
              <w:jc w:val="both"/>
              <w:rPr/>
            </w:pPr>
            <w:r>
              <w:rPr/>
              <w:t>Operating lease right-of-use asset, net</w:t>
            </w:r>
          </w:p>
        </w:tc>
        <w:tc>
          <w:tcPr>
            <w:tcW w:w="60" w:type="dxa"/>
            <w:tcBorders/>
            <w:shd w:fill="CCEEFF" w:val="clear"/>
            <w:vAlign w:val="center"/>
          </w:tcPr>
          <w:p>
            <w:pPr>
              <w:pStyle w:val="TableContents"/>
              <w:bidi w:val="0"/>
              <w:spacing w:before="0" w:after="283"/>
              <w:jc w:val="left"/>
              <w:rPr/>
            </w:pPr>
            <w:r>
              <w:rPr/>
              <w:t> </w:t>
            </w:r>
          </w:p>
        </w:tc>
        <w:tc>
          <w:tcPr>
            <w:tcW w:w="241"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655" w:type="dxa"/>
            <w:tcBorders>
              <w:bottom w:val="double" w:sz="10" w:space="0" w:color="000000"/>
            </w:tcBorders>
            <w:shd w:fill="CCEEFF" w:val="clear"/>
            <w:tcMar>
              <w:bottom w:w="28" w:type="dxa"/>
            </w:tcMar>
            <w:vAlign w:val="center"/>
          </w:tcPr>
          <w:p>
            <w:pPr>
              <w:pStyle w:val="TableContents"/>
              <w:bidi w:val="0"/>
              <w:spacing w:before="0" w:after="283"/>
              <w:jc w:val="right"/>
              <w:rPr/>
            </w:pPr>
            <w:r>
              <w:rPr/>
              <w:t>397</w:t>
            </w:r>
          </w:p>
        </w:tc>
        <w:tc>
          <w:tcPr>
            <w:tcW w:w="103" w:type="dxa"/>
            <w:tcBorders/>
            <w:shd w:fill="CCEEFF" w:val="clear"/>
            <w:vAlign w:val="center"/>
          </w:tcPr>
          <w:p>
            <w:pPr>
              <w:pStyle w:val="TableContents"/>
              <w:bidi w:val="0"/>
              <w:spacing w:before="0" w:after="283"/>
              <w:jc w:val="left"/>
              <w:rPr/>
            </w:pPr>
            <w:r>
              <w:rPr/>
              <w:t> </w:t>
            </w:r>
          </w:p>
        </w:tc>
        <w:tc>
          <w:tcPr>
            <w:tcW w:w="103" w:type="dxa"/>
            <w:tcBorders/>
            <w:shd w:fill="CCEEFF" w:val="clear"/>
            <w:vAlign w:val="center"/>
          </w:tcPr>
          <w:p>
            <w:pPr>
              <w:pStyle w:val="TableContents"/>
              <w:bidi w:val="0"/>
              <w:spacing w:before="0" w:after="283"/>
              <w:jc w:val="left"/>
              <w:rPr/>
            </w:pPr>
            <w:r>
              <w:rPr/>
              <w:t> </w:t>
            </w:r>
          </w:p>
        </w:tc>
        <w:tc>
          <w:tcPr>
            <w:tcW w:w="241"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655" w:type="dxa"/>
            <w:tcBorders>
              <w:bottom w:val="double" w:sz="10" w:space="0" w:color="000000"/>
            </w:tcBorders>
            <w:shd w:fill="CCEEFF" w:val="clear"/>
            <w:tcMar>
              <w:bottom w:w="28" w:type="dxa"/>
            </w:tcMar>
            <w:vAlign w:val="center"/>
          </w:tcPr>
          <w:p>
            <w:pPr>
              <w:pStyle w:val="TableContents"/>
              <w:bidi w:val="0"/>
              <w:spacing w:before="0" w:after="283"/>
              <w:jc w:val="right"/>
              <w:rPr/>
            </w:pPr>
            <w:r>
              <w:rPr/>
              <w:t>506</w:t>
            </w:r>
          </w:p>
        </w:tc>
        <w:tc>
          <w:tcPr>
            <w:tcW w:w="75" w:type="dxa"/>
            <w:tcBorders/>
            <w:shd w:fill="CCEEFF" w:val="clear"/>
            <w:vAlign w:val="center"/>
          </w:tcPr>
          <w:p>
            <w:pPr>
              <w:pStyle w:val="TableContents"/>
              <w:bidi w:val="0"/>
              <w:spacing w:before="0" w:after="283"/>
              <w:jc w:val="left"/>
              <w:rPr/>
            </w:pPr>
            <w:r>
              <w:rPr/>
              <w:t> </w:t>
            </w:r>
          </w:p>
        </w:tc>
      </w:tr>
      <w:tr>
        <w:trPr/>
        <w:tc>
          <w:tcPr>
            <w:tcW w:w="434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41" w:type="dxa"/>
            <w:tcBorders/>
            <w:shd w:fill="FFFFFF" w:val="clear"/>
            <w:vAlign w:val="center"/>
          </w:tcPr>
          <w:p>
            <w:pPr>
              <w:pStyle w:val="TableContents"/>
              <w:bidi w:val="0"/>
              <w:spacing w:before="0" w:after="283"/>
              <w:jc w:val="left"/>
              <w:rPr/>
            </w:pPr>
            <w:r>
              <w:rPr/>
              <w:t> </w:t>
            </w:r>
          </w:p>
        </w:tc>
        <w:tc>
          <w:tcPr>
            <w:tcW w:w="655" w:type="dxa"/>
            <w:tcBorders/>
            <w:shd w:fill="FFFFFF" w:val="clear"/>
            <w:vAlign w:val="center"/>
          </w:tcPr>
          <w:p>
            <w:pPr>
              <w:pStyle w:val="TableContents"/>
              <w:bidi w:val="0"/>
              <w:spacing w:before="0" w:after="283"/>
              <w:jc w:val="right"/>
              <w:rPr/>
            </w:pPr>
            <w:r>
              <w:rPr/>
              <w:t> </w:t>
            </w:r>
          </w:p>
        </w:tc>
        <w:tc>
          <w:tcPr>
            <w:tcW w:w="103" w:type="dxa"/>
            <w:tcBorders/>
            <w:shd w:fill="FFFFFF" w:val="clear"/>
            <w:vAlign w:val="center"/>
          </w:tcPr>
          <w:p>
            <w:pPr>
              <w:pStyle w:val="TableContents"/>
              <w:bidi w:val="0"/>
              <w:spacing w:before="0" w:after="283"/>
              <w:jc w:val="left"/>
              <w:rPr/>
            </w:pPr>
            <w:r>
              <w:rPr/>
              <w:t> </w:t>
            </w:r>
          </w:p>
        </w:tc>
        <w:tc>
          <w:tcPr>
            <w:tcW w:w="103" w:type="dxa"/>
            <w:tcBorders/>
            <w:shd w:fill="FFFFFF" w:val="clear"/>
            <w:vAlign w:val="center"/>
          </w:tcPr>
          <w:p>
            <w:pPr>
              <w:pStyle w:val="TableContents"/>
              <w:bidi w:val="0"/>
              <w:spacing w:before="0" w:after="283"/>
              <w:jc w:val="left"/>
              <w:rPr/>
            </w:pPr>
            <w:r>
              <w:rPr/>
              <w:t> </w:t>
            </w:r>
          </w:p>
        </w:tc>
        <w:tc>
          <w:tcPr>
            <w:tcW w:w="241" w:type="dxa"/>
            <w:tcBorders/>
            <w:shd w:fill="FFFFFF" w:val="clear"/>
            <w:vAlign w:val="center"/>
          </w:tcPr>
          <w:p>
            <w:pPr>
              <w:pStyle w:val="TableContents"/>
              <w:bidi w:val="0"/>
              <w:spacing w:before="0" w:after="283"/>
              <w:jc w:val="left"/>
              <w:rPr/>
            </w:pPr>
            <w:r>
              <w:rPr/>
              <w:t> </w:t>
            </w:r>
          </w:p>
        </w:tc>
        <w:tc>
          <w:tcPr>
            <w:tcW w:w="655" w:type="dxa"/>
            <w:tcBorders/>
            <w:shd w:fill="FFFFFF" w:val="clear"/>
            <w:vAlign w:val="center"/>
          </w:tcPr>
          <w:p>
            <w:pPr>
              <w:pStyle w:val="TableContents"/>
              <w:bidi w:val="0"/>
              <w:spacing w:before="0" w:after="283"/>
              <w:jc w:val="right"/>
              <w:rPr/>
            </w:pPr>
            <w:r>
              <w:rPr/>
              <w:t> </w:t>
            </w:r>
          </w:p>
        </w:tc>
        <w:tc>
          <w:tcPr>
            <w:tcW w:w="75" w:type="dxa"/>
            <w:tcBorders/>
            <w:shd w:fill="FFFFFF" w:val="clear"/>
            <w:vAlign w:val="center"/>
          </w:tcPr>
          <w:p>
            <w:pPr>
              <w:pStyle w:val="TableContents"/>
              <w:bidi w:val="0"/>
              <w:spacing w:before="0" w:after="283"/>
              <w:jc w:val="left"/>
              <w:rPr/>
            </w:pPr>
            <w:r>
              <w:rPr/>
              <w:t> </w:t>
            </w:r>
          </w:p>
        </w:tc>
      </w:tr>
      <w:tr>
        <w:trPr/>
        <w:tc>
          <w:tcPr>
            <w:tcW w:w="4340" w:type="dxa"/>
            <w:tcBorders/>
            <w:shd w:fill="CCEEFF" w:val="clear"/>
            <w:vAlign w:val="center"/>
          </w:tcPr>
          <w:p>
            <w:pPr>
              <w:pStyle w:val="TableContents"/>
              <w:bidi w:val="0"/>
              <w:spacing w:before="0" w:after="283"/>
              <w:jc w:val="both"/>
              <w:rPr/>
            </w:pPr>
            <w:r>
              <w:rPr/>
              <w:t>Current portion of operating lease liability</w:t>
            </w:r>
          </w:p>
        </w:tc>
        <w:tc>
          <w:tcPr>
            <w:tcW w:w="60" w:type="dxa"/>
            <w:tcBorders/>
            <w:shd w:fill="CCEEFF" w:val="clear"/>
            <w:vAlign w:val="center"/>
          </w:tcPr>
          <w:p>
            <w:pPr>
              <w:pStyle w:val="TableContents"/>
              <w:bidi w:val="0"/>
              <w:spacing w:before="0" w:after="283"/>
              <w:jc w:val="left"/>
              <w:rPr/>
            </w:pPr>
            <w:r>
              <w:rPr/>
              <w:t> </w:t>
            </w:r>
          </w:p>
        </w:tc>
        <w:tc>
          <w:tcPr>
            <w:tcW w:w="241" w:type="dxa"/>
            <w:tcBorders/>
            <w:shd w:fill="CCEEFF" w:val="clear"/>
            <w:vAlign w:val="center"/>
          </w:tcPr>
          <w:p>
            <w:pPr>
              <w:pStyle w:val="TableContents"/>
              <w:bidi w:val="0"/>
              <w:spacing w:before="0" w:after="283"/>
              <w:jc w:val="left"/>
              <w:rPr/>
            </w:pPr>
            <w:r>
              <w:rPr/>
              <w:t>$</w:t>
            </w:r>
          </w:p>
        </w:tc>
        <w:tc>
          <w:tcPr>
            <w:tcW w:w="655" w:type="dxa"/>
            <w:tcBorders/>
            <w:shd w:fill="CCEEFF" w:val="clear"/>
            <w:vAlign w:val="center"/>
          </w:tcPr>
          <w:p>
            <w:pPr>
              <w:pStyle w:val="TableContents"/>
              <w:bidi w:val="0"/>
              <w:spacing w:before="0" w:after="283"/>
              <w:jc w:val="right"/>
              <w:rPr/>
            </w:pPr>
            <w:r>
              <w:rPr/>
              <w:t>119</w:t>
            </w:r>
          </w:p>
        </w:tc>
        <w:tc>
          <w:tcPr>
            <w:tcW w:w="103" w:type="dxa"/>
            <w:tcBorders/>
            <w:shd w:fill="CCEEFF" w:val="clear"/>
            <w:vAlign w:val="center"/>
          </w:tcPr>
          <w:p>
            <w:pPr>
              <w:pStyle w:val="TableContents"/>
              <w:bidi w:val="0"/>
              <w:spacing w:before="0" w:after="283"/>
              <w:jc w:val="left"/>
              <w:rPr/>
            </w:pPr>
            <w:r>
              <w:rPr/>
              <w:t> </w:t>
            </w:r>
          </w:p>
        </w:tc>
        <w:tc>
          <w:tcPr>
            <w:tcW w:w="103" w:type="dxa"/>
            <w:tcBorders/>
            <w:shd w:fill="CCEEFF" w:val="clear"/>
            <w:vAlign w:val="center"/>
          </w:tcPr>
          <w:p>
            <w:pPr>
              <w:pStyle w:val="TableContents"/>
              <w:bidi w:val="0"/>
              <w:spacing w:before="0" w:after="283"/>
              <w:jc w:val="left"/>
              <w:rPr/>
            </w:pPr>
            <w:r>
              <w:rPr/>
              <w:t> </w:t>
            </w:r>
          </w:p>
        </w:tc>
        <w:tc>
          <w:tcPr>
            <w:tcW w:w="241" w:type="dxa"/>
            <w:tcBorders/>
            <w:shd w:fill="CCEEFF" w:val="clear"/>
            <w:vAlign w:val="center"/>
          </w:tcPr>
          <w:p>
            <w:pPr>
              <w:pStyle w:val="TableContents"/>
              <w:bidi w:val="0"/>
              <w:spacing w:before="0" w:after="283"/>
              <w:jc w:val="left"/>
              <w:rPr/>
            </w:pPr>
            <w:r>
              <w:rPr/>
              <w:t>$</w:t>
            </w:r>
          </w:p>
        </w:tc>
        <w:tc>
          <w:tcPr>
            <w:tcW w:w="655" w:type="dxa"/>
            <w:tcBorders/>
            <w:shd w:fill="CCEEFF" w:val="clear"/>
            <w:vAlign w:val="center"/>
          </w:tcPr>
          <w:p>
            <w:pPr>
              <w:pStyle w:val="TableContents"/>
              <w:bidi w:val="0"/>
              <w:spacing w:before="0" w:after="283"/>
              <w:jc w:val="right"/>
              <w:rPr/>
            </w:pPr>
            <w:r>
              <w:rPr/>
              <w:t>108</w:t>
            </w:r>
          </w:p>
        </w:tc>
        <w:tc>
          <w:tcPr>
            <w:tcW w:w="75" w:type="dxa"/>
            <w:tcBorders/>
            <w:shd w:fill="CCEEFF" w:val="clear"/>
            <w:vAlign w:val="center"/>
          </w:tcPr>
          <w:p>
            <w:pPr>
              <w:pStyle w:val="TableContents"/>
              <w:bidi w:val="0"/>
              <w:spacing w:before="0" w:after="283"/>
              <w:jc w:val="left"/>
              <w:rPr/>
            </w:pPr>
            <w:r>
              <w:rPr/>
              <w:t> </w:t>
            </w:r>
          </w:p>
        </w:tc>
      </w:tr>
      <w:tr>
        <w:trPr/>
        <w:tc>
          <w:tcPr>
            <w:tcW w:w="4340" w:type="dxa"/>
            <w:tcBorders/>
            <w:shd w:fill="FFFFFF" w:val="clear"/>
            <w:vAlign w:val="center"/>
          </w:tcPr>
          <w:p>
            <w:pPr>
              <w:pStyle w:val="TableContents"/>
              <w:bidi w:val="0"/>
              <w:spacing w:before="0" w:after="283"/>
              <w:jc w:val="both"/>
              <w:rPr/>
            </w:pPr>
            <w:r>
              <w:rPr/>
              <w:t>Noncurrent portion of operating lease liability</w:t>
            </w:r>
          </w:p>
        </w:tc>
        <w:tc>
          <w:tcPr>
            <w:tcW w:w="60" w:type="dxa"/>
            <w:tcBorders/>
            <w:shd w:fill="FFFFFF" w:val="clear"/>
            <w:vAlign w:val="center"/>
          </w:tcPr>
          <w:p>
            <w:pPr>
              <w:pStyle w:val="TableContents"/>
              <w:bidi w:val="0"/>
              <w:spacing w:before="0" w:after="283"/>
              <w:jc w:val="left"/>
              <w:rPr/>
            </w:pPr>
            <w:r>
              <w:rPr/>
              <w:t> </w:t>
            </w:r>
          </w:p>
        </w:tc>
        <w:tc>
          <w:tcPr>
            <w:tcW w:w="241"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655" w:type="dxa"/>
            <w:tcBorders>
              <w:bottom w:val="single" w:sz="12" w:space="0" w:color="000000"/>
            </w:tcBorders>
            <w:shd w:fill="FFFFFF" w:val="clear"/>
            <w:tcMar>
              <w:bottom w:w="28" w:type="dxa"/>
            </w:tcMar>
            <w:vAlign w:val="center"/>
          </w:tcPr>
          <w:p>
            <w:pPr>
              <w:pStyle w:val="TableContents"/>
              <w:bidi w:val="0"/>
              <w:spacing w:before="0" w:after="283"/>
              <w:jc w:val="right"/>
              <w:rPr/>
            </w:pPr>
            <w:r>
              <w:rPr/>
              <w:t>302</w:t>
            </w:r>
          </w:p>
        </w:tc>
        <w:tc>
          <w:tcPr>
            <w:tcW w:w="103" w:type="dxa"/>
            <w:tcBorders/>
            <w:shd w:fill="FFFFFF" w:val="clear"/>
            <w:vAlign w:val="center"/>
          </w:tcPr>
          <w:p>
            <w:pPr>
              <w:pStyle w:val="TableContents"/>
              <w:bidi w:val="0"/>
              <w:spacing w:before="0" w:after="283"/>
              <w:jc w:val="left"/>
              <w:rPr/>
            </w:pPr>
            <w:r>
              <w:rPr/>
              <w:t> </w:t>
            </w:r>
          </w:p>
        </w:tc>
        <w:tc>
          <w:tcPr>
            <w:tcW w:w="103" w:type="dxa"/>
            <w:tcBorders/>
            <w:shd w:fill="FFFFFF" w:val="clear"/>
            <w:vAlign w:val="center"/>
          </w:tcPr>
          <w:p>
            <w:pPr>
              <w:pStyle w:val="TableContents"/>
              <w:bidi w:val="0"/>
              <w:spacing w:before="0" w:after="283"/>
              <w:jc w:val="left"/>
              <w:rPr/>
            </w:pPr>
            <w:r>
              <w:rPr/>
              <w:t> </w:t>
            </w:r>
          </w:p>
        </w:tc>
        <w:tc>
          <w:tcPr>
            <w:tcW w:w="241"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655" w:type="dxa"/>
            <w:tcBorders>
              <w:bottom w:val="single" w:sz="12" w:space="0" w:color="000000"/>
            </w:tcBorders>
            <w:shd w:fill="FFFFFF" w:val="clear"/>
            <w:tcMar>
              <w:bottom w:w="28" w:type="dxa"/>
            </w:tcMar>
            <w:vAlign w:val="center"/>
          </w:tcPr>
          <w:p>
            <w:pPr>
              <w:pStyle w:val="TableContents"/>
              <w:bidi w:val="0"/>
              <w:spacing w:before="0" w:after="283"/>
              <w:jc w:val="right"/>
              <w:rPr/>
            </w:pPr>
            <w:r>
              <w:rPr/>
              <w:t>421</w:t>
            </w:r>
          </w:p>
        </w:tc>
        <w:tc>
          <w:tcPr>
            <w:tcW w:w="75" w:type="dxa"/>
            <w:tcBorders/>
            <w:shd w:fill="FFFFFF" w:val="clear"/>
            <w:vAlign w:val="center"/>
          </w:tcPr>
          <w:p>
            <w:pPr>
              <w:pStyle w:val="TableContents"/>
              <w:bidi w:val="0"/>
              <w:spacing w:before="0" w:after="283"/>
              <w:jc w:val="left"/>
              <w:rPr/>
            </w:pPr>
            <w:r>
              <w:rPr/>
              <w:t> </w:t>
            </w:r>
          </w:p>
        </w:tc>
      </w:tr>
      <w:tr>
        <w:trPr/>
        <w:tc>
          <w:tcPr>
            <w:tcW w:w="4340" w:type="dxa"/>
            <w:tcBorders/>
            <w:shd w:fill="CCEEFF" w:val="clear"/>
            <w:vAlign w:val="center"/>
          </w:tcPr>
          <w:p>
            <w:pPr>
              <w:pStyle w:val="TableContents"/>
              <w:bidi w:val="0"/>
              <w:spacing w:before="0" w:after="283"/>
              <w:jc w:val="both"/>
              <w:rPr/>
            </w:pPr>
            <w:r>
              <w:rPr/>
              <w:t>Total operating lease liability</w:t>
            </w:r>
          </w:p>
        </w:tc>
        <w:tc>
          <w:tcPr>
            <w:tcW w:w="60" w:type="dxa"/>
            <w:tcBorders/>
            <w:shd w:fill="CCEEFF" w:val="clear"/>
            <w:vAlign w:val="center"/>
          </w:tcPr>
          <w:p>
            <w:pPr>
              <w:pStyle w:val="TableContents"/>
              <w:bidi w:val="0"/>
              <w:spacing w:before="0" w:after="283"/>
              <w:jc w:val="left"/>
              <w:rPr/>
            </w:pPr>
            <w:r>
              <w:rPr/>
              <w:t> </w:t>
            </w:r>
          </w:p>
        </w:tc>
        <w:tc>
          <w:tcPr>
            <w:tcW w:w="241"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655" w:type="dxa"/>
            <w:tcBorders>
              <w:bottom w:val="double" w:sz="10" w:space="0" w:color="000000"/>
            </w:tcBorders>
            <w:shd w:fill="CCEEFF" w:val="clear"/>
            <w:tcMar>
              <w:bottom w:w="28" w:type="dxa"/>
            </w:tcMar>
            <w:vAlign w:val="center"/>
          </w:tcPr>
          <w:p>
            <w:pPr>
              <w:pStyle w:val="TableContents"/>
              <w:bidi w:val="0"/>
              <w:spacing w:before="0" w:after="283"/>
              <w:jc w:val="right"/>
              <w:rPr/>
            </w:pPr>
            <w:r>
              <w:rPr/>
              <w:t>421</w:t>
            </w:r>
          </w:p>
        </w:tc>
        <w:tc>
          <w:tcPr>
            <w:tcW w:w="103" w:type="dxa"/>
            <w:tcBorders/>
            <w:shd w:fill="CCEEFF" w:val="clear"/>
            <w:vAlign w:val="center"/>
          </w:tcPr>
          <w:p>
            <w:pPr>
              <w:pStyle w:val="TableContents"/>
              <w:bidi w:val="0"/>
              <w:spacing w:before="0" w:after="283"/>
              <w:jc w:val="left"/>
              <w:rPr/>
            </w:pPr>
            <w:r>
              <w:rPr/>
              <w:t> </w:t>
            </w:r>
          </w:p>
        </w:tc>
        <w:tc>
          <w:tcPr>
            <w:tcW w:w="103" w:type="dxa"/>
            <w:tcBorders/>
            <w:shd w:fill="CCEEFF" w:val="clear"/>
            <w:vAlign w:val="center"/>
          </w:tcPr>
          <w:p>
            <w:pPr>
              <w:pStyle w:val="TableContents"/>
              <w:bidi w:val="0"/>
              <w:spacing w:before="0" w:after="283"/>
              <w:jc w:val="left"/>
              <w:rPr/>
            </w:pPr>
            <w:r>
              <w:rPr/>
              <w:t> </w:t>
            </w:r>
          </w:p>
        </w:tc>
        <w:tc>
          <w:tcPr>
            <w:tcW w:w="241"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655" w:type="dxa"/>
            <w:tcBorders>
              <w:bottom w:val="double" w:sz="10" w:space="0" w:color="000000"/>
            </w:tcBorders>
            <w:shd w:fill="CCEEFF" w:val="clear"/>
            <w:tcMar>
              <w:bottom w:w="28" w:type="dxa"/>
            </w:tcMar>
            <w:vAlign w:val="center"/>
          </w:tcPr>
          <w:p>
            <w:pPr>
              <w:pStyle w:val="TableContents"/>
              <w:bidi w:val="0"/>
              <w:spacing w:before="0" w:after="283"/>
              <w:jc w:val="right"/>
              <w:rPr/>
            </w:pPr>
            <w:r>
              <w:rPr/>
              <w:t>529</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sz w:val="20"/>
          <w:bdr w:val="single" w:sz="12" w:space="1" w:color="000000"/>
        </w:rPr>
      </w:pPr>
      <w:r>
        <w:rPr>
          <w:sz w:val="20"/>
          <w:bdr w:val="single" w:sz="12" w:space="1" w:color="000000"/>
        </w:rPr>
        <w:t>F-126</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Cash paid for amounts included in the measurement of operating lease liabilities totaled $108 and $80 for the years ended December 31, 2024 and 2023, respectively.</w:t>
      </w:r>
    </w:p>
    <w:p>
      <w:pPr>
        <w:pStyle w:val="TextBody"/>
        <w:bidi w:val="0"/>
        <w:spacing w:before="0" w:after="0"/>
        <w:ind w:left="0" w:right="0" w:hanging="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Because the Company generally does not have access to the rate implicit in a lease, the Company uses its incremental borrowing rate to determine the present value of its leases.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summarizes the weighted average remaining lease terms and discount rates:</w:t>
      </w:r>
    </w:p>
    <w:p>
      <w:pPr>
        <w:pStyle w:val="TextBody"/>
        <w:bidi w:val="0"/>
        <w:spacing w:before="0" w:after="0"/>
        <w:ind w:left="0" w:right="0" w:hanging="0"/>
        <w:jc w:val="both"/>
        <w:rPr>
          <w:caps w:val="false"/>
          <w:smallCaps w:val="false"/>
        </w:rPr>
      </w:pPr>
      <w:r>
        <w:rPr>
          <w:caps w:val="false"/>
          <w:smallCaps w:val="false"/>
        </w:rPr>
        <w:t> </w:t>
      </w:r>
    </w:p>
    <w:tbl>
      <w:tblPr>
        <w:tblW w:w="6563" w:type="dxa"/>
        <w:jc w:val="left"/>
        <w:tblInd w:w="0" w:type="dxa"/>
        <w:tblLayout w:type="fixed"/>
        <w:tblCellMar>
          <w:top w:w="0" w:type="dxa"/>
          <w:left w:w="0" w:type="dxa"/>
          <w:bottom w:w="0" w:type="dxa"/>
          <w:right w:w="0" w:type="dxa"/>
        </w:tblCellMar>
      </w:tblPr>
      <w:tblGrid>
        <w:gridCol w:w="3755"/>
        <w:gridCol w:w="60"/>
        <w:gridCol w:w="156"/>
        <w:gridCol w:w="838"/>
        <w:gridCol w:w="415"/>
        <w:gridCol w:w="115"/>
        <w:gridCol w:w="155"/>
        <w:gridCol w:w="839"/>
        <w:gridCol w:w="230"/>
      </w:tblGrid>
      <w:tr>
        <w:trPr/>
        <w:tc>
          <w:tcPr>
            <w:tcW w:w="3755"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p>
        </w:tc>
        <w:tc>
          <w:tcPr>
            <w:tcW w:w="2518"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As of December 31,</w:t>
            </w:r>
          </w:p>
        </w:tc>
        <w:tc>
          <w:tcPr>
            <w:tcW w:w="230" w:type="dxa"/>
            <w:tcBorders/>
            <w:vAlign w:val="center"/>
          </w:tcPr>
          <w:p>
            <w:pPr>
              <w:pStyle w:val="TableContents"/>
              <w:bidi w:val="0"/>
              <w:spacing w:before="0" w:after="283"/>
              <w:jc w:val="left"/>
              <w:rPr/>
            </w:pPr>
            <w:r>
              <w:rPr/>
              <w:t> </w:t>
            </w:r>
          </w:p>
        </w:tc>
      </w:tr>
      <w:tr>
        <w:trPr/>
        <w:tc>
          <w:tcPr>
            <w:tcW w:w="3755"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p>
        </w:tc>
        <w:tc>
          <w:tcPr>
            <w:tcW w:w="994"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2024</w:t>
            </w:r>
          </w:p>
        </w:tc>
        <w:tc>
          <w:tcPr>
            <w:tcW w:w="415" w:type="dxa"/>
            <w:tcBorders/>
            <w:vAlign w:val="center"/>
          </w:tcPr>
          <w:p>
            <w:pPr>
              <w:pStyle w:val="TableContents"/>
              <w:bidi w:val="0"/>
              <w:spacing w:before="0" w:after="283"/>
              <w:jc w:val="left"/>
              <w:rPr/>
            </w:pPr>
            <w:r>
              <w:rPr/>
              <w:t> </w:t>
            </w:r>
          </w:p>
        </w:tc>
        <w:tc>
          <w:tcPr>
            <w:tcW w:w="115" w:type="dxa"/>
            <w:tcBorders/>
            <w:vAlign w:val="center"/>
          </w:tcPr>
          <w:p>
            <w:pPr>
              <w:pStyle w:val="TableContents"/>
              <w:bidi w:val="0"/>
              <w:spacing w:before="0" w:after="283"/>
              <w:jc w:val="left"/>
              <w:rPr/>
            </w:pPr>
            <w:r>
              <w:rPr/>
              <w:t> </w:t>
            </w:r>
          </w:p>
        </w:tc>
        <w:tc>
          <w:tcPr>
            <w:tcW w:w="994"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2023</w:t>
            </w:r>
          </w:p>
        </w:tc>
        <w:tc>
          <w:tcPr>
            <w:tcW w:w="230" w:type="dxa"/>
            <w:tcBorders/>
            <w:vAlign w:val="center"/>
          </w:tcPr>
          <w:p>
            <w:pPr>
              <w:pStyle w:val="TableContents"/>
              <w:bidi w:val="0"/>
              <w:spacing w:before="0" w:after="283"/>
              <w:jc w:val="left"/>
              <w:rPr/>
            </w:pPr>
            <w:r>
              <w:rPr/>
              <w:t> </w:t>
            </w:r>
          </w:p>
        </w:tc>
      </w:tr>
      <w:tr>
        <w:trPr/>
        <w:tc>
          <w:tcPr>
            <w:tcW w:w="3755" w:type="dxa"/>
            <w:tcBorders/>
            <w:shd w:fill="CCEEFF" w:val="clear"/>
            <w:vAlign w:val="center"/>
          </w:tcPr>
          <w:p>
            <w:pPr>
              <w:pStyle w:val="TableContents"/>
              <w:bidi w:val="0"/>
              <w:spacing w:before="0" w:after="283"/>
              <w:jc w:val="both"/>
              <w:rPr/>
            </w:pPr>
            <w:r>
              <w:rPr/>
              <w:t>Weighted average remaining lease term</w:t>
            </w:r>
          </w:p>
        </w:tc>
        <w:tc>
          <w:tcPr>
            <w:tcW w:w="60" w:type="dxa"/>
            <w:tcBorders/>
            <w:shd w:fill="CCEEFF" w:val="clear"/>
            <w:vAlign w:val="center"/>
          </w:tcPr>
          <w:p>
            <w:pPr>
              <w:pStyle w:val="TableContents"/>
              <w:bidi w:val="0"/>
              <w:spacing w:before="0" w:after="283"/>
              <w:jc w:val="left"/>
              <w:rPr/>
            </w:pPr>
            <w:r>
              <w:rPr/>
              <w:t> </w:t>
            </w:r>
          </w:p>
        </w:tc>
        <w:tc>
          <w:tcPr>
            <w:tcW w:w="994" w:type="dxa"/>
            <w:gridSpan w:val="2"/>
            <w:tcBorders/>
            <w:shd w:fill="CCEEFF" w:val="clear"/>
            <w:vAlign w:val="center"/>
          </w:tcPr>
          <w:p>
            <w:pPr>
              <w:pStyle w:val="TableContents"/>
              <w:bidi w:val="0"/>
              <w:spacing w:before="0" w:after="283"/>
              <w:jc w:val="right"/>
              <w:rPr/>
            </w:pPr>
            <w:r>
              <w:rPr/>
              <w:t>3.17 years</w:t>
            </w:r>
          </w:p>
        </w:tc>
        <w:tc>
          <w:tcPr>
            <w:tcW w:w="415" w:type="dxa"/>
            <w:tcBorders/>
            <w:shd w:fill="CCEEFF" w:val="clear"/>
            <w:vAlign w:val="center"/>
          </w:tcPr>
          <w:p>
            <w:pPr>
              <w:pStyle w:val="TableContents"/>
              <w:bidi w:val="0"/>
              <w:spacing w:before="0" w:after="283"/>
              <w:jc w:val="left"/>
              <w:rPr/>
            </w:pPr>
            <w:r>
              <w:rPr/>
              <w:t> </w:t>
            </w:r>
          </w:p>
        </w:tc>
        <w:tc>
          <w:tcPr>
            <w:tcW w:w="115" w:type="dxa"/>
            <w:tcBorders/>
            <w:shd w:fill="CCEEFF" w:val="clear"/>
            <w:vAlign w:val="center"/>
          </w:tcPr>
          <w:p>
            <w:pPr>
              <w:pStyle w:val="TableContents"/>
              <w:bidi w:val="0"/>
              <w:spacing w:before="0" w:after="283"/>
              <w:jc w:val="left"/>
              <w:rPr/>
            </w:pPr>
            <w:r>
              <w:rPr/>
              <w:t> </w:t>
            </w:r>
          </w:p>
        </w:tc>
        <w:tc>
          <w:tcPr>
            <w:tcW w:w="994" w:type="dxa"/>
            <w:gridSpan w:val="2"/>
            <w:tcBorders/>
            <w:shd w:fill="CCEEFF" w:val="clear"/>
            <w:vAlign w:val="center"/>
          </w:tcPr>
          <w:p>
            <w:pPr>
              <w:pStyle w:val="TableContents"/>
              <w:bidi w:val="0"/>
              <w:spacing w:before="0" w:after="283"/>
              <w:jc w:val="right"/>
              <w:rPr/>
            </w:pPr>
            <w:r>
              <w:rPr/>
              <w:t>4.17 years</w:t>
            </w:r>
          </w:p>
        </w:tc>
        <w:tc>
          <w:tcPr>
            <w:tcW w:w="230" w:type="dxa"/>
            <w:tcBorders/>
            <w:shd w:fill="CCEEFF" w:val="clear"/>
            <w:vAlign w:val="center"/>
          </w:tcPr>
          <w:p>
            <w:pPr>
              <w:pStyle w:val="TableContents"/>
              <w:bidi w:val="0"/>
              <w:spacing w:before="0" w:after="283"/>
              <w:jc w:val="left"/>
              <w:rPr/>
            </w:pPr>
            <w:r>
              <w:rPr/>
              <w:t> </w:t>
            </w:r>
          </w:p>
        </w:tc>
      </w:tr>
      <w:tr>
        <w:trPr/>
        <w:tc>
          <w:tcPr>
            <w:tcW w:w="3755" w:type="dxa"/>
            <w:tcBorders/>
            <w:shd w:fill="FFFFFF" w:val="clear"/>
            <w:vAlign w:val="center"/>
          </w:tcPr>
          <w:p>
            <w:pPr>
              <w:pStyle w:val="TableContents"/>
              <w:bidi w:val="0"/>
              <w:spacing w:before="0" w:after="283"/>
              <w:jc w:val="both"/>
              <w:rPr/>
            </w:pPr>
            <w:r>
              <w:rPr/>
              <w:t>Weighted average discount rate</w:t>
            </w:r>
          </w:p>
        </w:tc>
        <w:tc>
          <w:tcPr>
            <w:tcW w:w="60" w:type="dxa"/>
            <w:tcBorders/>
            <w:shd w:fill="FFFFFF" w:val="clear"/>
            <w:vAlign w:val="center"/>
          </w:tcPr>
          <w:p>
            <w:pPr>
              <w:pStyle w:val="TableContents"/>
              <w:bidi w:val="0"/>
              <w:spacing w:before="0" w:after="283"/>
              <w:jc w:val="left"/>
              <w:rPr/>
            </w:pPr>
            <w:r>
              <w:rPr/>
              <w:t> </w:t>
            </w:r>
          </w:p>
        </w:tc>
        <w:tc>
          <w:tcPr>
            <w:tcW w:w="156" w:type="dxa"/>
            <w:tcBorders/>
            <w:shd w:fill="FFFFFF" w:val="clear"/>
            <w:vAlign w:val="center"/>
          </w:tcPr>
          <w:p>
            <w:pPr>
              <w:pStyle w:val="TableContents"/>
              <w:bidi w:val="0"/>
              <w:spacing w:before="0" w:after="283"/>
              <w:jc w:val="left"/>
              <w:rPr/>
            </w:pPr>
            <w:r>
              <w:rPr/>
              <w:t> </w:t>
            </w:r>
          </w:p>
        </w:tc>
        <w:tc>
          <w:tcPr>
            <w:tcW w:w="838" w:type="dxa"/>
            <w:tcBorders/>
            <w:shd w:fill="FFFFFF" w:val="clear"/>
            <w:vAlign w:val="center"/>
          </w:tcPr>
          <w:p>
            <w:pPr>
              <w:pStyle w:val="TableContents"/>
              <w:bidi w:val="0"/>
              <w:spacing w:before="0" w:after="283"/>
              <w:jc w:val="right"/>
              <w:rPr/>
            </w:pPr>
            <w:r>
              <w:rPr/>
              <w:t>6.5</w:t>
            </w:r>
          </w:p>
        </w:tc>
        <w:tc>
          <w:tcPr>
            <w:tcW w:w="415" w:type="dxa"/>
            <w:tcBorders/>
            <w:shd w:fill="FFFFFF" w:val="clear"/>
            <w:vAlign w:val="center"/>
          </w:tcPr>
          <w:p>
            <w:pPr>
              <w:pStyle w:val="TableContents"/>
              <w:bidi w:val="0"/>
              <w:spacing w:before="0" w:after="283"/>
              <w:jc w:val="left"/>
              <w:rPr/>
            </w:pPr>
            <w:r>
              <w:rPr/>
              <w:t>%</w:t>
            </w:r>
          </w:p>
        </w:tc>
        <w:tc>
          <w:tcPr>
            <w:tcW w:w="115" w:type="dxa"/>
            <w:tcBorders/>
            <w:shd w:fill="FFFFFF" w:val="clear"/>
            <w:vAlign w:val="center"/>
          </w:tcPr>
          <w:p>
            <w:pPr>
              <w:pStyle w:val="TableContents"/>
              <w:bidi w:val="0"/>
              <w:spacing w:before="0" w:after="283"/>
              <w:jc w:val="left"/>
              <w:rPr/>
            </w:pPr>
            <w:r>
              <w:rPr/>
              <w:t> </w:t>
            </w:r>
          </w:p>
        </w:tc>
        <w:tc>
          <w:tcPr>
            <w:tcW w:w="155" w:type="dxa"/>
            <w:tcBorders/>
            <w:shd w:fill="FFFFFF" w:val="clear"/>
            <w:vAlign w:val="center"/>
          </w:tcPr>
          <w:p>
            <w:pPr>
              <w:pStyle w:val="TableContents"/>
              <w:bidi w:val="0"/>
              <w:spacing w:before="0" w:after="283"/>
              <w:jc w:val="left"/>
              <w:rPr/>
            </w:pPr>
            <w:r>
              <w:rPr/>
              <w:t> </w:t>
            </w:r>
          </w:p>
        </w:tc>
        <w:tc>
          <w:tcPr>
            <w:tcW w:w="839" w:type="dxa"/>
            <w:tcBorders/>
            <w:shd w:fill="FFFFFF" w:val="clear"/>
            <w:vAlign w:val="center"/>
          </w:tcPr>
          <w:p>
            <w:pPr>
              <w:pStyle w:val="TableContents"/>
              <w:bidi w:val="0"/>
              <w:spacing w:before="0" w:after="283"/>
              <w:jc w:val="right"/>
              <w:rPr/>
            </w:pPr>
            <w:r>
              <w:rPr/>
              <w:t>6.5</w:t>
            </w:r>
          </w:p>
        </w:tc>
        <w:tc>
          <w:tcPr>
            <w:tcW w:w="230" w:type="dxa"/>
            <w:tcBorders/>
            <w:shd w:fill="FFFFFF" w:val="clear"/>
            <w:vAlign w:val="center"/>
          </w:tcPr>
          <w:p>
            <w:pPr>
              <w:pStyle w:val="TableContents"/>
              <w:bidi w:val="0"/>
              <w:spacing w:before="0" w:after="283"/>
              <w:jc w:val="left"/>
              <w:rPr/>
            </w:pPr>
            <w:r>
              <w:rPr/>
              <w: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future maturities of the operating lease liabilities as of December 31, 2024, were as follows:</w:t>
      </w:r>
    </w:p>
    <w:p>
      <w:pPr>
        <w:pStyle w:val="TextBody"/>
        <w:bidi w:val="0"/>
        <w:spacing w:before="0" w:after="0"/>
        <w:ind w:left="0" w:right="0" w:hanging="0"/>
        <w:jc w:val="both"/>
        <w:rPr>
          <w:caps w:val="false"/>
          <w:smallCaps w:val="false"/>
        </w:rPr>
      </w:pPr>
      <w:r>
        <w:rPr>
          <w:caps w:val="false"/>
          <w:smallCaps w:val="false"/>
        </w:rPr>
        <w:t> </w:t>
      </w:r>
    </w:p>
    <w:tbl>
      <w:tblPr>
        <w:tblW w:w="2780" w:type="dxa"/>
        <w:jc w:val="left"/>
        <w:tblInd w:w="0" w:type="dxa"/>
        <w:tblLayout w:type="fixed"/>
        <w:tblCellMar>
          <w:top w:w="0" w:type="dxa"/>
          <w:left w:w="0" w:type="dxa"/>
          <w:bottom w:w="0" w:type="dxa"/>
          <w:right w:w="0" w:type="dxa"/>
        </w:tblCellMar>
      </w:tblPr>
      <w:tblGrid>
        <w:gridCol w:w="2090"/>
        <w:gridCol w:w="60"/>
        <w:gridCol w:w="140"/>
        <w:gridCol w:w="380"/>
        <w:gridCol w:w="110"/>
      </w:tblGrid>
      <w:tr>
        <w:trPr/>
        <w:tc>
          <w:tcPr>
            <w:tcW w:w="2090" w:type="dxa"/>
            <w:tcBorders/>
            <w:vAlign w:val="center"/>
          </w:tcPr>
          <w:p>
            <w:pPr>
              <w:pStyle w:val="TableContents"/>
              <w:bidi w:val="0"/>
              <w:spacing w:before="0" w:after="283"/>
              <w:jc w:val="both"/>
              <w:rPr/>
            </w:pPr>
            <w:r>
              <w:rPr/>
              <w:t>Year ending:</w:t>
            </w:r>
          </w:p>
        </w:tc>
        <w:tc>
          <w:tcPr>
            <w:tcW w:w="60" w:type="dxa"/>
            <w:tcBorders/>
            <w:vAlign w:val="center"/>
          </w:tcPr>
          <w:p>
            <w:pPr>
              <w:pStyle w:val="TableContents"/>
              <w:bidi w:val="0"/>
              <w:spacing w:before="0" w:after="283"/>
              <w:jc w:val="left"/>
              <w:rPr/>
            </w:pPr>
            <w:r>
              <w:rPr/>
              <w:t> </w:t>
            </w:r>
          </w:p>
        </w:tc>
        <w:tc>
          <w:tcPr>
            <w:tcW w:w="520" w:type="dxa"/>
            <w:gridSpan w:val="2"/>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 </w:t>
            </w:r>
          </w:p>
        </w:tc>
      </w:tr>
      <w:tr>
        <w:trPr/>
        <w:tc>
          <w:tcPr>
            <w:tcW w:w="2090" w:type="dxa"/>
            <w:tcBorders/>
            <w:shd w:fill="CCEEFF" w:val="clear"/>
            <w:vAlign w:val="center"/>
          </w:tcPr>
          <w:p>
            <w:pPr>
              <w:pStyle w:val="TableContents"/>
              <w:bidi w:val="0"/>
              <w:spacing w:before="0" w:after="283"/>
              <w:jc w:val="both"/>
              <w:rPr/>
            </w:pPr>
            <w:r>
              <w:rPr/>
              <w:t>2025</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380" w:type="dxa"/>
            <w:tcBorders/>
            <w:shd w:fill="CCEEFF" w:val="clear"/>
            <w:vAlign w:val="center"/>
          </w:tcPr>
          <w:p>
            <w:pPr>
              <w:pStyle w:val="TableContents"/>
              <w:bidi w:val="0"/>
              <w:spacing w:before="0" w:after="283"/>
              <w:jc w:val="right"/>
              <w:rPr/>
            </w:pPr>
            <w:r>
              <w:rPr/>
              <w:t>142</w:t>
            </w:r>
          </w:p>
        </w:tc>
        <w:tc>
          <w:tcPr>
            <w:tcW w:w="110" w:type="dxa"/>
            <w:tcBorders/>
            <w:shd w:fill="CCEEFF" w:val="clear"/>
            <w:vAlign w:val="center"/>
          </w:tcPr>
          <w:p>
            <w:pPr>
              <w:pStyle w:val="TableContents"/>
              <w:bidi w:val="0"/>
              <w:spacing w:before="0" w:after="283"/>
              <w:jc w:val="left"/>
              <w:rPr/>
            </w:pPr>
            <w:r>
              <w:rPr/>
              <w:t> </w:t>
            </w:r>
          </w:p>
        </w:tc>
      </w:tr>
      <w:tr>
        <w:trPr/>
        <w:tc>
          <w:tcPr>
            <w:tcW w:w="2090" w:type="dxa"/>
            <w:tcBorders/>
            <w:shd w:fill="FFFFFF" w:val="clear"/>
            <w:vAlign w:val="center"/>
          </w:tcPr>
          <w:p>
            <w:pPr>
              <w:pStyle w:val="TableContents"/>
              <w:bidi w:val="0"/>
              <w:spacing w:before="0" w:after="283"/>
              <w:jc w:val="both"/>
              <w:rPr/>
            </w:pPr>
            <w:r>
              <w:rPr/>
              <w:t>2026</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380" w:type="dxa"/>
            <w:tcBorders/>
            <w:shd w:fill="FFFFFF" w:val="clear"/>
            <w:vAlign w:val="center"/>
          </w:tcPr>
          <w:p>
            <w:pPr>
              <w:pStyle w:val="TableContents"/>
              <w:bidi w:val="0"/>
              <w:spacing w:before="0" w:after="283"/>
              <w:jc w:val="right"/>
              <w:rPr/>
            </w:pPr>
            <w:r>
              <w:rPr/>
              <w:t>147</w:t>
            </w:r>
          </w:p>
        </w:tc>
        <w:tc>
          <w:tcPr>
            <w:tcW w:w="110" w:type="dxa"/>
            <w:tcBorders/>
            <w:shd w:fill="FFFFFF" w:val="clear"/>
            <w:vAlign w:val="center"/>
          </w:tcPr>
          <w:p>
            <w:pPr>
              <w:pStyle w:val="TableContents"/>
              <w:bidi w:val="0"/>
              <w:spacing w:before="0" w:after="283"/>
              <w:jc w:val="left"/>
              <w:rPr/>
            </w:pPr>
            <w:r>
              <w:rPr/>
              <w:t> </w:t>
            </w:r>
          </w:p>
        </w:tc>
      </w:tr>
      <w:tr>
        <w:trPr/>
        <w:tc>
          <w:tcPr>
            <w:tcW w:w="2090" w:type="dxa"/>
            <w:tcBorders/>
            <w:shd w:fill="CCEEFF" w:val="clear"/>
            <w:vAlign w:val="center"/>
          </w:tcPr>
          <w:p>
            <w:pPr>
              <w:pStyle w:val="TableContents"/>
              <w:bidi w:val="0"/>
              <w:spacing w:before="0" w:after="283"/>
              <w:jc w:val="both"/>
              <w:rPr/>
            </w:pPr>
            <w:r>
              <w:rPr/>
              <w:t>2027</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380" w:type="dxa"/>
            <w:tcBorders/>
            <w:shd w:fill="CCEEFF" w:val="clear"/>
            <w:vAlign w:val="center"/>
          </w:tcPr>
          <w:p>
            <w:pPr>
              <w:pStyle w:val="TableContents"/>
              <w:bidi w:val="0"/>
              <w:spacing w:before="0" w:after="283"/>
              <w:jc w:val="right"/>
              <w:rPr/>
            </w:pPr>
            <w:r>
              <w:rPr/>
              <w:t>151</w:t>
            </w:r>
          </w:p>
        </w:tc>
        <w:tc>
          <w:tcPr>
            <w:tcW w:w="110" w:type="dxa"/>
            <w:tcBorders/>
            <w:shd w:fill="CCEEFF" w:val="clear"/>
            <w:vAlign w:val="center"/>
          </w:tcPr>
          <w:p>
            <w:pPr>
              <w:pStyle w:val="TableContents"/>
              <w:bidi w:val="0"/>
              <w:spacing w:before="0" w:after="283"/>
              <w:jc w:val="left"/>
              <w:rPr/>
            </w:pPr>
            <w:r>
              <w:rPr/>
              <w:t> </w:t>
            </w:r>
          </w:p>
        </w:tc>
      </w:tr>
      <w:tr>
        <w:trPr/>
        <w:tc>
          <w:tcPr>
            <w:tcW w:w="2090" w:type="dxa"/>
            <w:tcBorders/>
            <w:shd w:fill="FFFFFF" w:val="clear"/>
            <w:vAlign w:val="center"/>
          </w:tcPr>
          <w:p>
            <w:pPr>
              <w:pStyle w:val="TableContents"/>
              <w:bidi w:val="0"/>
              <w:spacing w:before="0" w:after="283"/>
              <w:jc w:val="both"/>
              <w:rPr/>
            </w:pPr>
            <w:r>
              <w:rPr/>
              <w:t>2028</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380" w:type="dxa"/>
            <w:tcBorders>
              <w:bottom w:val="single" w:sz="12" w:space="0" w:color="000000"/>
            </w:tcBorders>
            <w:shd w:fill="FFFFFF" w:val="clear"/>
            <w:tcMar>
              <w:bottom w:w="28" w:type="dxa"/>
            </w:tcMar>
            <w:vAlign w:val="center"/>
          </w:tcPr>
          <w:p>
            <w:pPr>
              <w:pStyle w:val="TableContents"/>
              <w:bidi w:val="0"/>
              <w:spacing w:before="0" w:after="283"/>
              <w:jc w:val="right"/>
              <w:rPr/>
            </w:pPr>
            <w:r>
              <w:rPr/>
              <w:t>25</w:t>
            </w:r>
          </w:p>
        </w:tc>
        <w:tc>
          <w:tcPr>
            <w:tcW w:w="110" w:type="dxa"/>
            <w:tcBorders/>
            <w:shd w:fill="FFFFFF" w:val="clear"/>
            <w:vAlign w:val="center"/>
          </w:tcPr>
          <w:p>
            <w:pPr>
              <w:pStyle w:val="TableContents"/>
              <w:bidi w:val="0"/>
              <w:spacing w:before="0" w:after="283"/>
              <w:jc w:val="left"/>
              <w:rPr/>
            </w:pPr>
            <w:r>
              <w:rPr/>
              <w:t> </w:t>
            </w:r>
          </w:p>
        </w:tc>
      </w:tr>
      <w:tr>
        <w:trPr/>
        <w:tc>
          <w:tcPr>
            <w:tcW w:w="2090" w:type="dxa"/>
            <w:tcBorders/>
            <w:shd w:fill="CCEEFF" w:val="clear"/>
            <w:vAlign w:val="center"/>
          </w:tcPr>
          <w:p>
            <w:pPr>
              <w:pStyle w:val="TableContents"/>
              <w:bidi w:val="0"/>
              <w:spacing w:before="0" w:after="283"/>
              <w:jc w:val="both"/>
              <w:rPr/>
            </w:pPr>
            <w:r>
              <w:rPr/>
              <w:t>Total lease payments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380" w:type="dxa"/>
            <w:tcBorders>
              <w:bottom w:val="single" w:sz="12" w:space="0" w:color="000000"/>
            </w:tcBorders>
            <w:shd w:fill="CCEEFF" w:val="clear"/>
            <w:tcMar>
              <w:bottom w:w="28" w:type="dxa"/>
            </w:tcMar>
            <w:vAlign w:val="center"/>
          </w:tcPr>
          <w:p>
            <w:pPr>
              <w:pStyle w:val="TableContents"/>
              <w:bidi w:val="0"/>
              <w:spacing w:before="0" w:after="283"/>
              <w:jc w:val="right"/>
              <w:rPr/>
            </w:pPr>
            <w:r>
              <w:rPr/>
              <w:t>465</w:t>
            </w:r>
          </w:p>
        </w:tc>
        <w:tc>
          <w:tcPr>
            <w:tcW w:w="110" w:type="dxa"/>
            <w:tcBorders/>
            <w:shd w:fill="CCEEFF" w:val="clear"/>
            <w:vAlign w:val="center"/>
          </w:tcPr>
          <w:p>
            <w:pPr>
              <w:pStyle w:val="TableContents"/>
              <w:bidi w:val="0"/>
              <w:spacing w:before="0" w:after="283"/>
              <w:jc w:val="left"/>
              <w:rPr/>
            </w:pPr>
            <w:r>
              <w:rPr/>
              <w:t> </w:t>
            </w:r>
          </w:p>
        </w:tc>
      </w:tr>
      <w:tr>
        <w:trPr/>
        <w:tc>
          <w:tcPr>
            <w:tcW w:w="2090" w:type="dxa"/>
            <w:tcBorders/>
            <w:shd w:fill="FFFFFF" w:val="clear"/>
            <w:vAlign w:val="center"/>
          </w:tcPr>
          <w:p>
            <w:pPr>
              <w:pStyle w:val="TableContents"/>
              <w:bidi w:val="0"/>
              <w:spacing w:before="0" w:after="283"/>
              <w:jc w:val="both"/>
              <w:rPr/>
            </w:pPr>
            <w:r>
              <w:rPr/>
              <w:t>Less: imputed interest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380" w:type="dxa"/>
            <w:tcBorders>
              <w:bottom w:val="single" w:sz="12" w:space="0" w:color="000000"/>
            </w:tcBorders>
            <w:shd w:fill="FFFFFF" w:val="clear"/>
            <w:tcMar>
              <w:bottom w:w="28" w:type="dxa"/>
            </w:tcMar>
            <w:vAlign w:val="center"/>
          </w:tcPr>
          <w:p>
            <w:pPr>
              <w:pStyle w:val="TableContents"/>
              <w:bidi w:val="0"/>
              <w:spacing w:before="0" w:after="283"/>
              <w:jc w:val="right"/>
              <w:rPr/>
            </w:pPr>
            <w:r>
              <w:rPr/>
              <w:t>(44</w:t>
            </w:r>
          </w:p>
        </w:tc>
        <w:tc>
          <w:tcPr>
            <w:tcW w:w="110" w:type="dxa"/>
            <w:tcBorders/>
            <w:shd w:fill="FFFFFF" w:val="clear"/>
            <w:vAlign w:val="center"/>
          </w:tcPr>
          <w:p>
            <w:pPr>
              <w:pStyle w:val="TableContents"/>
              <w:bidi w:val="0"/>
              <w:spacing w:before="0" w:after="283"/>
              <w:jc w:val="left"/>
              <w:rPr/>
            </w:pPr>
            <w:r>
              <w:rPr/>
              <w:t>)</w:t>
            </w:r>
          </w:p>
        </w:tc>
      </w:tr>
      <w:tr>
        <w:trPr/>
        <w:tc>
          <w:tcPr>
            <w:tcW w:w="2090" w:type="dxa"/>
            <w:tcBorders/>
            <w:shd w:fill="CCEEFF" w:val="clear"/>
            <w:vAlign w:val="center"/>
          </w:tcPr>
          <w:p>
            <w:pPr>
              <w:pStyle w:val="TableContents"/>
              <w:bidi w:val="0"/>
              <w:spacing w:before="0" w:after="283"/>
              <w:jc w:val="both"/>
              <w:rPr/>
            </w:pPr>
            <w:r>
              <w:rPr/>
              <w:t>Total</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380" w:type="dxa"/>
            <w:tcBorders>
              <w:bottom w:val="double" w:sz="10" w:space="0" w:color="000000"/>
            </w:tcBorders>
            <w:shd w:fill="CCEEFF" w:val="clear"/>
            <w:tcMar>
              <w:bottom w:w="28" w:type="dxa"/>
            </w:tcMar>
            <w:vAlign w:val="center"/>
          </w:tcPr>
          <w:p>
            <w:pPr>
              <w:pStyle w:val="TableContents"/>
              <w:bidi w:val="0"/>
              <w:spacing w:before="0" w:after="283"/>
              <w:jc w:val="right"/>
              <w:rPr/>
            </w:pPr>
            <w:r>
              <w:rPr/>
              <w:t>421</w:t>
            </w:r>
          </w:p>
        </w:tc>
        <w:tc>
          <w:tcPr>
            <w:tcW w:w="11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Lease expense is presented as rent under operating expenses on the statements of operations and member’s deficit.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Note 11. </w:t>
      </w:r>
      <w:r>
        <w:rPr>
          <w:rFonts w:ascii="Times New Roman;Times;Serif" w:hAnsi="Times New Roman;Times;Serif"/>
          <w:b/>
          <w:i/>
          <w:caps w:val="false"/>
          <w:smallCaps w:val="false"/>
          <w:sz w:val="20"/>
        </w:rPr>
        <w:t>RELATED PARTY TRANSACTIONS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Company obtained a number of insurance policies to help protect the Company from potential losses through a captive insurance company related by common ownership. For the years ended December 31, 2024 and 2023, the Company had insurance expense to the captive of $0 and $651, respectively, which is presented within general and administrative expenses in the statements of operations. As discussed in Note 9 – </w:t>
      </w:r>
      <w:r>
        <w:rPr>
          <w:rFonts w:ascii="Times New Roman;Times;Serif" w:hAnsi="Times New Roman;Times;Serif"/>
          <w:b w:val="false"/>
          <w:i/>
          <w:caps w:val="false"/>
          <w:smallCaps w:val="false"/>
          <w:sz w:val="20"/>
        </w:rPr>
        <w:t>Litigation Financing and Settlement</w:t>
      </w:r>
      <w:r>
        <w:rPr>
          <w:rFonts w:ascii="Times New Roman;Times;Serif" w:hAnsi="Times New Roman;Times;Serif"/>
          <w:b w:val="false"/>
          <w:i w:val="false"/>
          <w:caps w:val="false"/>
          <w:smallCaps w:val="false"/>
          <w:sz w:val="20"/>
        </w:rPr>
        <w:t>, the Company received $500 in the year ended December 31, 2024, from this insurance captive in connection with a claim related to loss of key employees and business litigation related to its dispute with Freedom Forever.</w:t>
      </w:r>
    </w:p>
    <w:p>
      <w:pPr>
        <w:pStyle w:val="TextBody"/>
        <w:bidi w:val="0"/>
        <w:spacing w:before="0" w:after="0"/>
        <w:ind w:left="0" w:right="0" w:hanging="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April 1, 2024, the Company entered into a 41-month subscription agreement with Enzy for use of Enzy’s proprietary SaaS platform, for which monthly subscription fees were incurred. Furthermore, as Enzy was formerly part of the Company, the two entities continue to work closely together. The Company collected revenues for Enzy and paid certain shared expenses for Enzy’s benefit. Collections for Enzy and services received from Enzy totaled $653 and $237 for the years ended December 31, 2024 and 2023, respectively. Expenses incurred for Enzy and fees charged to Enzy totaled $1,015 and $409 for the years ended December 31, 2024 and 2023, respectively. These transactions have resulted in a balance due to the Company from Enzy of $559 and $94 as of December 31, 2024 and 2023, respectively. This balance is presented as due from related party on the Company’s balance sheets.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sz w:val="20"/>
          <w:bdr w:val="single" w:sz="12" w:space="1" w:color="000000"/>
        </w:rPr>
      </w:pPr>
      <w:r>
        <w:rPr>
          <w:sz w:val="20"/>
          <w:bdr w:val="single" w:sz="12" w:space="1" w:color="000000"/>
        </w:rPr>
        <w:t>F-127</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paid certain beneficial owners of the Company $17 per week, plus bonus compensation, in exchange for services provided as independent contractors. These payments are recorded within general and administrative expenses in the accompanying statements of operations and member’s deficit. The Company recognized expenses of $884 and $926 in the years ended December 31, 2024 and 2023, respectively, related to these arrangements.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Note 12. </w:t>
      </w:r>
      <w:r>
        <w:rPr>
          <w:rFonts w:ascii="Times New Roman;Times;Serif" w:hAnsi="Times New Roman;Times;Serif"/>
          <w:b/>
          <w:i/>
          <w:caps w:val="false"/>
          <w:smallCaps w:val="false"/>
          <w:sz w:val="20"/>
        </w:rPr>
        <w:t>COMMITMENTS AND CONTINGENCIES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may be involved in legal proceedings arising in the normal course of business. Management has concluded that no material legal reserves are required to be recorded as of December 31, 2024 and 2023.</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2019, LGCY Power, LLC filed suit against the Company and certain of its officers alleging the violation of Utah Uniform Trade Secrets Act, intentional interference with existing and prospective economic relations, violation of the Lanham Act (15 U.S.C. § 1125), common law unfair competition, violation of state deceptive trade practices laws, violation of the Utah Computer Abuse and Data Recovery Act (Utah Code § 63D-3-101), and civil conspiracy. The plaintiff seeks damages of over $16,000. The Company disputes these claims and is vigorously defending this action. There is no trial date set. Losses associated with this litigation cannot be estimated and no loss has been recorded as of December 31, 2024 and 2023.</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December 31, 2023, the Company filed suit against the former exclusive installation company, Freedom Forever, for breach of contract. Freedom Forever filed a counter suit based on a similar claim. The parties completed discovery, and a hearing commenced on May 5, 2025.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See Note 9 – </w:t>
      </w:r>
      <w:r>
        <w:rPr>
          <w:rFonts w:ascii="Times New Roman;Times;Serif" w:hAnsi="Times New Roman;Times;Serif"/>
          <w:b w:val="false"/>
          <w:i/>
          <w:caps w:val="false"/>
          <w:smallCaps w:val="false"/>
          <w:sz w:val="20"/>
        </w:rPr>
        <w:t>Litigation Financing and Settlement</w:t>
      </w:r>
      <w:r>
        <w:rPr>
          <w:rFonts w:ascii="Times New Roman;Times;Serif" w:hAnsi="Times New Roman;Times;Serif"/>
          <w:b w:val="false"/>
          <w:i w:val="false"/>
          <w:caps w:val="false"/>
          <w:smallCaps w:val="false"/>
          <w:sz w:val="20"/>
        </w:rPr>
        <w:t xml:space="preserve"> for further detail on the resolution of the matter with Freedom Forever.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Note 13. </w:t>
      </w:r>
      <w:r>
        <w:rPr>
          <w:rFonts w:ascii="Times New Roman;Times;Serif" w:hAnsi="Times New Roman;Times;Serif"/>
          <w:b/>
          <w:i/>
          <w:caps w:val="false"/>
          <w:smallCaps w:val="false"/>
          <w:sz w:val="20"/>
        </w:rPr>
        <w:t>STOCK-BASED COMPENSATION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Incentive Stock Units (“Incentive Units”)</w:t>
      </w:r>
    </w:p>
    <w:p>
      <w:pPr>
        <w:pStyle w:val="TextBody"/>
        <w:bidi w:val="0"/>
        <w:spacing w:before="0" w:after="0"/>
        <w:ind w:left="0" w:right="0" w:hanging="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Parent granted Incentive Units to certain employees of the Company commencing after October 2023 onwards pursuant to the Limited Liability Agreement of Chicken Parm Pizza LLC (the “Agreement”). The Incentive Units granted represent a right to participate in the future appreciation above a predetermined “hurdle amount”. The awards are subject to forfeiture and Company purchase rights based on the terms of the Incentive grant award. The Incentive Units are classified as equity-based awards due to the legal form and participation features of the awards. Any Incentive Units granted by the Company prior to October 2023 were all assigned over to the Parent as Units in the Parent. In respect of the Incentive Units issued by the Parent subsequent to October 2023, the related expense was pushed down to the Company.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summary of the Incentive Units for the years ended December 31, 2024 and 2023 is presented below:</w:t>
      </w:r>
    </w:p>
    <w:p>
      <w:pPr>
        <w:pStyle w:val="TextBody"/>
        <w:bidi w:val="0"/>
        <w:spacing w:before="0" w:after="0"/>
        <w:ind w:left="0" w:right="0" w:hanging="0"/>
        <w:jc w:val="both"/>
        <w:rPr>
          <w:caps w:val="false"/>
          <w:smallCaps w:val="false"/>
        </w:rPr>
      </w:pPr>
      <w:r>
        <w:rPr>
          <w:caps w:val="false"/>
          <w:smallCaps w:val="false"/>
        </w:rPr>
        <w:t> </w:t>
      </w:r>
    </w:p>
    <w:tbl>
      <w:tblPr>
        <w:tblW w:w="6239" w:type="dxa"/>
        <w:jc w:val="left"/>
        <w:tblInd w:w="0" w:type="dxa"/>
        <w:tblLayout w:type="fixed"/>
        <w:tblCellMar>
          <w:top w:w="0" w:type="dxa"/>
          <w:left w:w="0" w:type="dxa"/>
          <w:bottom w:w="0" w:type="dxa"/>
          <w:right w:w="0" w:type="dxa"/>
        </w:tblCellMar>
      </w:tblPr>
      <w:tblGrid>
        <w:gridCol w:w="4565"/>
        <w:gridCol w:w="60"/>
        <w:gridCol w:w="121"/>
        <w:gridCol w:w="1383"/>
        <w:gridCol w:w="110"/>
      </w:tblGrid>
      <w:tr>
        <w:trPr/>
        <w:tc>
          <w:tcPr>
            <w:tcW w:w="4565"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p>
        </w:tc>
        <w:tc>
          <w:tcPr>
            <w:tcW w:w="1504"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Incentive units</w:t>
            </w:r>
          </w:p>
        </w:tc>
        <w:tc>
          <w:tcPr>
            <w:tcW w:w="110" w:type="dxa"/>
            <w:tcBorders/>
            <w:vAlign w:val="center"/>
          </w:tcPr>
          <w:p>
            <w:pPr>
              <w:pStyle w:val="TableContents"/>
              <w:bidi w:val="0"/>
              <w:spacing w:before="0" w:after="283"/>
              <w:jc w:val="left"/>
              <w:rPr/>
            </w:pPr>
            <w:r>
              <w:rPr/>
              <w:t> </w:t>
            </w:r>
          </w:p>
        </w:tc>
      </w:tr>
      <w:tr>
        <w:trPr/>
        <w:tc>
          <w:tcPr>
            <w:tcW w:w="4565" w:type="dxa"/>
            <w:tcBorders/>
            <w:shd w:fill="CCEEFF" w:val="clear"/>
            <w:vAlign w:val="center"/>
          </w:tcPr>
          <w:p>
            <w:pPr>
              <w:pStyle w:val="TableContents"/>
              <w:bidi w:val="0"/>
              <w:spacing w:before="0" w:after="283"/>
              <w:jc w:val="both"/>
              <w:rPr/>
            </w:pPr>
            <w:r>
              <w:rPr/>
              <w:t>Incentive units outstanding, January 1, 2023</w:t>
            </w:r>
          </w:p>
        </w:tc>
        <w:tc>
          <w:tcPr>
            <w:tcW w:w="60" w:type="dxa"/>
            <w:tcBorders/>
            <w:shd w:fill="CCEEFF" w:val="clear"/>
            <w:vAlign w:val="center"/>
          </w:tcPr>
          <w:p>
            <w:pPr>
              <w:pStyle w:val="TableContents"/>
              <w:bidi w:val="0"/>
              <w:spacing w:before="0" w:after="283"/>
              <w:jc w:val="left"/>
              <w:rPr/>
            </w:pPr>
            <w:r>
              <w:rPr/>
              <w:t> </w:t>
            </w:r>
          </w:p>
        </w:tc>
        <w:tc>
          <w:tcPr>
            <w:tcW w:w="121" w:type="dxa"/>
            <w:tcBorders/>
            <w:shd w:fill="CCEEFF" w:val="clear"/>
            <w:vAlign w:val="center"/>
          </w:tcPr>
          <w:p>
            <w:pPr>
              <w:pStyle w:val="TableContents"/>
              <w:bidi w:val="0"/>
              <w:spacing w:before="0" w:after="283"/>
              <w:jc w:val="left"/>
              <w:rPr/>
            </w:pPr>
            <w:r>
              <w:rPr/>
              <w:t> </w:t>
            </w:r>
          </w:p>
        </w:tc>
        <w:tc>
          <w:tcPr>
            <w:tcW w:w="1383" w:type="dxa"/>
            <w:tcBorders/>
            <w:shd w:fill="CCEEFF" w:val="clear"/>
            <w:vAlign w:val="center"/>
          </w:tcPr>
          <w:p>
            <w:pPr>
              <w:pStyle w:val="TableContents"/>
              <w:bidi w:val="0"/>
              <w:spacing w:before="0" w:after="283"/>
              <w:jc w:val="right"/>
              <w:rPr/>
            </w:pPr>
            <w:r>
              <w:rPr/>
              <w:t>51,087</w:t>
            </w:r>
          </w:p>
        </w:tc>
        <w:tc>
          <w:tcPr>
            <w:tcW w:w="110" w:type="dxa"/>
            <w:tcBorders/>
            <w:shd w:fill="CCEEFF" w:val="clear"/>
            <w:vAlign w:val="center"/>
          </w:tcPr>
          <w:p>
            <w:pPr>
              <w:pStyle w:val="TableContents"/>
              <w:bidi w:val="0"/>
              <w:spacing w:before="0" w:after="283"/>
              <w:jc w:val="left"/>
              <w:rPr/>
            </w:pPr>
            <w:r>
              <w:rPr/>
              <w:t> </w:t>
            </w:r>
          </w:p>
        </w:tc>
      </w:tr>
      <w:tr>
        <w:trPr/>
        <w:tc>
          <w:tcPr>
            <w:tcW w:w="4565" w:type="dxa"/>
            <w:tcBorders/>
            <w:shd w:fill="FFFFFF" w:val="clear"/>
            <w:vAlign w:val="center"/>
          </w:tcPr>
          <w:p>
            <w:pPr>
              <w:pStyle w:val="TableContents"/>
              <w:bidi w:val="0"/>
              <w:spacing w:before="0" w:after="283"/>
              <w:jc w:val="both"/>
              <w:rPr/>
            </w:pPr>
            <w:r>
              <w:rPr/>
              <w:t>Granted</w:t>
            </w:r>
          </w:p>
        </w:tc>
        <w:tc>
          <w:tcPr>
            <w:tcW w:w="60" w:type="dxa"/>
            <w:tcBorders/>
            <w:shd w:fill="FFFFFF" w:val="clear"/>
            <w:vAlign w:val="center"/>
          </w:tcPr>
          <w:p>
            <w:pPr>
              <w:pStyle w:val="TableContents"/>
              <w:bidi w:val="0"/>
              <w:spacing w:before="0" w:after="283"/>
              <w:jc w:val="left"/>
              <w:rPr/>
            </w:pPr>
            <w:r>
              <w:rPr/>
              <w:t> </w:t>
            </w:r>
          </w:p>
        </w:tc>
        <w:tc>
          <w:tcPr>
            <w:tcW w:w="121" w:type="dxa"/>
            <w:tcBorders/>
            <w:shd w:fill="FFFFFF" w:val="clear"/>
            <w:vAlign w:val="center"/>
          </w:tcPr>
          <w:p>
            <w:pPr>
              <w:pStyle w:val="TableContents"/>
              <w:bidi w:val="0"/>
              <w:spacing w:before="0" w:after="283"/>
              <w:jc w:val="left"/>
              <w:rPr/>
            </w:pPr>
            <w:r>
              <w:rPr/>
              <w:t> </w:t>
            </w:r>
          </w:p>
        </w:tc>
        <w:tc>
          <w:tcPr>
            <w:tcW w:w="1383" w:type="dxa"/>
            <w:tcBorders/>
            <w:shd w:fill="FFFFFF" w:val="clear"/>
            <w:vAlign w:val="center"/>
          </w:tcPr>
          <w:p>
            <w:pPr>
              <w:pStyle w:val="TableContents"/>
              <w:bidi w:val="0"/>
              <w:spacing w:before="0" w:after="283"/>
              <w:jc w:val="right"/>
              <w:rPr/>
            </w:pPr>
            <w:r>
              <w:rPr/>
              <w:t>1,045</w:t>
            </w:r>
          </w:p>
        </w:tc>
        <w:tc>
          <w:tcPr>
            <w:tcW w:w="110" w:type="dxa"/>
            <w:tcBorders/>
            <w:shd w:fill="FFFFFF" w:val="clear"/>
            <w:vAlign w:val="center"/>
          </w:tcPr>
          <w:p>
            <w:pPr>
              <w:pStyle w:val="TableContents"/>
              <w:bidi w:val="0"/>
              <w:spacing w:before="0" w:after="283"/>
              <w:jc w:val="left"/>
              <w:rPr/>
            </w:pPr>
            <w:r>
              <w:rPr/>
              <w:t> </w:t>
            </w:r>
          </w:p>
        </w:tc>
      </w:tr>
      <w:tr>
        <w:trPr/>
        <w:tc>
          <w:tcPr>
            <w:tcW w:w="4565" w:type="dxa"/>
            <w:tcBorders/>
            <w:shd w:fill="CCEEFF" w:val="clear"/>
            <w:vAlign w:val="center"/>
          </w:tcPr>
          <w:p>
            <w:pPr>
              <w:pStyle w:val="TableContents"/>
              <w:bidi w:val="0"/>
              <w:spacing w:before="0" w:after="283"/>
              <w:jc w:val="both"/>
              <w:rPr/>
            </w:pPr>
            <w:r>
              <w:rPr/>
              <w:t>Forfeited</w:t>
            </w:r>
          </w:p>
        </w:tc>
        <w:tc>
          <w:tcPr>
            <w:tcW w:w="60" w:type="dxa"/>
            <w:tcBorders/>
            <w:shd w:fill="CCEEFF" w:val="clear"/>
            <w:vAlign w:val="center"/>
          </w:tcPr>
          <w:p>
            <w:pPr>
              <w:pStyle w:val="TableContents"/>
              <w:bidi w:val="0"/>
              <w:spacing w:before="0" w:after="283"/>
              <w:jc w:val="left"/>
              <w:rPr/>
            </w:pPr>
            <w:r>
              <w:rPr/>
              <w:t> </w:t>
            </w:r>
          </w:p>
        </w:tc>
        <w:tc>
          <w:tcPr>
            <w:tcW w:w="121"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383" w:type="dxa"/>
            <w:tcBorders>
              <w:bottom w:val="single" w:sz="12" w:space="0" w:color="000000"/>
            </w:tcBorders>
            <w:shd w:fill="CCEEFF" w:val="clear"/>
            <w:tcMar>
              <w:bottom w:w="28" w:type="dxa"/>
            </w:tcMar>
            <w:vAlign w:val="center"/>
          </w:tcPr>
          <w:p>
            <w:pPr>
              <w:pStyle w:val="TableContents"/>
              <w:bidi w:val="0"/>
              <w:spacing w:before="0" w:after="283"/>
              <w:jc w:val="right"/>
              <w:rPr/>
            </w:pPr>
            <w:r>
              <w:rPr/>
              <w:t>(8,000</w:t>
            </w:r>
          </w:p>
        </w:tc>
        <w:tc>
          <w:tcPr>
            <w:tcW w:w="110" w:type="dxa"/>
            <w:tcBorders/>
            <w:shd w:fill="CCEEFF" w:val="clear"/>
            <w:vAlign w:val="center"/>
          </w:tcPr>
          <w:p>
            <w:pPr>
              <w:pStyle w:val="TableContents"/>
              <w:bidi w:val="0"/>
              <w:spacing w:before="0" w:after="283"/>
              <w:jc w:val="left"/>
              <w:rPr/>
            </w:pPr>
            <w:r>
              <w:rPr/>
              <w:t>)</w:t>
            </w:r>
          </w:p>
        </w:tc>
      </w:tr>
      <w:tr>
        <w:trPr/>
        <w:tc>
          <w:tcPr>
            <w:tcW w:w="4565" w:type="dxa"/>
            <w:tcBorders/>
            <w:shd w:fill="FFFFFF" w:val="clear"/>
            <w:vAlign w:val="center"/>
          </w:tcPr>
          <w:p>
            <w:pPr>
              <w:pStyle w:val="TableContents"/>
              <w:bidi w:val="0"/>
              <w:spacing w:before="0" w:after="283"/>
              <w:jc w:val="both"/>
              <w:rPr/>
            </w:pPr>
            <w:r>
              <w:rPr/>
              <w:t>Incentive units outstanding, December 31, 2023</w:t>
            </w:r>
          </w:p>
        </w:tc>
        <w:tc>
          <w:tcPr>
            <w:tcW w:w="60" w:type="dxa"/>
            <w:tcBorders/>
            <w:shd w:fill="FFFFFF" w:val="clear"/>
            <w:vAlign w:val="center"/>
          </w:tcPr>
          <w:p>
            <w:pPr>
              <w:pStyle w:val="TableContents"/>
              <w:bidi w:val="0"/>
              <w:spacing w:before="0" w:after="283"/>
              <w:jc w:val="left"/>
              <w:rPr/>
            </w:pPr>
            <w:r>
              <w:rPr/>
              <w:t> </w:t>
            </w:r>
          </w:p>
        </w:tc>
        <w:tc>
          <w:tcPr>
            <w:tcW w:w="121"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383" w:type="dxa"/>
            <w:tcBorders>
              <w:bottom w:val="single" w:sz="12" w:space="0" w:color="000000"/>
            </w:tcBorders>
            <w:shd w:fill="FFFFFF" w:val="clear"/>
            <w:tcMar>
              <w:bottom w:w="28" w:type="dxa"/>
            </w:tcMar>
            <w:vAlign w:val="center"/>
          </w:tcPr>
          <w:p>
            <w:pPr>
              <w:pStyle w:val="TableContents"/>
              <w:bidi w:val="0"/>
              <w:spacing w:before="0" w:after="283"/>
              <w:jc w:val="right"/>
              <w:rPr/>
            </w:pPr>
            <w:r>
              <w:rPr/>
              <w:t>44,132</w:t>
            </w:r>
          </w:p>
        </w:tc>
        <w:tc>
          <w:tcPr>
            <w:tcW w:w="110" w:type="dxa"/>
            <w:tcBorders/>
            <w:shd w:fill="FFFFFF" w:val="clear"/>
            <w:vAlign w:val="center"/>
          </w:tcPr>
          <w:p>
            <w:pPr>
              <w:pStyle w:val="TableContents"/>
              <w:bidi w:val="0"/>
              <w:spacing w:before="0" w:after="283"/>
              <w:jc w:val="left"/>
              <w:rPr/>
            </w:pPr>
            <w:r>
              <w:rPr/>
              <w:t> </w:t>
            </w:r>
          </w:p>
        </w:tc>
      </w:tr>
      <w:tr>
        <w:trPr/>
        <w:tc>
          <w:tcPr>
            <w:tcW w:w="4565" w:type="dxa"/>
            <w:tcBorders/>
            <w:shd w:fill="CCEEFF" w:val="clear"/>
            <w:vAlign w:val="center"/>
          </w:tcPr>
          <w:p>
            <w:pPr>
              <w:pStyle w:val="TableContents"/>
              <w:bidi w:val="0"/>
              <w:spacing w:before="0" w:after="283"/>
              <w:jc w:val="both"/>
              <w:rPr/>
            </w:pPr>
            <w:r>
              <w:rPr/>
              <w:t>Granted</w:t>
            </w:r>
          </w:p>
        </w:tc>
        <w:tc>
          <w:tcPr>
            <w:tcW w:w="60" w:type="dxa"/>
            <w:tcBorders/>
            <w:shd w:fill="CCEEFF" w:val="clear"/>
            <w:vAlign w:val="center"/>
          </w:tcPr>
          <w:p>
            <w:pPr>
              <w:pStyle w:val="TableContents"/>
              <w:bidi w:val="0"/>
              <w:spacing w:before="0" w:after="283"/>
              <w:jc w:val="left"/>
              <w:rPr/>
            </w:pPr>
            <w:r>
              <w:rPr/>
              <w:t> </w:t>
            </w:r>
          </w:p>
        </w:tc>
        <w:tc>
          <w:tcPr>
            <w:tcW w:w="121"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383" w:type="dxa"/>
            <w:tcBorders>
              <w:bottom w:val="single" w:sz="12" w:space="0" w:color="000000"/>
            </w:tcBorders>
            <w:shd w:fill="CCEEFF" w:val="clear"/>
            <w:tcMar>
              <w:bottom w:w="28" w:type="dxa"/>
            </w:tcMar>
            <w:vAlign w:val="center"/>
          </w:tcPr>
          <w:p>
            <w:pPr>
              <w:pStyle w:val="TableContents"/>
              <w:bidi w:val="0"/>
              <w:spacing w:before="0" w:after="283"/>
              <w:jc w:val="right"/>
              <w:rPr/>
            </w:pPr>
            <w:r>
              <w:rPr/>
              <w:t>2,442</w:t>
            </w:r>
          </w:p>
        </w:tc>
        <w:tc>
          <w:tcPr>
            <w:tcW w:w="110" w:type="dxa"/>
            <w:tcBorders/>
            <w:shd w:fill="CCEEFF" w:val="clear"/>
            <w:vAlign w:val="center"/>
          </w:tcPr>
          <w:p>
            <w:pPr>
              <w:pStyle w:val="TableContents"/>
              <w:bidi w:val="0"/>
              <w:spacing w:before="0" w:after="283"/>
              <w:jc w:val="left"/>
              <w:rPr/>
            </w:pPr>
            <w:r>
              <w:rPr/>
              <w:t> </w:t>
            </w:r>
          </w:p>
        </w:tc>
      </w:tr>
      <w:tr>
        <w:trPr/>
        <w:tc>
          <w:tcPr>
            <w:tcW w:w="4565" w:type="dxa"/>
            <w:tcBorders/>
            <w:shd w:fill="FFFFFF" w:val="clear"/>
            <w:vAlign w:val="center"/>
          </w:tcPr>
          <w:p>
            <w:pPr>
              <w:pStyle w:val="TableContents"/>
              <w:bidi w:val="0"/>
              <w:spacing w:before="0" w:after="283"/>
              <w:jc w:val="both"/>
              <w:rPr/>
            </w:pPr>
            <w:r>
              <w:rPr/>
              <w:t>Incentive units outstanding, December 31, 2024</w:t>
            </w:r>
          </w:p>
        </w:tc>
        <w:tc>
          <w:tcPr>
            <w:tcW w:w="60" w:type="dxa"/>
            <w:tcBorders/>
            <w:shd w:fill="FFFFFF" w:val="clear"/>
            <w:vAlign w:val="center"/>
          </w:tcPr>
          <w:p>
            <w:pPr>
              <w:pStyle w:val="TableContents"/>
              <w:bidi w:val="0"/>
              <w:spacing w:before="0" w:after="283"/>
              <w:jc w:val="left"/>
              <w:rPr/>
            </w:pPr>
            <w:r>
              <w:rPr/>
              <w:t> </w:t>
            </w:r>
          </w:p>
        </w:tc>
        <w:tc>
          <w:tcPr>
            <w:tcW w:w="121" w:type="dxa"/>
            <w:tcBorders>
              <w:bottom w:val="double" w:sz="10" w:space="0" w:color="000000"/>
            </w:tcBorders>
            <w:shd w:fill="FFFFFF" w:val="clear"/>
            <w:tcMar>
              <w:bottom w:w="28" w:type="dxa"/>
            </w:tcMar>
            <w:vAlign w:val="center"/>
          </w:tcPr>
          <w:p>
            <w:pPr>
              <w:pStyle w:val="TableContents"/>
              <w:bidi w:val="0"/>
              <w:spacing w:before="0" w:after="283"/>
              <w:jc w:val="left"/>
              <w:rPr/>
            </w:pPr>
            <w:r>
              <w:rPr/>
              <w:t> </w:t>
            </w:r>
          </w:p>
        </w:tc>
        <w:tc>
          <w:tcPr>
            <w:tcW w:w="1383" w:type="dxa"/>
            <w:tcBorders>
              <w:bottom w:val="double" w:sz="10" w:space="0" w:color="000000"/>
            </w:tcBorders>
            <w:shd w:fill="FFFFFF" w:val="clear"/>
            <w:tcMar>
              <w:bottom w:w="28" w:type="dxa"/>
            </w:tcMar>
            <w:vAlign w:val="center"/>
          </w:tcPr>
          <w:p>
            <w:pPr>
              <w:pStyle w:val="TableContents"/>
              <w:bidi w:val="0"/>
              <w:spacing w:before="0" w:after="283"/>
              <w:jc w:val="right"/>
              <w:rPr/>
            </w:pPr>
            <w:r>
              <w:rPr/>
              <w:t>46,574</w:t>
            </w:r>
          </w:p>
        </w:tc>
        <w:tc>
          <w:tcPr>
            <w:tcW w:w="11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sz w:val="20"/>
          <w:bdr w:val="single" w:sz="12" w:space="1" w:color="000000"/>
        </w:rPr>
      </w:pPr>
      <w:r>
        <w:rPr>
          <w:sz w:val="20"/>
          <w:bdr w:val="single" w:sz="12" w:space="1" w:color="000000"/>
        </w:rPr>
        <w:t>F-128</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Incentive Units were estimated to have de minimis value at the time of the grant due to the high hurdle amount associated with these units and other factors relevant to valuation relating to the Company’s future growth and industry prospects. As such, the Company did not recognize any stock-based compensation relating to these Incentive Units for the years ended December 31, 2024, and 2023. As of December 31, 2024, and 2023, unrecognized compensation cost related to unvested Incentive Units was de minimis.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Compensation Award (“Compensation Award”)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Compensation Award provides for a percentage ownership in the Company. These awards entitle the holder to receive a payment from the Company with respect to each vested award held by the holder upon the closing of a Company transaction event (liquidity event) or distribution event, provided such holder is in continuous service with the Company upon the liquidity event or distribution event or was terminated during the thirty (30) calendar days prior to the closing of a Company transaction event as a result of his or her death or permanent disability. The Compensation Award and the liquidity-based bonus plan are liability-classified awards as the settlement at the time of a liquidity event will be in the same form of consideration as received, making the Compensation Award considered to have a cash settlement feature. A liquidity event is defined as including a sale of substantially all of the Company’s assets or more than 90% of outstanding securities of the Company, merger or a consolidation or a similar transaction.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summary of the Compensation Award for the years ended December 31, 2024, and 2023 is presented below:</w:t>
      </w:r>
    </w:p>
    <w:p>
      <w:pPr>
        <w:pStyle w:val="TextBody"/>
        <w:bidi w:val="0"/>
        <w:spacing w:before="0" w:after="0"/>
        <w:ind w:left="0" w:right="0" w:hanging="0"/>
        <w:jc w:val="both"/>
        <w:rPr>
          <w:caps w:val="false"/>
          <w:smallCaps w:val="false"/>
        </w:rPr>
      </w:pPr>
      <w:r>
        <w:rPr>
          <w:caps w:val="false"/>
          <w:smallCaps w:val="false"/>
        </w:rPr>
        <w:t> </w:t>
      </w:r>
    </w:p>
    <w:tbl>
      <w:tblPr>
        <w:tblW w:w="7754" w:type="dxa"/>
        <w:jc w:val="left"/>
        <w:tblInd w:w="0" w:type="dxa"/>
        <w:tblLayout w:type="fixed"/>
        <w:tblCellMar>
          <w:top w:w="0" w:type="dxa"/>
          <w:left w:w="0" w:type="dxa"/>
          <w:bottom w:w="0" w:type="dxa"/>
          <w:right w:w="0" w:type="dxa"/>
        </w:tblCellMar>
      </w:tblPr>
      <w:tblGrid>
        <w:gridCol w:w="5195"/>
        <w:gridCol w:w="60"/>
        <w:gridCol w:w="424"/>
        <w:gridCol w:w="1845"/>
        <w:gridCol w:w="230"/>
      </w:tblGrid>
      <w:tr>
        <w:trPr/>
        <w:tc>
          <w:tcPr>
            <w:tcW w:w="51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2269"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Percentage ownership</w:t>
            </w:r>
          </w:p>
        </w:tc>
        <w:tc>
          <w:tcPr>
            <w:tcW w:w="230" w:type="dxa"/>
            <w:tcBorders/>
            <w:vAlign w:val="center"/>
          </w:tcPr>
          <w:p>
            <w:pPr>
              <w:pStyle w:val="TableContents"/>
              <w:bidi w:val="0"/>
              <w:spacing w:before="0" w:after="283"/>
              <w:jc w:val="center"/>
              <w:rPr/>
            </w:pPr>
            <w:r>
              <w:rPr/>
              <w:t> </w:t>
            </w:r>
          </w:p>
        </w:tc>
      </w:tr>
      <w:tr>
        <w:trPr/>
        <w:tc>
          <w:tcPr>
            <w:tcW w:w="5195" w:type="dxa"/>
            <w:tcBorders/>
            <w:shd w:fill="CCEEFF" w:val="clear"/>
            <w:vAlign w:val="center"/>
          </w:tcPr>
          <w:p>
            <w:pPr>
              <w:pStyle w:val="TableContents"/>
              <w:bidi w:val="0"/>
              <w:spacing w:before="0" w:after="283"/>
              <w:jc w:val="both"/>
              <w:rPr/>
            </w:pPr>
            <w:r>
              <w:rPr/>
              <w:t>Compensation award outstanding, January 1, 2023</w:t>
            </w:r>
          </w:p>
        </w:tc>
        <w:tc>
          <w:tcPr>
            <w:tcW w:w="60" w:type="dxa"/>
            <w:tcBorders/>
            <w:shd w:fill="CCEEFF" w:val="clear"/>
            <w:vAlign w:val="center"/>
          </w:tcPr>
          <w:p>
            <w:pPr>
              <w:pStyle w:val="TableContents"/>
              <w:bidi w:val="0"/>
              <w:spacing w:before="0" w:after="283"/>
              <w:jc w:val="left"/>
              <w:rPr/>
            </w:pPr>
            <w:r>
              <w:rPr/>
              <w:t> </w:t>
            </w:r>
          </w:p>
        </w:tc>
        <w:tc>
          <w:tcPr>
            <w:tcW w:w="424" w:type="dxa"/>
            <w:tcBorders/>
            <w:shd w:fill="CCEEFF" w:val="clear"/>
            <w:vAlign w:val="center"/>
          </w:tcPr>
          <w:p>
            <w:pPr>
              <w:pStyle w:val="TableContents"/>
              <w:bidi w:val="0"/>
              <w:spacing w:before="0" w:after="283"/>
              <w:jc w:val="left"/>
              <w:rPr/>
            </w:pPr>
            <w:r>
              <w:rPr/>
              <w:t> </w:t>
            </w:r>
          </w:p>
        </w:tc>
        <w:tc>
          <w:tcPr>
            <w:tcW w:w="1845" w:type="dxa"/>
            <w:tcBorders/>
            <w:shd w:fill="CCEEFF" w:val="clear"/>
            <w:vAlign w:val="center"/>
          </w:tcPr>
          <w:p>
            <w:pPr>
              <w:pStyle w:val="TableContents"/>
              <w:bidi w:val="0"/>
              <w:spacing w:before="0" w:after="283"/>
              <w:jc w:val="right"/>
              <w:rPr/>
            </w:pPr>
            <w:r>
              <w:rPr/>
              <w:t>0</w:t>
            </w:r>
          </w:p>
        </w:tc>
        <w:tc>
          <w:tcPr>
            <w:tcW w:w="230" w:type="dxa"/>
            <w:tcBorders/>
            <w:shd w:fill="CCEEFF" w:val="clear"/>
            <w:vAlign w:val="center"/>
          </w:tcPr>
          <w:p>
            <w:pPr>
              <w:pStyle w:val="TableContents"/>
              <w:bidi w:val="0"/>
              <w:spacing w:before="0" w:after="283"/>
              <w:jc w:val="left"/>
              <w:rPr/>
            </w:pPr>
            <w:r>
              <w:rPr/>
              <w:t>%</w:t>
            </w:r>
          </w:p>
        </w:tc>
      </w:tr>
      <w:tr>
        <w:trPr/>
        <w:tc>
          <w:tcPr>
            <w:tcW w:w="5195" w:type="dxa"/>
            <w:tcBorders/>
            <w:shd w:fill="FFFFFF" w:val="clear"/>
            <w:vAlign w:val="center"/>
          </w:tcPr>
          <w:p>
            <w:pPr>
              <w:pStyle w:val="TableContents"/>
              <w:bidi w:val="0"/>
              <w:spacing w:before="0" w:after="283"/>
              <w:jc w:val="both"/>
              <w:rPr/>
            </w:pPr>
            <w:r>
              <w:rPr/>
              <w:t>Granted</w:t>
            </w:r>
          </w:p>
        </w:tc>
        <w:tc>
          <w:tcPr>
            <w:tcW w:w="60" w:type="dxa"/>
            <w:tcBorders/>
            <w:shd w:fill="FFFFFF" w:val="clear"/>
            <w:vAlign w:val="center"/>
          </w:tcPr>
          <w:p>
            <w:pPr>
              <w:pStyle w:val="TableContents"/>
              <w:bidi w:val="0"/>
              <w:spacing w:before="0" w:after="283"/>
              <w:jc w:val="left"/>
              <w:rPr/>
            </w:pPr>
            <w:r>
              <w:rPr/>
              <w:t> </w:t>
            </w:r>
          </w:p>
        </w:tc>
        <w:tc>
          <w:tcPr>
            <w:tcW w:w="424"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845" w:type="dxa"/>
            <w:tcBorders>
              <w:bottom w:val="single" w:sz="12" w:space="0" w:color="000000"/>
            </w:tcBorders>
            <w:shd w:fill="FFFFFF" w:val="clear"/>
            <w:tcMar>
              <w:bottom w:w="28" w:type="dxa"/>
            </w:tcMar>
            <w:vAlign w:val="center"/>
          </w:tcPr>
          <w:p>
            <w:pPr>
              <w:pStyle w:val="TableContents"/>
              <w:bidi w:val="0"/>
              <w:spacing w:before="0" w:after="283"/>
              <w:jc w:val="right"/>
              <w:rPr/>
            </w:pPr>
            <w:r>
              <w:rPr/>
              <w:t>0</w:t>
            </w:r>
          </w:p>
        </w:tc>
        <w:tc>
          <w:tcPr>
            <w:tcW w:w="230" w:type="dxa"/>
            <w:tcBorders/>
            <w:shd w:fill="FFFFFF" w:val="clear"/>
            <w:vAlign w:val="center"/>
          </w:tcPr>
          <w:p>
            <w:pPr>
              <w:pStyle w:val="TableContents"/>
              <w:bidi w:val="0"/>
              <w:spacing w:before="0" w:after="283"/>
              <w:jc w:val="left"/>
              <w:rPr/>
            </w:pPr>
            <w:r>
              <w:rPr/>
              <w:t> </w:t>
            </w:r>
          </w:p>
        </w:tc>
      </w:tr>
      <w:tr>
        <w:trPr/>
        <w:tc>
          <w:tcPr>
            <w:tcW w:w="5195" w:type="dxa"/>
            <w:tcBorders/>
            <w:shd w:fill="CCEEFF" w:val="clear"/>
            <w:vAlign w:val="center"/>
          </w:tcPr>
          <w:p>
            <w:pPr>
              <w:pStyle w:val="TableContents"/>
              <w:bidi w:val="0"/>
              <w:spacing w:before="0" w:after="283"/>
              <w:jc w:val="both"/>
              <w:rPr/>
            </w:pPr>
            <w:r>
              <w:rPr/>
              <w:t>Compensation award outstanding, December 31, 2023</w:t>
            </w:r>
          </w:p>
        </w:tc>
        <w:tc>
          <w:tcPr>
            <w:tcW w:w="60" w:type="dxa"/>
            <w:tcBorders/>
            <w:shd w:fill="CCEEFF" w:val="clear"/>
            <w:vAlign w:val="center"/>
          </w:tcPr>
          <w:p>
            <w:pPr>
              <w:pStyle w:val="TableContents"/>
              <w:bidi w:val="0"/>
              <w:spacing w:before="0" w:after="283"/>
              <w:jc w:val="left"/>
              <w:rPr/>
            </w:pPr>
            <w:r>
              <w:rPr/>
              <w:t> </w:t>
            </w:r>
          </w:p>
        </w:tc>
        <w:tc>
          <w:tcPr>
            <w:tcW w:w="424"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845" w:type="dxa"/>
            <w:tcBorders>
              <w:bottom w:val="single" w:sz="12" w:space="0" w:color="000000"/>
            </w:tcBorders>
            <w:shd w:fill="CCEEFF" w:val="clear"/>
            <w:tcMar>
              <w:bottom w:w="28" w:type="dxa"/>
            </w:tcMar>
            <w:vAlign w:val="center"/>
          </w:tcPr>
          <w:p>
            <w:pPr>
              <w:pStyle w:val="TableContents"/>
              <w:bidi w:val="0"/>
              <w:spacing w:before="0" w:after="283"/>
              <w:jc w:val="right"/>
              <w:rPr/>
            </w:pPr>
            <w:r>
              <w:rPr/>
              <w:t>0</w:t>
            </w:r>
          </w:p>
        </w:tc>
        <w:tc>
          <w:tcPr>
            <w:tcW w:w="230" w:type="dxa"/>
            <w:tcBorders/>
            <w:shd w:fill="CCEEFF" w:val="clear"/>
            <w:vAlign w:val="center"/>
          </w:tcPr>
          <w:p>
            <w:pPr>
              <w:pStyle w:val="TableContents"/>
              <w:bidi w:val="0"/>
              <w:spacing w:before="0" w:after="283"/>
              <w:jc w:val="left"/>
              <w:rPr/>
            </w:pPr>
            <w:r>
              <w:rPr/>
              <w:t> </w:t>
            </w:r>
          </w:p>
        </w:tc>
      </w:tr>
      <w:tr>
        <w:trPr/>
        <w:tc>
          <w:tcPr>
            <w:tcW w:w="5195" w:type="dxa"/>
            <w:tcBorders/>
            <w:shd w:fill="FFFFFF" w:val="clear"/>
            <w:vAlign w:val="center"/>
          </w:tcPr>
          <w:p>
            <w:pPr>
              <w:pStyle w:val="TableContents"/>
              <w:bidi w:val="0"/>
              <w:spacing w:before="0" w:after="283"/>
              <w:jc w:val="both"/>
              <w:rPr/>
            </w:pPr>
            <w:r>
              <w:rPr/>
              <w:t>Granted</w:t>
            </w:r>
          </w:p>
        </w:tc>
        <w:tc>
          <w:tcPr>
            <w:tcW w:w="60" w:type="dxa"/>
            <w:tcBorders/>
            <w:shd w:fill="FFFFFF" w:val="clear"/>
            <w:vAlign w:val="center"/>
          </w:tcPr>
          <w:p>
            <w:pPr>
              <w:pStyle w:val="TableContents"/>
              <w:bidi w:val="0"/>
              <w:spacing w:before="0" w:after="283"/>
              <w:jc w:val="left"/>
              <w:rPr/>
            </w:pPr>
            <w:r>
              <w:rPr/>
              <w:t> </w:t>
            </w:r>
          </w:p>
        </w:tc>
        <w:tc>
          <w:tcPr>
            <w:tcW w:w="424"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845" w:type="dxa"/>
            <w:tcBorders>
              <w:bottom w:val="single" w:sz="12" w:space="0" w:color="000000"/>
            </w:tcBorders>
            <w:shd w:fill="FFFFFF" w:val="clear"/>
            <w:tcMar>
              <w:bottom w:w="28" w:type="dxa"/>
            </w:tcMar>
            <w:vAlign w:val="center"/>
          </w:tcPr>
          <w:p>
            <w:pPr>
              <w:pStyle w:val="TableContents"/>
              <w:bidi w:val="0"/>
              <w:spacing w:before="0" w:after="283"/>
              <w:jc w:val="right"/>
              <w:rPr/>
            </w:pPr>
            <w:r>
              <w:rPr/>
              <w:t>10</w:t>
            </w:r>
          </w:p>
        </w:tc>
        <w:tc>
          <w:tcPr>
            <w:tcW w:w="230" w:type="dxa"/>
            <w:tcBorders/>
            <w:shd w:fill="FFFFFF" w:val="clear"/>
            <w:vAlign w:val="center"/>
          </w:tcPr>
          <w:p>
            <w:pPr>
              <w:pStyle w:val="TableContents"/>
              <w:bidi w:val="0"/>
              <w:spacing w:before="0" w:after="283"/>
              <w:jc w:val="left"/>
              <w:rPr/>
            </w:pPr>
            <w:r>
              <w:rPr/>
              <w:t> </w:t>
            </w:r>
          </w:p>
        </w:tc>
      </w:tr>
      <w:tr>
        <w:trPr/>
        <w:tc>
          <w:tcPr>
            <w:tcW w:w="5195" w:type="dxa"/>
            <w:tcBorders/>
            <w:shd w:fill="CCEEFF" w:val="clear"/>
            <w:vAlign w:val="center"/>
          </w:tcPr>
          <w:p>
            <w:pPr>
              <w:pStyle w:val="TableContents"/>
              <w:bidi w:val="0"/>
              <w:spacing w:before="0" w:after="283"/>
              <w:jc w:val="both"/>
              <w:rPr/>
            </w:pPr>
            <w:r>
              <w:rPr/>
              <w:t>Compensation award outstanding December 31, 2024</w:t>
            </w:r>
          </w:p>
        </w:tc>
        <w:tc>
          <w:tcPr>
            <w:tcW w:w="60" w:type="dxa"/>
            <w:tcBorders/>
            <w:shd w:fill="CCEEFF" w:val="clear"/>
            <w:vAlign w:val="center"/>
          </w:tcPr>
          <w:p>
            <w:pPr>
              <w:pStyle w:val="TableContents"/>
              <w:bidi w:val="0"/>
              <w:spacing w:before="0" w:after="283"/>
              <w:jc w:val="left"/>
              <w:rPr/>
            </w:pPr>
            <w:r>
              <w:rPr/>
              <w:t> </w:t>
            </w:r>
          </w:p>
        </w:tc>
        <w:tc>
          <w:tcPr>
            <w:tcW w:w="424"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1845" w:type="dxa"/>
            <w:tcBorders>
              <w:bottom w:val="double" w:sz="10" w:space="0" w:color="000000"/>
            </w:tcBorders>
            <w:shd w:fill="CCEEFF" w:val="clear"/>
            <w:tcMar>
              <w:bottom w:w="28" w:type="dxa"/>
            </w:tcMar>
            <w:vAlign w:val="center"/>
          </w:tcPr>
          <w:p>
            <w:pPr>
              <w:pStyle w:val="TableContents"/>
              <w:bidi w:val="0"/>
              <w:spacing w:before="0" w:after="283"/>
              <w:jc w:val="right"/>
              <w:rPr/>
            </w:pPr>
            <w:r>
              <w:rPr/>
              <w:t>10</w:t>
            </w:r>
          </w:p>
        </w:tc>
        <w:tc>
          <w:tcPr>
            <w:tcW w:w="230" w:type="dxa"/>
            <w:tcBorders/>
            <w:shd w:fill="CCEEFF" w:val="clear"/>
            <w:vAlign w:val="center"/>
          </w:tcPr>
          <w:p>
            <w:pPr>
              <w:pStyle w:val="TableContents"/>
              <w:bidi w:val="0"/>
              <w:spacing w:before="0" w:after="283"/>
              <w:jc w:val="left"/>
              <w:rPr/>
            </w:pPr>
            <w:r>
              <w:rPr/>
              <w: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fair value of these awards at the grant date were estimated based on a number of factors including enterprise value, state of the industry and other relevant business conditions. The Company determined that the performance condition as it related to a liquidity event, was not probable, as such, no compensation cost was recognized for these Compensation Awards for the years ended December 31, 2024, and 2023.</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Liquidity Based Bonus Plan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liquidity-based bonus plan requires a liquidity event for any payout to happen. The payment will be calculated based on a percentage of Incentive Units held by the employee at the time of the liquidity event multiplied by the amount of net proceeds from an equity sale or an asset sale, in either case capped to the hurdle amount per the Incentive Unit agreement with the employee. The liquidity-based bonus plan requires a liquidity event in order for any payout to happen. A liquidity event is defined as including a sale of substantially all of the Company’s assets or more than 90% of outstanding securities of the Company, merger or a consolidation or a similar transaction. The Company determined that the performance condition as it related to a liquidity event was not probable, as such, no compensation cost was recognized for the bonus plan for the years ended December 31, 2024 and 2023.</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sz w:val="20"/>
          <w:bdr w:val="single" w:sz="12" w:space="1" w:color="000000"/>
        </w:rPr>
      </w:pPr>
      <w:r>
        <w:rPr>
          <w:sz w:val="20"/>
          <w:bdr w:val="single" w:sz="12" w:space="1" w:color="000000"/>
        </w:rPr>
        <w:t>F-129</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Note 14. </w:t>
      </w:r>
      <w:r>
        <w:rPr>
          <w:rFonts w:ascii="Times New Roman;Times;Serif" w:hAnsi="Times New Roman;Times;Serif"/>
          <w:b/>
          <w:i/>
          <w:caps w:val="false"/>
          <w:smallCaps w:val="false"/>
          <w:sz w:val="20"/>
        </w:rPr>
        <w:t>DISCONTINUED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On October 30, 2023, the Company discontinued operations of SaaS sales through a spin-off of internally developed software to a related party. In connection with this transaction, the Company entered into a shared services agreement (see Note 11 – </w:t>
      </w:r>
      <w:r>
        <w:rPr>
          <w:rFonts w:ascii="Times New Roman;Times;Serif" w:hAnsi="Times New Roman;Times;Serif"/>
          <w:b w:val="false"/>
          <w:i/>
          <w:caps w:val="false"/>
          <w:smallCaps w:val="false"/>
          <w:sz w:val="20"/>
        </w:rPr>
        <w:t>Related Party Transactions</w:t>
      </w:r>
      <w:r>
        <w:rPr>
          <w:rFonts w:ascii="Times New Roman;Times;Serif" w:hAnsi="Times New Roman;Times;Serif"/>
          <w:b w:val="false"/>
          <w:i w:val="false"/>
          <w:caps w:val="false"/>
          <w:smallCaps w:val="false"/>
          <w:sz w:val="20"/>
        </w:rPr>
        <w:t>). The Company will continue to provide administrative support to the new company for a set monthly fee.</w:t>
      </w:r>
    </w:p>
    <w:p>
      <w:pPr>
        <w:pStyle w:val="TextBody"/>
        <w:bidi w:val="0"/>
        <w:spacing w:before="0" w:after="0"/>
        <w:ind w:left="0" w:right="0" w:hanging="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Cash flows related to discontinued operations were not material. The discontinued operations included in the statement of operations and member’s deficit for the year ended December 31, 2023 are as follows:</w:t>
      </w:r>
    </w:p>
    <w:p>
      <w:pPr>
        <w:pStyle w:val="TextBody"/>
        <w:bidi w:val="0"/>
        <w:spacing w:before="0" w:after="0"/>
        <w:ind w:left="0" w:right="0" w:hanging="0"/>
        <w:jc w:val="both"/>
        <w:rPr>
          <w:caps w:val="false"/>
          <w:smallCaps w:val="false"/>
        </w:rPr>
      </w:pPr>
      <w:r>
        <w:rPr>
          <w:caps w:val="false"/>
          <w:smallCaps w:val="false"/>
        </w:rPr>
        <w:t> </w:t>
      </w:r>
    </w:p>
    <w:tbl>
      <w:tblPr>
        <w:tblW w:w="4235" w:type="dxa"/>
        <w:jc w:val="left"/>
        <w:tblInd w:w="0" w:type="dxa"/>
        <w:tblLayout w:type="fixed"/>
        <w:tblCellMar>
          <w:top w:w="0" w:type="dxa"/>
          <w:left w:w="0" w:type="dxa"/>
          <w:bottom w:w="0" w:type="dxa"/>
          <w:right w:w="0" w:type="dxa"/>
        </w:tblCellMar>
      </w:tblPr>
      <w:tblGrid>
        <w:gridCol w:w="3290"/>
        <w:gridCol w:w="60"/>
        <w:gridCol w:w="140"/>
        <w:gridCol w:w="635"/>
        <w:gridCol w:w="110"/>
      </w:tblGrid>
      <w:tr>
        <w:trPr/>
        <w:tc>
          <w:tcPr>
            <w:tcW w:w="3290" w:type="dxa"/>
            <w:tcBorders/>
            <w:shd w:fill="CCEEFF" w:val="clear"/>
            <w:vAlign w:val="center"/>
          </w:tcPr>
          <w:p>
            <w:pPr>
              <w:pStyle w:val="TableContents"/>
              <w:bidi w:val="0"/>
              <w:spacing w:before="0" w:after="283"/>
              <w:jc w:val="both"/>
              <w:rPr/>
            </w:pPr>
            <w:r>
              <w:rPr/>
              <w:t>Loss from continuing operations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635" w:type="dxa"/>
            <w:tcBorders/>
            <w:shd w:fill="CCEEFF" w:val="clear"/>
            <w:vAlign w:val="center"/>
          </w:tcPr>
          <w:p>
            <w:pPr>
              <w:pStyle w:val="TableContents"/>
              <w:bidi w:val="0"/>
              <w:spacing w:before="0" w:after="283"/>
              <w:jc w:val="right"/>
              <w:rPr/>
            </w:pPr>
            <w:r>
              <w:rPr/>
              <w:t>(6,743</w:t>
            </w:r>
          </w:p>
        </w:tc>
        <w:tc>
          <w:tcPr>
            <w:tcW w:w="110" w:type="dxa"/>
            <w:tcBorders/>
            <w:shd w:fill="CCEEFF" w:val="clear"/>
            <w:vAlign w:val="center"/>
          </w:tcPr>
          <w:p>
            <w:pPr>
              <w:pStyle w:val="TableContents"/>
              <w:bidi w:val="0"/>
              <w:spacing w:before="0" w:after="283"/>
              <w:jc w:val="left"/>
              <w:rPr/>
            </w:pPr>
            <w:r>
              <w:rPr/>
              <w:t>)</w:t>
            </w:r>
          </w:p>
        </w:tc>
      </w:tr>
      <w:tr>
        <w:trPr/>
        <w:tc>
          <w:tcPr>
            <w:tcW w:w="3290" w:type="dxa"/>
            <w:tcBorders/>
            <w:shd w:fill="FFFFFF" w:val="clear"/>
            <w:vAlign w:val="center"/>
          </w:tcPr>
          <w:p>
            <w:pPr>
              <w:pStyle w:val="TableContents"/>
              <w:bidi w:val="0"/>
              <w:spacing w:before="0" w:after="283"/>
              <w:jc w:val="both"/>
              <w:rPr/>
            </w:pPr>
            <w:r>
              <w:rPr/>
              <w:t>Discontinued operations: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35"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3290" w:type="dxa"/>
            <w:tcBorders/>
            <w:shd w:fill="CCEEFF" w:val="clear"/>
            <w:vAlign w:val="center"/>
          </w:tcPr>
          <w:p>
            <w:pPr>
              <w:pStyle w:val="TableContents"/>
              <w:bidi w:val="0"/>
              <w:spacing w:before="0" w:after="283"/>
              <w:jc w:val="both"/>
              <w:rPr/>
            </w:pPr>
            <w:r>
              <w:rPr/>
              <w:t>Revenues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35" w:type="dxa"/>
            <w:tcBorders/>
            <w:shd w:fill="CCEEFF" w:val="clear"/>
            <w:vAlign w:val="center"/>
          </w:tcPr>
          <w:p>
            <w:pPr>
              <w:pStyle w:val="TableContents"/>
              <w:bidi w:val="0"/>
              <w:spacing w:before="0" w:after="283"/>
              <w:jc w:val="right"/>
              <w:rPr/>
            </w:pPr>
            <w:r>
              <w:rPr/>
              <w:t>321</w:t>
            </w:r>
          </w:p>
        </w:tc>
        <w:tc>
          <w:tcPr>
            <w:tcW w:w="110" w:type="dxa"/>
            <w:tcBorders/>
            <w:shd w:fill="CCEEFF" w:val="clear"/>
            <w:vAlign w:val="center"/>
          </w:tcPr>
          <w:p>
            <w:pPr>
              <w:pStyle w:val="TableContents"/>
              <w:bidi w:val="0"/>
              <w:spacing w:before="0" w:after="283"/>
              <w:jc w:val="left"/>
              <w:rPr/>
            </w:pPr>
            <w:r>
              <w:rPr/>
              <w:t> </w:t>
            </w:r>
          </w:p>
        </w:tc>
      </w:tr>
      <w:tr>
        <w:trPr/>
        <w:tc>
          <w:tcPr>
            <w:tcW w:w="3290" w:type="dxa"/>
            <w:tcBorders/>
            <w:shd w:fill="FFFFFF" w:val="clear"/>
            <w:vAlign w:val="center"/>
          </w:tcPr>
          <w:p>
            <w:pPr>
              <w:pStyle w:val="TableContents"/>
              <w:bidi w:val="0"/>
              <w:spacing w:before="0" w:after="283"/>
              <w:jc w:val="both"/>
              <w:rPr/>
            </w:pPr>
            <w:r>
              <w:rPr/>
              <w:t>Cost of revenues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35" w:type="dxa"/>
            <w:tcBorders/>
            <w:shd w:fill="FFFFFF" w:val="clear"/>
            <w:vAlign w:val="center"/>
          </w:tcPr>
          <w:p>
            <w:pPr>
              <w:pStyle w:val="TableContents"/>
              <w:bidi w:val="0"/>
              <w:spacing w:before="0" w:after="283"/>
              <w:jc w:val="right"/>
              <w:rPr/>
            </w:pPr>
            <w:r>
              <w:rPr/>
              <w:t>(66</w:t>
            </w:r>
          </w:p>
        </w:tc>
        <w:tc>
          <w:tcPr>
            <w:tcW w:w="110" w:type="dxa"/>
            <w:tcBorders/>
            <w:shd w:fill="FFFFFF" w:val="clear"/>
            <w:vAlign w:val="center"/>
          </w:tcPr>
          <w:p>
            <w:pPr>
              <w:pStyle w:val="TableContents"/>
              <w:bidi w:val="0"/>
              <w:spacing w:before="0" w:after="283"/>
              <w:jc w:val="left"/>
              <w:rPr/>
            </w:pPr>
            <w:r>
              <w:rPr/>
              <w:t>)</w:t>
            </w:r>
          </w:p>
        </w:tc>
      </w:tr>
      <w:tr>
        <w:trPr/>
        <w:tc>
          <w:tcPr>
            <w:tcW w:w="3290" w:type="dxa"/>
            <w:tcBorders/>
            <w:shd w:fill="CCEEFF" w:val="clear"/>
            <w:vAlign w:val="center"/>
          </w:tcPr>
          <w:p>
            <w:pPr>
              <w:pStyle w:val="TableContents"/>
              <w:bidi w:val="0"/>
              <w:spacing w:before="0" w:after="283"/>
              <w:jc w:val="both"/>
              <w:rPr/>
            </w:pPr>
            <w:r>
              <w:rPr/>
              <w:t>Loss on disposal of assets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635" w:type="dxa"/>
            <w:tcBorders>
              <w:bottom w:val="single" w:sz="12" w:space="0" w:color="000000"/>
            </w:tcBorders>
            <w:shd w:fill="CCEEFF" w:val="clear"/>
            <w:tcMar>
              <w:bottom w:w="28" w:type="dxa"/>
            </w:tcMar>
            <w:vAlign w:val="center"/>
          </w:tcPr>
          <w:p>
            <w:pPr>
              <w:pStyle w:val="TableContents"/>
              <w:bidi w:val="0"/>
              <w:spacing w:before="0" w:after="283"/>
              <w:jc w:val="right"/>
              <w:rPr/>
            </w:pPr>
            <w:r>
              <w:rPr/>
              <w:t>(315</w:t>
            </w:r>
          </w:p>
        </w:tc>
        <w:tc>
          <w:tcPr>
            <w:tcW w:w="110" w:type="dxa"/>
            <w:tcBorders/>
            <w:shd w:fill="CCEEFF" w:val="clear"/>
            <w:vAlign w:val="center"/>
          </w:tcPr>
          <w:p>
            <w:pPr>
              <w:pStyle w:val="TableContents"/>
              <w:bidi w:val="0"/>
              <w:spacing w:before="0" w:after="283"/>
              <w:jc w:val="left"/>
              <w:rPr/>
            </w:pPr>
            <w:r>
              <w:rPr/>
              <w:t>)</w:t>
            </w:r>
          </w:p>
        </w:tc>
      </w:tr>
      <w:tr>
        <w:trPr/>
        <w:tc>
          <w:tcPr>
            <w:tcW w:w="3290" w:type="dxa"/>
            <w:tcBorders/>
            <w:shd w:fill="FFFFFF" w:val="clear"/>
            <w:vAlign w:val="center"/>
          </w:tcPr>
          <w:p>
            <w:pPr>
              <w:pStyle w:val="TableContents"/>
              <w:bidi w:val="0"/>
              <w:spacing w:before="0" w:after="283"/>
              <w:jc w:val="both"/>
              <w:rPr/>
            </w:pPr>
            <w:r>
              <w:rPr/>
              <w:t>Loss from discontinued operations</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635" w:type="dxa"/>
            <w:tcBorders>
              <w:bottom w:val="single" w:sz="12" w:space="0" w:color="000000"/>
            </w:tcBorders>
            <w:shd w:fill="FFFFFF" w:val="clear"/>
            <w:tcMar>
              <w:bottom w:w="28" w:type="dxa"/>
            </w:tcMar>
            <w:vAlign w:val="center"/>
          </w:tcPr>
          <w:p>
            <w:pPr>
              <w:pStyle w:val="TableContents"/>
              <w:bidi w:val="0"/>
              <w:spacing w:before="0" w:after="283"/>
              <w:jc w:val="right"/>
              <w:rPr/>
            </w:pPr>
            <w:r>
              <w:rPr/>
              <w:t>(60</w:t>
            </w:r>
          </w:p>
        </w:tc>
        <w:tc>
          <w:tcPr>
            <w:tcW w:w="110" w:type="dxa"/>
            <w:tcBorders/>
            <w:shd w:fill="FFFFFF" w:val="clear"/>
            <w:vAlign w:val="center"/>
          </w:tcPr>
          <w:p>
            <w:pPr>
              <w:pStyle w:val="TableContents"/>
              <w:bidi w:val="0"/>
              <w:spacing w:before="0" w:after="283"/>
              <w:jc w:val="left"/>
              <w:rPr/>
            </w:pPr>
            <w:r>
              <w:rPr/>
              <w:t>)</w:t>
            </w:r>
          </w:p>
        </w:tc>
      </w:tr>
      <w:tr>
        <w:trPr/>
        <w:tc>
          <w:tcPr>
            <w:tcW w:w="3290" w:type="dxa"/>
            <w:tcBorders/>
            <w:shd w:fill="CCEEFF" w:val="clear"/>
            <w:vAlign w:val="center"/>
          </w:tcPr>
          <w:p>
            <w:pPr>
              <w:pStyle w:val="TableContents"/>
              <w:bidi w:val="0"/>
              <w:spacing w:before="0" w:after="283"/>
              <w:jc w:val="both"/>
              <w:rPr/>
            </w:pPr>
            <w:r>
              <w:rPr/>
              <w:t>Net loss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635" w:type="dxa"/>
            <w:tcBorders>
              <w:bottom w:val="double" w:sz="10" w:space="0" w:color="000000"/>
            </w:tcBorders>
            <w:shd w:fill="CCEEFF" w:val="clear"/>
            <w:tcMar>
              <w:bottom w:w="28" w:type="dxa"/>
            </w:tcMar>
            <w:vAlign w:val="center"/>
          </w:tcPr>
          <w:p>
            <w:pPr>
              <w:pStyle w:val="TableContents"/>
              <w:bidi w:val="0"/>
              <w:spacing w:before="0" w:after="283"/>
              <w:jc w:val="right"/>
              <w:rPr/>
            </w:pPr>
            <w:r>
              <w:rPr/>
              <w:t>(6,803</w:t>
            </w:r>
          </w:p>
        </w:tc>
        <w:tc>
          <w:tcPr>
            <w:tcW w:w="110" w:type="dxa"/>
            <w:tcBorders/>
            <w:shd w:fill="CCEEFF" w:val="clear"/>
            <w:vAlign w:val="center"/>
          </w:tcPr>
          <w:p>
            <w:pPr>
              <w:pStyle w:val="TableContents"/>
              <w:bidi w:val="0"/>
              <w:spacing w:before="0" w:after="283"/>
              <w:jc w:val="left"/>
              <w:rPr/>
            </w:pPr>
            <w:r>
              <w:rPr/>
              <w: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Note 15. </w:t>
      </w:r>
      <w:r>
        <w:rPr>
          <w:rFonts w:ascii="Times New Roman;Times;Serif" w:hAnsi="Times New Roman;Times;Serif"/>
          <w:b/>
          <w:i/>
          <w:caps w:val="false"/>
          <w:smallCaps w:val="false"/>
          <w:sz w:val="20"/>
        </w:rPr>
        <w:t>SUBSEQUENT EVENTS</w:t>
      </w:r>
    </w:p>
    <w:p>
      <w:pPr>
        <w:pStyle w:val="TextBody"/>
        <w:bidi w:val="0"/>
        <w:spacing w:before="0" w:after="0"/>
        <w:ind w:left="0" w:right="0" w:hanging="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Management of the Company has evaluated subsequent events through January 9, 2026, which is also the date the financial statements were available to be issued. Except as noted in Note 2 – </w:t>
      </w:r>
      <w:r>
        <w:rPr>
          <w:rFonts w:ascii="Times New Roman;Times;Serif" w:hAnsi="Times New Roman;Times;Serif"/>
          <w:b w:val="false"/>
          <w:i/>
          <w:caps w:val="false"/>
          <w:smallCaps w:val="false"/>
          <w:sz w:val="20"/>
        </w:rPr>
        <w:t xml:space="preserve">Liquidity Considerations and Sale of Company, </w:t>
      </w:r>
      <w:r>
        <w:rPr>
          <w:rFonts w:ascii="Times New Roman;Times;Serif" w:hAnsi="Times New Roman;Times;Serif"/>
          <w:b w:val="false"/>
          <w:i w:val="false"/>
          <w:caps w:val="false"/>
          <w:smallCaps w:val="false"/>
          <w:sz w:val="20"/>
        </w:rPr>
        <w:t xml:space="preserve">Note 8 – </w:t>
      </w:r>
      <w:r>
        <w:rPr>
          <w:rFonts w:ascii="Times New Roman;Times;Serif" w:hAnsi="Times New Roman;Times;Serif"/>
          <w:b w:val="false"/>
          <w:i/>
          <w:caps w:val="false"/>
          <w:smallCaps w:val="false"/>
          <w:sz w:val="20"/>
        </w:rPr>
        <w:t xml:space="preserve">Line of Credit, </w:t>
      </w:r>
      <w:r>
        <w:rPr>
          <w:rFonts w:ascii="Times New Roman;Times;Serif" w:hAnsi="Times New Roman;Times;Serif"/>
          <w:b w:val="false"/>
          <w:i w:val="false"/>
          <w:caps w:val="false"/>
          <w:smallCaps w:val="false"/>
          <w:sz w:val="20"/>
        </w:rPr>
        <w:t xml:space="preserve">Note 9 – </w:t>
      </w:r>
      <w:r>
        <w:rPr>
          <w:rFonts w:ascii="Times New Roman;Times;Serif" w:hAnsi="Times New Roman;Times;Serif"/>
          <w:b w:val="false"/>
          <w:i/>
          <w:caps w:val="false"/>
          <w:smallCaps w:val="false"/>
          <w:sz w:val="20"/>
        </w:rPr>
        <w:t xml:space="preserve">Litigation Financing and Settlement </w:t>
      </w:r>
      <w:r>
        <w:rPr>
          <w:rFonts w:ascii="Times New Roman;Times;Serif" w:hAnsi="Times New Roman;Times;Serif"/>
          <w:b w:val="false"/>
          <w:i w:val="false"/>
          <w:caps w:val="false"/>
          <w:smallCaps w:val="false"/>
          <w:sz w:val="20"/>
        </w:rPr>
        <w:t>and below, no other subsequent events were noted during this evaluation that require recognition or disclosure in these financial statements.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March 19, 2025, the Company was loaned $1,000 by its sole member, who in turn was loaned the funds by one of its owners under a convertible promissory note. This transaction was accounted for as a capital contribution.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September 24, 2025 (“Closing”), the Member completed the sale of all assets and assumption of all liabilities of its Membership Interests in Sunder to Complete Solaria for aggregate consideration of $57,789. Per the terms of the MIPA, the Member sold all of the outstanding membership interest of Sunder for (1) $20,689 in cash, subject to certain working capital and other adjustments; (2) a promissory note to the Sole Member in the principal amount of $20,000; (3) and 10,000,000 shares of Complete Solaria’s common stock (valued at the closing share price on September 24, 2025, of $1.71 per share), consisting of (i) 3,333,334 shares of Complete Solaria’s common stock and (ii) subject to approval of such issuances by the Complete Solaria’s stockholders, (x) an additional 3,333,333 shares of the Complete Solaria’s common stock to be issued on the 12-month anniversary of the Closing and (y) a further 3,333,333 shares of Complete Solaria’s common stock to be issued on the 18-month anniversary of the Closing.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sz w:val="20"/>
          <w:bdr w:val="single" w:sz="12" w:space="1" w:color="000000"/>
        </w:rPr>
      </w:pPr>
      <w:r>
        <w:rPr>
          <w:sz w:val="20"/>
          <w:bdr w:val="single" w:sz="12" w:space="1" w:color="000000"/>
        </w:rPr>
        <w:t>F-130</w:t>
      </w:r>
    </w:p>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SUNDER ENERGY LLC</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INTERIM FINANCIAL STATEMENTS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As of June 30, 2025 and December 31, 2024 and the six months ended June 30, 2025 and 2024</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center"/>
        <w:rPr>
          <w:sz w:val="20"/>
          <w:bdr w:val="single" w:sz="12" w:space="1" w:color="000000"/>
        </w:rPr>
      </w:pPr>
      <w:r>
        <w:rPr>
          <w:sz w:val="20"/>
          <w:bdr w:val="single" w:sz="12" w:space="1" w:color="000000"/>
        </w:rPr>
        <w:t>F-131</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Table of Contents</w:t>
      </w:r>
    </w:p>
    <w:p>
      <w:pPr>
        <w:pStyle w:val="TextBody"/>
        <w:bidi w:val="0"/>
        <w:spacing w:before="0" w:after="0"/>
        <w:ind w:left="0" w:right="0" w:hanging="0"/>
        <w:jc w:val="center"/>
        <w:rPr>
          <w:caps w:val="false"/>
          <w:smallCaps w:val="false"/>
        </w:rPr>
      </w:pPr>
      <w:r>
        <w:rPr>
          <w:caps w:val="false"/>
          <w:smallCaps w:val="false"/>
        </w:rPr>
        <w:t> </w:t>
      </w:r>
    </w:p>
    <w:tbl>
      <w:tblPr>
        <w:tblW w:w="9055" w:type="dxa"/>
        <w:jc w:val="left"/>
        <w:tblInd w:w="0" w:type="dxa"/>
        <w:tblLayout w:type="fixed"/>
        <w:tblCellMar>
          <w:top w:w="0" w:type="dxa"/>
          <w:left w:w="0" w:type="dxa"/>
          <w:bottom w:w="0" w:type="dxa"/>
          <w:right w:w="0" w:type="dxa"/>
        </w:tblCellMar>
      </w:tblPr>
      <w:tblGrid>
        <w:gridCol w:w="8480"/>
        <w:gridCol w:w="60"/>
        <w:gridCol w:w="515"/>
      </w:tblGrid>
      <w:tr>
        <w:trPr/>
        <w:tc>
          <w:tcPr>
            <w:tcW w:w="8480" w:type="dxa"/>
            <w:tcBorders/>
            <w:shd w:fill="CCEEFF" w:val="clear"/>
            <w:vAlign w:val="center"/>
          </w:tcPr>
          <w:p>
            <w:pPr>
              <w:pStyle w:val="TableContents"/>
              <w:bidi w:val="0"/>
              <w:spacing w:before="0" w:after="283"/>
              <w:ind w:left="0" w:right="0" w:hanging="180"/>
              <w:jc w:val="left"/>
              <w:rPr/>
            </w:pPr>
            <w:hyperlink w:anchor="E_001">
              <w:r>
                <w:rPr>
                  <w:rStyle w:val="InternetLink"/>
                  <w:rFonts w:ascii="Times New Roman;Times;Serif" w:hAnsi="Times New Roman;Times;Serif"/>
                  <w:b w:val="false"/>
                  <w:i w:val="false"/>
                  <w:caps w:val="false"/>
                  <w:smallCaps w:val="false"/>
                  <w:sz w:val="20"/>
                </w:rPr>
                <w:t>Balance Sheets as of June 30, 2025 (Unaudited) and December 31, 2024</w:t>
              </w:r>
            </w:hyperlink>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15" w:type="dxa"/>
            <w:tcBorders/>
            <w:shd w:fill="CCEEFF" w:val="clear"/>
            <w:vAlign w:val="center"/>
          </w:tcPr>
          <w:p>
            <w:pPr>
              <w:pStyle w:val="TableContents"/>
              <w:bidi w:val="0"/>
              <w:spacing w:before="0" w:after="283"/>
              <w:ind w:left="0" w:right="0" w:hanging="18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F-133</w:t>
            </w:r>
          </w:p>
        </w:tc>
      </w:tr>
      <w:tr>
        <w:trPr/>
        <w:tc>
          <w:tcPr>
            <w:tcW w:w="84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15" w:type="dxa"/>
            <w:tcBorders/>
            <w:shd w:fill="FFFFFF" w:val="clear"/>
            <w:vAlign w:val="center"/>
          </w:tcPr>
          <w:p>
            <w:pPr>
              <w:pStyle w:val="TableContents"/>
              <w:bidi w:val="0"/>
              <w:spacing w:before="0" w:after="283"/>
              <w:ind w:left="0" w:right="0" w:hanging="180"/>
              <w:jc w:val="center"/>
              <w:rPr>
                <w:caps w:val="false"/>
                <w:smallCaps w:val="false"/>
              </w:rPr>
            </w:pPr>
            <w:r>
              <w:rPr>
                <w:caps w:val="false"/>
                <w:smallCaps w:val="false"/>
              </w:rPr>
              <w:t> </w:t>
            </w:r>
          </w:p>
        </w:tc>
      </w:tr>
      <w:tr>
        <w:trPr/>
        <w:tc>
          <w:tcPr>
            <w:tcW w:w="8480" w:type="dxa"/>
            <w:tcBorders/>
            <w:shd w:fill="CCEEFF" w:val="clear"/>
            <w:vAlign w:val="center"/>
          </w:tcPr>
          <w:p>
            <w:pPr>
              <w:pStyle w:val="TableContents"/>
              <w:bidi w:val="0"/>
              <w:spacing w:before="0" w:after="283"/>
              <w:jc w:val="left"/>
              <w:rPr/>
            </w:pPr>
            <w:hyperlink w:anchor="E_002">
              <w:r>
                <w:rPr>
                  <w:rStyle w:val="InternetLink"/>
                  <w:rFonts w:ascii="Times New Roman;Times;Serif" w:hAnsi="Times New Roman;Times;Serif"/>
                  <w:b w:val="false"/>
                  <w:i w:val="false"/>
                  <w:caps w:val="false"/>
                  <w:smallCaps w:val="false"/>
                  <w:sz w:val="20"/>
                </w:rPr>
                <w:t>Unaudited Statements of Operations for the six months ended June 30, 2025 and June 30, 2024</w:t>
              </w:r>
            </w:hyperlink>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15" w:type="dxa"/>
            <w:tcBorders/>
            <w:shd w:fill="CCEEFF" w:val="clear"/>
            <w:vAlign w:val="center"/>
          </w:tcPr>
          <w:p>
            <w:pPr>
              <w:pStyle w:val="TableContents"/>
              <w:bidi w:val="0"/>
              <w:spacing w:before="0" w:after="283"/>
              <w:ind w:left="0" w:right="0" w:hanging="18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F-134</w:t>
            </w:r>
          </w:p>
        </w:tc>
      </w:tr>
      <w:tr>
        <w:trPr/>
        <w:tc>
          <w:tcPr>
            <w:tcW w:w="84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15" w:type="dxa"/>
            <w:tcBorders/>
            <w:shd w:fill="FFFFFF" w:val="clear"/>
            <w:vAlign w:val="center"/>
          </w:tcPr>
          <w:p>
            <w:pPr>
              <w:pStyle w:val="TableContents"/>
              <w:bidi w:val="0"/>
              <w:spacing w:before="0" w:after="283"/>
              <w:ind w:left="0" w:right="0" w:hanging="180"/>
              <w:jc w:val="center"/>
              <w:rPr>
                <w:caps w:val="false"/>
                <w:smallCaps w:val="false"/>
              </w:rPr>
            </w:pPr>
            <w:r>
              <w:rPr>
                <w:caps w:val="false"/>
                <w:smallCaps w:val="false"/>
              </w:rPr>
              <w:t> </w:t>
            </w:r>
          </w:p>
        </w:tc>
      </w:tr>
      <w:tr>
        <w:trPr/>
        <w:tc>
          <w:tcPr>
            <w:tcW w:w="8480" w:type="dxa"/>
            <w:tcBorders/>
            <w:shd w:fill="CCEEFF" w:val="clear"/>
            <w:vAlign w:val="center"/>
          </w:tcPr>
          <w:p>
            <w:pPr>
              <w:pStyle w:val="TableContents"/>
              <w:bidi w:val="0"/>
              <w:spacing w:before="0" w:after="283"/>
              <w:jc w:val="left"/>
              <w:rPr/>
            </w:pPr>
            <w:hyperlink w:anchor="E_003">
              <w:r>
                <w:rPr>
                  <w:rStyle w:val="InternetLink"/>
                  <w:rFonts w:ascii="Times New Roman;Times;Serif" w:hAnsi="Times New Roman;Times;Serif"/>
                  <w:b w:val="false"/>
                  <w:i w:val="false"/>
                  <w:caps w:val="false"/>
                  <w:smallCaps w:val="false"/>
                  <w:sz w:val="20"/>
                </w:rPr>
                <w:t>Unaudited Statements of Changes in Member’s Deficit for the six months ended June 30, 2025 and 2024</w:t>
              </w:r>
            </w:hyperlink>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15" w:type="dxa"/>
            <w:tcBorders/>
            <w:shd w:fill="CCEEFF" w:val="clear"/>
            <w:vAlign w:val="center"/>
          </w:tcPr>
          <w:p>
            <w:pPr>
              <w:pStyle w:val="TableContents"/>
              <w:bidi w:val="0"/>
              <w:spacing w:before="0" w:after="283"/>
              <w:ind w:left="0" w:right="0" w:hanging="18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F-135</w:t>
            </w:r>
          </w:p>
        </w:tc>
      </w:tr>
      <w:tr>
        <w:trPr/>
        <w:tc>
          <w:tcPr>
            <w:tcW w:w="84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15" w:type="dxa"/>
            <w:tcBorders/>
            <w:shd w:fill="FFFFFF" w:val="clear"/>
            <w:vAlign w:val="center"/>
          </w:tcPr>
          <w:p>
            <w:pPr>
              <w:pStyle w:val="TableContents"/>
              <w:bidi w:val="0"/>
              <w:spacing w:before="0" w:after="283"/>
              <w:ind w:left="0" w:right="0" w:hanging="180"/>
              <w:jc w:val="center"/>
              <w:rPr>
                <w:caps w:val="false"/>
                <w:smallCaps w:val="false"/>
              </w:rPr>
            </w:pPr>
            <w:r>
              <w:rPr>
                <w:caps w:val="false"/>
                <w:smallCaps w:val="false"/>
              </w:rPr>
              <w:t> </w:t>
            </w:r>
          </w:p>
        </w:tc>
      </w:tr>
      <w:tr>
        <w:trPr/>
        <w:tc>
          <w:tcPr>
            <w:tcW w:w="8480" w:type="dxa"/>
            <w:tcBorders/>
            <w:shd w:fill="CCEEFF" w:val="clear"/>
            <w:vAlign w:val="center"/>
          </w:tcPr>
          <w:p>
            <w:pPr>
              <w:pStyle w:val="TableContents"/>
              <w:bidi w:val="0"/>
              <w:spacing w:before="0" w:after="283"/>
              <w:jc w:val="left"/>
              <w:rPr/>
            </w:pPr>
            <w:hyperlink w:anchor="E_004">
              <w:r>
                <w:rPr>
                  <w:rStyle w:val="InternetLink"/>
                  <w:rFonts w:ascii="Times New Roman;Times;Serif" w:hAnsi="Times New Roman;Times;Serif"/>
                  <w:b w:val="false"/>
                  <w:i w:val="false"/>
                  <w:caps w:val="false"/>
                  <w:smallCaps w:val="false"/>
                  <w:sz w:val="20"/>
                </w:rPr>
                <w:t>Unaudited Statements of Cash Flows for the six months ended June 30, 2025</w:t>
              </w:r>
            </w:hyperlink>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15" w:type="dxa"/>
            <w:tcBorders/>
            <w:shd w:fill="CCEEFF" w:val="clear"/>
            <w:vAlign w:val="center"/>
          </w:tcPr>
          <w:p>
            <w:pPr>
              <w:pStyle w:val="TableContents"/>
              <w:bidi w:val="0"/>
              <w:spacing w:before="0" w:after="283"/>
              <w:ind w:left="0" w:right="0" w:hanging="18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F-136</w:t>
            </w:r>
          </w:p>
        </w:tc>
      </w:tr>
      <w:tr>
        <w:trPr/>
        <w:tc>
          <w:tcPr>
            <w:tcW w:w="84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15" w:type="dxa"/>
            <w:tcBorders/>
            <w:shd w:fill="FFFFFF" w:val="clear"/>
            <w:vAlign w:val="center"/>
          </w:tcPr>
          <w:p>
            <w:pPr>
              <w:pStyle w:val="TableContents"/>
              <w:bidi w:val="0"/>
              <w:spacing w:before="0" w:after="283"/>
              <w:ind w:left="0" w:right="0" w:hanging="180"/>
              <w:jc w:val="center"/>
              <w:rPr>
                <w:caps w:val="false"/>
                <w:smallCaps w:val="false"/>
              </w:rPr>
            </w:pPr>
            <w:r>
              <w:rPr>
                <w:caps w:val="false"/>
                <w:smallCaps w:val="false"/>
              </w:rPr>
              <w:t> </w:t>
            </w:r>
          </w:p>
        </w:tc>
      </w:tr>
      <w:tr>
        <w:trPr/>
        <w:tc>
          <w:tcPr>
            <w:tcW w:w="8480" w:type="dxa"/>
            <w:tcBorders/>
            <w:shd w:fill="CCEEFF" w:val="clear"/>
            <w:vAlign w:val="center"/>
          </w:tcPr>
          <w:p>
            <w:pPr>
              <w:pStyle w:val="TableContents"/>
              <w:bidi w:val="0"/>
              <w:spacing w:before="0" w:after="283"/>
              <w:jc w:val="left"/>
              <w:rPr/>
            </w:pPr>
            <w:hyperlink w:anchor="E_005">
              <w:r>
                <w:rPr>
                  <w:rStyle w:val="InternetLink"/>
                  <w:rFonts w:ascii="Times New Roman;Times;Serif" w:hAnsi="Times New Roman;Times;Serif"/>
                  <w:b w:val="false"/>
                  <w:i w:val="false"/>
                  <w:caps w:val="false"/>
                  <w:smallCaps w:val="false"/>
                  <w:sz w:val="20"/>
                </w:rPr>
                <w:t>Notes to Unaudited Financial Statements</w:t>
              </w:r>
            </w:hyperlink>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1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F-137</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center"/>
        <w:rPr>
          <w:sz w:val="20"/>
          <w:bdr w:val="single" w:sz="12" w:space="1" w:color="000000"/>
        </w:rPr>
      </w:pPr>
      <w:r>
        <w:rPr>
          <w:sz w:val="20"/>
          <w:bdr w:val="single" w:sz="12" w:space="1" w:color="000000"/>
        </w:rPr>
        <w:t>F-132</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39" w:name="E_001"/>
      <w:bookmarkEnd w:id="39"/>
      <w:r>
        <w:rPr>
          <w:rFonts w:ascii="Times New Roman;Times;Serif" w:hAnsi="Times New Roman;Times;Serif"/>
          <w:b/>
          <w:i w:val="false"/>
          <w:caps w:val="false"/>
          <w:smallCaps w:val="false"/>
          <w:sz w:val="20"/>
        </w:rPr>
        <w:t xml:space="preserve">SUNDER ENERGY LLC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BALANCE SHEETS</w:t>
      </w:r>
    </w:p>
    <w:p>
      <w:pPr>
        <w:pStyle w:val="TextBody"/>
        <w:bidi w:val="0"/>
        <w:spacing w:before="0" w:after="0"/>
        <w:ind w:left="0" w:right="0" w:hanging="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(Dollars in thousands)</w:t>
      </w:r>
    </w:p>
    <w:p>
      <w:pPr>
        <w:pStyle w:val="TextBody"/>
        <w:bidi w:val="0"/>
        <w:spacing w:before="0" w:after="0"/>
        <w:ind w:left="0" w:right="0" w:hanging="0"/>
        <w:jc w:val="center"/>
        <w:rPr>
          <w:caps w:val="false"/>
          <w:smallCaps w:val="false"/>
        </w:rPr>
      </w:pPr>
      <w:r>
        <w:rPr>
          <w:caps w:val="false"/>
          <w:smallCaps w:val="false"/>
        </w:rPr>
        <w:t> </w:t>
      </w:r>
    </w:p>
    <w:tbl>
      <w:tblPr>
        <w:tblW w:w="7598" w:type="dxa"/>
        <w:jc w:val="left"/>
        <w:tblInd w:w="0" w:type="dxa"/>
        <w:tblLayout w:type="fixed"/>
        <w:tblCellMar>
          <w:top w:w="0" w:type="dxa"/>
          <w:left w:w="0" w:type="dxa"/>
          <w:bottom w:w="0" w:type="dxa"/>
          <w:right w:w="0" w:type="dxa"/>
        </w:tblCellMar>
      </w:tblPr>
      <w:tblGrid>
        <w:gridCol w:w="4610"/>
        <w:gridCol w:w="60"/>
        <w:gridCol w:w="194"/>
        <w:gridCol w:w="1055"/>
        <w:gridCol w:w="95"/>
        <w:gridCol w:w="60"/>
        <w:gridCol w:w="241"/>
        <w:gridCol w:w="1173"/>
        <w:gridCol w:w="110"/>
      </w:tblGrid>
      <w:tr>
        <w:trPr/>
        <w:tc>
          <w:tcPr>
            <w:tcW w:w="461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249" w:type="dxa"/>
            <w:gridSpan w:val="2"/>
            <w:tcBorders/>
            <w:vAlign w:val="center"/>
          </w:tcPr>
          <w:p>
            <w:pPr>
              <w:pStyle w:val="TableContents"/>
              <w:bidi w:val="0"/>
              <w:spacing w:before="0" w:after="283"/>
              <w:jc w:val="center"/>
              <w:rPr>
                <w:b/>
              </w:rPr>
            </w:pPr>
            <w:r>
              <w:rPr>
                <w:b/>
              </w:rPr>
              <w:t>June 30,</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14" w:type="dxa"/>
            <w:gridSpan w:val="2"/>
            <w:tcBorders/>
            <w:vAlign w:val="center"/>
          </w:tcPr>
          <w:p>
            <w:pPr>
              <w:pStyle w:val="TableContents"/>
              <w:bidi w:val="0"/>
              <w:spacing w:before="0" w:after="283"/>
              <w:jc w:val="center"/>
              <w:rPr>
                <w:b/>
              </w:rPr>
            </w:pPr>
            <w:r>
              <w:rPr>
                <w:b/>
              </w:rPr>
              <w:t>December 31,</w:t>
            </w:r>
          </w:p>
        </w:tc>
        <w:tc>
          <w:tcPr>
            <w:tcW w:w="110" w:type="dxa"/>
            <w:tcBorders/>
            <w:vAlign w:val="center"/>
          </w:tcPr>
          <w:p>
            <w:pPr>
              <w:pStyle w:val="TableContents"/>
              <w:bidi w:val="0"/>
              <w:spacing w:before="0" w:after="283"/>
              <w:jc w:val="left"/>
              <w:rPr/>
            </w:pPr>
            <w:r>
              <w:rPr/>
              <w:t> </w:t>
            </w:r>
          </w:p>
        </w:tc>
      </w:tr>
      <w:tr>
        <w:trPr/>
        <w:tc>
          <w:tcPr>
            <w:tcW w:w="461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249" w:type="dxa"/>
            <w:gridSpan w:val="2"/>
            <w:tcBorders/>
            <w:vAlign w:val="center"/>
          </w:tcPr>
          <w:p>
            <w:pPr>
              <w:pStyle w:val="TableContents"/>
              <w:bidi w:val="0"/>
              <w:spacing w:before="0" w:after="283"/>
              <w:jc w:val="center"/>
              <w:rPr>
                <w:b/>
              </w:rPr>
            </w:pPr>
            <w:r>
              <w:rPr>
                <w:b/>
              </w:rPr>
              <w:t>2025</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14" w:type="dxa"/>
            <w:gridSpan w:val="2"/>
            <w:tcBorders/>
            <w:vAlign w:val="center"/>
          </w:tcPr>
          <w:p>
            <w:pPr>
              <w:pStyle w:val="TableContents"/>
              <w:bidi w:val="0"/>
              <w:spacing w:before="0" w:after="283"/>
              <w:jc w:val="center"/>
              <w:rPr>
                <w:b/>
              </w:rPr>
            </w:pPr>
            <w:r>
              <w:rPr>
                <w:b/>
              </w:rPr>
              <w:t>2024</w:t>
            </w:r>
          </w:p>
        </w:tc>
        <w:tc>
          <w:tcPr>
            <w:tcW w:w="110" w:type="dxa"/>
            <w:tcBorders/>
            <w:vAlign w:val="center"/>
          </w:tcPr>
          <w:p>
            <w:pPr>
              <w:pStyle w:val="TableContents"/>
              <w:bidi w:val="0"/>
              <w:spacing w:before="0" w:after="283"/>
              <w:jc w:val="left"/>
              <w:rPr/>
            </w:pPr>
            <w:r>
              <w:rPr/>
              <w:t> </w:t>
            </w:r>
          </w:p>
        </w:tc>
      </w:tr>
      <w:tr>
        <w:trPr/>
        <w:tc>
          <w:tcPr>
            <w:tcW w:w="461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249"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(Unaudited)</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14" w:type="dxa"/>
            <w:gridSpan w:val="2"/>
            <w:tcBorders>
              <w:bottom w:val="single" w:sz="12" w:space="0" w:color="000000"/>
            </w:tcBorders>
            <w:tcMar>
              <w:bottom w:w="30" w:type="dxa"/>
            </w:tcMar>
            <w:vAlign w:val="center"/>
          </w:tcPr>
          <w:p>
            <w:pPr>
              <w:pStyle w:val="TableContents"/>
              <w:bidi w:val="0"/>
              <w:spacing w:before="0" w:after="283"/>
              <w:jc w:val="center"/>
              <w:rPr/>
            </w:pPr>
            <w:r>
              <w:rPr/>
              <w:t> </w:t>
            </w:r>
          </w:p>
        </w:tc>
        <w:tc>
          <w:tcPr>
            <w:tcW w:w="110" w:type="dxa"/>
            <w:tcBorders/>
            <w:vAlign w:val="center"/>
          </w:tcPr>
          <w:p>
            <w:pPr>
              <w:pStyle w:val="TableContents"/>
              <w:bidi w:val="0"/>
              <w:spacing w:before="0" w:after="283"/>
              <w:jc w:val="left"/>
              <w:rPr/>
            </w:pPr>
            <w:r>
              <w:rPr/>
              <w:t> </w:t>
            </w:r>
          </w:p>
        </w:tc>
      </w:tr>
      <w:tr>
        <w:trPr/>
        <w:tc>
          <w:tcPr>
            <w:tcW w:w="4610" w:type="dxa"/>
            <w:tcBorders/>
            <w:vAlign w:val="center"/>
          </w:tcPr>
          <w:p>
            <w:pPr>
              <w:pStyle w:val="TableContents"/>
              <w:bidi w:val="0"/>
              <w:spacing w:before="0" w:after="283"/>
              <w:jc w:val="left"/>
              <w:rPr>
                <w:b/>
              </w:rPr>
            </w:pPr>
            <w:r>
              <w:rPr>
                <w:b/>
              </w:rPr>
              <w:t>ASSETS</w:t>
            </w:r>
          </w:p>
        </w:tc>
        <w:tc>
          <w:tcPr>
            <w:tcW w:w="60" w:type="dxa"/>
            <w:tcBorders/>
            <w:vAlign w:val="center"/>
          </w:tcPr>
          <w:p>
            <w:pPr>
              <w:pStyle w:val="TableContents"/>
              <w:bidi w:val="0"/>
              <w:spacing w:before="0" w:after="283"/>
              <w:jc w:val="left"/>
              <w:rPr/>
            </w:pPr>
            <w:r>
              <w:rPr/>
              <w:t> </w:t>
            </w:r>
          </w:p>
        </w:tc>
        <w:tc>
          <w:tcPr>
            <w:tcW w:w="1249" w:type="dxa"/>
            <w:gridSpan w:val="2"/>
            <w:tcBorders/>
            <w:vAlign w:val="center"/>
          </w:tcPr>
          <w:p>
            <w:pPr>
              <w:pStyle w:val="TableContents"/>
              <w:bidi w:val="0"/>
              <w:spacing w:before="0" w:after="283"/>
              <w:jc w:val="righ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14" w:type="dxa"/>
            <w:gridSpan w:val="2"/>
            <w:tcBorders/>
            <w:vAlign w:val="center"/>
          </w:tcPr>
          <w:p>
            <w:pPr>
              <w:pStyle w:val="TableContents"/>
              <w:bidi w:val="0"/>
              <w:spacing w:before="0" w:after="283"/>
              <w:jc w:val="right"/>
              <w:rPr/>
            </w:pPr>
            <w:r>
              <w:rPr/>
              <w:t> </w:t>
            </w:r>
          </w:p>
        </w:tc>
        <w:tc>
          <w:tcPr>
            <w:tcW w:w="110" w:type="dxa"/>
            <w:tcBorders/>
            <w:vAlign w:val="center"/>
          </w:tcPr>
          <w:p>
            <w:pPr>
              <w:pStyle w:val="TableContents"/>
              <w:bidi w:val="0"/>
              <w:spacing w:before="0" w:after="283"/>
              <w:jc w:val="left"/>
              <w:rPr/>
            </w:pPr>
            <w:r>
              <w:rPr/>
              <w:t> </w:t>
            </w:r>
          </w:p>
        </w:tc>
      </w:tr>
      <w:tr>
        <w:trPr/>
        <w:tc>
          <w:tcPr>
            <w:tcW w:w="4610" w:type="dxa"/>
            <w:tcBorders/>
            <w:vAlign w:val="center"/>
          </w:tcPr>
          <w:p>
            <w:pPr>
              <w:pStyle w:val="TableContents"/>
              <w:bidi w:val="0"/>
              <w:spacing w:before="0" w:after="283"/>
              <w:jc w:val="both"/>
              <w:rPr/>
            </w:pPr>
            <w:r>
              <w:rPr/>
              <w:t>Current assets:</w:t>
            </w:r>
          </w:p>
        </w:tc>
        <w:tc>
          <w:tcPr>
            <w:tcW w:w="60" w:type="dxa"/>
            <w:tcBorders/>
            <w:vAlign w:val="center"/>
          </w:tcPr>
          <w:p>
            <w:pPr>
              <w:pStyle w:val="TableContents"/>
              <w:bidi w:val="0"/>
              <w:spacing w:before="0" w:after="283"/>
              <w:jc w:val="left"/>
              <w:rPr/>
            </w:pPr>
            <w:r>
              <w:rPr/>
              <w:t> </w:t>
            </w:r>
          </w:p>
        </w:tc>
        <w:tc>
          <w:tcPr>
            <w:tcW w:w="1249" w:type="dxa"/>
            <w:gridSpan w:val="2"/>
            <w:tcBorders/>
            <w:vAlign w:val="center"/>
          </w:tcPr>
          <w:p>
            <w:pPr>
              <w:pStyle w:val="TableContents"/>
              <w:bidi w:val="0"/>
              <w:spacing w:before="0" w:after="283"/>
              <w:jc w:val="righ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14" w:type="dxa"/>
            <w:gridSpan w:val="2"/>
            <w:tcBorders/>
            <w:vAlign w:val="center"/>
          </w:tcPr>
          <w:p>
            <w:pPr>
              <w:pStyle w:val="TableContents"/>
              <w:bidi w:val="0"/>
              <w:spacing w:before="0" w:after="283"/>
              <w:jc w:val="right"/>
              <w:rPr/>
            </w:pPr>
            <w:r>
              <w:rPr/>
              <w:t> </w:t>
            </w:r>
          </w:p>
        </w:tc>
        <w:tc>
          <w:tcPr>
            <w:tcW w:w="110" w:type="dxa"/>
            <w:tcBorders/>
            <w:vAlign w:val="center"/>
          </w:tcPr>
          <w:p>
            <w:pPr>
              <w:pStyle w:val="TableContents"/>
              <w:bidi w:val="0"/>
              <w:spacing w:before="0" w:after="283"/>
              <w:jc w:val="left"/>
              <w:rPr/>
            </w:pPr>
            <w:r>
              <w:rPr/>
              <w:t> </w:t>
            </w:r>
          </w:p>
        </w:tc>
      </w:tr>
      <w:tr>
        <w:trPr/>
        <w:tc>
          <w:tcPr>
            <w:tcW w:w="4610" w:type="dxa"/>
            <w:tcBorders/>
            <w:shd w:fill="CCEEFF" w:val="clear"/>
            <w:vAlign w:val="center"/>
          </w:tcPr>
          <w:p>
            <w:pPr>
              <w:pStyle w:val="TableContents"/>
              <w:bidi w:val="0"/>
              <w:spacing w:before="0" w:after="283"/>
              <w:jc w:val="both"/>
              <w:rPr/>
            </w:pPr>
            <w:r>
              <w:rPr/>
              <w:t>Cash</w:t>
            </w:r>
          </w:p>
        </w:tc>
        <w:tc>
          <w:tcPr>
            <w:tcW w:w="60" w:type="dxa"/>
            <w:tcBorders/>
            <w:shd w:fill="CCEEFF" w:val="clear"/>
            <w:vAlign w:val="center"/>
          </w:tcPr>
          <w:p>
            <w:pPr>
              <w:pStyle w:val="TableContents"/>
              <w:bidi w:val="0"/>
              <w:spacing w:before="0" w:after="283"/>
              <w:jc w:val="left"/>
              <w:rPr/>
            </w:pPr>
            <w:r>
              <w:rPr/>
              <w:t> </w:t>
            </w:r>
          </w:p>
        </w:tc>
        <w:tc>
          <w:tcPr>
            <w:tcW w:w="194" w:type="dxa"/>
            <w:tcBorders/>
            <w:shd w:fill="CCEEFF" w:val="clear"/>
            <w:vAlign w:val="center"/>
          </w:tcPr>
          <w:p>
            <w:pPr>
              <w:pStyle w:val="TableContents"/>
              <w:bidi w:val="0"/>
              <w:spacing w:before="0" w:after="283"/>
              <w:jc w:val="left"/>
              <w:rPr/>
            </w:pPr>
            <w:r>
              <w:rPr/>
              <w:t>$</w:t>
            </w:r>
          </w:p>
        </w:tc>
        <w:tc>
          <w:tcPr>
            <w:tcW w:w="1055" w:type="dxa"/>
            <w:tcBorders/>
            <w:shd w:fill="CCEEFF" w:val="clear"/>
            <w:vAlign w:val="center"/>
          </w:tcPr>
          <w:p>
            <w:pPr>
              <w:pStyle w:val="TableContents"/>
              <w:bidi w:val="0"/>
              <w:spacing w:before="0" w:after="283"/>
              <w:jc w:val="right"/>
              <w:rPr/>
            </w:pPr>
            <w:r>
              <w:rPr/>
              <w:t>762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1" w:type="dxa"/>
            <w:tcBorders/>
            <w:shd w:fill="CCEEFF" w:val="clear"/>
            <w:vAlign w:val="center"/>
          </w:tcPr>
          <w:p>
            <w:pPr>
              <w:pStyle w:val="TableContents"/>
              <w:bidi w:val="0"/>
              <w:spacing w:before="0" w:after="283"/>
              <w:jc w:val="left"/>
              <w:rPr/>
            </w:pPr>
            <w:r>
              <w:rPr/>
              <w:t>$</w:t>
            </w:r>
          </w:p>
        </w:tc>
        <w:tc>
          <w:tcPr>
            <w:tcW w:w="1173" w:type="dxa"/>
            <w:tcBorders/>
            <w:shd w:fill="CCEEFF" w:val="clear"/>
            <w:vAlign w:val="center"/>
          </w:tcPr>
          <w:p>
            <w:pPr>
              <w:pStyle w:val="TableContents"/>
              <w:bidi w:val="0"/>
              <w:spacing w:before="0" w:after="283"/>
              <w:jc w:val="right"/>
              <w:rPr/>
            </w:pPr>
            <w:r>
              <w:rPr/>
              <w:t>1,524</w:t>
            </w:r>
          </w:p>
        </w:tc>
        <w:tc>
          <w:tcPr>
            <w:tcW w:w="110" w:type="dxa"/>
            <w:tcBorders/>
            <w:shd w:fill="CCEEFF" w:val="clear"/>
            <w:vAlign w:val="center"/>
          </w:tcPr>
          <w:p>
            <w:pPr>
              <w:pStyle w:val="TableContents"/>
              <w:bidi w:val="0"/>
              <w:spacing w:before="0" w:after="283"/>
              <w:jc w:val="left"/>
              <w:rPr/>
            </w:pPr>
            <w:r>
              <w:rPr/>
              <w:t> </w:t>
            </w:r>
          </w:p>
        </w:tc>
      </w:tr>
      <w:tr>
        <w:trPr/>
        <w:tc>
          <w:tcPr>
            <w:tcW w:w="4610" w:type="dxa"/>
            <w:tcBorders/>
            <w:shd w:fill="FFFFFF" w:val="clear"/>
            <w:vAlign w:val="center"/>
          </w:tcPr>
          <w:p>
            <w:pPr>
              <w:pStyle w:val="TableContents"/>
              <w:bidi w:val="0"/>
              <w:spacing w:before="0" w:after="283"/>
              <w:jc w:val="both"/>
              <w:rPr/>
            </w:pPr>
            <w:r>
              <w:rPr/>
              <w:t>Restricted cash</w:t>
            </w:r>
          </w:p>
        </w:tc>
        <w:tc>
          <w:tcPr>
            <w:tcW w:w="60" w:type="dxa"/>
            <w:tcBorders/>
            <w:shd w:fill="FFFFFF" w:val="clear"/>
            <w:vAlign w:val="center"/>
          </w:tcPr>
          <w:p>
            <w:pPr>
              <w:pStyle w:val="TableContents"/>
              <w:bidi w:val="0"/>
              <w:spacing w:before="0" w:after="283"/>
              <w:jc w:val="left"/>
              <w:rPr/>
            </w:pPr>
            <w:r>
              <w:rPr/>
              <w:t> </w:t>
            </w:r>
          </w:p>
        </w:tc>
        <w:tc>
          <w:tcPr>
            <w:tcW w:w="194"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2,016</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41" w:type="dxa"/>
            <w:tcBorders/>
            <w:shd w:fill="FFFFFF" w:val="clear"/>
            <w:vAlign w:val="center"/>
          </w:tcPr>
          <w:p>
            <w:pPr>
              <w:pStyle w:val="TableContents"/>
              <w:bidi w:val="0"/>
              <w:spacing w:before="0" w:after="283"/>
              <w:jc w:val="left"/>
              <w:rPr/>
            </w:pPr>
            <w:r>
              <w:rPr/>
              <w:t> </w:t>
            </w:r>
          </w:p>
        </w:tc>
        <w:tc>
          <w:tcPr>
            <w:tcW w:w="1173" w:type="dxa"/>
            <w:tcBorders/>
            <w:shd w:fill="FFFFFF" w:val="clear"/>
            <w:vAlign w:val="center"/>
          </w:tcPr>
          <w:p>
            <w:pPr>
              <w:pStyle w:val="TableContents"/>
              <w:bidi w:val="0"/>
              <w:spacing w:before="0" w:after="283"/>
              <w:jc w:val="right"/>
              <w:rPr/>
            </w:pPr>
            <w:r>
              <w:rPr/>
              <w:t>2,018</w:t>
            </w:r>
          </w:p>
        </w:tc>
        <w:tc>
          <w:tcPr>
            <w:tcW w:w="110" w:type="dxa"/>
            <w:tcBorders/>
            <w:shd w:fill="FFFFFF" w:val="clear"/>
            <w:vAlign w:val="center"/>
          </w:tcPr>
          <w:p>
            <w:pPr>
              <w:pStyle w:val="TableContents"/>
              <w:bidi w:val="0"/>
              <w:spacing w:before="0" w:after="283"/>
              <w:jc w:val="left"/>
              <w:rPr/>
            </w:pPr>
            <w:r>
              <w:rPr/>
              <w:t> </w:t>
            </w:r>
          </w:p>
        </w:tc>
      </w:tr>
      <w:tr>
        <w:trPr/>
        <w:tc>
          <w:tcPr>
            <w:tcW w:w="4610" w:type="dxa"/>
            <w:tcBorders/>
            <w:shd w:fill="CCEEFF" w:val="clear"/>
            <w:vAlign w:val="center"/>
          </w:tcPr>
          <w:p>
            <w:pPr>
              <w:pStyle w:val="TableContents"/>
              <w:bidi w:val="0"/>
              <w:spacing w:before="0" w:after="283"/>
              <w:jc w:val="both"/>
              <w:rPr/>
            </w:pPr>
            <w:r>
              <w:rPr/>
              <w:t>Accounts receivable, net</w:t>
            </w:r>
          </w:p>
        </w:tc>
        <w:tc>
          <w:tcPr>
            <w:tcW w:w="60" w:type="dxa"/>
            <w:tcBorders/>
            <w:shd w:fill="CCEEFF" w:val="clear"/>
            <w:vAlign w:val="center"/>
          </w:tcPr>
          <w:p>
            <w:pPr>
              <w:pStyle w:val="TableContents"/>
              <w:bidi w:val="0"/>
              <w:spacing w:before="0" w:after="283"/>
              <w:jc w:val="left"/>
              <w:rPr/>
            </w:pPr>
            <w:r>
              <w:rPr/>
              <w:t> </w:t>
            </w:r>
          </w:p>
        </w:tc>
        <w:tc>
          <w:tcPr>
            <w:tcW w:w="194"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5,315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1" w:type="dxa"/>
            <w:tcBorders/>
            <w:shd w:fill="CCEEFF" w:val="clear"/>
            <w:vAlign w:val="center"/>
          </w:tcPr>
          <w:p>
            <w:pPr>
              <w:pStyle w:val="TableContents"/>
              <w:bidi w:val="0"/>
              <w:spacing w:before="0" w:after="283"/>
              <w:jc w:val="left"/>
              <w:rPr/>
            </w:pPr>
            <w:r>
              <w:rPr/>
              <w:t> </w:t>
            </w:r>
          </w:p>
        </w:tc>
        <w:tc>
          <w:tcPr>
            <w:tcW w:w="1173" w:type="dxa"/>
            <w:tcBorders/>
            <w:shd w:fill="CCEEFF" w:val="clear"/>
            <w:vAlign w:val="center"/>
          </w:tcPr>
          <w:p>
            <w:pPr>
              <w:pStyle w:val="TableContents"/>
              <w:bidi w:val="0"/>
              <w:spacing w:before="0" w:after="283"/>
              <w:jc w:val="right"/>
              <w:rPr/>
            </w:pPr>
            <w:r>
              <w:rPr/>
              <w:t>2,991</w:t>
            </w:r>
          </w:p>
        </w:tc>
        <w:tc>
          <w:tcPr>
            <w:tcW w:w="110" w:type="dxa"/>
            <w:tcBorders/>
            <w:shd w:fill="CCEEFF" w:val="clear"/>
            <w:vAlign w:val="center"/>
          </w:tcPr>
          <w:p>
            <w:pPr>
              <w:pStyle w:val="TableContents"/>
              <w:bidi w:val="0"/>
              <w:spacing w:before="0" w:after="283"/>
              <w:jc w:val="left"/>
              <w:rPr/>
            </w:pPr>
            <w:r>
              <w:rPr/>
              <w:t> </w:t>
            </w:r>
          </w:p>
        </w:tc>
      </w:tr>
      <w:tr>
        <w:trPr/>
        <w:tc>
          <w:tcPr>
            <w:tcW w:w="4610" w:type="dxa"/>
            <w:tcBorders/>
            <w:shd w:fill="FFFFFF" w:val="clear"/>
            <w:vAlign w:val="center"/>
          </w:tcPr>
          <w:p>
            <w:pPr>
              <w:pStyle w:val="TableContents"/>
              <w:bidi w:val="0"/>
              <w:spacing w:before="0" w:after="283"/>
              <w:jc w:val="both"/>
              <w:rPr/>
            </w:pPr>
            <w:r>
              <w:rPr/>
              <w:t>Due from related party</w:t>
            </w:r>
          </w:p>
        </w:tc>
        <w:tc>
          <w:tcPr>
            <w:tcW w:w="60" w:type="dxa"/>
            <w:tcBorders/>
            <w:shd w:fill="FFFFFF" w:val="clear"/>
            <w:vAlign w:val="center"/>
          </w:tcPr>
          <w:p>
            <w:pPr>
              <w:pStyle w:val="TableContents"/>
              <w:bidi w:val="0"/>
              <w:spacing w:before="0" w:after="283"/>
              <w:jc w:val="left"/>
              <w:rPr/>
            </w:pPr>
            <w:r>
              <w:rPr/>
              <w:t> </w:t>
            </w:r>
          </w:p>
        </w:tc>
        <w:tc>
          <w:tcPr>
            <w:tcW w:w="194"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41" w:type="dxa"/>
            <w:tcBorders/>
            <w:shd w:fill="FFFFFF" w:val="clear"/>
            <w:vAlign w:val="center"/>
          </w:tcPr>
          <w:p>
            <w:pPr>
              <w:pStyle w:val="TableContents"/>
              <w:bidi w:val="0"/>
              <w:spacing w:before="0" w:after="283"/>
              <w:jc w:val="left"/>
              <w:rPr/>
            </w:pPr>
            <w:r>
              <w:rPr/>
              <w:t> </w:t>
            </w:r>
          </w:p>
        </w:tc>
        <w:tc>
          <w:tcPr>
            <w:tcW w:w="1173" w:type="dxa"/>
            <w:tcBorders/>
            <w:shd w:fill="FFFFFF" w:val="clear"/>
            <w:vAlign w:val="center"/>
          </w:tcPr>
          <w:p>
            <w:pPr>
              <w:pStyle w:val="TableContents"/>
              <w:bidi w:val="0"/>
              <w:spacing w:before="0" w:after="283"/>
              <w:jc w:val="right"/>
              <w:rPr/>
            </w:pPr>
            <w:r>
              <w:rPr/>
              <w:t>559</w:t>
            </w:r>
          </w:p>
        </w:tc>
        <w:tc>
          <w:tcPr>
            <w:tcW w:w="110" w:type="dxa"/>
            <w:tcBorders/>
            <w:shd w:fill="FFFFFF" w:val="clear"/>
            <w:vAlign w:val="center"/>
          </w:tcPr>
          <w:p>
            <w:pPr>
              <w:pStyle w:val="TableContents"/>
              <w:bidi w:val="0"/>
              <w:spacing w:before="0" w:after="283"/>
              <w:jc w:val="left"/>
              <w:rPr/>
            </w:pPr>
            <w:r>
              <w:rPr/>
              <w:t> </w:t>
            </w:r>
          </w:p>
        </w:tc>
      </w:tr>
      <w:tr>
        <w:trPr/>
        <w:tc>
          <w:tcPr>
            <w:tcW w:w="4610" w:type="dxa"/>
            <w:tcBorders/>
            <w:shd w:fill="CCEEFF" w:val="clear"/>
            <w:vAlign w:val="center"/>
          </w:tcPr>
          <w:p>
            <w:pPr>
              <w:pStyle w:val="TableContents"/>
              <w:bidi w:val="0"/>
              <w:spacing w:before="0" w:after="283"/>
              <w:jc w:val="both"/>
              <w:rPr/>
            </w:pPr>
            <w:r>
              <w:rPr/>
              <w:t>Prepaid expenses and other current assets</w:t>
            </w:r>
          </w:p>
        </w:tc>
        <w:tc>
          <w:tcPr>
            <w:tcW w:w="60" w:type="dxa"/>
            <w:tcBorders/>
            <w:shd w:fill="CCEEFF" w:val="clear"/>
            <w:vAlign w:val="center"/>
          </w:tcPr>
          <w:p>
            <w:pPr>
              <w:pStyle w:val="TableContents"/>
              <w:bidi w:val="0"/>
              <w:spacing w:before="0" w:after="283"/>
              <w:jc w:val="left"/>
              <w:rPr/>
            </w:pPr>
            <w:r>
              <w:rPr/>
              <w:t> </w:t>
            </w:r>
          </w:p>
        </w:tc>
        <w:tc>
          <w:tcPr>
            <w:tcW w:w="194"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55" w:type="dxa"/>
            <w:tcBorders>
              <w:bottom w:val="single" w:sz="12" w:space="0" w:color="000000"/>
            </w:tcBorders>
            <w:shd w:fill="CCEEFF" w:val="clear"/>
            <w:tcMar>
              <w:bottom w:w="28" w:type="dxa"/>
            </w:tcMar>
            <w:vAlign w:val="center"/>
          </w:tcPr>
          <w:p>
            <w:pPr>
              <w:pStyle w:val="TableContents"/>
              <w:bidi w:val="0"/>
              <w:spacing w:before="0" w:after="283"/>
              <w:jc w:val="right"/>
              <w:rPr/>
            </w:pPr>
            <w:r>
              <w:rPr/>
              <w:t>9,830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1"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73" w:type="dxa"/>
            <w:tcBorders>
              <w:bottom w:val="single" w:sz="12" w:space="0" w:color="000000"/>
            </w:tcBorders>
            <w:shd w:fill="CCEEFF" w:val="clear"/>
            <w:tcMar>
              <w:bottom w:w="28" w:type="dxa"/>
            </w:tcMar>
            <w:vAlign w:val="center"/>
          </w:tcPr>
          <w:p>
            <w:pPr>
              <w:pStyle w:val="TableContents"/>
              <w:bidi w:val="0"/>
              <w:spacing w:before="0" w:after="283"/>
              <w:jc w:val="right"/>
              <w:rPr/>
            </w:pPr>
            <w:r>
              <w:rPr/>
              <w:t>13,508</w:t>
            </w:r>
          </w:p>
        </w:tc>
        <w:tc>
          <w:tcPr>
            <w:tcW w:w="110" w:type="dxa"/>
            <w:tcBorders/>
            <w:shd w:fill="CCEEFF" w:val="clear"/>
            <w:vAlign w:val="center"/>
          </w:tcPr>
          <w:p>
            <w:pPr>
              <w:pStyle w:val="TableContents"/>
              <w:bidi w:val="0"/>
              <w:spacing w:before="0" w:after="283"/>
              <w:jc w:val="left"/>
              <w:rPr/>
            </w:pPr>
            <w:r>
              <w:rPr/>
              <w:t> </w:t>
            </w:r>
          </w:p>
        </w:tc>
      </w:tr>
      <w:tr>
        <w:trPr/>
        <w:tc>
          <w:tcPr>
            <w:tcW w:w="4610" w:type="dxa"/>
            <w:tcBorders/>
            <w:shd w:fill="FFFFFF" w:val="clear"/>
            <w:vAlign w:val="center"/>
          </w:tcPr>
          <w:p>
            <w:pPr>
              <w:pStyle w:val="TableContents"/>
              <w:bidi w:val="0"/>
              <w:spacing w:before="0" w:after="283"/>
              <w:jc w:val="both"/>
              <w:rPr/>
            </w:pPr>
            <w:r>
              <w:rPr/>
              <w:t>Total current assets</w:t>
            </w:r>
          </w:p>
        </w:tc>
        <w:tc>
          <w:tcPr>
            <w:tcW w:w="60" w:type="dxa"/>
            <w:tcBorders/>
            <w:shd w:fill="FFFFFF" w:val="clear"/>
            <w:vAlign w:val="center"/>
          </w:tcPr>
          <w:p>
            <w:pPr>
              <w:pStyle w:val="TableContents"/>
              <w:bidi w:val="0"/>
              <w:spacing w:before="0" w:after="283"/>
              <w:jc w:val="left"/>
              <w:rPr/>
            </w:pPr>
            <w:r>
              <w:rPr/>
              <w:t> </w:t>
            </w:r>
          </w:p>
        </w:tc>
        <w:tc>
          <w:tcPr>
            <w:tcW w:w="194"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055" w:type="dxa"/>
            <w:tcBorders>
              <w:bottom w:val="single" w:sz="12" w:space="0" w:color="000000"/>
            </w:tcBorders>
            <w:shd w:fill="FFFFFF" w:val="clear"/>
            <w:tcMar>
              <w:bottom w:w="28" w:type="dxa"/>
            </w:tcMar>
            <w:vAlign w:val="center"/>
          </w:tcPr>
          <w:p>
            <w:pPr>
              <w:pStyle w:val="TableContents"/>
              <w:bidi w:val="0"/>
              <w:spacing w:before="0" w:after="283"/>
              <w:jc w:val="right"/>
              <w:rPr/>
            </w:pPr>
            <w:r>
              <w:rPr/>
              <w:t>17,923</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41"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73" w:type="dxa"/>
            <w:tcBorders>
              <w:bottom w:val="single" w:sz="12" w:space="0" w:color="000000"/>
            </w:tcBorders>
            <w:shd w:fill="FFFFFF" w:val="clear"/>
            <w:tcMar>
              <w:bottom w:w="28" w:type="dxa"/>
            </w:tcMar>
            <w:vAlign w:val="center"/>
          </w:tcPr>
          <w:p>
            <w:pPr>
              <w:pStyle w:val="TableContents"/>
              <w:bidi w:val="0"/>
              <w:spacing w:before="0" w:after="283"/>
              <w:jc w:val="right"/>
              <w:rPr/>
            </w:pPr>
            <w:r>
              <w:rPr/>
              <w:t>20,600</w:t>
            </w:r>
          </w:p>
        </w:tc>
        <w:tc>
          <w:tcPr>
            <w:tcW w:w="110" w:type="dxa"/>
            <w:tcBorders/>
            <w:shd w:fill="FFFFFF" w:val="clear"/>
            <w:vAlign w:val="center"/>
          </w:tcPr>
          <w:p>
            <w:pPr>
              <w:pStyle w:val="TableContents"/>
              <w:bidi w:val="0"/>
              <w:spacing w:before="0" w:after="283"/>
              <w:jc w:val="left"/>
              <w:rPr/>
            </w:pPr>
            <w:r>
              <w:rPr/>
              <w:t> </w:t>
            </w:r>
          </w:p>
        </w:tc>
      </w:tr>
      <w:tr>
        <w:trPr/>
        <w:tc>
          <w:tcPr>
            <w:tcW w:w="4610" w:type="dxa"/>
            <w:tcBorders/>
            <w:shd w:fill="CCEEFF" w:val="clear"/>
            <w:vAlign w:val="center"/>
          </w:tcPr>
          <w:p>
            <w:pPr>
              <w:pStyle w:val="TableContents"/>
              <w:bidi w:val="0"/>
              <w:spacing w:before="0" w:after="283"/>
              <w:jc w:val="both"/>
              <w:rPr/>
            </w:pPr>
            <w:r>
              <w:rPr/>
              <w:t>Property and equipment, net</w:t>
            </w:r>
          </w:p>
        </w:tc>
        <w:tc>
          <w:tcPr>
            <w:tcW w:w="60" w:type="dxa"/>
            <w:tcBorders/>
            <w:shd w:fill="CCEEFF" w:val="clear"/>
            <w:vAlign w:val="center"/>
          </w:tcPr>
          <w:p>
            <w:pPr>
              <w:pStyle w:val="TableContents"/>
              <w:bidi w:val="0"/>
              <w:spacing w:before="0" w:after="283"/>
              <w:jc w:val="left"/>
              <w:rPr/>
            </w:pPr>
            <w:r>
              <w:rPr/>
              <w:t> </w:t>
            </w:r>
          </w:p>
        </w:tc>
        <w:tc>
          <w:tcPr>
            <w:tcW w:w="194"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260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1" w:type="dxa"/>
            <w:tcBorders/>
            <w:shd w:fill="CCEEFF" w:val="clear"/>
            <w:vAlign w:val="center"/>
          </w:tcPr>
          <w:p>
            <w:pPr>
              <w:pStyle w:val="TableContents"/>
              <w:bidi w:val="0"/>
              <w:spacing w:before="0" w:after="283"/>
              <w:jc w:val="left"/>
              <w:rPr/>
            </w:pPr>
            <w:r>
              <w:rPr/>
              <w:t> </w:t>
            </w:r>
          </w:p>
        </w:tc>
        <w:tc>
          <w:tcPr>
            <w:tcW w:w="1173" w:type="dxa"/>
            <w:tcBorders/>
            <w:shd w:fill="CCEEFF" w:val="clear"/>
            <w:vAlign w:val="center"/>
          </w:tcPr>
          <w:p>
            <w:pPr>
              <w:pStyle w:val="TableContents"/>
              <w:bidi w:val="0"/>
              <w:spacing w:before="0" w:after="283"/>
              <w:jc w:val="right"/>
              <w:rPr/>
            </w:pPr>
            <w:r>
              <w:rPr/>
              <w:t>298</w:t>
            </w:r>
          </w:p>
        </w:tc>
        <w:tc>
          <w:tcPr>
            <w:tcW w:w="110" w:type="dxa"/>
            <w:tcBorders/>
            <w:shd w:fill="CCEEFF" w:val="clear"/>
            <w:vAlign w:val="center"/>
          </w:tcPr>
          <w:p>
            <w:pPr>
              <w:pStyle w:val="TableContents"/>
              <w:bidi w:val="0"/>
              <w:spacing w:before="0" w:after="283"/>
              <w:jc w:val="left"/>
              <w:rPr/>
            </w:pPr>
            <w:r>
              <w:rPr/>
              <w:t> </w:t>
            </w:r>
          </w:p>
        </w:tc>
      </w:tr>
      <w:tr>
        <w:trPr/>
        <w:tc>
          <w:tcPr>
            <w:tcW w:w="4610" w:type="dxa"/>
            <w:tcBorders/>
            <w:shd w:fill="FFFFFF" w:val="clear"/>
            <w:vAlign w:val="center"/>
          </w:tcPr>
          <w:p>
            <w:pPr>
              <w:pStyle w:val="TableContents"/>
              <w:bidi w:val="0"/>
              <w:spacing w:before="0" w:after="283"/>
              <w:jc w:val="both"/>
              <w:rPr/>
            </w:pPr>
            <w:r>
              <w:rPr/>
              <w:t>Operating lease right-of-use assets</w:t>
            </w:r>
          </w:p>
        </w:tc>
        <w:tc>
          <w:tcPr>
            <w:tcW w:w="60" w:type="dxa"/>
            <w:tcBorders/>
            <w:shd w:fill="FFFFFF" w:val="clear"/>
            <w:vAlign w:val="center"/>
          </w:tcPr>
          <w:p>
            <w:pPr>
              <w:pStyle w:val="TableContents"/>
              <w:bidi w:val="0"/>
              <w:spacing w:before="0" w:after="283"/>
              <w:jc w:val="left"/>
              <w:rPr/>
            </w:pPr>
            <w:r>
              <w:rPr/>
              <w:t> </w:t>
            </w:r>
          </w:p>
        </w:tc>
        <w:tc>
          <w:tcPr>
            <w:tcW w:w="194"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340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41" w:type="dxa"/>
            <w:tcBorders/>
            <w:shd w:fill="FFFFFF" w:val="clear"/>
            <w:vAlign w:val="center"/>
          </w:tcPr>
          <w:p>
            <w:pPr>
              <w:pStyle w:val="TableContents"/>
              <w:bidi w:val="0"/>
              <w:spacing w:before="0" w:after="283"/>
              <w:jc w:val="left"/>
              <w:rPr/>
            </w:pPr>
            <w:r>
              <w:rPr/>
              <w:t> </w:t>
            </w:r>
          </w:p>
        </w:tc>
        <w:tc>
          <w:tcPr>
            <w:tcW w:w="1173" w:type="dxa"/>
            <w:tcBorders/>
            <w:shd w:fill="FFFFFF" w:val="clear"/>
            <w:vAlign w:val="center"/>
          </w:tcPr>
          <w:p>
            <w:pPr>
              <w:pStyle w:val="TableContents"/>
              <w:bidi w:val="0"/>
              <w:spacing w:before="0" w:after="283"/>
              <w:jc w:val="right"/>
              <w:rPr/>
            </w:pPr>
            <w:r>
              <w:rPr/>
              <w:t>397</w:t>
            </w:r>
          </w:p>
        </w:tc>
        <w:tc>
          <w:tcPr>
            <w:tcW w:w="110" w:type="dxa"/>
            <w:tcBorders/>
            <w:shd w:fill="FFFFFF" w:val="clear"/>
            <w:vAlign w:val="center"/>
          </w:tcPr>
          <w:p>
            <w:pPr>
              <w:pStyle w:val="TableContents"/>
              <w:bidi w:val="0"/>
              <w:spacing w:before="0" w:after="283"/>
              <w:jc w:val="left"/>
              <w:rPr/>
            </w:pPr>
            <w:r>
              <w:rPr/>
              <w:t> </w:t>
            </w:r>
          </w:p>
        </w:tc>
      </w:tr>
      <w:tr>
        <w:trPr/>
        <w:tc>
          <w:tcPr>
            <w:tcW w:w="4610" w:type="dxa"/>
            <w:tcBorders/>
            <w:shd w:fill="CCEEFF" w:val="clear"/>
            <w:vAlign w:val="center"/>
          </w:tcPr>
          <w:p>
            <w:pPr>
              <w:pStyle w:val="TableContents"/>
              <w:bidi w:val="0"/>
              <w:spacing w:before="0" w:after="283"/>
              <w:jc w:val="both"/>
              <w:rPr/>
            </w:pPr>
            <w:r>
              <w:rPr/>
              <w:t>Other noncurrent assets</w:t>
            </w:r>
          </w:p>
        </w:tc>
        <w:tc>
          <w:tcPr>
            <w:tcW w:w="60" w:type="dxa"/>
            <w:tcBorders/>
            <w:shd w:fill="CCEEFF" w:val="clear"/>
            <w:vAlign w:val="center"/>
          </w:tcPr>
          <w:p>
            <w:pPr>
              <w:pStyle w:val="TableContents"/>
              <w:bidi w:val="0"/>
              <w:spacing w:before="0" w:after="283"/>
              <w:jc w:val="left"/>
              <w:rPr/>
            </w:pPr>
            <w:r>
              <w:rPr/>
              <w:t> </w:t>
            </w:r>
          </w:p>
        </w:tc>
        <w:tc>
          <w:tcPr>
            <w:tcW w:w="194"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55" w:type="dxa"/>
            <w:tcBorders>
              <w:bottom w:val="single" w:sz="12" w:space="0" w:color="000000"/>
            </w:tcBorders>
            <w:shd w:fill="CCEEFF" w:val="clear"/>
            <w:tcMar>
              <w:bottom w:w="28" w:type="dxa"/>
            </w:tcMar>
            <w:vAlign w:val="center"/>
          </w:tcPr>
          <w:p>
            <w:pPr>
              <w:pStyle w:val="TableContents"/>
              <w:bidi w:val="0"/>
              <w:spacing w:before="0" w:after="283"/>
              <w:jc w:val="right"/>
              <w:rPr/>
            </w:pPr>
            <w:r>
              <w:rPr/>
              <w:t>227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1"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73" w:type="dxa"/>
            <w:tcBorders>
              <w:bottom w:val="single" w:sz="12" w:space="0" w:color="000000"/>
            </w:tcBorders>
            <w:shd w:fill="CCEEFF" w:val="clear"/>
            <w:tcMar>
              <w:bottom w:w="28" w:type="dxa"/>
            </w:tcMar>
            <w:vAlign w:val="center"/>
          </w:tcPr>
          <w:p>
            <w:pPr>
              <w:pStyle w:val="TableContents"/>
              <w:bidi w:val="0"/>
              <w:spacing w:before="0" w:after="283"/>
              <w:jc w:val="right"/>
              <w:rPr/>
            </w:pPr>
            <w:r>
              <w:rPr/>
              <w:t>233</w:t>
            </w:r>
          </w:p>
        </w:tc>
        <w:tc>
          <w:tcPr>
            <w:tcW w:w="110" w:type="dxa"/>
            <w:tcBorders/>
            <w:shd w:fill="CCEEFF" w:val="clear"/>
            <w:vAlign w:val="center"/>
          </w:tcPr>
          <w:p>
            <w:pPr>
              <w:pStyle w:val="TableContents"/>
              <w:bidi w:val="0"/>
              <w:spacing w:before="0" w:after="283"/>
              <w:jc w:val="left"/>
              <w:rPr/>
            </w:pPr>
            <w:r>
              <w:rPr/>
              <w:t> </w:t>
            </w:r>
          </w:p>
        </w:tc>
      </w:tr>
      <w:tr>
        <w:trPr/>
        <w:tc>
          <w:tcPr>
            <w:tcW w:w="4610" w:type="dxa"/>
            <w:tcBorders/>
            <w:shd w:fill="FFFFFF" w:val="clear"/>
            <w:vAlign w:val="center"/>
          </w:tcPr>
          <w:p>
            <w:pPr>
              <w:pStyle w:val="TableContents"/>
              <w:bidi w:val="0"/>
              <w:spacing w:before="0" w:after="283"/>
              <w:jc w:val="both"/>
              <w:rPr/>
            </w:pPr>
            <w:r>
              <w:rPr/>
              <w:t>Total assets</w:t>
            </w:r>
          </w:p>
        </w:tc>
        <w:tc>
          <w:tcPr>
            <w:tcW w:w="60" w:type="dxa"/>
            <w:tcBorders/>
            <w:shd w:fill="FFFFFF" w:val="clear"/>
            <w:vAlign w:val="center"/>
          </w:tcPr>
          <w:p>
            <w:pPr>
              <w:pStyle w:val="TableContents"/>
              <w:bidi w:val="0"/>
              <w:spacing w:before="0" w:after="283"/>
              <w:jc w:val="left"/>
              <w:rPr/>
            </w:pPr>
            <w:r>
              <w:rPr/>
              <w:t> </w:t>
            </w:r>
          </w:p>
        </w:tc>
        <w:tc>
          <w:tcPr>
            <w:tcW w:w="194" w:type="dxa"/>
            <w:tcBorders>
              <w:bottom w:val="double" w:sz="10" w:space="0" w:color="000000"/>
            </w:tcBorders>
            <w:shd w:fill="FFFFFF" w:val="clear"/>
            <w:tcMar>
              <w:bottom w:w="28" w:type="dxa"/>
            </w:tcMar>
            <w:vAlign w:val="center"/>
          </w:tcPr>
          <w:p>
            <w:pPr>
              <w:pStyle w:val="TableContents"/>
              <w:bidi w:val="0"/>
              <w:spacing w:before="0" w:after="283"/>
              <w:jc w:val="left"/>
              <w:rPr/>
            </w:pPr>
            <w:r>
              <w:rPr/>
              <w:t>$</w:t>
            </w:r>
          </w:p>
        </w:tc>
        <w:tc>
          <w:tcPr>
            <w:tcW w:w="1055" w:type="dxa"/>
            <w:tcBorders>
              <w:bottom w:val="double" w:sz="10" w:space="0" w:color="000000"/>
            </w:tcBorders>
            <w:shd w:fill="FFFFFF" w:val="clear"/>
            <w:tcMar>
              <w:bottom w:w="28" w:type="dxa"/>
            </w:tcMar>
            <w:vAlign w:val="center"/>
          </w:tcPr>
          <w:p>
            <w:pPr>
              <w:pStyle w:val="TableContents"/>
              <w:bidi w:val="0"/>
              <w:spacing w:before="0" w:after="283"/>
              <w:jc w:val="right"/>
              <w:rPr/>
            </w:pPr>
            <w:r>
              <w:rPr/>
              <w:t>18,750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41" w:type="dxa"/>
            <w:tcBorders>
              <w:bottom w:val="double" w:sz="10" w:space="0" w:color="000000"/>
            </w:tcBorders>
            <w:shd w:fill="FFFFFF" w:val="clear"/>
            <w:tcMar>
              <w:bottom w:w="28" w:type="dxa"/>
            </w:tcMar>
            <w:vAlign w:val="center"/>
          </w:tcPr>
          <w:p>
            <w:pPr>
              <w:pStyle w:val="TableContents"/>
              <w:bidi w:val="0"/>
              <w:spacing w:before="0" w:after="283"/>
              <w:jc w:val="left"/>
              <w:rPr/>
            </w:pPr>
            <w:r>
              <w:rPr/>
              <w:t>$</w:t>
            </w:r>
          </w:p>
        </w:tc>
        <w:tc>
          <w:tcPr>
            <w:tcW w:w="1173" w:type="dxa"/>
            <w:tcBorders>
              <w:bottom w:val="double" w:sz="10" w:space="0" w:color="000000"/>
            </w:tcBorders>
            <w:shd w:fill="FFFFFF" w:val="clear"/>
            <w:tcMar>
              <w:bottom w:w="28" w:type="dxa"/>
            </w:tcMar>
            <w:vAlign w:val="center"/>
          </w:tcPr>
          <w:p>
            <w:pPr>
              <w:pStyle w:val="TableContents"/>
              <w:bidi w:val="0"/>
              <w:spacing w:before="0" w:after="283"/>
              <w:jc w:val="right"/>
              <w:rPr/>
            </w:pPr>
            <w:r>
              <w:rPr/>
              <w:t>21,528</w:t>
            </w:r>
          </w:p>
        </w:tc>
        <w:tc>
          <w:tcPr>
            <w:tcW w:w="110" w:type="dxa"/>
            <w:tcBorders/>
            <w:shd w:fill="FFFFFF" w:val="clear"/>
            <w:vAlign w:val="center"/>
          </w:tcPr>
          <w:p>
            <w:pPr>
              <w:pStyle w:val="TableContents"/>
              <w:bidi w:val="0"/>
              <w:spacing w:before="0" w:after="283"/>
              <w:jc w:val="left"/>
              <w:rPr/>
            </w:pPr>
            <w:r>
              <w:rPr/>
              <w:t> </w:t>
            </w:r>
          </w:p>
        </w:tc>
      </w:tr>
      <w:tr>
        <w:trPr/>
        <w:tc>
          <w:tcPr>
            <w:tcW w:w="4610" w:type="dxa"/>
            <w:tcBorders/>
            <w:shd w:fill="CCEEFF" w:val="clear"/>
            <w:vAlign w:val="center"/>
          </w:tcPr>
          <w:p>
            <w:pPr>
              <w:pStyle w:val="TableContents"/>
              <w:bidi w:val="0"/>
              <w:spacing w:before="0" w:after="283"/>
              <w:jc w:val="both"/>
              <w:rPr/>
            </w:pPr>
            <w:r>
              <w:rPr/>
              <w:t> </w:t>
            </w:r>
          </w:p>
        </w:tc>
        <w:tc>
          <w:tcPr>
            <w:tcW w:w="60" w:type="dxa"/>
            <w:tcBorders/>
            <w:shd w:fill="CCEEFF" w:val="clear"/>
            <w:vAlign w:val="center"/>
          </w:tcPr>
          <w:p>
            <w:pPr>
              <w:pStyle w:val="TableContents"/>
              <w:bidi w:val="0"/>
              <w:spacing w:before="0" w:after="283"/>
              <w:jc w:val="left"/>
              <w:rPr/>
            </w:pPr>
            <w:r>
              <w:rPr/>
              <w:t> </w:t>
            </w:r>
          </w:p>
        </w:tc>
        <w:tc>
          <w:tcPr>
            <w:tcW w:w="194"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1" w:type="dxa"/>
            <w:tcBorders/>
            <w:shd w:fill="CCEEFF" w:val="clear"/>
            <w:vAlign w:val="center"/>
          </w:tcPr>
          <w:p>
            <w:pPr>
              <w:pStyle w:val="TableContents"/>
              <w:bidi w:val="0"/>
              <w:spacing w:before="0" w:after="283"/>
              <w:jc w:val="left"/>
              <w:rPr/>
            </w:pPr>
            <w:r>
              <w:rPr/>
              <w:t> </w:t>
            </w:r>
          </w:p>
        </w:tc>
        <w:tc>
          <w:tcPr>
            <w:tcW w:w="1173"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4610" w:type="dxa"/>
            <w:tcBorders/>
            <w:shd w:fill="FFFFFF" w:val="clear"/>
            <w:vAlign w:val="center"/>
          </w:tcPr>
          <w:p>
            <w:pPr>
              <w:pStyle w:val="TableContents"/>
              <w:bidi w:val="0"/>
              <w:spacing w:before="0" w:after="283"/>
              <w:jc w:val="left"/>
              <w:rPr>
                <w:b/>
              </w:rPr>
            </w:pPr>
            <w:r>
              <w:rPr>
                <w:b/>
              </w:rPr>
              <w:t>LIABILITIES AND MEMBER’S DEFICIT</w:t>
            </w:r>
          </w:p>
        </w:tc>
        <w:tc>
          <w:tcPr>
            <w:tcW w:w="60" w:type="dxa"/>
            <w:tcBorders/>
            <w:shd w:fill="FFFFFF" w:val="clear"/>
            <w:vAlign w:val="center"/>
          </w:tcPr>
          <w:p>
            <w:pPr>
              <w:pStyle w:val="TableContents"/>
              <w:bidi w:val="0"/>
              <w:spacing w:before="0" w:after="283"/>
              <w:jc w:val="left"/>
              <w:rPr/>
            </w:pPr>
            <w:r>
              <w:rPr/>
              <w:t> </w:t>
            </w:r>
          </w:p>
        </w:tc>
        <w:tc>
          <w:tcPr>
            <w:tcW w:w="194"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41" w:type="dxa"/>
            <w:tcBorders/>
            <w:shd w:fill="FFFFFF" w:val="clear"/>
            <w:vAlign w:val="center"/>
          </w:tcPr>
          <w:p>
            <w:pPr>
              <w:pStyle w:val="TableContents"/>
              <w:bidi w:val="0"/>
              <w:spacing w:before="0" w:after="283"/>
              <w:jc w:val="left"/>
              <w:rPr/>
            </w:pPr>
            <w:r>
              <w:rPr/>
              <w:t> </w:t>
            </w:r>
          </w:p>
        </w:tc>
        <w:tc>
          <w:tcPr>
            <w:tcW w:w="1173"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4610" w:type="dxa"/>
            <w:tcBorders/>
            <w:shd w:fill="CCEEFF" w:val="clear"/>
            <w:vAlign w:val="center"/>
          </w:tcPr>
          <w:p>
            <w:pPr>
              <w:pStyle w:val="TableContents"/>
              <w:bidi w:val="0"/>
              <w:spacing w:before="0" w:after="283"/>
              <w:jc w:val="both"/>
              <w:rPr/>
            </w:pPr>
            <w:r>
              <w:rPr/>
              <w:t>Current liabilities:</w:t>
            </w:r>
          </w:p>
        </w:tc>
        <w:tc>
          <w:tcPr>
            <w:tcW w:w="60" w:type="dxa"/>
            <w:tcBorders/>
            <w:shd w:fill="CCEEFF" w:val="clear"/>
            <w:vAlign w:val="center"/>
          </w:tcPr>
          <w:p>
            <w:pPr>
              <w:pStyle w:val="TableContents"/>
              <w:bidi w:val="0"/>
              <w:spacing w:before="0" w:after="283"/>
              <w:jc w:val="left"/>
              <w:rPr/>
            </w:pPr>
            <w:r>
              <w:rPr/>
              <w:t> </w:t>
            </w:r>
          </w:p>
        </w:tc>
        <w:tc>
          <w:tcPr>
            <w:tcW w:w="194"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1" w:type="dxa"/>
            <w:tcBorders/>
            <w:shd w:fill="CCEEFF" w:val="clear"/>
            <w:vAlign w:val="center"/>
          </w:tcPr>
          <w:p>
            <w:pPr>
              <w:pStyle w:val="TableContents"/>
              <w:bidi w:val="0"/>
              <w:spacing w:before="0" w:after="283"/>
              <w:jc w:val="left"/>
              <w:rPr/>
            </w:pPr>
            <w:r>
              <w:rPr/>
              <w:t> </w:t>
            </w:r>
          </w:p>
        </w:tc>
        <w:tc>
          <w:tcPr>
            <w:tcW w:w="1173"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4610" w:type="dxa"/>
            <w:tcBorders/>
            <w:shd w:fill="FFFFFF" w:val="clear"/>
            <w:vAlign w:val="center"/>
          </w:tcPr>
          <w:p>
            <w:pPr>
              <w:pStyle w:val="TableContents"/>
              <w:bidi w:val="0"/>
              <w:spacing w:before="0" w:after="283"/>
              <w:jc w:val="both"/>
              <w:rPr/>
            </w:pPr>
            <w:r>
              <w:rPr/>
              <w:t>Accounts payable</w:t>
            </w:r>
          </w:p>
        </w:tc>
        <w:tc>
          <w:tcPr>
            <w:tcW w:w="60" w:type="dxa"/>
            <w:tcBorders/>
            <w:shd w:fill="FFFFFF" w:val="clear"/>
            <w:vAlign w:val="center"/>
          </w:tcPr>
          <w:p>
            <w:pPr>
              <w:pStyle w:val="TableContents"/>
              <w:bidi w:val="0"/>
              <w:spacing w:before="0" w:after="283"/>
              <w:jc w:val="left"/>
              <w:rPr/>
            </w:pPr>
            <w:r>
              <w:rPr/>
              <w:t> </w:t>
            </w:r>
          </w:p>
        </w:tc>
        <w:tc>
          <w:tcPr>
            <w:tcW w:w="194" w:type="dxa"/>
            <w:tcBorders/>
            <w:shd w:fill="FFFFFF" w:val="clear"/>
            <w:vAlign w:val="center"/>
          </w:tcPr>
          <w:p>
            <w:pPr>
              <w:pStyle w:val="TableContents"/>
              <w:bidi w:val="0"/>
              <w:spacing w:before="0" w:after="283"/>
              <w:jc w:val="left"/>
              <w:rPr/>
            </w:pPr>
            <w:r>
              <w:rPr/>
              <w:t>$</w:t>
            </w:r>
          </w:p>
        </w:tc>
        <w:tc>
          <w:tcPr>
            <w:tcW w:w="1055" w:type="dxa"/>
            <w:tcBorders/>
            <w:shd w:fill="FFFFFF" w:val="clear"/>
            <w:vAlign w:val="center"/>
          </w:tcPr>
          <w:p>
            <w:pPr>
              <w:pStyle w:val="TableContents"/>
              <w:bidi w:val="0"/>
              <w:spacing w:before="0" w:after="283"/>
              <w:jc w:val="right"/>
              <w:rPr/>
            </w:pPr>
            <w:r>
              <w:rPr/>
              <w:t>810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41" w:type="dxa"/>
            <w:tcBorders/>
            <w:shd w:fill="FFFFFF" w:val="clear"/>
            <w:vAlign w:val="center"/>
          </w:tcPr>
          <w:p>
            <w:pPr>
              <w:pStyle w:val="TableContents"/>
              <w:bidi w:val="0"/>
              <w:spacing w:before="0" w:after="283"/>
              <w:jc w:val="left"/>
              <w:rPr/>
            </w:pPr>
            <w:r>
              <w:rPr/>
              <w:t>$</w:t>
            </w:r>
          </w:p>
        </w:tc>
        <w:tc>
          <w:tcPr>
            <w:tcW w:w="1173" w:type="dxa"/>
            <w:tcBorders/>
            <w:shd w:fill="FFFFFF" w:val="clear"/>
            <w:vAlign w:val="center"/>
          </w:tcPr>
          <w:p>
            <w:pPr>
              <w:pStyle w:val="TableContents"/>
              <w:bidi w:val="0"/>
              <w:spacing w:before="0" w:after="283"/>
              <w:jc w:val="right"/>
              <w:rPr/>
            </w:pPr>
            <w:r>
              <w:rPr/>
              <w:t>1,402</w:t>
            </w:r>
          </w:p>
        </w:tc>
        <w:tc>
          <w:tcPr>
            <w:tcW w:w="110" w:type="dxa"/>
            <w:tcBorders/>
            <w:shd w:fill="FFFFFF" w:val="clear"/>
            <w:vAlign w:val="center"/>
          </w:tcPr>
          <w:p>
            <w:pPr>
              <w:pStyle w:val="TableContents"/>
              <w:bidi w:val="0"/>
              <w:spacing w:before="0" w:after="283"/>
              <w:jc w:val="left"/>
              <w:rPr/>
            </w:pPr>
            <w:r>
              <w:rPr/>
              <w:t> </w:t>
            </w:r>
          </w:p>
        </w:tc>
      </w:tr>
      <w:tr>
        <w:trPr/>
        <w:tc>
          <w:tcPr>
            <w:tcW w:w="4610" w:type="dxa"/>
            <w:tcBorders/>
            <w:shd w:fill="CCEEFF" w:val="clear"/>
            <w:vAlign w:val="center"/>
          </w:tcPr>
          <w:p>
            <w:pPr>
              <w:pStyle w:val="TableContents"/>
              <w:bidi w:val="0"/>
              <w:spacing w:before="0" w:after="283"/>
              <w:jc w:val="both"/>
              <w:rPr/>
            </w:pPr>
            <w:r>
              <w:rPr/>
              <w:t>Accrued expenses and other current liabilities</w:t>
            </w:r>
          </w:p>
        </w:tc>
        <w:tc>
          <w:tcPr>
            <w:tcW w:w="60" w:type="dxa"/>
            <w:tcBorders/>
            <w:shd w:fill="CCEEFF" w:val="clear"/>
            <w:vAlign w:val="center"/>
          </w:tcPr>
          <w:p>
            <w:pPr>
              <w:pStyle w:val="TableContents"/>
              <w:bidi w:val="0"/>
              <w:spacing w:before="0" w:after="283"/>
              <w:jc w:val="left"/>
              <w:rPr/>
            </w:pPr>
            <w:r>
              <w:rPr/>
              <w:t> </w:t>
            </w:r>
          </w:p>
        </w:tc>
        <w:tc>
          <w:tcPr>
            <w:tcW w:w="194"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11,881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1" w:type="dxa"/>
            <w:tcBorders/>
            <w:shd w:fill="CCEEFF" w:val="clear"/>
            <w:vAlign w:val="center"/>
          </w:tcPr>
          <w:p>
            <w:pPr>
              <w:pStyle w:val="TableContents"/>
              <w:bidi w:val="0"/>
              <w:spacing w:before="0" w:after="283"/>
              <w:jc w:val="left"/>
              <w:rPr/>
            </w:pPr>
            <w:r>
              <w:rPr/>
              <w:t> </w:t>
            </w:r>
          </w:p>
        </w:tc>
        <w:tc>
          <w:tcPr>
            <w:tcW w:w="1173" w:type="dxa"/>
            <w:tcBorders/>
            <w:shd w:fill="CCEEFF" w:val="clear"/>
            <w:vAlign w:val="center"/>
          </w:tcPr>
          <w:p>
            <w:pPr>
              <w:pStyle w:val="TableContents"/>
              <w:bidi w:val="0"/>
              <w:spacing w:before="0" w:after="283"/>
              <w:jc w:val="right"/>
              <w:rPr/>
            </w:pPr>
            <w:r>
              <w:rPr/>
              <w:t>6,511</w:t>
            </w:r>
          </w:p>
        </w:tc>
        <w:tc>
          <w:tcPr>
            <w:tcW w:w="110" w:type="dxa"/>
            <w:tcBorders/>
            <w:shd w:fill="CCEEFF" w:val="clear"/>
            <w:vAlign w:val="center"/>
          </w:tcPr>
          <w:p>
            <w:pPr>
              <w:pStyle w:val="TableContents"/>
              <w:bidi w:val="0"/>
              <w:spacing w:before="0" w:after="283"/>
              <w:jc w:val="left"/>
              <w:rPr/>
            </w:pPr>
            <w:r>
              <w:rPr/>
              <w:t> </w:t>
            </w:r>
          </w:p>
        </w:tc>
      </w:tr>
      <w:tr>
        <w:trPr/>
        <w:tc>
          <w:tcPr>
            <w:tcW w:w="4610" w:type="dxa"/>
            <w:tcBorders/>
            <w:shd w:fill="FFFFFF" w:val="clear"/>
            <w:vAlign w:val="center"/>
          </w:tcPr>
          <w:p>
            <w:pPr>
              <w:pStyle w:val="TableContents"/>
              <w:bidi w:val="0"/>
              <w:spacing w:before="0" w:after="283"/>
              <w:jc w:val="both"/>
              <w:rPr/>
            </w:pPr>
            <w:r>
              <w:rPr/>
              <w:t>Line of credit</w:t>
            </w:r>
          </w:p>
        </w:tc>
        <w:tc>
          <w:tcPr>
            <w:tcW w:w="60" w:type="dxa"/>
            <w:tcBorders/>
            <w:shd w:fill="FFFFFF" w:val="clear"/>
            <w:vAlign w:val="center"/>
          </w:tcPr>
          <w:p>
            <w:pPr>
              <w:pStyle w:val="TableContents"/>
              <w:bidi w:val="0"/>
              <w:spacing w:before="0" w:after="283"/>
              <w:jc w:val="left"/>
              <w:rPr/>
            </w:pPr>
            <w:r>
              <w:rPr/>
              <w:t> </w:t>
            </w:r>
          </w:p>
        </w:tc>
        <w:tc>
          <w:tcPr>
            <w:tcW w:w="194"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2,250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41" w:type="dxa"/>
            <w:tcBorders/>
            <w:shd w:fill="FFFFFF" w:val="clear"/>
            <w:vAlign w:val="center"/>
          </w:tcPr>
          <w:p>
            <w:pPr>
              <w:pStyle w:val="TableContents"/>
              <w:bidi w:val="0"/>
              <w:spacing w:before="0" w:after="283"/>
              <w:jc w:val="left"/>
              <w:rPr/>
            </w:pPr>
            <w:r>
              <w:rPr/>
              <w:t> </w:t>
            </w:r>
          </w:p>
        </w:tc>
        <w:tc>
          <w:tcPr>
            <w:tcW w:w="1173" w:type="dxa"/>
            <w:tcBorders/>
            <w:shd w:fill="FFFFFF" w:val="clear"/>
            <w:vAlign w:val="center"/>
          </w:tcPr>
          <w:p>
            <w:pPr>
              <w:pStyle w:val="TableContents"/>
              <w:bidi w:val="0"/>
              <w:spacing w:before="0" w:after="283"/>
              <w:jc w:val="right"/>
              <w:rPr/>
            </w:pPr>
            <w:r>
              <w:rPr/>
              <w:t>2,250</w:t>
            </w:r>
          </w:p>
        </w:tc>
        <w:tc>
          <w:tcPr>
            <w:tcW w:w="110" w:type="dxa"/>
            <w:tcBorders/>
            <w:shd w:fill="FFFFFF" w:val="clear"/>
            <w:vAlign w:val="center"/>
          </w:tcPr>
          <w:p>
            <w:pPr>
              <w:pStyle w:val="TableContents"/>
              <w:bidi w:val="0"/>
              <w:spacing w:before="0" w:after="283"/>
              <w:jc w:val="left"/>
              <w:rPr/>
            </w:pPr>
            <w:r>
              <w:rPr/>
              <w:t> </w:t>
            </w:r>
          </w:p>
        </w:tc>
      </w:tr>
      <w:tr>
        <w:trPr/>
        <w:tc>
          <w:tcPr>
            <w:tcW w:w="4610" w:type="dxa"/>
            <w:tcBorders/>
            <w:shd w:fill="CCEEFF" w:val="clear"/>
            <w:vAlign w:val="center"/>
          </w:tcPr>
          <w:p>
            <w:pPr>
              <w:pStyle w:val="TableContents"/>
              <w:bidi w:val="0"/>
              <w:spacing w:before="0" w:after="283"/>
              <w:jc w:val="both"/>
              <w:rPr/>
            </w:pPr>
            <w:r>
              <w:rPr/>
              <w:t>Contract liabilities</w:t>
            </w:r>
          </w:p>
        </w:tc>
        <w:tc>
          <w:tcPr>
            <w:tcW w:w="60" w:type="dxa"/>
            <w:tcBorders/>
            <w:shd w:fill="CCEEFF" w:val="clear"/>
            <w:vAlign w:val="center"/>
          </w:tcPr>
          <w:p>
            <w:pPr>
              <w:pStyle w:val="TableContents"/>
              <w:bidi w:val="0"/>
              <w:spacing w:before="0" w:after="283"/>
              <w:jc w:val="left"/>
              <w:rPr/>
            </w:pPr>
            <w:r>
              <w:rPr/>
              <w:t> </w:t>
            </w:r>
          </w:p>
        </w:tc>
        <w:tc>
          <w:tcPr>
            <w:tcW w:w="194"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14,431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1" w:type="dxa"/>
            <w:tcBorders/>
            <w:shd w:fill="CCEEFF" w:val="clear"/>
            <w:vAlign w:val="center"/>
          </w:tcPr>
          <w:p>
            <w:pPr>
              <w:pStyle w:val="TableContents"/>
              <w:bidi w:val="0"/>
              <w:spacing w:before="0" w:after="283"/>
              <w:jc w:val="left"/>
              <w:rPr/>
            </w:pPr>
            <w:r>
              <w:rPr/>
              <w:t> </w:t>
            </w:r>
          </w:p>
        </w:tc>
        <w:tc>
          <w:tcPr>
            <w:tcW w:w="1173" w:type="dxa"/>
            <w:tcBorders/>
            <w:shd w:fill="CCEEFF" w:val="clear"/>
            <w:vAlign w:val="center"/>
          </w:tcPr>
          <w:p>
            <w:pPr>
              <w:pStyle w:val="TableContents"/>
              <w:bidi w:val="0"/>
              <w:spacing w:before="0" w:after="283"/>
              <w:jc w:val="right"/>
              <w:rPr/>
            </w:pPr>
            <w:r>
              <w:rPr/>
              <w:t>17,231</w:t>
            </w:r>
          </w:p>
        </w:tc>
        <w:tc>
          <w:tcPr>
            <w:tcW w:w="110" w:type="dxa"/>
            <w:tcBorders/>
            <w:shd w:fill="CCEEFF" w:val="clear"/>
            <w:vAlign w:val="center"/>
          </w:tcPr>
          <w:p>
            <w:pPr>
              <w:pStyle w:val="TableContents"/>
              <w:bidi w:val="0"/>
              <w:spacing w:before="0" w:after="283"/>
              <w:jc w:val="left"/>
              <w:rPr/>
            </w:pPr>
            <w:r>
              <w:rPr/>
              <w:t> </w:t>
            </w:r>
          </w:p>
        </w:tc>
      </w:tr>
      <w:tr>
        <w:trPr/>
        <w:tc>
          <w:tcPr>
            <w:tcW w:w="4610" w:type="dxa"/>
            <w:tcBorders/>
            <w:shd w:fill="FFFFFF" w:val="clear"/>
            <w:vAlign w:val="center"/>
          </w:tcPr>
          <w:p>
            <w:pPr>
              <w:pStyle w:val="TableContents"/>
              <w:bidi w:val="0"/>
              <w:spacing w:before="0" w:after="283"/>
              <w:jc w:val="both"/>
              <w:rPr/>
            </w:pPr>
            <w:r>
              <w:rPr/>
              <w:t>Operating lease liability, current portion</w:t>
            </w:r>
          </w:p>
        </w:tc>
        <w:tc>
          <w:tcPr>
            <w:tcW w:w="60" w:type="dxa"/>
            <w:tcBorders/>
            <w:shd w:fill="FFFFFF" w:val="clear"/>
            <w:vAlign w:val="center"/>
          </w:tcPr>
          <w:p>
            <w:pPr>
              <w:pStyle w:val="TableContents"/>
              <w:bidi w:val="0"/>
              <w:spacing w:before="0" w:after="283"/>
              <w:jc w:val="left"/>
              <w:rPr/>
            </w:pPr>
            <w:r>
              <w:rPr/>
              <w:t> </w:t>
            </w:r>
          </w:p>
        </w:tc>
        <w:tc>
          <w:tcPr>
            <w:tcW w:w="194"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055" w:type="dxa"/>
            <w:tcBorders>
              <w:bottom w:val="single" w:sz="12" w:space="0" w:color="000000"/>
            </w:tcBorders>
            <w:shd w:fill="FFFFFF" w:val="clear"/>
            <w:tcMar>
              <w:bottom w:w="28" w:type="dxa"/>
            </w:tcMar>
            <w:vAlign w:val="center"/>
          </w:tcPr>
          <w:p>
            <w:pPr>
              <w:pStyle w:val="TableContents"/>
              <w:bidi w:val="0"/>
              <w:spacing w:before="0" w:after="283"/>
              <w:jc w:val="right"/>
              <w:rPr/>
            </w:pPr>
            <w:r>
              <w:rPr/>
              <w:t>125</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41"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73" w:type="dxa"/>
            <w:tcBorders>
              <w:bottom w:val="single" w:sz="12" w:space="0" w:color="000000"/>
            </w:tcBorders>
            <w:shd w:fill="FFFFFF" w:val="clear"/>
            <w:tcMar>
              <w:bottom w:w="28" w:type="dxa"/>
            </w:tcMar>
            <w:vAlign w:val="center"/>
          </w:tcPr>
          <w:p>
            <w:pPr>
              <w:pStyle w:val="TableContents"/>
              <w:bidi w:val="0"/>
              <w:spacing w:before="0" w:after="283"/>
              <w:jc w:val="right"/>
              <w:rPr/>
            </w:pPr>
            <w:r>
              <w:rPr/>
              <w:t>119</w:t>
            </w:r>
          </w:p>
        </w:tc>
        <w:tc>
          <w:tcPr>
            <w:tcW w:w="110" w:type="dxa"/>
            <w:tcBorders/>
            <w:shd w:fill="FFFFFF" w:val="clear"/>
            <w:vAlign w:val="center"/>
          </w:tcPr>
          <w:p>
            <w:pPr>
              <w:pStyle w:val="TableContents"/>
              <w:bidi w:val="0"/>
              <w:spacing w:before="0" w:after="283"/>
              <w:jc w:val="left"/>
              <w:rPr/>
            </w:pPr>
            <w:r>
              <w:rPr/>
              <w:t> </w:t>
            </w:r>
          </w:p>
        </w:tc>
      </w:tr>
      <w:tr>
        <w:trPr/>
        <w:tc>
          <w:tcPr>
            <w:tcW w:w="4610" w:type="dxa"/>
            <w:tcBorders/>
            <w:shd w:fill="CCEEFF" w:val="clear"/>
            <w:vAlign w:val="center"/>
          </w:tcPr>
          <w:p>
            <w:pPr>
              <w:pStyle w:val="TableContents"/>
              <w:bidi w:val="0"/>
              <w:spacing w:before="0" w:after="283"/>
              <w:jc w:val="both"/>
              <w:rPr/>
            </w:pPr>
            <w:r>
              <w:rPr/>
              <w:t>Total current liabilities</w:t>
            </w:r>
          </w:p>
        </w:tc>
        <w:tc>
          <w:tcPr>
            <w:tcW w:w="60" w:type="dxa"/>
            <w:tcBorders/>
            <w:shd w:fill="CCEEFF" w:val="clear"/>
            <w:vAlign w:val="center"/>
          </w:tcPr>
          <w:p>
            <w:pPr>
              <w:pStyle w:val="TableContents"/>
              <w:bidi w:val="0"/>
              <w:spacing w:before="0" w:after="283"/>
              <w:jc w:val="left"/>
              <w:rPr/>
            </w:pPr>
            <w:r>
              <w:rPr/>
              <w:t> </w:t>
            </w:r>
          </w:p>
        </w:tc>
        <w:tc>
          <w:tcPr>
            <w:tcW w:w="194"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55" w:type="dxa"/>
            <w:tcBorders>
              <w:bottom w:val="single" w:sz="12" w:space="0" w:color="000000"/>
            </w:tcBorders>
            <w:shd w:fill="CCEEFF" w:val="clear"/>
            <w:tcMar>
              <w:bottom w:w="28" w:type="dxa"/>
            </w:tcMar>
            <w:vAlign w:val="center"/>
          </w:tcPr>
          <w:p>
            <w:pPr>
              <w:pStyle w:val="TableContents"/>
              <w:bidi w:val="0"/>
              <w:spacing w:before="0" w:after="283"/>
              <w:jc w:val="right"/>
              <w:rPr/>
            </w:pPr>
            <w:r>
              <w:rPr/>
              <w:t>29,497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1"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73" w:type="dxa"/>
            <w:tcBorders>
              <w:bottom w:val="single" w:sz="12" w:space="0" w:color="000000"/>
            </w:tcBorders>
            <w:shd w:fill="CCEEFF" w:val="clear"/>
            <w:tcMar>
              <w:bottom w:w="28" w:type="dxa"/>
            </w:tcMar>
            <w:vAlign w:val="center"/>
          </w:tcPr>
          <w:p>
            <w:pPr>
              <w:pStyle w:val="TableContents"/>
              <w:bidi w:val="0"/>
              <w:spacing w:before="0" w:after="283"/>
              <w:jc w:val="right"/>
              <w:rPr/>
            </w:pPr>
            <w:r>
              <w:rPr/>
              <w:t>27,513</w:t>
            </w:r>
          </w:p>
        </w:tc>
        <w:tc>
          <w:tcPr>
            <w:tcW w:w="110" w:type="dxa"/>
            <w:tcBorders/>
            <w:shd w:fill="CCEEFF" w:val="clear"/>
            <w:vAlign w:val="center"/>
          </w:tcPr>
          <w:p>
            <w:pPr>
              <w:pStyle w:val="TableContents"/>
              <w:bidi w:val="0"/>
              <w:spacing w:before="0" w:after="283"/>
              <w:jc w:val="left"/>
              <w:rPr/>
            </w:pPr>
            <w:r>
              <w:rPr/>
              <w:t> </w:t>
            </w:r>
          </w:p>
        </w:tc>
      </w:tr>
      <w:tr>
        <w:trPr/>
        <w:tc>
          <w:tcPr>
            <w:tcW w:w="4610" w:type="dxa"/>
            <w:tcBorders/>
            <w:shd w:fill="FFFFFF" w:val="clear"/>
            <w:vAlign w:val="center"/>
          </w:tcPr>
          <w:p>
            <w:pPr>
              <w:pStyle w:val="TableContents"/>
              <w:bidi w:val="0"/>
              <w:spacing w:before="0" w:after="283"/>
              <w:jc w:val="both"/>
              <w:rPr/>
            </w:pPr>
            <w:r>
              <w:rPr/>
              <w:t>Operating lease liability, net of current portion</w:t>
            </w:r>
          </w:p>
        </w:tc>
        <w:tc>
          <w:tcPr>
            <w:tcW w:w="60" w:type="dxa"/>
            <w:tcBorders/>
            <w:shd w:fill="FFFFFF" w:val="clear"/>
            <w:vAlign w:val="center"/>
          </w:tcPr>
          <w:p>
            <w:pPr>
              <w:pStyle w:val="TableContents"/>
              <w:bidi w:val="0"/>
              <w:spacing w:before="0" w:after="283"/>
              <w:jc w:val="left"/>
              <w:rPr/>
            </w:pPr>
            <w:r>
              <w:rPr/>
              <w:t> </w:t>
            </w:r>
          </w:p>
        </w:tc>
        <w:tc>
          <w:tcPr>
            <w:tcW w:w="194"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055" w:type="dxa"/>
            <w:tcBorders>
              <w:bottom w:val="single" w:sz="12" w:space="0" w:color="000000"/>
            </w:tcBorders>
            <w:shd w:fill="FFFFFF" w:val="clear"/>
            <w:tcMar>
              <w:bottom w:w="28" w:type="dxa"/>
            </w:tcMar>
            <w:vAlign w:val="center"/>
          </w:tcPr>
          <w:p>
            <w:pPr>
              <w:pStyle w:val="TableContents"/>
              <w:bidi w:val="0"/>
              <w:spacing w:before="0" w:after="283"/>
              <w:jc w:val="right"/>
              <w:rPr/>
            </w:pPr>
            <w:r>
              <w:rPr/>
              <w:t>237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41"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73" w:type="dxa"/>
            <w:tcBorders>
              <w:bottom w:val="single" w:sz="12" w:space="0" w:color="000000"/>
            </w:tcBorders>
            <w:shd w:fill="FFFFFF" w:val="clear"/>
            <w:tcMar>
              <w:bottom w:w="28" w:type="dxa"/>
            </w:tcMar>
            <w:vAlign w:val="center"/>
          </w:tcPr>
          <w:p>
            <w:pPr>
              <w:pStyle w:val="TableContents"/>
              <w:bidi w:val="0"/>
              <w:spacing w:before="0" w:after="283"/>
              <w:jc w:val="right"/>
              <w:rPr/>
            </w:pPr>
            <w:r>
              <w:rPr/>
              <w:t>302</w:t>
            </w:r>
          </w:p>
        </w:tc>
        <w:tc>
          <w:tcPr>
            <w:tcW w:w="110" w:type="dxa"/>
            <w:tcBorders/>
            <w:shd w:fill="FFFFFF" w:val="clear"/>
            <w:vAlign w:val="center"/>
          </w:tcPr>
          <w:p>
            <w:pPr>
              <w:pStyle w:val="TableContents"/>
              <w:bidi w:val="0"/>
              <w:spacing w:before="0" w:after="283"/>
              <w:jc w:val="left"/>
              <w:rPr/>
            </w:pPr>
            <w:r>
              <w:rPr/>
              <w:t> </w:t>
            </w:r>
          </w:p>
        </w:tc>
      </w:tr>
      <w:tr>
        <w:trPr/>
        <w:tc>
          <w:tcPr>
            <w:tcW w:w="4610" w:type="dxa"/>
            <w:tcBorders/>
            <w:shd w:fill="CCEEFF" w:val="clear"/>
            <w:vAlign w:val="center"/>
          </w:tcPr>
          <w:p>
            <w:pPr>
              <w:pStyle w:val="TableContents"/>
              <w:bidi w:val="0"/>
              <w:spacing w:before="0" w:after="283"/>
              <w:jc w:val="both"/>
              <w:rPr/>
            </w:pPr>
            <w:r>
              <w:rPr/>
              <w:t>Total liabilities</w:t>
            </w:r>
          </w:p>
        </w:tc>
        <w:tc>
          <w:tcPr>
            <w:tcW w:w="60" w:type="dxa"/>
            <w:tcBorders/>
            <w:shd w:fill="CCEEFF" w:val="clear"/>
            <w:vAlign w:val="center"/>
          </w:tcPr>
          <w:p>
            <w:pPr>
              <w:pStyle w:val="TableContents"/>
              <w:bidi w:val="0"/>
              <w:spacing w:before="0" w:after="283"/>
              <w:jc w:val="left"/>
              <w:rPr/>
            </w:pPr>
            <w:r>
              <w:rPr/>
              <w:t> </w:t>
            </w:r>
          </w:p>
        </w:tc>
        <w:tc>
          <w:tcPr>
            <w:tcW w:w="194"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55" w:type="dxa"/>
            <w:tcBorders>
              <w:bottom w:val="single" w:sz="12" w:space="0" w:color="000000"/>
            </w:tcBorders>
            <w:shd w:fill="CCEEFF" w:val="clear"/>
            <w:tcMar>
              <w:bottom w:w="28" w:type="dxa"/>
            </w:tcMar>
            <w:vAlign w:val="center"/>
          </w:tcPr>
          <w:p>
            <w:pPr>
              <w:pStyle w:val="TableContents"/>
              <w:bidi w:val="0"/>
              <w:spacing w:before="0" w:after="283"/>
              <w:jc w:val="right"/>
              <w:rPr/>
            </w:pPr>
            <w:r>
              <w:rPr/>
              <w:t>29,734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1"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73" w:type="dxa"/>
            <w:tcBorders>
              <w:bottom w:val="single" w:sz="12" w:space="0" w:color="000000"/>
            </w:tcBorders>
            <w:shd w:fill="CCEEFF" w:val="clear"/>
            <w:tcMar>
              <w:bottom w:w="28" w:type="dxa"/>
            </w:tcMar>
            <w:vAlign w:val="center"/>
          </w:tcPr>
          <w:p>
            <w:pPr>
              <w:pStyle w:val="TableContents"/>
              <w:bidi w:val="0"/>
              <w:spacing w:before="0" w:after="283"/>
              <w:jc w:val="right"/>
              <w:rPr/>
            </w:pPr>
            <w:r>
              <w:rPr/>
              <w:t>27,815</w:t>
            </w:r>
          </w:p>
        </w:tc>
        <w:tc>
          <w:tcPr>
            <w:tcW w:w="110" w:type="dxa"/>
            <w:tcBorders/>
            <w:shd w:fill="CCEEFF" w:val="clear"/>
            <w:vAlign w:val="center"/>
          </w:tcPr>
          <w:p>
            <w:pPr>
              <w:pStyle w:val="TableContents"/>
              <w:bidi w:val="0"/>
              <w:spacing w:before="0" w:after="283"/>
              <w:jc w:val="left"/>
              <w:rPr/>
            </w:pPr>
            <w:r>
              <w:rPr/>
              <w:t> </w:t>
            </w:r>
          </w:p>
        </w:tc>
      </w:tr>
      <w:tr>
        <w:trPr/>
        <w:tc>
          <w:tcPr>
            <w:tcW w:w="4610" w:type="dxa"/>
            <w:tcBorders/>
            <w:shd w:fill="FFFFFF" w:val="clear"/>
            <w:vAlign w:val="center"/>
          </w:tcPr>
          <w:p>
            <w:pPr>
              <w:pStyle w:val="TableContents"/>
              <w:bidi w:val="0"/>
              <w:spacing w:before="0" w:after="283"/>
              <w:jc w:val="both"/>
              <w:rPr/>
            </w:pPr>
            <w:r>
              <w:rPr/>
              <w:t> </w:t>
            </w:r>
          </w:p>
        </w:tc>
        <w:tc>
          <w:tcPr>
            <w:tcW w:w="60" w:type="dxa"/>
            <w:tcBorders/>
            <w:shd w:fill="FFFFFF" w:val="clear"/>
            <w:vAlign w:val="center"/>
          </w:tcPr>
          <w:p>
            <w:pPr>
              <w:pStyle w:val="TableContents"/>
              <w:bidi w:val="0"/>
              <w:spacing w:before="0" w:after="283"/>
              <w:jc w:val="left"/>
              <w:rPr/>
            </w:pPr>
            <w:r>
              <w:rPr/>
              <w:t> </w:t>
            </w:r>
          </w:p>
        </w:tc>
        <w:tc>
          <w:tcPr>
            <w:tcW w:w="194"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41" w:type="dxa"/>
            <w:tcBorders/>
            <w:shd w:fill="FFFFFF" w:val="clear"/>
            <w:vAlign w:val="center"/>
          </w:tcPr>
          <w:p>
            <w:pPr>
              <w:pStyle w:val="TableContents"/>
              <w:bidi w:val="0"/>
              <w:spacing w:before="0" w:after="283"/>
              <w:jc w:val="left"/>
              <w:rPr/>
            </w:pPr>
            <w:r>
              <w:rPr/>
              <w:t> </w:t>
            </w:r>
          </w:p>
        </w:tc>
        <w:tc>
          <w:tcPr>
            <w:tcW w:w="1173"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4610" w:type="dxa"/>
            <w:tcBorders/>
            <w:shd w:fill="CCEEFF" w:val="clear"/>
            <w:vAlign w:val="center"/>
          </w:tcPr>
          <w:p>
            <w:pPr>
              <w:pStyle w:val="TableContents"/>
              <w:bidi w:val="0"/>
              <w:spacing w:before="0" w:after="283"/>
              <w:jc w:val="both"/>
              <w:rPr/>
            </w:pPr>
            <w:r>
              <w:rPr/>
              <w:t>Commitments and contingencies (Note 12)</w:t>
            </w:r>
          </w:p>
        </w:tc>
        <w:tc>
          <w:tcPr>
            <w:tcW w:w="60" w:type="dxa"/>
            <w:tcBorders/>
            <w:shd w:fill="CCEEFF" w:val="clear"/>
            <w:vAlign w:val="center"/>
          </w:tcPr>
          <w:p>
            <w:pPr>
              <w:pStyle w:val="TableContents"/>
              <w:bidi w:val="0"/>
              <w:spacing w:before="0" w:after="283"/>
              <w:jc w:val="left"/>
              <w:rPr/>
            </w:pPr>
            <w:r>
              <w:rPr/>
              <w:t> </w:t>
            </w:r>
          </w:p>
        </w:tc>
        <w:tc>
          <w:tcPr>
            <w:tcW w:w="194"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1" w:type="dxa"/>
            <w:tcBorders/>
            <w:shd w:fill="CCEEFF" w:val="clear"/>
            <w:vAlign w:val="center"/>
          </w:tcPr>
          <w:p>
            <w:pPr>
              <w:pStyle w:val="TableContents"/>
              <w:bidi w:val="0"/>
              <w:spacing w:before="0" w:after="283"/>
              <w:jc w:val="left"/>
              <w:rPr/>
            </w:pPr>
            <w:r>
              <w:rPr/>
              <w:t> </w:t>
            </w:r>
          </w:p>
        </w:tc>
        <w:tc>
          <w:tcPr>
            <w:tcW w:w="1173"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4610" w:type="dxa"/>
            <w:tcBorders/>
            <w:shd w:fill="FFFFFF" w:val="clear"/>
            <w:vAlign w:val="center"/>
          </w:tcPr>
          <w:p>
            <w:pPr>
              <w:pStyle w:val="TableContents"/>
              <w:bidi w:val="0"/>
              <w:spacing w:before="0" w:after="283"/>
              <w:jc w:val="both"/>
              <w:rPr/>
            </w:pPr>
            <w:r>
              <w:rPr/>
              <w:t> </w:t>
            </w:r>
          </w:p>
        </w:tc>
        <w:tc>
          <w:tcPr>
            <w:tcW w:w="60" w:type="dxa"/>
            <w:tcBorders/>
            <w:shd w:fill="FFFFFF" w:val="clear"/>
            <w:vAlign w:val="center"/>
          </w:tcPr>
          <w:p>
            <w:pPr>
              <w:pStyle w:val="TableContents"/>
              <w:bidi w:val="0"/>
              <w:spacing w:before="0" w:after="283"/>
              <w:jc w:val="left"/>
              <w:rPr/>
            </w:pPr>
            <w:r>
              <w:rPr/>
              <w:t> </w:t>
            </w:r>
          </w:p>
        </w:tc>
        <w:tc>
          <w:tcPr>
            <w:tcW w:w="194"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41" w:type="dxa"/>
            <w:tcBorders/>
            <w:shd w:fill="FFFFFF" w:val="clear"/>
            <w:vAlign w:val="center"/>
          </w:tcPr>
          <w:p>
            <w:pPr>
              <w:pStyle w:val="TableContents"/>
              <w:bidi w:val="0"/>
              <w:spacing w:before="0" w:after="283"/>
              <w:jc w:val="left"/>
              <w:rPr/>
            </w:pPr>
            <w:r>
              <w:rPr/>
              <w:t> </w:t>
            </w:r>
          </w:p>
        </w:tc>
        <w:tc>
          <w:tcPr>
            <w:tcW w:w="1173"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4610" w:type="dxa"/>
            <w:tcBorders/>
            <w:shd w:fill="CCEEFF" w:val="clear"/>
            <w:vAlign w:val="center"/>
          </w:tcPr>
          <w:p>
            <w:pPr>
              <w:pStyle w:val="TableContents"/>
              <w:bidi w:val="0"/>
              <w:spacing w:before="0" w:after="283"/>
              <w:jc w:val="both"/>
              <w:rPr/>
            </w:pPr>
            <w:r>
              <w:rPr/>
              <w:t>Member’s deficit</w:t>
            </w:r>
          </w:p>
        </w:tc>
        <w:tc>
          <w:tcPr>
            <w:tcW w:w="60" w:type="dxa"/>
            <w:tcBorders/>
            <w:shd w:fill="CCEEFF" w:val="clear"/>
            <w:vAlign w:val="center"/>
          </w:tcPr>
          <w:p>
            <w:pPr>
              <w:pStyle w:val="TableContents"/>
              <w:bidi w:val="0"/>
              <w:spacing w:before="0" w:after="283"/>
              <w:jc w:val="left"/>
              <w:rPr/>
            </w:pPr>
            <w:r>
              <w:rPr/>
              <w:t> </w:t>
            </w:r>
          </w:p>
        </w:tc>
        <w:tc>
          <w:tcPr>
            <w:tcW w:w="194"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55" w:type="dxa"/>
            <w:tcBorders>
              <w:bottom w:val="single" w:sz="12" w:space="0" w:color="000000"/>
            </w:tcBorders>
            <w:shd w:fill="CCEEFF" w:val="clear"/>
            <w:tcMar>
              <w:bottom w:w="28" w:type="dxa"/>
            </w:tcMar>
            <w:vAlign w:val="center"/>
          </w:tcPr>
          <w:p>
            <w:pPr>
              <w:pStyle w:val="TableContents"/>
              <w:bidi w:val="0"/>
              <w:spacing w:before="0" w:after="283"/>
              <w:jc w:val="right"/>
              <w:rPr/>
            </w:pPr>
            <w:r>
              <w:rPr/>
              <w:t>(10,984</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241"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73" w:type="dxa"/>
            <w:tcBorders>
              <w:bottom w:val="single" w:sz="12" w:space="0" w:color="000000"/>
            </w:tcBorders>
            <w:shd w:fill="CCEEFF" w:val="clear"/>
            <w:tcMar>
              <w:bottom w:w="28" w:type="dxa"/>
            </w:tcMar>
            <w:vAlign w:val="center"/>
          </w:tcPr>
          <w:p>
            <w:pPr>
              <w:pStyle w:val="TableContents"/>
              <w:bidi w:val="0"/>
              <w:spacing w:before="0" w:after="283"/>
              <w:jc w:val="right"/>
              <w:rPr/>
            </w:pPr>
            <w:r>
              <w:rPr/>
              <w:t>(6,287</w:t>
            </w:r>
          </w:p>
        </w:tc>
        <w:tc>
          <w:tcPr>
            <w:tcW w:w="110" w:type="dxa"/>
            <w:tcBorders/>
            <w:shd w:fill="CCEEFF" w:val="clear"/>
            <w:vAlign w:val="center"/>
          </w:tcPr>
          <w:p>
            <w:pPr>
              <w:pStyle w:val="TableContents"/>
              <w:bidi w:val="0"/>
              <w:spacing w:before="0" w:after="283"/>
              <w:jc w:val="left"/>
              <w:rPr/>
            </w:pPr>
            <w:r>
              <w:rPr/>
              <w:t>)</w:t>
            </w:r>
          </w:p>
        </w:tc>
      </w:tr>
      <w:tr>
        <w:trPr/>
        <w:tc>
          <w:tcPr>
            <w:tcW w:w="4610" w:type="dxa"/>
            <w:tcBorders/>
            <w:shd w:fill="FFFFFF" w:val="clear"/>
            <w:vAlign w:val="center"/>
          </w:tcPr>
          <w:p>
            <w:pPr>
              <w:pStyle w:val="TableContents"/>
              <w:bidi w:val="0"/>
              <w:spacing w:before="0" w:after="283"/>
              <w:jc w:val="both"/>
              <w:rPr/>
            </w:pPr>
            <w:r>
              <w:rPr/>
              <w:t>Total liabilities and member’s deficit</w:t>
            </w:r>
          </w:p>
        </w:tc>
        <w:tc>
          <w:tcPr>
            <w:tcW w:w="60" w:type="dxa"/>
            <w:tcBorders/>
            <w:shd w:fill="FFFFFF" w:val="clear"/>
            <w:vAlign w:val="center"/>
          </w:tcPr>
          <w:p>
            <w:pPr>
              <w:pStyle w:val="TableContents"/>
              <w:bidi w:val="0"/>
              <w:spacing w:before="0" w:after="283"/>
              <w:jc w:val="left"/>
              <w:rPr/>
            </w:pPr>
            <w:r>
              <w:rPr/>
              <w:t> </w:t>
            </w:r>
          </w:p>
        </w:tc>
        <w:tc>
          <w:tcPr>
            <w:tcW w:w="194" w:type="dxa"/>
            <w:tcBorders>
              <w:bottom w:val="double" w:sz="10" w:space="0" w:color="000000"/>
            </w:tcBorders>
            <w:shd w:fill="FFFFFF" w:val="clear"/>
            <w:tcMar>
              <w:bottom w:w="28" w:type="dxa"/>
            </w:tcMar>
            <w:vAlign w:val="center"/>
          </w:tcPr>
          <w:p>
            <w:pPr>
              <w:pStyle w:val="TableContents"/>
              <w:bidi w:val="0"/>
              <w:spacing w:before="0" w:after="283"/>
              <w:jc w:val="left"/>
              <w:rPr/>
            </w:pPr>
            <w:r>
              <w:rPr/>
              <w:t>$</w:t>
            </w:r>
          </w:p>
        </w:tc>
        <w:tc>
          <w:tcPr>
            <w:tcW w:w="1055" w:type="dxa"/>
            <w:tcBorders>
              <w:bottom w:val="double" w:sz="10" w:space="0" w:color="000000"/>
            </w:tcBorders>
            <w:shd w:fill="FFFFFF" w:val="clear"/>
            <w:tcMar>
              <w:bottom w:w="28" w:type="dxa"/>
            </w:tcMar>
            <w:vAlign w:val="center"/>
          </w:tcPr>
          <w:p>
            <w:pPr>
              <w:pStyle w:val="TableContents"/>
              <w:bidi w:val="0"/>
              <w:spacing w:before="0" w:after="283"/>
              <w:jc w:val="right"/>
              <w:rPr/>
            </w:pPr>
            <w:r>
              <w:rPr/>
              <w:t>18,750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41" w:type="dxa"/>
            <w:tcBorders>
              <w:bottom w:val="double" w:sz="10" w:space="0" w:color="000000"/>
            </w:tcBorders>
            <w:shd w:fill="FFFFFF" w:val="clear"/>
            <w:tcMar>
              <w:bottom w:w="28" w:type="dxa"/>
            </w:tcMar>
            <w:vAlign w:val="center"/>
          </w:tcPr>
          <w:p>
            <w:pPr>
              <w:pStyle w:val="TableContents"/>
              <w:bidi w:val="0"/>
              <w:spacing w:before="0" w:after="283"/>
              <w:jc w:val="left"/>
              <w:rPr/>
            </w:pPr>
            <w:r>
              <w:rPr/>
              <w:t>$</w:t>
            </w:r>
          </w:p>
        </w:tc>
        <w:tc>
          <w:tcPr>
            <w:tcW w:w="1173" w:type="dxa"/>
            <w:tcBorders>
              <w:bottom w:val="double" w:sz="10" w:space="0" w:color="000000"/>
            </w:tcBorders>
            <w:shd w:fill="FFFFFF" w:val="clear"/>
            <w:tcMar>
              <w:bottom w:w="28" w:type="dxa"/>
            </w:tcMar>
            <w:vAlign w:val="center"/>
          </w:tcPr>
          <w:p>
            <w:pPr>
              <w:pStyle w:val="TableContents"/>
              <w:bidi w:val="0"/>
              <w:spacing w:before="0" w:after="283"/>
              <w:jc w:val="right"/>
              <w:rPr/>
            </w:pPr>
            <w:r>
              <w:rPr/>
              <w:t>21,528</w:t>
            </w:r>
          </w:p>
        </w:tc>
        <w:tc>
          <w:tcPr>
            <w:tcW w:w="11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The accompanying notes are an integral part of these financial statements.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center"/>
        <w:rPr>
          <w:sz w:val="20"/>
          <w:bdr w:val="single" w:sz="12" w:space="1" w:color="000000"/>
        </w:rPr>
      </w:pPr>
      <w:r>
        <w:rPr>
          <w:sz w:val="20"/>
          <w:bdr w:val="single" w:sz="12" w:space="1" w:color="000000"/>
        </w:rPr>
        <w:t>F-133</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40" w:name="E_002"/>
      <w:bookmarkEnd w:id="40"/>
      <w:r>
        <w:rPr>
          <w:rFonts w:ascii="Times New Roman;Times;Serif" w:hAnsi="Times New Roman;Times;Serif"/>
          <w:b/>
          <w:i w:val="false"/>
          <w:caps w:val="false"/>
          <w:smallCaps w:val="false"/>
          <w:sz w:val="20"/>
        </w:rPr>
        <w:t xml:space="preserve">SUNDER ENERGY LLC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UNAUDITED STATEMENTS OF OPERATIONS</w:t>
      </w:r>
    </w:p>
    <w:p>
      <w:pPr>
        <w:pStyle w:val="TextBody"/>
        <w:bidi w:val="0"/>
        <w:spacing w:before="0" w:after="0"/>
        <w:ind w:left="0" w:right="0" w:hanging="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(Dollars in thousands)</w:t>
      </w:r>
    </w:p>
    <w:p>
      <w:pPr>
        <w:pStyle w:val="TextBody"/>
        <w:bidi w:val="0"/>
        <w:spacing w:before="0" w:after="0"/>
        <w:ind w:left="0" w:right="0" w:hanging="0"/>
        <w:jc w:val="center"/>
        <w:rPr>
          <w:caps w:val="false"/>
          <w:smallCaps w:val="false"/>
        </w:rPr>
      </w:pPr>
      <w:r>
        <w:rPr>
          <w:caps w:val="false"/>
          <w:smallCaps w:val="false"/>
        </w:rPr>
        <w:t> </w:t>
      </w:r>
    </w:p>
    <w:tbl>
      <w:tblPr>
        <w:tblW w:w="6103" w:type="dxa"/>
        <w:jc w:val="left"/>
        <w:tblInd w:w="0" w:type="dxa"/>
        <w:tblLayout w:type="fixed"/>
        <w:tblCellMar>
          <w:top w:w="0" w:type="dxa"/>
          <w:left w:w="0" w:type="dxa"/>
          <w:bottom w:w="0" w:type="dxa"/>
          <w:right w:w="0" w:type="dxa"/>
        </w:tblCellMar>
      </w:tblPr>
      <w:tblGrid>
        <w:gridCol w:w="3200"/>
        <w:gridCol w:w="60"/>
        <w:gridCol w:w="213"/>
        <w:gridCol w:w="1036"/>
        <w:gridCol w:w="144"/>
        <w:gridCol w:w="91"/>
        <w:gridCol w:w="213"/>
        <w:gridCol w:w="1036"/>
        <w:gridCol w:w="110"/>
      </w:tblGrid>
      <w:tr>
        <w:trPr/>
        <w:tc>
          <w:tcPr>
            <w:tcW w:w="32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733"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Six months ended June 30,</w:t>
            </w:r>
          </w:p>
        </w:tc>
        <w:tc>
          <w:tcPr>
            <w:tcW w:w="110" w:type="dxa"/>
            <w:tcBorders/>
            <w:vAlign w:val="center"/>
          </w:tcPr>
          <w:p>
            <w:pPr>
              <w:pStyle w:val="TableContents"/>
              <w:bidi w:val="0"/>
              <w:spacing w:before="0" w:after="283"/>
              <w:jc w:val="left"/>
              <w:rPr/>
            </w:pPr>
            <w:r>
              <w:rPr/>
              <w:t> </w:t>
            </w:r>
          </w:p>
        </w:tc>
      </w:tr>
      <w:tr>
        <w:trPr/>
        <w:tc>
          <w:tcPr>
            <w:tcW w:w="32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49"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2025</w:t>
            </w:r>
          </w:p>
        </w:tc>
        <w:tc>
          <w:tcPr>
            <w:tcW w:w="144" w:type="dxa"/>
            <w:tcBorders/>
            <w:vAlign w:val="center"/>
          </w:tcPr>
          <w:p>
            <w:pPr>
              <w:pStyle w:val="TableContents"/>
              <w:bidi w:val="0"/>
              <w:spacing w:before="0" w:after="283"/>
              <w:jc w:val="left"/>
              <w:rPr/>
            </w:pPr>
            <w:r>
              <w:rPr/>
              <w:t> </w:t>
            </w:r>
          </w:p>
        </w:tc>
        <w:tc>
          <w:tcPr>
            <w:tcW w:w="91" w:type="dxa"/>
            <w:tcBorders/>
            <w:vAlign w:val="center"/>
          </w:tcPr>
          <w:p>
            <w:pPr>
              <w:pStyle w:val="TableContents"/>
              <w:bidi w:val="0"/>
              <w:spacing w:before="0" w:after="283"/>
              <w:jc w:val="left"/>
              <w:rPr/>
            </w:pPr>
            <w:r>
              <w:rPr/>
              <w:t> </w:t>
            </w:r>
          </w:p>
        </w:tc>
        <w:tc>
          <w:tcPr>
            <w:tcW w:w="1249"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2024</w:t>
            </w:r>
          </w:p>
        </w:tc>
        <w:tc>
          <w:tcPr>
            <w:tcW w:w="110" w:type="dxa"/>
            <w:tcBorders/>
            <w:vAlign w:val="center"/>
          </w:tcPr>
          <w:p>
            <w:pPr>
              <w:pStyle w:val="TableContents"/>
              <w:bidi w:val="0"/>
              <w:spacing w:before="0" w:after="283"/>
              <w:jc w:val="left"/>
              <w:rPr/>
            </w:pPr>
            <w:r>
              <w:rPr/>
              <w:t> </w:t>
            </w:r>
          </w:p>
        </w:tc>
      </w:tr>
      <w:tr>
        <w:trPr/>
        <w:tc>
          <w:tcPr>
            <w:tcW w:w="3200" w:type="dxa"/>
            <w:tcBorders/>
            <w:shd w:fill="CCEEFF" w:val="clear"/>
            <w:vAlign w:val="center"/>
          </w:tcPr>
          <w:p>
            <w:pPr>
              <w:pStyle w:val="TableContents"/>
              <w:bidi w:val="0"/>
              <w:spacing w:before="0" w:after="283"/>
              <w:jc w:val="left"/>
              <w:rPr/>
            </w:pPr>
            <w:r>
              <w:rPr/>
              <w:t>Revenues</w:t>
            </w:r>
          </w:p>
        </w:tc>
        <w:tc>
          <w:tcPr>
            <w:tcW w:w="60" w:type="dxa"/>
            <w:tcBorders/>
            <w:shd w:fill="CCEEFF" w:val="clear"/>
            <w:vAlign w:val="center"/>
          </w:tcPr>
          <w:p>
            <w:pPr>
              <w:pStyle w:val="TableContents"/>
              <w:bidi w:val="0"/>
              <w:spacing w:before="0" w:after="283"/>
              <w:jc w:val="left"/>
              <w:rPr/>
            </w:pPr>
            <w:r>
              <w:rPr/>
              <w:t> </w:t>
            </w:r>
          </w:p>
        </w:tc>
        <w:tc>
          <w:tcPr>
            <w:tcW w:w="213" w:type="dxa"/>
            <w:tcBorders/>
            <w:shd w:fill="CCEEFF" w:val="clear"/>
            <w:vAlign w:val="center"/>
          </w:tcPr>
          <w:p>
            <w:pPr>
              <w:pStyle w:val="TableContents"/>
              <w:bidi w:val="0"/>
              <w:spacing w:before="0" w:after="283"/>
              <w:jc w:val="left"/>
              <w:rPr/>
            </w:pPr>
            <w:r>
              <w:rPr/>
              <w:t>$</w:t>
            </w:r>
          </w:p>
        </w:tc>
        <w:tc>
          <w:tcPr>
            <w:tcW w:w="1036" w:type="dxa"/>
            <w:tcBorders/>
            <w:shd w:fill="CCEEFF" w:val="clear"/>
            <w:vAlign w:val="center"/>
          </w:tcPr>
          <w:p>
            <w:pPr>
              <w:pStyle w:val="TableContents"/>
              <w:bidi w:val="0"/>
              <w:spacing w:before="0" w:after="283"/>
              <w:jc w:val="right"/>
              <w:rPr/>
            </w:pPr>
            <w:r>
              <w:rPr/>
              <w:t>40,012</w:t>
            </w:r>
          </w:p>
        </w:tc>
        <w:tc>
          <w:tcPr>
            <w:tcW w:w="144" w:type="dxa"/>
            <w:tcBorders/>
            <w:shd w:fill="CCEEFF" w:val="clear"/>
            <w:vAlign w:val="center"/>
          </w:tcPr>
          <w:p>
            <w:pPr>
              <w:pStyle w:val="TableContents"/>
              <w:bidi w:val="0"/>
              <w:spacing w:before="0" w:after="283"/>
              <w:jc w:val="left"/>
              <w:rPr/>
            </w:pPr>
            <w:r>
              <w:rPr/>
              <w:t> </w:t>
            </w:r>
          </w:p>
        </w:tc>
        <w:tc>
          <w:tcPr>
            <w:tcW w:w="91" w:type="dxa"/>
            <w:tcBorders/>
            <w:shd w:fill="CCEEFF" w:val="clear"/>
            <w:vAlign w:val="center"/>
          </w:tcPr>
          <w:p>
            <w:pPr>
              <w:pStyle w:val="TableContents"/>
              <w:bidi w:val="0"/>
              <w:spacing w:before="0" w:after="283"/>
              <w:jc w:val="left"/>
              <w:rPr/>
            </w:pPr>
            <w:r>
              <w:rPr/>
              <w:t> </w:t>
            </w:r>
          </w:p>
        </w:tc>
        <w:tc>
          <w:tcPr>
            <w:tcW w:w="213" w:type="dxa"/>
            <w:tcBorders/>
            <w:shd w:fill="CCEEFF" w:val="clear"/>
            <w:vAlign w:val="center"/>
          </w:tcPr>
          <w:p>
            <w:pPr>
              <w:pStyle w:val="TableContents"/>
              <w:bidi w:val="0"/>
              <w:spacing w:before="0" w:after="283"/>
              <w:jc w:val="left"/>
              <w:rPr/>
            </w:pPr>
            <w:r>
              <w:rPr/>
              <w:t>$</w:t>
            </w:r>
          </w:p>
        </w:tc>
        <w:tc>
          <w:tcPr>
            <w:tcW w:w="1036" w:type="dxa"/>
            <w:tcBorders/>
            <w:shd w:fill="CCEEFF" w:val="clear"/>
            <w:vAlign w:val="center"/>
          </w:tcPr>
          <w:p>
            <w:pPr>
              <w:pStyle w:val="TableContents"/>
              <w:bidi w:val="0"/>
              <w:spacing w:before="0" w:after="283"/>
              <w:jc w:val="right"/>
              <w:rPr/>
            </w:pPr>
            <w:r>
              <w:rPr/>
              <w:t>11,930</w:t>
            </w:r>
          </w:p>
        </w:tc>
        <w:tc>
          <w:tcPr>
            <w:tcW w:w="110" w:type="dxa"/>
            <w:tcBorders/>
            <w:shd w:fill="CCEEFF" w:val="clear"/>
            <w:vAlign w:val="center"/>
          </w:tcPr>
          <w:p>
            <w:pPr>
              <w:pStyle w:val="TableContents"/>
              <w:bidi w:val="0"/>
              <w:spacing w:before="0" w:after="283"/>
              <w:jc w:val="left"/>
              <w:rPr/>
            </w:pPr>
            <w:r>
              <w:rPr/>
              <w:t> </w:t>
            </w:r>
          </w:p>
        </w:tc>
      </w:tr>
      <w:tr>
        <w:trPr/>
        <w:tc>
          <w:tcPr>
            <w:tcW w:w="3200" w:type="dxa"/>
            <w:tcBorders/>
            <w:shd w:fill="FFFFFF" w:val="clear"/>
            <w:vAlign w:val="center"/>
          </w:tcPr>
          <w:p>
            <w:pPr>
              <w:pStyle w:val="TableContents"/>
              <w:bidi w:val="0"/>
              <w:spacing w:before="0" w:after="283"/>
              <w:jc w:val="left"/>
              <w:rPr/>
            </w:pPr>
            <w:r>
              <w:rPr/>
              <w:t>Operating expenses:</w:t>
            </w:r>
          </w:p>
        </w:tc>
        <w:tc>
          <w:tcPr>
            <w:tcW w:w="60" w:type="dxa"/>
            <w:tcBorders/>
            <w:shd w:fill="FFFFFF" w:val="clear"/>
            <w:vAlign w:val="center"/>
          </w:tcPr>
          <w:p>
            <w:pPr>
              <w:pStyle w:val="TableContents"/>
              <w:bidi w:val="0"/>
              <w:spacing w:before="0" w:after="283"/>
              <w:jc w:val="left"/>
              <w:rPr/>
            </w:pPr>
            <w:r>
              <w:rPr/>
              <w:t> </w:t>
            </w:r>
          </w:p>
        </w:tc>
        <w:tc>
          <w:tcPr>
            <w:tcW w:w="213" w:type="dxa"/>
            <w:tcBorders/>
            <w:shd w:fill="FFFFFF" w:val="clear"/>
            <w:vAlign w:val="center"/>
          </w:tcPr>
          <w:p>
            <w:pPr>
              <w:pStyle w:val="TableContents"/>
              <w:bidi w:val="0"/>
              <w:spacing w:before="0" w:after="283"/>
              <w:jc w:val="left"/>
              <w:rPr/>
            </w:pPr>
            <w:r>
              <w:rPr/>
              <w:t> </w:t>
            </w:r>
          </w:p>
        </w:tc>
        <w:tc>
          <w:tcPr>
            <w:tcW w:w="1036" w:type="dxa"/>
            <w:tcBorders/>
            <w:shd w:fill="FFFFFF" w:val="clear"/>
            <w:vAlign w:val="center"/>
          </w:tcPr>
          <w:p>
            <w:pPr>
              <w:pStyle w:val="TableContents"/>
              <w:bidi w:val="0"/>
              <w:spacing w:before="0" w:after="283"/>
              <w:jc w:val="right"/>
              <w:rPr/>
            </w:pPr>
            <w:r>
              <w:rPr/>
              <w:t> </w:t>
            </w:r>
          </w:p>
        </w:tc>
        <w:tc>
          <w:tcPr>
            <w:tcW w:w="144" w:type="dxa"/>
            <w:tcBorders/>
            <w:shd w:fill="FFFFFF" w:val="clear"/>
            <w:vAlign w:val="center"/>
          </w:tcPr>
          <w:p>
            <w:pPr>
              <w:pStyle w:val="TableContents"/>
              <w:bidi w:val="0"/>
              <w:spacing w:before="0" w:after="283"/>
              <w:jc w:val="left"/>
              <w:rPr/>
            </w:pPr>
            <w:r>
              <w:rPr/>
              <w:t> </w:t>
            </w:r>
          </w:p>
        </w:tc>
        <w:tc>
          <w:tcPr>
            <w:tcW w:w="91" w:type="dxa"/>
            <w:tcBorders/>
            <w:shd w:fill="FFFFFF" w:val="clear"/>
            <w:vAlign w:val="center"/>
          </w:tcPr>
          <w:p>
            <w:pPr>
              <w:pStyle w:val="TableContents"/>
              <w:bidi w:val="0"/>
              <w:spacing w:before="0" w:after="283"/>
              <w:jc w:val="left"/>
              <w:rPr/>
            </w:pPr>
            <w:r>
              <w:rPr/>
              <w:t> </w:t>
            </w:r>
          </w:p>
        </w:tc>
        <w:tc>
          <w:tcPr>
            <w:tcW w:w="213" w:type="dxa"/>
            <w:tcBorders/>
            <w:shd w:fill="FFFFFF" w:val="clear"/>
            <w:vAlign w:val="center"/>
          </w:tcPr>
          <w:p>
            <w:pPr>
              <w:pStyle w:val="TableContents"/>
              <w:bidi w:val="0"/>
              <w:spacing w:before="0" w:after="283"/>
              <w:jc w:val="left"/>
              <w:rPr/>
            </w:pPr>
            <w:r>
              <w:rPr/>
              <w:t> </w:t>
            </w:r>
          </w:p>
        </w:tc>
        <w:tc>
          <w:tcPr>
            <w:tcW w:w="1036"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3200" w:type="dxa"/>
            <w:tcBorders/>
            <w:shd w:fill="CCEEFF" w:val="clear"/>
            <w:vAlign w:val="center"/>
          </w:tcPr>
          <w:p>
            <w:pPr>
              <w:pStyle w:val="TableContents"/>
              <w:bidi w:val="0"/>
              <w:spacing w:before="0" w:after="283"/>
              <w:jc w:val="left"/>
              <w:rPr/>
            </w:pPr>
            <w:r>
              <w:rPr/>
              <w:t>Sales commissions</w:t>
            </w:r>
          </w:p>
        </w:tc>
        <w:tc>
          <w:tcPr>
            <w:tcW w:w="60" w:type="dxa"/>
            <w:tcBorders/>
            <w:shd w:fill="CCEEFF" w:val="clear"/>
            <w:vAlign w:val="center"/>
          </w:tcPr>
          <w:p>
            <w:pPr>
              <w:pStyle w:val="TableContents"/>
              <w:bidi w:val="0"/>
              <w:spacing w:before="0" w:after="283"/>
              <w:jc w:val="left"/>
              <w:rPr/>
            </w:pPr>
            <w:r>
              <w:rPr/>
              <w:t> </w:t>
            </w:r>
          </w:p>
        </w:tc>
        <w:tc>
          <w:tcPr>
            <w:tcW w:w="213" w:type="dxa"/>
            <w:tcBorders/>
            <w:shd w:fill="CCEEFF" w:val="clear"/>
            <w:vAlign w:val="center"/>
          </w:tcPr>
          <w:p>
            <w:pPr>
              <w:pStyle w:val="TableContents"/>
              <w:bidi w:val="0"/>
              <w:spacing w:before="0" w:after="283"/>
              <w:jc w:val="left"/>
              <w:rPr/>
            </w:pPr>
            <w:r>
              <w:rPr/>
              <w:t> </w:t>
            </w:r>
          </w:p>
        </w:tc>
        <w:tc>
          <w:tcPr>
            <w:tcW w:w="1036" w:type="dxa"/>
            <w:tcBorders/>
            <w:shd w:fill="CCEEFF" w:val="clear"/>
            <w:vAlign w:val="center"/>
          </w:tcPr>
          <w:p>
            <w:pPr>
              <w:pStyle w:val="TableContents"/>
              <w:bidi w:val="0"/>
              <w:spacing w:before="0" w:after="283"/>
              <w:jc w:val="right"/>
              <w:rPr/>
            </w:pPr>
            <w:r>
              <w:rPr/>
              <w:t>33,339</w:t>
            </w:r>
          </w:p>
        </w:tc>
        <w:tc>
          <w:tcPr>
            <w:tcW w:w="144" w:type="dxa"/>
            <w:tcBorders/>
            <w:shd w:fill="CCEEFF" w:val="clear"/>
            <w:vAlign w:val="center"/>
          </w:tcPr>
          <w:p>
            <w:pPr>
              <w:pStyle w:val="TableContents"/>
              <w:bidi w:val="0"/>
              <w:spacing w:before="0" w:after="283"/>
              <w:jc w:val="left"/>
              <w:rPr/>
            </w:pPr>
            <w:r>
              <w:rPr/>
              <w:t> </w:t>
            </w:r>
          </w:p>
        </w:tc>
        <w:tc>
          <w:tcPr>
            <w:tcW w:w="91" w:type="dxa"/>
            <w:tcBorders/>
            <w:shd w:fill="CCEEFF" w:val="clear"/>
            <w:vAlign w:val="center"/>
          </w:tcPr>
          <w:p>
            <w:pPr>
              <w:pStyle w:val="TableContents"/>
              <w:bidi w:val="0"/>
              <w:spacing w:before="0" w:after="283"/>
              <w:jc w:val="left"/>
              <w:rPr/>
            </w:pPr>
            <w:r>
              <w:rPr/>
              <w:t> </w:t>
            </w:r>
          </w:p>
        </w:tc>
        <w:tc>
          <w:tcPr>
            <w:tcW w:w="213" w:type="dxa"/>
            <w:tcBorders/>
            <w:shd w:fill="CCEEFF" w:val="clear"/>
            <w:vAlign w:val="center"/>
          </w:tcPr>
          <w:p>
            <w:pPr>
              <w:pStyle w:val="TableContents"/>
              <w:bidi w:val="0"/>
              <w:spacing w:before="0" w:after="283"/>
              <w:jc w:val="left"/>
              <w:rPr/>
            </w:pPr>
            <w:r>
              <w:rPr/>
              <w:t> </w:t>
            </w:r>
          </w:p>
        </w:tc>
        <w:tc>
          <w:tcPr>
            <w:tcW w:w="1036" w:type="dxa"/>
            <w:tcBorders/>
            <w:shd w:fill="CCEEFF" w:val="clear"/>
            <w:vAlign w:val="center"/>
          </w:tcPr>
          <w:p>
            <w:pPr>
              <w:pStyle w:val="TableContents"/>
              <w:bidi w:val="0"/>
              <w:spacing w:before="0" w:after="283"/>
              <w:jc w:val="right"/>
              <w:rPr/>
            </w:pPr>
            <w:r>
              <w:rPr/>
              <w:t>10,765</w:t>
            </w:r>
          </w:p>
        </w:tc>
        <w:tc>
          <w:tcPr>
            <w:tcW w:w="110" w:type="dxa"/>
            <w:tcBorders/>
            <w:shd w:fill="CCEEFF" w:val="clear"/>
            <w:vAlign w:val="center"/>
          </w:tcPr>
          <w:p>
            <w:pPr>
              <w:pStyle w:val="TableContents"/>
              <w:bidi w:val="0"/>
              <w:spacing w:before="0" w:after="283"/>
              <w:jc w:val="left"/>
              <w:rPr/>
            </w:pPr>
            <w:r>
              <w:rPr/>
              <w:t> </w:t>
            </w:r>
          </w:p>
        </w:tc>
      </w:tr>
      <w:tr>
        <w:trPr/>
        <w:tc>
          <w:tcPr>
            <w:tcW w:w="3200" w:type="dxa"/>
            <w:tcBorders/>
            <w:shd w:fill="FFFFFF" w:val="clear"/>
            <w:vAlign w:val="center"/>
          </w:tcPr>
          <w:p>
            <w:pPr>
              <w:pStyle w:val="TableContents"/>
              <w:bidi w:val="0"/>
              <w:spacing w:before="0" w:after="283"/>
              <w:jc w:val="left"/>
              <w:rPr/>
            </w:pPr>
            <w:r>
              <w:rPr/>
              <w:t>Sales and marketing</w:t>
            </w:r>
          </w:p>
        </w:tc>
        <w:tc>
          <w:tcPr>
            <w:tcW w:w="60" w:type="dxa"/>
            <w:tcBorders/>
            <w:shd w:fill="FFFFFF" w:val="clear"/>
            <w:vAlign w:val="center"/>
          </w:tcPr>
          <w:p>
            <w:pPr>
              <w:pStyle w:val="TableContents"/>
              <w:bidi w:val="0"/>
              <w:spacing w:before="0" w:after="283"/>
              <w:jc w:val="left"/>
              <w:rPr/>
            </w:pPr>
            <w:r>
              <w:rPr/>
              <w:t> </w:t>
            </w:r>
          </w:p>
        </w:tc>
        <w:tc>
          <w:tcPr>
            <w:tcW w:w="213" w:type="dxa"/>
            <w:tcBorders/>
            <w:shd w:fill="FFFFFF" w:val="clear"/>
            <w:vAlign w:val="center"/>
          </w:tcPr>
          <w:p>
            <w:pPr>
              <w:pStyle w:val="TableContents"/>
              <w:bidi w:val="0"/>
              <w:spacing w:before="0" w:after="283"/>
              <w:jc w:val="left"/>
              <w:rPr/>
            </w:pPr>
            <w:r>
              <w:rPr/>
              <w:t> </w:t>
            </w:r>
          </w:p>
        </w:tc>
        <w:tc>
          <w:tcPr>
            <w:tcW w:w="1036" w:type="dxa"/>
            <w:tcBorders/>
            <w:shd w:fill="FFFFFF" w:val="clear"/>
            <w:vAlign w:val="center"/>
          </w:tcPr>
          <w:p>
            <w:pPr>
              <w:pStyle w:val="TableContents"/>
              <w:bidi w:val="0"/>
              <w:spacing w:before="0" w:after="283"/>
              <w:jc w:val="right"/>
              <w:rPr/>
            </w:pPr>
            <w:r>
              <w:rPr/>
              <w:t>771</w:t>
            </w:r>
          </w:p>
        </w:tc>
        <w:tc>
          <w:tcPr>
            <w:tcW w:w="144" w:type="dxa"/>
            <w:tcBorders/>
            <w:shd w:fill="FFFFFF" w:val="clear"/>
            <w:vAlign w:val="center"/>
          </w:tcPr>
          <w:p>
            <w:pPr>
              <w:pStyle w:val="TableContents"/>
              <w:bidi w:val="0"/>
              <w:spacing w:before="0" w:after="283"/>
              <w:jc w:val="left"/>
              <w:rPr/>
            </w:pPr>
            <w:r>
              <w:rPr/>
              <w:t> </w:t>
            </w:r>
          </w:p>
        </w:tc>
        <w:tc>
          <w:tcPr>
            <w:tcW w:w="91" w:type="dxa"/>
            <w:tcBorders/>
            <w:shd w:fill="FFFFFF" w:val="clear"/>
            <w:vAlign w:val="center"/>
          </w:tcPr>
          <w:p>
            <w:pPr>
              <w:pStyle w:val="TableContents"/>
              <w:bidi w:val="0"/>
              <w:spacing w:before="0" w:after="283"/>
              <w:jc w:val="left"/>
              <w:rPr/>
            </w:pPr>
            <w:r>
              <w:rPr/>
              <w:t> </w:t>
            </w:r>
          </w:p>
        </w:tc>
        <w:tc>
          <w:tcPr>
            <w:tcW w:w="213" w:type="dxa"/>
            <w:tcBorders/>
            <w:shd w:fill="FFFFFF" w:val="clear"/>
            <w:vAlign w:val="center"/>
          </w:tcPr>
          <w:p>
            <w:pPr>
              <w:pStyle w:val="TableContents"/>
              <w:bidi w:val="0"/>
              <w:spacing w:before="0" w:after="283"/>
              <w:jc w:val="left"/>
              <w:rPr/>
            </w:pPr>
            <w:r>
              <w:rPr/>
              <w:t> </w:t>
            </w:r>
          </w:p>
        </w:tc>
        <w:tc>
          <w:tcPr>
            <w:tcW w:w="1036" w:type="dxa"/>
            <w:tcBorders/>
            <w:shd w:fill="FFFFFF" w:val="clear"/>
            <w:vAlign w:val="center"/>
          </w:tcPr>
          <w:p>
            <w:pPr>
              <w:pStyle w:val="TableContents"/>
              <w:bidi w:val="0"/>
              <w:spacing w:before="0" w:after="283"/>
              <w:jc w:val="right"/>
              <w:rPr/>
            </w:pPr>
            <w:r>
              <w:rPr/>
              <w:t>628</w:t>
            </w:r>
          </w:p>
        </w:tc>
        <w:tc>
          <w:tcPr>
            <w:tcW w:w="110" w:type="dxa"/>
            <w:tcBorders/>
            <w:shd w:fill="FFFFFF" w:val="clear"/>
            <w:vAlign w:val="center"/>
          </w:tcPr>
          <w:p>
            <w:pPr>
              <w:pStyle w:val="TableContents"/>
              <w:bidi w:val="0"/>
              <w:spacing w:before="0" w:after="283"/>
              <w:jc w:val="left"/>
              <w:rPr/>
            </w:pPr>
            <w:r>
              <w:rPr/>
              <w:t> </w:t>
            </w:r>
          </w:p>
        </w:tc>
      </w:tr>
      <w:tr>
        <w:trPr/>
        <w:tc>
          <w:tcPr>
            <w:tcW w:w="3200" w:type="dxa"/>
            <w:tcBorders/>
            <w:shd w:fill="CCEEFF" w:val="clear"/>
            <w:vAlign w:val="center"/>
          </w:tcPr>
          <w:p>
            <w:pPr>
              <w:pStyle w:val="TableContents"/>
              <w:bidi w:val="0"/>
              <w:spacing w:before="0" w:after="283"/>
              <w:jc w:val="left"/>
              <w:rPr/>
            </w:pPr>
            <w:r>
              <w:rPr/>
              <w:t>General and administrative</w:t>
            </w:r>
          </w:p>
        </w:tc>
        <w:tc>
          <w:tcPr>
            <w:tcW w:w="60" w:type="dxa"/>
            <w:tcBorders/>
            <w:shd w:fill="CCEEFF" w:val="clear"/>
            <w:vAlign w:val="center"/>
          </w:tcPr>
          <w:p>
            <w:pPr>
              <w:pStyle w:val="TableContents"/>
              <w:bidi w:val="0"/>
              <w:spacing w:before="0" w:after="283"/>
              <w:jc w:val="left"/>
              <w:rPr/>
            </w:pPr>
            <w:r>
              <w:rPr/>
              <w:t> </w:t>
            </w:r>
          </w:p>
        </w:tc>
        <w:tc>
          <w:tcPr>
            <w:tcW w:w="213"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36" w:type="dxa"/>
            <w:tcBorders>
              <w:bottom w:val="single" w:sz="12" w:space="0" w:color="000000"/>
            </w:tcBorders>
            <w:shd w:fill="CCEEFF" w:val="clear"/>
            <w:tcMar>
              <w:bottom w:w="28" w:type="dxa"/>
            </w:tcMar>
            <w:vAlign w:val="center"/>
          </w:tcPr>
          <w:p>
            <w:pPr>
              <w:pStyle w:val="TableContents"/>
              <w:bidi w:val="0"/>
              <w:spacing w:before="0" w:after="283"/>
              <w:jc w:val="right"/>
              <w:rPr/>
            </w:pPr>
            <w:r>
              <w:rPr/>
              <w:t>11,458</w:t>
            </w:r>
          </w:p>
        </w:tc>
        <w:tc>
          <w:tcPr>
            <w:tcW w:w="144" w:type="dxa"/>
            <w:tcBorders/>
            <w:shd w:fill="CCEEFF" w:val="clear"/>
            <w:vAlign w:val="center"/>
          </w:tcPr>
          <w:p>
            <w:pPr>
              <w:pStyle w:val="TableContents"/>
              <w:bidi w:val="0"/>
              <w:spacing w:before="0" w:after="283"/>
              <w:jc w:val="left"/>
              <w:rPr/>
            </w:pPr>
            <w:r>
              <w:rPr/>
              <w:t> </w:t>
            </w:r>
          </w:p>
        </w:tc>
        <w:tc>
          <w:tcPr>
            <w:tcW w:w="91" w:type="dxa"/>
            <w:tcBorders/>
            <w:shd w:fill="CCEEFF" w:val="clear"/>
            <w:vAlign w:val="center"/>
          </w:tcPr>
          <w:p>
            <w:pPr>
              <w:pStyle w:val="TableContents"/>
              <w:bidi w:val="0"/>
              <w:spacing w:before="0" w:after="283"/>
              <w:jc w:val="left"/>
              <w:rPr/>
            </w:pPr>
            <w:r>
              <w:rPr/>
              <w:t> </w:t>
            </w:r>
          </w:p>
        </w:tc>
        <w:tc>
          <w:tcPr>
            <w:tcW w:w="213"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36" w:type="dxa"/>
            <w:tcBorders>
              <w:bottom w:val="single" w:sz="12" w:space="0" w:color="000000"/>
            </w:tcBorders>
            <w:shd w:fill="CCEEFF" w:val="clear"/>
            <w:tcMar>
              <w:bottom w:w="28" w:type="dxa"/>
            </w:tcMar>
            <w:vAlign w:val="center"/>
          </w:tcPr>
          <w:p>
            <w:pPr>
              <w:pStyle w:val="TableContents"/>
              <w:bidi w:val="0"/>
              <w:spacing w:before="0" w:after="283"/>
              <w:jc w:val="right"/>
              <w:rPr/>
            </w:pPr>
            <w:r>
              <w:rPr/>
              <w:t>5,886</w:t>
            </w:r>
          </w:p>
        </w:tc>
        <w:tc>
          <w:tcPr>
            <w:tcW w:w="110" w:type="dxa"/>
            <w:tcBorders/>
            <w:shd w:fill="CCEEFF" w:val="clear"/>
            <w:vAlign w:val="center"/>
          </w:tcPr>
          <w:p>
            <w:pPr>
              <w:pStyle w:val="TableContents"/>
              <w:bidi w:val="0"/>
              <w:spacing w:before="0" w:after="283"/>
              <w:jc w:val="left"/>
              <w:rPr/>
            </w:pPr>
            <w:r>
              <w:rPr/>
              <w:t> </w:t>
            </w:r>
          </w:p>
        </w:tc>
      </w:tr>
      <w:tr>
        <w:trPr/>
        <w:tc>
          <w:tcPr>
            <w:tcW w:w="3200" w:type="dxa"/>
            <w:tcBorders/>
            <w:shd w:fill="FFFFFF" w:val="clear"/>
            <w:vAlign w:val="center"/>
          </w:tcPr>
          <w:p>
            <w:pPr>
              <w:pStyle w:val="TableContents"/>
              <w:bidi w:val="0"/>
              <w:spacing w:before="0" w:after="283"/>
              <w:jc w:val="left"/>
              <w:rPr/>
            </w:pPr>
            <w:r>
              <w:rPr/>
              <w:t>Total operating expenses</w:t>
            </w:r>
          </w:p>
        </w:tc>
        <w:tc>
          <w:tcPr>
            <w:tcW w:w="60" w:type="dxa"/>
            <w:tcBorders/>
            <w:shd w:fill="FFFFFF" w:val="clear"/>
            <w:vAlign w:val="center"/>
          </w:tcPr>
          <w:p>
            <w:pPr>
              <w:pStyle w:val="TableContents"/>
              <w:bidi w:val="0"/>
              <w:spacing w:before="0" w:after="283"/>
              <w:jc w:val="left"/>
              <w:rPr/>
            </w:pPr>
            <w:r>
              <w:rPr/>
              <w:t> </w:t>
            </w:r>
          </w:p>
        </w:tc>
        <w:tc>
          <w:tcPr>
            <w:tcW w:w="213"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036" w:type="dxa"/>
            <w:tcBorders>
              <w:bottom w:val="single" w:sz="12" w:space="0" w:color="000000"/>
            </w:tcBorders>
            <w:shd w:fill="FFFFFF" w:val="clear"/>
            <w:tcMar>
              <w:bottom w:w="28" w:type="dxa"/>
            </w:tcMar>
            <w:vAlign w:val="center"/>
          </w:tcPr>
          <w:p>
            <w:pPr>
              <w:pStyle w:val="TableContents"/>
              <w:bidi w:val="0"/>
              <w:spacing w:before="0" w:after="283"/>
              <w:jc w:val="right"/>
              <w:rPr/>
            </w:pPr>
            <w:r>
              <w:rPr/>
              <w:t>45,568</w:t>
            </w:r>
          </w:p>
        </w:tc>
        <w:tc>
          <w:tcPr>
            <w:tcW w:w="144" w:type="dxa"/>
            <w:tcBorders/>
            <w:shd w:fill="FFFFFF" w:val="clear"/>
            <w:vAlign w:val="center"/>
          </w:tcPr>
          <w:p>
            <w:pPr>
              <w:pStyle w:val="TableContents"/>
              <w:bidi w:val="0"/>
              <w:spacing w:before="0" w:after="283"/>
              <w:jc w:val="left"/>
              <w:rPr/>
            </w:pPr>
            <w:r>
              <w:rPr/>
              <w:t> </w:t>
            </w:r>
          </w:p>
        </w:tc>
        <w:tc>
          <w:tcPr>
            <w:tcW w:w="91" w:type="dxa"/>
            <w:tcBorders/>
            <w:shd w:fill="FFFFFF" w:val="clear"/>
            <w:vAlign w:val="center"/>
          </w:tcPr>
          <w:p>
            <w:pPr>
              <w:pStyle w:val="TableContents"/>
              <w:bidi w:val="0"/>
              <w:spacing w:before="0" w:after="283"/>
              <w:jc w:val="left"/>
              <w:rPr/>
            </w:pPr>
            <w:r>
              <w:rPr/>
              <w:t> </w:t>
            </w:r>
          </w:p>
        </w:tc>
        <w:tc>
          <w:tcPr>
            <w:tcW w:w="213"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036" w:type="dxa"/>
            <w:tcBorders>
              <w:bottom w:val="single" w:sz="12" w:space="0" w:color="000000"/>
            </w:tcBorders>
            <w:shd w:fill="FFFFFF" w:val="clear"/>
            <w:tcMar>
              <w:bottom w:w="28" w:type="dxa"/>
            </w:tcMar>
            <w:vAlign w:val="center"/>
          </w:tcPr>
          <w:p>
            <w:pPr>
              <w:pStyle w:val="TableContents"/>
              <w:bidi w:val="0"/>
              <w:spacing w:before="0" w:after="283"/>
              <w:jc w:val="right"/>
              <w:rPr/>
            </w:pPr>
            <w:r>
              <w:rPr/>
              <w:t>17,279</w:t>
            </w:r>
          </w:p>
        </w:tc>
        <w:tc>
          <w:tcPr>
            <w:tcW w:w="110" w:type="dxa"/>
            <w:tcBorders/>
            <w:shd w:fill="FFFFFF" w:val="clear"/>
            <w:vAlign w:val="center"/>
          </w:tcPr>
          <w:p>
            <w:pPr>
              <w:pStyle w:val="TableContents"/>
              <w:bidi w:val="0"/>
              <w:spacing w:before="0" w:after="283"/>
              <w:jc w:val="left"/>
              <w:rPr/>
            </w:pPr>
            <w:r>
              <w:rPr/>
              <w:t> </w:t>
            </w:r>
          </w:p>
        </w:tc>
      </w:tr>
      <w:tr>
        <w:trPr/>
        <w:tc>
          <w:tcPr>
            <w:tcW w:w="3200" w:type="dxa"/>
            <w:tcBorders/>
            <w:shd w:fill="CCEEFF" w:val="clear"/>
            <w:vAlign w:val="center"/>
          </w:tcPr>
          <w:p>
            <w:pPr>
              <w:pStyle w:val="TableContents"/>
              <w:bidi w:val="0"/>
              <w:spacing w:before="0" w:after="283"/>
              <w:jc w:val="left"/>
              <w:rPr/>
            </w:pPr>
            <w:r>
              <w:rPr/>
              <w:t>Loss from operations</w:t>
            </w:r>
          </w:p>
        </w:tc>
        <w:tc>
          <w:tcPr>
            <w:tcW w:w="60" w:type="dxa"/>
            <w:tcBorders/>
            <w:shd w:fill="CCEEFF" w:val="clear"/>
            <w:vAlign w:val="center"/>
          </w:tcPr>
          <w:p>
            <w:pPr>
              <w:pStyle w:val="TableContents"/>
              <w:bidi w:val="0"/>
              <w:spacing w:before="0" w:after="283"/>
              <w:jc w:val="left"/>
              <w:rPr/>
            </w:pPr>
            <w:r>
              <w:rPr/>
              <w:t> </w:t>
            </w:r>
          </w:p>
        </w:tc>
        <w:tc>
          <w:tcPr>
            <w:tcW w:w="213"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36" w:type="dxa"/>
            <w:tcBorders>
              <w:bottom w:val="single" w:sz="12" w:space="0" w:color="000000"/>
            </w:tcBorders>
            <w:shd w:fill="CCEEFF" w:val="clear"/>
            <w:tcMar>
              <w:bottom w:w="28" w:type="dxa"/>
            </w:tcMar>
            <w:vAlign w:val="center"/>
          </w:tcPr>
          <w:p>
            <w:pPr>
              <w:pStyle w:val="TableContents"/>
              <w:bidi w:val="0"/>
              <w:spacing w:before="0" w:after="283"/>
              <w:jc w:val="right"/>
              <w:rPr/>
            </w:pPr>
            <w:r>
              <w:rPr/>
              <w:t>(5,556</w:t>
            </w:r>
          </w:p>
        </w:tc>
        <w:tc>
          <w:tcPr>
            <w:tcW w:w="144" w:type="dxa"/>
            <w:tcBorders/>
            <w:shd w:fill="CCEEFF" w:val="clear"/>
            <w:vAlign w:val="center"/>
          </w:tcPr>
          <w:p>
            <w:pPr>
              <w:pStyle w:val="TableContents"/>
              <w:bidi w:val="0"/>
              <w:spacing w:before="0" w:after="283"/>
              <w:jc w:val="left"/>
              <w:rPr/>
            </w:pPr>
            <w:r>
              <w:rPr/>
              <w:t>)</w:t>
            </w:r>
          </w:p>
        </w:tc>
        <w:tc>
          <w:tcPr>
            <w:tcW w:w="91" w:type="dxa"/>
            <w:tcBorders/>
            <w:shd w:fill="CCEEFF" w:val="clear"/>
            <w:vAlign w:val="center"/>
          </w:tcPr>
          <w:p>
            <w:pPr>
              <w:pStyle w:val="TableContents"/>
              <w:bidi w:val="0"/>
              <w:spacing w:before="0" w:after="283"/>
              <w:jc w:val="left"/>
              <w:rPr/>
            </w:pPr>
            <w:r>
              <w:rPr/>
              <w:t> </w:t>
            </w:r>
          </w:p>
        </w:tc>
        <w:tc>
          <w:tcPr>
            <w:tcW w:w="213"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36" w:type="dxa"/>
            <w:tcBorders>
              <w:bottom w:val="single" w:sz="12" w:space="0" w:color="000000"/>
            </w:tcBorders>
            <w:shd w:fill="CCEEFF" w:val="clear"/>
            <w:tcMar>
              <w:bottom w:w="28" w:type="dxa"/>
            </w:tcMar>
            <w:vAlign w:val="center"/>
          </w:tcPr>
          <w:p>
            <w:pPr>
              <w:pStyle w:val="TableContents"/>
              <w:bidi w:val="0"/>
              <w:spacing w:before="0" w:after="283"/>
              <w:jc w:val="right"/>
              <w:rPr/>
            </w:pPr>
            <w:r>
              <w:rPr/>
              <w:t>(5,349</w:t>
            </w:r>
          </w:p>
        </w:tc>
        <w:tc>
          <w:tcPr>
            <w:tcW w:w="110" w:type="dxa"/>
            <w:tcBorders/>
            <w:shd w:fill="CCEEFF" w:val="clear"/>
            <w:vAlign w:val="center"/>
          </w:tcPr>
          <w:p>
            <w:pPr>
              <w:pStyle w:val="TableContents"/>
              <w:bidi w:val="0"/>
              <w:spacing w:before="0" w:after="283"/>
              <w:jc w:val="left"/>
              <w:rPr/>
            </w:pPr>
            <w:r>
              <w:rPr/>
              <w:t>)</w:t>
            </w:r>
          </w:p>
        </w:tc>
      </w:tr>
      <w:tr>
        <w:trPr/>
        <w:tc>
          <w:tcPr>
            <w:tcW w:w="3200" w:type="dxa"/>
            <w:tcBorders/>
            <w:shd w:fill="FFFFFF" w:val="clear"/>
            <w:vAlign w:val="center"/>
          </w:tcPr>
          <w:p>
            <w:pPr>
              <w:pStyle w:val="TableContents"/>
              <w:bidi w:val="0"/>
              <w:spacing w:before="0" w:after="283"/>
              <w:jc w:val="left"/>
              <w:rPr/>
            </w:pPr>
            <w:r>
              <w:rPr/>
              <w:t>Interest expense</w:t>
            </w:r>
          </w:p>
        </w:tc>
        <w:tc>
          <w:tcPr>
            <w:tcW w:w="60" w:type="dxa"/>
            <w:tcBorders/>
            <w:shd w:fill="FFFFFF" w:val="clear"/>
            <w:vAlign w:val="center"/>
          </w:tcPr>
          <w:p>
            <w:pPr>
              <w:pStyle w:val="TableContents"/>
              <w:bidi w:val="0"/>
              <w:spacing w:before="0" w:after="283"/>
              <w:jc w:val="left"/>
              <w:rPr/>
            </w:pPr>
            <w:r>
              <w:rPr/>
              <w:t> </w:t>
            </w:r>
          </w:p>
        </w:tc>
        <w:tc>
          <w:tcPr>
            <w:tcW w:w="213" w:type="dxa"/>
            <w:tcBorders/>
            <w:shd w:fill="FFFFFF" w:val="clear"/>
            <w:vAlign w:val="center"/>
          </w:tcPr>
          <w:p>
            <w:pPr>
              <w:pStyle w:val="TableContents"/>
              <w:bidi w:val="0"/>
              <w:spacing w:before="0" w:after="283"/>
              <w:jc w:val="left"/>
              <w:rPr/>
            </w:pPr>
            <w:r>
              <w:rPr/>
              <w:t> </w:t>
            </w:r>
          </w:p>
        </w:tc>
        <w:tc>
          <w:tcPr>
            <w:tcW w:w="1036" w:type="dxa"/>
            <w:tcBorders/>
            <w:shd w:fill="FFFFFF" w:val="clear"/>
            <w:vAlign w:val="center"/>
          </w:tcPr>
          <w:p>
            <w:pPr>
              <w:pStyle w:val="TableContents"/>
              <w:bidi w:val="0"/>
              <w:spacing w:before="0" w:after="283"/>
              <w:jc w:val="right"/>
              <w:rPr/>
            </w:pPr>
            <w:r>
              <w:rPr/>
              <w:t>(168</w:t>
            </w:r>
          </w:p>
        </w:tc>
        <w:tc>
          <w:tcPr>
            <w:tcW w:w="144" w:type="dxa"/>
            <w:tcBorders/>
            <w:shd w:fill="FFFFFF" w:val="clear"/>
            <w:vAlign w:val="center"/>
          </w:tcPr>
          <w:p>
            <w:pPr>
              <w:pStyle w:val="TableContents"/>
              <w:bidi w:val="0"/>
              <w:spacing w:before="0" w:after="283"/>
              <w:jc w:val="left"/>
              <w:rPr/>
            </w:pPr>
            <w:r>
              <w:rPr/>
              <w:t>)</w:t>
            </w:r>
          </w:p>
        </w:tc>
        <w:tc>
          <w:tcPr>
            <w:tcW w:w="91" w:type="dxa"/>
            <w:tcBorders/>
            <w:shd w:fill="FFFFFF" w:val="clear"/>
            <w:vAlign w:val="center"/>
          </w:tcPr>
          <w:p>
            <w:pPr>
              <w:pStyle w:val="TableContents"/>
              <w:bidi w:val="0"/>
              <w:spacing w:before="0" w:after="283"/>
              <w:jc w:val="left"/>
              <w:rPr/>
            </w:pPr>
            <w:r>
              <w:rPr/>
              <w:t> </w:t>
            </w:r>
          </w:p>
        </w:tc>
        <w:tc>
          <w:tcPr>
            <w:tcW w:w="213" w:type="dxa"/>
            <w:tcBorders/>
            <w:shd w:fill="FFFFFF" w:val="clear"/>
            <w:vAlign w:val="center"/>
          </w:tcPr>
          <w:p>
            <w:pPr>
              <w:pStyle w:val="TableContents"/>
              <w:bidi w:val="0"/>
              <w:spacing w:before="0" w:after="283"/>
              <w:jc w:val="left"/>
              <w:rPr/>
            </w:pPr>
            <w:r>
              <w:rPr/>
              <w:t> </w:t>
            </w:r>
          </w:p>
        </w:tc>
        <w:tc>
          <w:tcPr>
            <w:tcW w:w="1036" w:type="dxa"/>
            <w:tcBorders/>
            <w:shd w:fill="FFFFFF" w:val="clear"/>
            <w:vAlign w:val="center"/>
          </w:tcPr>
          <w:p>
            <w:pPr>
              <w:pStyle w:val="TableContents"/>
              <w:bidi w:val="0"/>
              <w:spacing w:before="0" w:after="283"/>
              <w:jc w:val="right"/>
              <w:rPr/>
            </w:pPr>
            <w:r>
              <w:rPr/>
              <w:t>(86</w:t>
            </w:r>
          </w:p>
        </w:tc>
        <w:tc>
          <w:tcPr>
            <w:tcW w:w="110" w:type="dxa"/>
            <w:tcBorders/>
            <w:shd w:fill="FFFFFF" w:val="clear"/>
            <w:vAlign w:val="center"/>
          </w:tcPr>
          <w:p>
            <w:pPr>
              <w:pStyle w:val="TableContents"/>
              <w:bidi w:val="0"/>
              <w:spacing w:before="0" w:after="283"/>
              <w:jc w:val="left"/>
              <w:rPr/>
            </w:pPr>
            <w:r>
              <w:rPr/>
              <w:t>)</w:t>
            </w:r>
          </w:p>
        </w:tc>
      </w:tr>
      <w:tr>
        <w:trPr/>
        <w:tc>
          <w:tcPr>
            <w:tcW w:w="3200" w:type="dxa"/>
            <w:tcBorders/>
            <w:shd w:fill="CCEEFF" w:val="clear"/>
            <w:vAlign w:val="center"/>
          </w:tcPr>
          <w:p>
            <w:pPr>
              <w:pStyle w:val="TableContents"/>
              <w:bidi w:val="0"/>
              <w:spacing w:before="0" w:after="283"/>
              <w:jc w:val="left"/>
              <w:rPr/>
            </w:pPr>
            <w:r>
              <w:rPr/>
              <w:t>Interest income</w:t>
            </w:r>
          </w:p>
        </w:tc>
        <w:tc>
          <w:tcPr>
            <w:tcW w:w="60" w:type="dxa"/>
            <w:tcBorders/>
            <w:shd w:fill="CCEEFF" w:val="clear"/>
            <w:vAlign w:val="center"/>
          </w:tcPr>
          <w:p>
            <w:pPr>
              <w:pStyle w:val="TableContents"/>
              <w:bidi w:val="0"/>
              <w:spacing w:before="0" w:after="283"/>
              <w:jc w:val="left"/>
              <w:rPr/>
            </w:pPr>
            <w:r>
              <w:rPr/>
              <w:t> </w:t>
            </w:r>
          </w:p>
        </w:tc>
        <w:tc>
          <w:tcPr>
            <w:tcW w:w="213" w:type="dxa"/>
            <w:tcBorders/>
            <w:shd w:fill="CCEEFF" w:val="clear"/>
            <w:vAlign w:val="center"/>
          </w:tcPr>
          <w:p>
            <w:pPr>
              <w:pStyle w:val="TableContents"/>
              <w:bidi w:val="0"/>
              <w:spacing w:before="0" w:after="283"/>
              <w:jc w:val="left"/>
              <w:rPr/>
            </w:pPr>
            <w:r>
              <w:rPr/>
              <w:t> </w:t>
            </w:r>
          </w:p>
        </w:tc>
        <w:tc>
          <w:tcPr>
            <w:tcW w:w="1036" w:type="dxa"/>
            <w:tcBorders/>
            <w:shd w:fill="CCEEFF" w:val="clear"/>
            <w:vAlign w:val="center"/>
          </w:tcPr>
          <w:p>
            <w:pPr>
              <w:pStyle w:val="TableContents"/>
              <w:bidi w:val="0"/>
              <w:spacing w:before="0" w:after="283"/>
              <w:jc w:val="right"/>
              <w:rPr/>
            </w:pPr>
            <w:r>
              <w:rPr/>
              <w:t>33</w:t>
            </w:r>
          </w:p>
        </w:tc>
        <w:tc>
          <w:tcPr>
            <w:tcW w:w="144" w:type="dxa"/>
            <w:tcBorders/>
            <w:shd w:fill="CCEEFF" w:val="clear"/>
            <w:vAlign w:val="center"/>
          </w:tcPr>
          <w:p>
            <w:pPr>
              <w:pStyle w:val="TableContents"/>
              <w:bidi w:val="0"/>
              <w:spacing w:before="0" w:after="283"/>
              <w:jc w:val="left"/>
              <w:rPr/>
            </w:pPr>
            <w:r>
              <w:rPr/>
              <w:t> </w:t>
            </w:r>
          </w:p>
        </w:tc>
        <w:tc>
          <w:tcPr>
            <w:tcW w:w="91" w:type="dxa"/>
            <w:tcBorders/>
            <w:shd w:fill="CCEEFF" w:val="clear"/>
            <w:vAlign w:val="center"/>
          </w:tcPr>
          <w:p>
            <w:pPr>
              <w:pStyle w:val="TableContents"/>
              <w:bidi w:val="0"/>
              <w:spacing w:before="0" w:after="283"/>
              <w:jc w:val="left"/>
              <w:rPr/>
            </w:pPr>
            <w:r>
              <w:rPr/>
              <w:t> </w:t>
            </w:r>
          </w:p>
        </w:tc>
        <w:tc>
          <w:tcPr>
            <w:tcW w:w="213" w:type="dxa"/>
            <w:tcBorders/>
            <w:shd w:fill="CCEEFF" w:val="clear"/>
            <w:vAlign w:val="center"/>
          </w:tcPr>
          <w:p>
            <w:pPr>
              <w:pStyle w:val="TableContents"/>
              <w:bidi w:val="0"/>
              <w:spacing w:before="0" w:after="283"/>
              <w:jc w:val="left"/>
              <w:rPr/>
            </w:pPr>
            <w:r>
              <w:rPr/>
              <w:t> </w:t>
            </w:r>
          </w:p>
        </w:tc>
        <w:tc>
          <w:tcPr>
            <w:tcW w:w="1036" w:type="dxa"/>
            <w:tcBorders/>
            <w:shd w:fill="CCEEFF" w:val="clear"/>
            <w:vAlign w:val="center"/>
          </w:tcPr>
          <w:p>
            <w:pPr>
              <w:pStyle w:val="TableContents"/>
              <w:bidi w:val="0"/>
              <w:spacing w:before="0" w:after="283"/>
              <w:jc w:val="right"/>
              <w:rPr/>
            </w:pPr>
            <w:r>
              <w:rPr/>
              <w:t>—</w:t>
            </w:r>
          </w:p>
        </w:tc>
        <w:tc>
          <w:tcPr>
            <w:tcW w:w="110" w:type="dxa"/>
            <w:tcBorders/>
            <w:shd w:fill="CCEEFF" w:val="clear"/>
            <w:vAlign w:val="center"/>
          </w:tcPr>
          <w:p>
            <w:pPr>
              <w:pStyle w:val="TableContents"/>
              <w:bidi w:val="0"/>
              <w:spacing w:before="0" w:after="283"/>
              <w:jc w:val="left"/>
              <w:rPr/>
            </w:pPr>
            <w:r>
              <w:rPr/>
              <w:t> </w:t>
            </w:r>
          </w:p>
        </w:tc>
      </w:tr>
      <w:tr>
        <w:trPr/>
        <w:tc>
          <w:tcPr>
            <w:tcW w:w="3200" w:type="dxa"/>
            <w:tcBorders/>
            <w:shd w:fill="FFFFFF" w:val="clear"/>
            <w:vAlign w:val="center"/>
          </w:tcPr>
          <w:p>
            <w:pPr>
              <w:pStyle w:val="TableContents"/>
              <w:bidi w:val="0"/>
              <w:spacing w:before="0" w:after="283"/>
              <w:jc w:val="left"/>
              <w:rPr/>
            </w:pPr>
            <w:r>
              <w:rPr/>
              <w:t>Other income, net</w:t>
            </w:r>
          </w:p>
        </w:tc>
        <w:tc>
          <w:tcPr>
            <w:tcW w:w="60" w:type="dxa"/>
            <w:tcBorders/>
            <w:shd w:fill="FFFFFF" w:val="clear"/>
            <w:vAlign w:val="center"/>
          </w:tcPr>
          <w:p>
            <w:pPr>
              <w:pStyle w:val="TableContents"/>
              <w:bidi w:val="0"/>
              <w:spacing w:before="0" w:after="283"/>
              <w:jc w:val="left"/>
              <w:rPr/>
            </w:pPr>
            <w:r>
              <w:rPr/>
              <w:t> </w:t>
            </w:r>
          </w:p>
        </w:tc>
        <w:tc>
          <w:tcPr>
            <w:tcW w:w="213"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036" w:type="dxa"/>
            <w:tcBorders>
              <w:bottom w:val="single" w:sz="12" w:space="0" w:color="000000"/>
            </w:tcBorders>
            <w:shd w:fill="FFFFFF" w:val="clear"/>
            <w:tcMar>
              <w:bottom w:w="28" w:type="dxa"/>
            </w:tcMar>
            <w:vAlign w:val="center"/>
          </w:tcPr>
          <w:p>
            <w:pPr>
              <w:pStyle w:val="TableContents"/>
              <w:bidi w:val="0"/>
              <w:spacing w:before="0" w:after="283"/>
              <w:jc w:val="right"/>
              <w:rPr/>
            </w:pPr>
            <w:r>
              <w:rPr/>
              <w:t>10</w:t>
            </w:r>
          </w:p>
        </w:tc>
        <w:tc>
          <w:tcPr>
            <w:tcW w:w="144" w:type="dxa"/>
            <w:tcBorders/>
            <w:shd w:fill="FFFFFF" w:val="clear"/>
            <w:vAlign w:val="center"/>
          </w:tcPr>
          <w:p>
            <w:pPr>
              <w:pStyle w:val="TableContents"/>
              <w:bidi w:val="0"/>
              <w:spacing w:before="0" w:after="283"/>
              <w:jc w:val="left"/>
              <w:rPr/>
            </w:pPr>
            <w:r>
              <w:rPr/>
              <w:t> </w:t>
            </w:r>
          </w:p>
        </w:tc>
        <w:tc>
          <w:tcPr>
            <w:tcW w:w="91" w:type="dxa"/>
            <w:tcBorders/>
            <w:shd w:fill="FFFFFF" w:val="clear"/>
            <w:vAlign w:val="center"/>
          </w:tcPr>
          <w:p>
            <w:pPr>
              <w:pStyle w:val="TableContents"/>
              <w:bidi w:val="0"/>
              <w:spacing w:before="0" w:after="283"/>
              <w:jc w:val="left"/>
              <w:rPr/>
            </w:pPr>
            <w:r>
              <w:rPr/>
              <w:t> </w:t>
            </w:r>
          </w:p>
        </w:tc>
        <w:tc>
          <w:tcPr>
            <w:tcW w:w="213"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036" w:type="dxa"/>
            <w:tcBorders>
              <w:bottom w:val="single" w:sz="12" w:space="0" w:color="000000"/>
            </w:tcBorders>
            <w:shd w:fill="FFFFFF" w:val="clear"/>
            <w:tcMar>
              <w:bottom w:w="28" w:type="dxa"/>
            </w:tcMar>
            <w:vAlign w:val="center"/>
          </w:tcPr>
          <w:p>
            <w:pPr>
              <w:pStyle w:val="TableContents"/>
              <w:bidi w:val="0"/>
              <w:spacing w:before="0" w:after="283"/>
              <w:jc w:val="right"/>
              <w:rPr/>
            </w:pPr>
            <w:r>
              <w:rPr/>
              <w:t>815</w:t>
            </w:r>
          </w:p>
        </w:tc>
        <w:tc>
          <w:tcPr>
            <w:tcW w:w="110" w:type="dxa"/>
            <w:tcBorders/>
            <w:shd w:fill="FFFFFF" w:val="clear"/>
            <w:vAlign w:val="center"/>
          </w:tcPr>
          <w:p>
            <w:pPr>
              <w:pStyle w:val="TableContents"/>
              <w:bidi w:val="0"/>
              <w:spacing w:before="0" w:after="283"/>
              <w:jc w:val="left"/>
              <w:rPr/>
            </w:pPr>
            <w:r>
              <w:rPr/>
              <w:t> </w:t>
            </w:r>
          </w:p>
        </w:tc>
      </w:tr>
      <w:tr>
        <w:trPr/>
        <w:tc>
          <w:tcPr>
            <w:tcW w:w="3200" w:type="dxa"/>
            <w:tcBorders/>
            <w:shd w:fill="CCEEFF" w:val="clear"/>
            <w:vAlign w:val="center"/>
          </w:tcPr>
          <w:p>
            <w:pPr>
              <w:pStyle w:val="TableContents"/>
              <w:bidi w:val="0"/>
              <w:spacing w:before="0" w:after="283"/>
              <w:jc w:val="left"/>
              <w:rPr/>
            </w:pPr>
            <w:r>
              <w:rPr/>
              <w:t>Total other income (expense), net</w:t>
            </w:r>
          </w:p>
        </w:tc>
        <w:tc>
          <w:tcPr>
            <w:tcW w:w="60" w:type="dxa"/>
            <w:tcBorders/>
            <w:shd w:fill="CCEEFF" w:val="clear"/>
            <w:vAlign w:val="center"/>
          </w:tcPr>
          <w:p>
            <w:pPr>
              <w:pStyle w:val="TableContents"/>
              <w:bidi w:val="0"/>
              <w:spacing w:before="0" w:after="283"/>
              <w:jc w:val="left"/>
              <w:rPr/>
            </w:pPr>
            <w:r>
              <w:rPr/>
              <w:t> </w:t>
            </w:r>
          </w:p>
        </w:tc>
        <w:tc>
          <w:tcPr>
            <w:tcW w:w="213"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36" w:type="dxa"/>
            <w:tcBorders>
              <w:bottom w:val="single" w:sz="12" w:space="0" w:color="000000"/>
            </w:tcBorders>
            <w:shd w:fill="CCEEFF" w:val="clear"/>
            <w:tcMar>
              <w:bottom w:w="28" w:type="dxa"/>
            </w:tcMar>
            <w:vAlign w:val="center"/>
          </w:tcPr>
          <w:p>
            <w:pPr>
              <w:pStyle w:val="TableContents"/>
              <w:bidi w:val="0"/>
              <w:spacing w:before="0" w:after="283"/>
              <w:jc w:val="right"/>
              <w:rPr/>
            </w:pPr>
            <w:r>
              <w:rPr/>
              <w:t>(125</w:t>
            </w:r>
          </w:p>
        </w:tc>
        <w:tc>
          <w:tcPr>
            <w:tcW w:w="144" w:type="dxa"/>
            <w:tcBorders/>
            <w:shd w:fill="CCEEFF" w:val="clear"/>
            <w:vAlign w:val="center"/>
          </w:tcPr>
          <w:p>
            <w:pPr>
              <w:pStyle w:val="TableContents"/>
              <w:bidi w:val="0"/>
              <w:spacing w:before="0" w:after="283"/>
              <w:jc w:val="left"/>
              <w:rPr/>
            </w:pPr>
            <w:r>
              <w:rPr/>
              <w:t>)</w:t>
            </w:r>
          </w:p>
        </w:tc>
        <w:tc>
          <w:tcPr>
            <w:tcW w:w="91" w:type="dxa"/>
            <w:tcBorders/>
            <w:shd w:fill="CCEEFF" w:val="clear"/>
            <w:vAlign w:val="center"/>
          </w:tcPr>
          <w:p>
            <w:pPr>
              <w:pStyle w:val="TableContents"/>
              <w:bidi w:val="0"/>
              <w:spacing w:before="0" w:after="283"/>
              <w:jc w:val="left"/>
              <w:rPr/>
            </w:pPr>
            <w:r>
              <w:rPr/>
              <w:t> </w:t>
            </w:r>
          </w:p>
        </w:tc>
        <w:tc>
          <w:tcPr>
            <w:tcW w:w="213"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36" w:type="dxa"/>
            <w:tcBorders>
              <w:bottom w:val="single" w:sz="12" w:space="0" w:color="000000"/>
            </w:tcBorders>
            <w:shd w:fill="CCEEFF" w:val="clear"/>
            <w:tcMar>
              <w:bottom w:w="28" w:type="dxa"/>
            </w:tcMar>
            <w:vAlign w:val="center"/>
          </w:tcPr>
          <w:p>
            <w:pPr>
              <w:pStyle w:val="TableContents"/>
              <w:bidi w:val="0"/>
              <w:spacing w:before="0" w:after="283"/>
              <w:jc w:val="right"/>
              <w:rPr/>
            </w:pPr>
            <w:r>
              <w:rPr/>
              <w:t>729</w:t>
            </w:r>
          </w:p>
        </w:tc>
        <w:tc>
          <w:tcPr>
            <w:tcW w:w="110" w:type="dxa"/>
            <w:tcBorders/>
            <w:shd w:fill="CCEEFF" w:val="clear"/>
            <w:vAlign w:val="center"/>
          </w:tcPr>
          <w:p>
            <w:pPr>
              <w:pStyle w:val="TableContents"/>
              <w:bidi w:val="0"/>
              <w:spacing w:before="0" w:after="283"/>
              <w:jc w:val="left"/>
              <w:rPr/>
            </w:pPr>
            <w:r>
              <w:rPr/>
              <w:t> </w:t>
            </w:r>
          </w:p>
        </w:tc>
      </w:tr>
      <w:tr>
        <w:trPr/>
        <w:tc>
          <w:tcPr>
            <w:tcW w:w="3200" w:type="dxa"/>
            <w:tcBorders/>
            <w:shd w:fill="FFFFFF" w:val="clear"/>
            <w:vAlign w:val="center"/>
          </w:tcPr>
          <w:p>
            <w:pPr>
              <w:pStyle w:val="TableContents"/>
              <w:bidi w:val="0"/>
              <w:spacing w:before="0" w:after="283"/>
              <w:jc w:val="left"/>
              <w:rPr/>
            </w:pPr>
            <w:r>
              <w:rPr/>
              <w:t>Net loss</w:t>
            </w:r>
          </w:p>
        </w:tc>
        <w:tc>
          <w:tcPr>
            <w:tcW w:w="60" w:type="dxa"/>
            <w:tcBorders/>
            <w:shd w:fill="FFFFFF" w:val="clear"/>
            <w:vAlign w:val="center"/>
          </w:tcPr>
          <w:p>
            <w:pPr>
              <w:pStyle w:val="TableContents"/>
              <w:bidi w:val="0"/>
              <w:spacing w:before="0" w:after="283"/>
              <w:jc w:val="left"/>
              <w:rPr/>
            </w:pPr>
            <w:r>
              <w:rPr/>
              <w:t> </w:t>
            </w:r>
          </w:p>
        </w:tc>
        <w:tc>
          <w:tcPr>
            <w:tcW w:w="213" w:type="dxa"/>
            <w:tcBorders>
              <w:bottom w:val="double" w:sz="10" w:space="0" w:color="000000"/>
            </w:tcBorders>
            <w:shd w:fill="FFFFFF" w:val="clear"/>
            <w:tcMar>
              <w:bottom w:w="28" w:type="dxa"/>
            </w:tcMar>
            <w:vAlign w:val="center"/>
          </w:tcPr>
          <w:p>
            <w:pPr>
              <w:pStyle w:val="TableContents"/>
              <w:bidi w:val="0"/>
              <w:spacing w:before="0" w:after="283"/>
              <w:jc w:val="left"/>
              <w:rPr/>
            </w:pPr>
            <w:r>
              <w:rPr/>
              <w:t>$</w:t>
            </w:r>
          </w:p>
        </w:tc>
        <w:tc>
          <w:tcPr>
            <w:tcW w:w="1036" w:type="dxa"/>
            <w:tcBorders>
              <w:bottom w:val="double" w:sz="10" w:space="0" w:color="000000"/>
            </w:tcBorders>
            <w:shd w:fill="FFFFFF" w:val="clear"/>
            <w:tcMar>
              <w:bottom w:w="28" w:type="dxa"/>
            </w:tcMar>
            <w:vAlign w:val="center"/>
          </w:tcPr>
          <w:p>
            <w:pPr>
              <w:pStyle w:val="TableContents"/>
              <w:bidi w:val="0"/>
              <w:spacing w:before="0" w:after="283"/>
              <w:jc w:val="right"/>
              <w:rPr/>
            </w:pPr>
            <w:r>
              <w:rPr/>
              <w:t>(5,681</w:t>
            </w:r>
          </w:p>
        </w:tc>
        <w:tc>
          <w:tcPr>
            <w:tcW w:w="144" w:type="dxa"/>
            <w:tcBorders/>
            <w:shd w:fill="FFFFFF" w:val="clear"/>
            <w:vAlign w:val="center"/>
          </w:tcPr>
          <w:p>
            <w:pPr>
              <w:pStyle w:val="TableContents"/>
              <w:bidi w:val="0"/>
              <w:spacing w:before="0" w:after="283"/>
              <w:jc w:val="left"/>
              <w:rPr/>
            </w:pPr>
            <w:r>
              <w:rPr/>
              <w:t>)</w:t>
            </w:r>
          </w:p>
        </w:tc>
        <w:tc>
          <w:tcPr>
            <w:tcW w:w="91" w:type="dxa"/>
            <w:tcBorders/>
            <w:shd w:fill="FFFFFF" w:val="clear"/>
            <w:vAlign w:val="center"/>
          </w:tcPr>
          <w:p>
            <w:pPr>
              <w:pStyle w:val="TableContents"/>
              <w:bidi w:val="0"/>
              <w:spacing w:before="0" w:after="283"/>
              <w:jc w:val="left"/>
              <w:rPr/>
            </w:pPr>
            <w:r>
              <w:rPr/>
              <w:t> </w:t>
            </w:r>
          </w:p>
        </w:tc>
        <w:tc>
          <w:tcPr>
            <w:tcW w:w="213" w:type="dxa"/>
            <w:tcBorders>
              <w:bottom w:val="double" w:sz="10" w:space="0" w:color="000000"/>
            </w:tcBorders>
            <w:shd w:fill="FFFFFF" w:val="clear"/>
            <w:tcMar>
              <w:bottom w:w="28" w:type="dxa"/>
            </w:tcMar>
            <w:vAlign w:val="center"/>
          </w:tcPr>
          <w:p>
            <w:pPr>
              <w:pStyle w:val="TableContents"/>
              <w:bidi w:val="0"/>
              <w:spacing w:before="0" w:after="283"/>
              <w:jc w:val="left"/>
              <w:rPr/>
            </w:pPr>
            <w:r>
              <w:rPr/>
              <w:t>$</w:t>
            </w:r>
          </w:p>
        </w:tc>
        <w:tc>
          <w:tcPr>
            <w:tcW w:w="1036" w:type="dxa"/>
            <w:tcBorders>
              <w:bottom w:val="double" w:sz="10" w:space="0" w:color="000000"/>
            </w:tcBorders>
            <w:shd w:fill="FFFFFF" w:val="clear"/>
            <w:tcMar>
              <w:bottom w:w="28" w:type="dxa"/>
            </w:tcMar>
            <w:vAlign w:val="center"/>
          </w:tcPr>
          <w:p>
            <w:pPr>
              <w:pStyle w:val="TableContents"/>
              <w:bidi w:val="0"/>
              <w:spacing w:before="0" w:after="283"/>
              <w:jc w:val="right"/>
              <w:rPr/>
            </w:pPr>
            <w:r>
              <w:rPr/>
              <w:t>(4,620</w:t>
            </w:r>
          </w:p>
        </w:tc>
        <w:tc>
          <w:tcPr>
            <w:tcW w:w="110" w:type="dxa"/>
            <w:tcBorders/>
            <w:shd w:fill="FFFFFF" w:val="clear"/>
            <w:vAlign w:val="center"/>
          </w:tcPr>
          <w:p>
            <w:pPr>
              <w:pStyle w:val="TableContents"/>
              <w:bidi w:val="0"/>
              <w:spacing w:before="0" w:after="283"/>
              <w:jc w:val="left"/>
              <w:rPr/>
            </w:pPr>
            <w:r>
              <w:rPr/>
              <w:t>)</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The accompanying notes are an integral part of these financial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sz w:val="20"/>
          <w:bdr w:val="single" w:sz="12" w:space="1" w:color="000000"/>
        </w:rPr>
      </w:pPr>
      <w:r>
        <w:rPr>
          <w:sz w:val="20"/>
          <w:bdr w:val="single" w:sz="12" w:space="1" w:color="000000"/>
        </w:rPr>
        <w:t>F-134</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bookmarkStart w:id="41" w:name="E_003"/>
      <w:bookmarkEnd w:id="41"/>
      <w:r>
        <w:rPr>
          <w:rFonts w:ascii="Times New Roman;Times;Serif" w:hAnsi="Times New Roman;Times;Serif"/>
          <w:b/>
          <w:i w:val="false"/>
          <w:caps w:val="false"/>
          <w:smallCaps w:val="false"/>
          <w:sz w:val="20"/>
        </w:rPr>
        <w:t xml:space="preserve">SUNDER ENERGY LLC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UNAUDITED STATEMENTS OF CHANGES IN MEMBER’S DEFICIT</w:t>
      </w:r>
    </w:p>
    <w:p>
      <w:pPr>
        <w:pStyle w:val="TextBody"/>
        <w:bidi w:val="0"/>
        <w:spacing w:before="0" w:after="0"/>
        <w:ind w:left="0" w:right="0" w:hanging="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(Dollars in thousands)</w:t>
      </w:r>
    </w:p>
    <w:p>
      <w:pPr>
        <w:pStyle w:val="TextBody"/>
        <w:bidi w:val="0"/>
        <w:spacing w:before="0" w:after="0"/>
        <w:ind w:left="0" w:right="0" w:hanging="0"/>
        <w:jc w:val="center"/>
        <w:rPr>
          <w:caps w:val="false"/>
          <w:smallCaps w:val="false"/>
        </w:rPr>
      </w:pPr>
      <w:r>
        <w:rPr>
          <w:caps w:val="false"/>
          <w:smallCaps w:val="false"/>
        </w:rPr>
        <w:t> </w:t>
      </w:r>
    </w:p>
    <w:tbl>
      <w:tblPr>
        <w:tblW w:w="4790" w:type="dxa"/>
        <w:jc w:val="left"/>
        <w:tblInd w:w="0" w:type="dxa"/>
        <w:tblLayout w:type="fixed"/>
        <w:tblCellMar>
          <w:top w:w="0" w:type="dxa"/>
          <w:left w:w="0" w:type="dxa"/>
          <w:bottom w:w="0" w:type="dxa"/>
          <w:right w:w="0" w:type="dxa"/>
        </w:tblCellMar>
      </w:tblPr>
      <w:tblGrid>
        <w:gridCol w:w="3725"/>
        <w:gridCol w:w="60"/>
        <w:gridCol w:w="140"/>
        <w:gridCol w:w="755"/>
        <w:gridCol w:w="110"/>
      </w:tblGrid>
      <w:tr>
        <w:trPr/>
        <w:tc>
          <w:tcPr>
            <w:tcW w:w="3725" w:type="dxa"/>
            <w:tcBorders/>
            <w:shd w:fill="CCEEFF" w:val="clear"/>
            <w:vAlign w:val="center"/>
          </w:tcPr>
          <w:p>
            <w:pPr>
              <w:pStyle w:val="TableContents"/>
              <w:bidi w:val="0"/>
              <w:spacing w:before="0" w:after="283"/>
              <w:jc w:val="left"/>
              <w:rPr/>
            </w:pPr>
            <w:r>
              <w:rPr/>
              <w:t>Member’s deficit as of January 1, 2025</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755" w:type="dxa"/>
            <w:tcBorders/>
            <w:shd w:fill="CCEEFF" w:val="clear"/>
            <w:vAlign w:val="center"/>
          </w:tcPr>
          <w:p>
            <w:pPr>
              <w:pStyle w:val="TableContents"/>
              <w:bidi w:val="0"/>
              <w:spacing w:before="0" w:after="283"/>
              <w:jc w:val="right"/>
              <w:rPr/>
            </w:pPr>
            <w:r>
              <w:rPr/>
              <w:t>(6,287</w:t>
            </w:r>
          </w:p>
        </w:tc>
        <w:tc>
          <w:tcPr>
            <w:tcW w:w="110" w:type="dxa"/>
            <w:tcBorders/>
            <w:shd w:fill="CCEEFF" w:val="clear"/>
            <w:vAlign w:val="center"/>
          </w:tcPr>
          <w:p>
            <w:pPr>
              <w:pStyle w:val="TableContents"/>
              <w:bidi w:val="0"/>
              <w:spacing w:before="0" w:after="283"/>
              <w:jc w:val="left"/>
              <w:rPr/>
            </w:pPr>
            <w:r>
              <w:rPr/>
              <w:t>)</w:t>
            </w:r>
          </w:p>
        </w:tc>
      </w:tr>
      <w:tr>
        <w:trPr/>
        <w:tc>
          <w:tcPr>
            <w:tcW w:w="3725" w:type="dxa"/>
            <w:tcBorders/>
            <w:shd w:fill="FFFFFF" w:val="clear"/>
            <w:vAlign w:val="center"/>
          </w:tcPr>
          <w:p>
            <w:pPr>
              <w:pStyle w:val="TableContents"/>
              <w:bidi w:val="0"/>
              <w:spacing w:before="0" w:after="283"/>
              <w:jc w:val="left"/>
              <w:rPr/>
            </w:pPr>
            <w:r>
              <w:rPr/>
              <w:t>Net loss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(5,681</w:t>
            </w:r>
          </w:p>
        </w:tc>
        <w:tc>
          <w:tcPr>
            <w:tcW w:w="110" w:type="dxa"/>
            <w:tcBorders/>
            <w:shd w:fill="FFFFFF" w:val="clear"/>
            <w:vAlign w:val="center"/>
          </w:tcPr>
          <w:p>
            <w:pPr>
              <w:pStyle w:val="TableContents"/>
              <w:bidi w:val="0"/>
              <w:spacing w:before="0" w:after="283"/>
              <w:jc w:val="left"/>
              <w:rPr/>
            </w:pPr>
            <w:r>
              <w:rPr/>
              <w:t>)</w:t>
            </w:r>
          </w:p>
        </w:tc>
      </w:tr>
      <w:tr>
        <w:trPr/>
        <w:tc>
          <w:tcPr>
            <w:tcW w:w="3725" w:type="dxa"/>
            <w:tcBorders/>
            <w:shd w:fill="CCEEFF" w:val="clear"/>
            <w:vAlign w:val="center"/>
          </w:tcPr>
          <w:p>
            <w:pPr>
              <w:pStyle w:val="TableContents"/>
              <w:bidi w:val="0"/>
              <w:spacing w:before="0" w:after="283"/>
              <w:jc w:val="left"/>
              <w:rPr/>
            </w:pPr>
            <w:r>
              <w:rPr/>
              <w:t>Capital contribution</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1,000</w:t>
            </w:r>
          </w:p>
        </w:tc>
        <w:tc>
          <w:tcPr>
            <w:tcW w:w="110" w:type="dxa"/>
            <w:tcBorders/>
            <w:shd w:fill="CCEEFF" w:val="clear"/>
            <w:vAlign w:val="center"/>
          </w:tcPr>
          <w:p>
            <w:pPr>
              <w:pStyle w:val="TableContents"/>
              <w:bidi w:val="0"/>
              <w:spacing w:before="0" w:after="283"/>
              <w:jc w:val="left"/>
              <w:rPr/>
            </w:pPr>
            <w:r>
              <w:rPr/>
              <w:t> </w:t>
            </w:r>
          </w:p>
        </w:tc>
      </w:tr>
      <w:tr>
        <w:trPr/>
        <w:tc>
          <w:tcPr>
            <w:tcW w:w="3725" w:type="dxa"/>
            <w:tcBorders/>
            <w:shd w:fill="FFFFFF" w:val="clear"/>
            <w:vAlign w:val="center"/>
          </w:tcPr>
          <w:p>
            <w:pPr>
              <w:pStyle w:val="TableContents"/>
              <w:bidi w:val="0"/>
              <w:spacing w:before="0" w:after="283"/>
              <w:jc w:val="left"/>
              <w:rPr/>
            </w:pPr>
            <w:r>
              <w:rPr/>
              <w:t>Distributions</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755" w:type="dxa"/>
            <w:tcBorders>
              <w:bottom w:val="single" w:sz="12" w:space="0" w:color="000000"/>
            </w:tcBorders>
            <w:shd w:fill="FFFFFF" w:val="clear"/>
            <w:tcMar>
              <w:bottom w:w="28" w:type="dxa"/>
            </w:tcMar>
            <w:vAlign w:val="center"/>
          </w:tcPr>
          <w:p>
            <w:pPr>
              <w:pStyle w:val="TableContents"/>
              <w:bidi w:val="0"/>
              <w:spacing w:before="0" w:after="283"/>
              <w:jc w:val="right"/>
              <w:rPr/>
            </w:pPr>
            <w:r>
              <w:rPr/>
              <w:t>(16</w:t>
            </w:r>
          </w:p>
        </w:tc>
        <w:tc>
          <w:tcPr>
            <w:tcW w:w="110" w:type="dxa"/>
            <w:tcBorders/>
            <w:shd w:fill="FFFFFF" w:val="clear"/>
            <w:vAlign w:val="center"/>
          </w:tcPr>
          <w:p>
            <w:pPr>
              <w:pStyle w:val="TableContents"/>
              <w:bidi w:val="0"/>
              <w:spacing w:before="0" w:after="283"/>
              <w:jc w:val="left"/>
              <w:rPr/>
            </w:pPr>
            <w:r>
              <w:rPr/>
              <w:t>)</w:t>
            </w:r>
          </w:p>
        </w:tc>
      </w:tr>
      <w:tr>
        <w:trPr/>
        <w:tc>
          <w:tcPr>
            <w:tcW w:w="3725" w:type="dxa"/>
            <w:tcBorders/>
            <w:shd w:fill="CCEEFF" w:val="clear"/>
            <w:vAlign w:val="center"/>
          </w:tcPr>
          <w:p>
            <w:pPr>
              <w:pStyle w:val="TableContents"/>
              <w:bidi w:val="0"/>
              <w:spacing w:before="0" w:after="283"/>
              <w:jc w:val="left"/>
              <w:rPr/>
            </w:pPr>
            <w:r>
              <w:rPr/>
              <w:t>Member’s deficit as of June 30, 2025</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755" w:type="dxa"/>
            <w:tcBorders>
              <w:bottom w:val="double" w:sz="10" w:space="0" w:color="000000"/>
            </w:tcBorders>
            <w:shd w:fill="CCEEFF" w:val="clear"/>
            <w:tcMar>
              <w:bottom w:w="28" w:type="dxa"/>
            </w:tcMar>
            <w:vAlign w:val="center"/>
          </w:tcPr>
          <w:p>
            <w:pPr>
              <w:pStyle w:val="TableContents"/>
              <w:bidi w:val="0"/>
              <w:spacing w:before="0" w:after="283"/>
              <w:jc w:val="right"/>
              <w:rPr/>
            </w:pPr>
            <w:r>
              <w:rPr/>
              <w:t>(10,984</w:t>
            </w:r>
          </w:p>
        </w:tc>
        <w:tc>
          <w:tcPr>
            <w:tcW w:w="110" w:type="dxa"/>
            <w:tcBorders/>
            <w:shd w:fill="CCEEFF" w:val="clear"/>
            <w:vAlign w:val="center"/>
          </w:tcPr>
          <w:p>
            <w:pPr>
              <w:pStyle w:val="TableContents"/>
              <w:bidi w:val="0"/>
              <w:spacing w:before="0" w:after="283"/>
              <w:jc w:val="left"/>
              <w:rPr/>
            </w:pPr>
            <w:r>
              <w:rPr/>
              <w:t>)</w:t>
            </w:r>
          </w:p>
        </w:tc>
      </w:tr>
    </w:tbl>
    <w:p>
      <w:pPr>
        <w:pStyle w:val="TextBody"/>
        <w:bidi w:val="0"/>
        <w:spacing w:before="0" w:after="0"/>
        <w:ind w:left="0" w:right="0" w:hanging="0"/>
        <w:jc w:val="left"/>
        <w:rPr>
          <w:caps w:val="false"/>
          <w:smallCaps w:val="false"/>
        </w:rPr>
      </w:pPr>
      <w:r>
        <w:rPr>
          <w:caps w:val="false"/>
          <w:smallCaps w:val="false"/>
        </w:rPr>
        <w:t> </w:t>
      </w:r>
    </w:p>
    <w:tbl>
      <w:tblPr>
        <w:tblW w:w="4670" w:type="dxa"/>
        <w:jc w:val="left"/>
        <w:tblInd w:w="0" w:type="dxa"/>
        <w:tblLayout w:type="fixed"/>
        <w:tblCellMar>
          <w:top w:w="0" w:type="dxa"/>
          <w:left w:w="0" w:type="dxa"/>
          <w:bottom w:w="0" w:type="dxa"/>
          <w:right w:w="0" w:type="dxa"/>
        </w:tblCellMar>
      </w:tblPr>
      <w:tblGrid>
        <w:gridCol w:w="3725"/>
        <w:gridCol w:w="60"/>
        <w:gridCol w:w="140"/>
        <w:gridCol w:w="635"/>
        <w:gridCol w:w="110"/>
      </w:tblGrid>
      <w:tr>
        <w:trPr/>
        <w:tc>
          <w:tcPr>
            <w:tcW w:w="3725" w:type="dxa"/>
            <w:tcBorders/>
            <w:shd w:fill="CCEEFF" w:val="clear"/>
            <w:vAlign w:val="center"/>
          </w:tcPr>
          <w:p>
            <w:pPr>
              <w:pStyle w:val="TableContents"/>
              <w:bidi w:val="0"/>
              <w:spacing w:before="0" w:after="283"/>
              <w:jc w:val="left"/>
              <w:rPr/>
            </w:pPr>
            <w:r>
              <w:rPr/>
              <w:t>Member’s deficit as of January 1, 2024</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635" w:type="dxa"/>
            <w:tcBorders/>
            <w:shd w:fill="CCEEFF" w:val="clear"/>
            <w:vAlign w:val="center"/>
          </w:tcPr>
          <w:p>
            <w:pPr>
              <w:pStyle w:val="TableContents"/>
              <w:bidi w:val="0"/>
              <w:spacing w:before="0" w:after="283"/>
              <w:jc w:val="right"/>
              <w:rPr/>
            </w:pPr>
            <w:r>
              <w:rPr/>
              <w:t>(3,675</w:t>
            </w:r>
          </w:p>
        </w:tc>
        <w:tc>
          <w:tcPr>
            <w:tcW w:w="110" w:type="dxa"/>
            <w:tcBorders/>
            <w:shd w:fill="CCEEFF" w:val="clear"/>
            <w:vAlign w:val="center"/>
          </w:tcPr>
          <w:p>
            <w:pPr>
              <w:pStyle w:val="TableContents"/>
              <w:bidi w:val="0"/>
              <w:spacing w:before="0" w:after="283"/>
              <w:jc w:val="left"/>
              <w:rPr/>
            </w:pPr>
            <w:r>
              <w:rPr/>
              <w:t>)</w:t>
            </w:r>
          </w:p>
        </w:tc>
      </w:tr>
      <w:tr>
        <w:trPr/>
        <w:tc>
          <w:tcPr>
            <w:tcW w:w="3725" w:type="dxa"/>
            <w:tcBorders/>
            <w:shd w:fill="FFFFFF" w:val="clear"/>
            <w:vAlign w:val="center"/>
          </w:tcPr>
          <w:p>
            <w:pPr>
              <w:pStyle w:val="TableContents"/>
              <w:bidi w:val="0"/>
              <w:spacing w:before="0" w:after="283"/>
              <w:jc w:val="left"/>
              <w:rPr/>
            </w:pPr>
            <w:r>
              <w:rPr/>
              <w:t>Net loss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35" w:type="dxa"/>
            <w:tcBorders/>
            <w:shd w:fill="FFFFFF" w:val="clear"/>
            <w:vAlign w:val="center"/>
          </w:tcPr>
          <w:p>
            <w:pPr>
              <w:pStyle w:val="TableContents"/>
              <w:bidi w:val="0"/>
              <w:spacing w:before="0" w:after="283"/>
              <w:jc w:val="right"/>
              <w:rPr/>
            </w:pPr>
            <w:r>
              <w:rPr/>
              <w:t>(4,620</w:t>
            </w:r>
          </w:p>
        </w:tc>
        <w:tc>
          <w:tcPr>
            <w:tcW w:w="110" w:type="dxa"/>
            <w:tcBorders/>
            <w:shd w:fill="FFFFFF" w:val="clear"/>
            <w:vAlign w:val="center"/>
          </w:tcPr>
          <w:p>
            <w:pPr>
              <w:pStyle w:val="TableContents"/>
              <w:bidi w:val="0"/>
              <w:spacing w:before="0" w:after="283"/>
              <w:jc w:val="left"/>
              <w:rPr/>
            </w:pPr>
            <w:r>
              <w:rPr/>
              <w:t>)</w:t>
            </w:r>
          </w:p>
        </w:tc>
      </w:tr>
      <w:tr>
        <w:trPr/>
        <w:tc>
          <w:tcPr>
            <w:tcW w:w="3725" w:type="dxa"/>
            <w:tcBorders/>
            <w:shd w:fill="CCEEFF" w:val="clear"/>
            <w:vAlign w:val="center"/>
          </w:tcPr>
          <w:p>
            <w:pPr>
              <w:pStyle w:val="TableContents"/>
              <w:bidi w:val="0"/>
              <w:spacing w:before="0" w:after="283"/>
              <w:jc w:val="left"/>
              <w:rPr/>
            </w:pPr>
            <w:r>
              <w:rPr/>
              <w:t>Capital contribution</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35" w:type="dxa"/>
            <w:tcBorders/>
            <w:shd w:fill="CCEEFF" w:val="clear"/>
            <w:vAlign w:val="center"/>
          </w:tcPr>
          <w:p>
            <w:pPr>
              <w:pStyle w:val="TableContents"/>
              <w:bidi w:val="0"/>
              <w:spacing w:before="0" w:after="283"/>
              <w:jc w:val="right"/>
              <w:rPr/>
            </w:pPr>
            <w:r>
              <w:rPr/>
              <w:t>1,800</w:t>
            </w:r>
          </w:p>
        </w:tc>
        <w:tc>
          <w:tcPr>
            <w:tcW w:w="110" w:type="dxa"/>
            <w:tcBorders/>
            <w:shd w:fill="CCEEFF" w:val="clear"/>
            <w:vAlign w:val="center"/>
          </w:tcPr>
          <w:p>
            <w:pPr>
              <w:pStyle w:val="TableContents"/>
              <w:bidi w:val="0"/>
              <w:spacing w:before="0" w:after="283"/>
              <w:jc w:val="left"/>
              <w:rPr/>
            </w:pPr>
            <w:r>
              <w:rPr/>
              <w:t> </w:t>
            </w:r>
          </w:p>
        </w:tc>
      </w:tr>
      <w:tr>
        <w:trPr/>
        <w:tc>
          <w:tcPr>
            <w:tcW w:w="3725" w:type="dxa"/>
            <w:tcBorders/>
            <w:shd w:fill="FFFFFF" w:val="clear"/>
            <w:vAlign w:val="center"/>
          </w:tcPr>
          <w:p>
            <w:pPr>
              <w:pStyle w:val="TableContents"/>
              <w:bidi w:val="0"/>
              <w:spacing w:before="0" w:after="283"/>
              <w:jc w:val="left"/>
              <w:rPr/>
            </w:pPr>
            <w:r>
              <w:rPr/>
              <w:t>Distributions</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635" w:type="dxa"/>
            <w:tcBorders>
              <w:bottom w:val="single" w:sz="12" w:space="0" w:color="000000"/>
            </w:tcBorders>
            <w:shd w:fill="FFFFFF" w:val="clear"/>
            <w:tcMar>
              <w:bottom w:w="28" w:type="dxa"/>
            </w:tcMar>
            <w:vAlign w:val="center"/>
          </w:tcPr>
          <w:p>
            <w:pPr>
              <w:pStyle w:val="TableContents"/>
              <w:bidi w:val="0"/>
              <w:spacing w:before="0" w:after="283"/>
              <w:jc w:val="right"/>
              <w:rPr/>
            </w:pPr>
            <w:r>
              <w:rPr/>
              <w:t>(181</w:t>
            </w:r>
          </w:p>
        </w:tc>
        <w:tc>
          <w:tcPr>
            <w:tcW w:w="110" w:type="dxa"/>
            <w:tcBorders/>
            <w:shd w:fill="FFFFFF" w:val="clear"/>
            <w:vAlign w:val="center"/>
          </w:tcPr>
          <w:p>
            <w:pPr>
              <w:pStyle w:val="TableContents"/>
              <w:bidi w:val="0"/>
              <w:spacing w:before="0" w:after="283"/>
              <w:jc w:val="left"/>
              <w:rPr/>
            </w:pPr>
            <w:r>
              <w:rPr/>
              <w:t>)</w:t>
            </w:r>
          </w:p>
        </w:tc>
      </w:tr>
      <w:tr>
        <w:trPr/>
        <w:tc>
          <w:tcPr>
            <w:tcW w:w="3725" w:type="dxa"/>
            <w:tcBorders/>
            <w:shd w:fill="CCEEFF" w:val="clear"/>
            <w:vAlign w:val="center"/>
          </w:tcPr>
          <w:p>
            <w:pPr>
              <w:pStyle w:val="TableContents"/>
              <w:bidi w:val="0"/>
              <w:spacing w:before="0" w:after="283"/>
              <w:jc w:val="left"/>
              <w:rPr/>
            </w:pPr>
            <w:r>
              <w:rPr/>
              <w:t>Member’s deficit as of June 30, 2024</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635" w:type="dxa"/>
            <w:tcBorders>
              <w:bottom w:val="double" w:sz="10" w:space="0" w:color="000000"/>
            </w:tcBorders>
            <w:shd w:fill="CCEEFF" w:val="clear"/>
            <w:tcMar>
              <w:bottom w:w="28" w:type="dxa"/>
            </w:tcMar>
            <w:vAlign w:val="center"/>
          </w:tcPr>
          <w:p>
            <w:pPr>
              <w:pStyle w:val="TableContents"/>
              <w:bidi w:val="0"/>
              <w:spacing w:before="0" w:after="283"/>
              <w:jc w:val="right"/>
              <w:rPr/>
            </w:pPr>
            <w:r>
              <w:rPr/>
              <w:t>(6,676</w:t>
            </w:r>
          </w:p>
        </w:tc>
        <w:tc>
          <w:tcPr>
            <w:tcW w:w="110" w:type="dxa"/>
            <w:tcBorders/>
            <w:shd w:fill="CCEEFF" w:val="clear"/>
            <w:vAlign w:val="center"/>
          </w:tcPr>
          <w:p>
            <w:pPr>
              <w:pStyle w:val="TableContents"/>
              <w:bidi w:val="0"/>
              <w:spacing w:before="0" w:after="283"/>
              <w:jc w:val="left"/>
              <w:rPr/>
            </w:pPr>
            <w:r>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The accompanying notes are an integral part of these financial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12" w:space="1" w:color="000000"/>
        </w:rPr>
      </w:pPr>
      <w:r>
        <w:rPr>
          <w:sz w:val="20"/>
          <w:bdr w:val="single" w:sz="12" w:space="1" w:color="000000"/>
        </w:rPr>
        <w:t>F-135</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42" w:name="E_004"/>
      <w:bookmarkEnd w:id="42"/>
      <w:r>
        <w:rPr>
          <w:rFonts w:ascii="Times New Roman;Times;Serif" w:hAnsi="Times New Roman;Times;Serif"/>
          <w:b/>
          <w:i w:val="false"/>
          <w:caps w:val="false"/>
          <w:smallCaps w:val="false"/>
          <w:sz w:val="20"/>
        </w:rPr>
        <w:t>SUNDER ENERGY LLC</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UNAUDITED STATEMENTS OF CASH FLOWS</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thousands)</w:t>
      </w:r>
    </w:p>
    <w:p>
      <w:pPr>
        <w:pStyle w:val="TextBody"/>
        <w:bidi w:val="0"/>
        <w:spacing w:before="0" w:after="0"/>
        <w:ind w:left="0" w:right="0" w:hanging="0"/>
        <w:jc w:val="center"/>
        <w:rPr>
          <w:caps w:val="false"/>
          <w:smallCaps w:val="false"/>
        </w:rPr>
      </w:pPr>
      <w:r>
        <w:rPr>
          <w:caps w:val="false"/>
          <w:smallCaps w:val="false"/>
        </w:rPr>
        <w:t> </w:t>
      </w:r>
    </w:p>
    <w:tbl>
      <w:tblPr>
        <w:tblW w:w="9731" w:type="dxa"/>
        <w:jc w:val="left"/>
        <w:tblInd w:w="0" w:type="dxa"/>
        <w:tblLayout w:type="fixed"/>
        <w:tblCellMar>
          <w:top w:w="0" w:type="dxa"/>
          <w:left w:w="0" w:type="dxa"/>
          <w:bottom w:w="0" w:type="dxa"/>
          <w:right w:w="0" w:type="dxa"/>
        </w:tblCellMar>
      </w:tblPr>
      <w:tblGrid>
        <w:gridCol w:w="6830"/>
        <w:gridCol w:w="60"/>
        <w:gridCol w:w="218"/>
        <w:gridCol w:w="992"/>
        <w:gridCol w:w="148"/>
        <w:gridCol w:w="93"/>
        <w:gridCol w:w="218"/>
        <w:gridCol w:w="1062"/>
        <w:gridCol w:w="110"/>
      </w:tblGrid>
      <w:tr>
        <w:trPr/>
        <w:tc>
          <w:tcPr>
            <w:tcW w:w="683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2731"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Six months ended June 30,</w:t>
            </w:r>
          </w:p>
        </w:tc>
        <w:tc>
          <w:tcPr>
            <w:tcW w:w="110" w:type="dxa"/>
            <w:tcBorders/>
            <w:vAlign w:val="center"/>
          </w:tcPr>
          <w:p>
            <w:pPr>
              <w:pStyle w:val="TableContents"/>
              <w:bidi w:val="0"/>
              <w:spacing w:before="0" w:after="283"/>
              <w:jc w:val="left"/>
              <w:rPr/>
            </w:pPr>
            <w:r>
              <w:rPr/>
              <w:t> </w:t>
            </w:r>
          </w:p>
        </w:tc>
      </w:tr>
      <w:tr>
        <w:trPr/>
        <w:tc>
          <w:tcPr>
            <w:tcW w:w="683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21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2025</w:t>
            </w:r>
          </w:p>
        </w:tc>
        <w:tc>
          <w:tcPr>
            <w:tcW w:w="148" w:type="dxa"/>
            <w:tcBorders/>
            <w:vAlign w:val="center"/>
          </w:tcPr>
          <w:p>
            <w:pPr>
              <w:pStyle w:val="TableContents"/>
              <w:bidi w:val="0"/>
              <w:spacing w:before="0" w:after="283"/>
              <w:jc w:val="left"/>
              <w:rPr/>
            </w:pPr>
            <w:r>
              <w:rPr/>
              <w:t> </w:t>
            </w:r>
          </w:p>
        </w:tc>
        <w:tc>
          <w:tcPr>
            <w:tcW w:w="93" w:type="dxa"/>
            <w:tcBorders/>
            <w:vAlign w:val="center"/>
          </w:tcPr>
          <w:p>
            <w:pPr>
              <w:pStyle w:val="TableContents"/>
              <w:bidi w:val="0"/>
              <w:spacing w:before="0" w:after="283"/>
              <w:jc w:val="left"/>
              <w:rPr/>
            </w:pPr>
            <w:r>
              <w:rPr/>
              <w:t> </w:t>
            </w:r>
          </w:p>
        </w:tc>
        <w:tc>
          <w:tcPr>
            <w:tcW w:w="128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2024</w:t>
            </w:r>
          </w:p>
        </w:tc>
        <w:tc>
          <w:tcPr>
            <w:tcW w:w="110" w:type="dxa"/>
            <w:tcBorders/>
            <w:vAlign w:val="center"/>
          </w:tcPr>
          <w:p>
            <w:pPr>
              <w:pStyle w:val="TableContents"/>
              <w:bidi w:val="0"/>
              <w:spacing w:before="0" w:after="283"/>
              <w:jc w:val="left"/>
              <w:rPr/>
            </w:pPr>
            <w:r>
              <w:rPr/>
              <w:t> </w:t>
            </w:r>
          </w:p>
        </w:tc>
      </w:tr>
      <w:tr>
        <w:trPr/>
        <w:tc>
          <w:tcPr>
            <w:tcW w:w="6830" w:type="dxa"/>
            <w:tcBorders/>
            <w:vAlign w:val="center"/>
          </w:tcPr>
          <w:p>
            <w:pPr>
              <w:pStyle w:val="TableContents"/>
              <w:bidi w:val="0"/>
              <w:spacing w:before="0" w:after="283"/>
              <w:jc w:val="left"/>
              <w:rPr>
                <w:b/>
              </w:rPr>
            </w:pPr>
            <w:r>
              <w:rPr>
                <w:b/>
              </w:rPr>
              <w:t>Cash flows from operating activities</w:t>
            </w:r>
          </w:p>
        </w:tc>
        <w:tc>
          <w:tcPr>
            <w:tcW w:w="60" w:type="dxa"/>
            <w:tcBorders/>
            <w:vAlign w:val="center"/>
          </w:tcPr>
          <w:p>
            <w:pPr>
              <w:pStyle w:val="TableContents"/>
              <w:bidi w:val="0"/>
              <w:spacing w:before="0" w:after="283"/>
              <w:jc w:val="left"/>
              <w:rPr/>
            </w:pPr>
            <w:r>
              <w:rPr/>
              <w:t> </w:t>
            </w:r>
          </w:p>
        </w:tc>
        <w:tc>
          <w:tcPr>
            <w:tcW w:w="1210" w:type="dxa"/>
            <w:gridSpan w:val="2"/>
            <w:tcBorders/>
            <w:vAlign w:val="center"/>
          </w:tcPr>
          <w:p>
            <w:pPr>
              <w:pStyle w:val="TableContents"/>
              <w:bidi w:val="0"/>
              <w:spacing w:before="0" w:after="283"/>
              <w:jc w:val="left"/>
              <w:rPr/>
            </w:pPr>
            <w:r>
              <w:rPr/>
              <w:t> </w:t>
            </w:r>
          </w:p>
        </w:tc>
        <w:tc>
          <w:tcPr>
            <w:tcW w:w="148" w:type="dxa"/>
            <w:tcBorders/>
            <w:vAlign w:val="center"/>
          </w:tcPr>
          <w:p>
            <w:pPr>
              <w:pStyle w:val="TableContents"/>
              <w:bidi w:val="0"/>
              <w:spacing w:before="0" w:after="283"/>
              <w:jc w:val="left"/>
              <w:rPr/>
            </w:pPr>
            <w:r>
              <w:rPr/>
              <w:t> </w:t>
            </w:r>
          </w:p>
        </w:tc>
        <w:tc>
          <w:tcPr>
            <w:tcW w:w="93" w:type="dxa"/>
            <w:tcBorders/>
            <w:vAlign w:val="center"/>
          </w:tcPr>
          <w:p>
            <w:pPr>
              <w:pStyle w:val="TableContents"/>
              <w:bidi w:val="0"/>
              <w:spacing w:before="0" w:after="283"/>
              <w:jc w:val="left"/>
              <w:rPr/>
            </w:pPr>
            <w:r>
              <w:rPr/>
              <w:t> </w:t>
            </w:r>
          </w:p>
        </w:tc>
        <w:tc>
          <w:tcPr>
            <w:tcW w:w="1280" w:type="dxa"/>
            <w:gridSpan w:val="2"/>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 </w:t>
            </w:r>
          </w:p>
        </w:tc>
      </w:tr>
      <w:tr>
        <w:trPr/>
        <w:tc>
          <w:tcPr>
            <w:tcW w:w="6830" w:type="dxa"/>
            <w:tcBorders/>
            <w:shd w:fill="CCEEFF" w:val="clear"/>
            <w:vAlign w:val="center"/>
          </w:tcPr>
          <w:p>
            <w:pPr>
              <w:pStyle w:val="TableContents"/>
              <w:bidi w:val="0"/>
              <w:spacing w:before="0" w:after="283"/>
              <w:jc w:val="left"/>
              <w:rPr/>
            </w:pPr>
            <w:r>
              <w:rPr/>
              <w:t>Net loss</w:t>
            </w:r>
          </w:p>
        </w:tc>
        <w:tc>
          <w:tcPr>
            <w:tcW w:w="60" w:type="dxa"/>
            <w:tcBorders/>
            <w:shd w:fill="CCEEFF" w:val="clear"/>
            <w:vAlign w:val="center"/>
          </w:tcPr>
          <w:p>
            <w:pPr>
              <w:pStyle w:val="TableContents"/>
              <w:bidi w:val="0"/>
              <w:spacing w:before="0" w:after="283"/>
              <w:jc w:val="left"/>
              <w:rPr/>
            </w:pPr>
            <w:r>
              <w:rPr/>
              <w:t> </w:t>
            </w:r>
          </w:p>
        </w:tc>
        <w:tc>
          <w:tcPr>
            <w:tcW w:w="218" w:type="dxa"/>
            <w:tcBorders/>
            <w:shd w:fill="CCEEFF" w:val="clear"/>
            <w:vAlign w:val="center"/>
          </w:tcPr>
          <w:p>
            <w:pPr>
              <w:pStyle w:val="TableContents"/>
              <w:bidi w:val="0"/>
              <w:spacing w:before="0" w:after="283"/>
              <w:jc w:val="left"/>
              <w:rPr/>
            </w:pPr>
            <w:r>
              <w:rPr/>
              <w:t>$</w:t>
            </w:r>
          </w:p>
        </w:tc>
        <w:tc>
          <w:tcPr>
            <w:tcW w:w="992" w:type="dxa"/>
            <w:tcBorders/>
            <w:shd w:fill="CCEEFF" w:val="clear"/>
            <w:vAlign w:val="center"/>
          </w:tcPr>
          <w:p>
            <w:pPr>
              <w:pStyle w:val="TableContents"/>
              <w:bidi w:val="0"/>
              <w:spacing w:before="0" w:after="283"/>
              <w:jc w:val="right"/>
              <w:rPr/>
            </w:pPr>
            <w:r>
              <w:rPr/>
              <w:t>(5,681</w:t>
            </w:r>
          </w:p>
        </w:tc>
        <w:tc>
          <w:tcPr>
            <w:tcW w:w="148" w:type="dxa"/>
            <w:tcBorders/>
            <w:shd w:fill="CCEEFF" w:val="clear"/>
            <w:vAlign w:val="center"/>
          </w:tcPr>
          <w:p>
            <w:pPr>
              <w:pStyle w:val="TableContents"/>
              <w:bidi w:val="0"/>
              <w:spacing w:before="0" w:after="283"/>
              <w:jc w:val="left"/>
              <w:rPr/>
            </w:pPr>
            <w:r>
              <w:rPr/>
              <w:t>)</w:t>
            </w:r>
          </w:p>
        </w:tc>
        <w:tc>
          <w:tcPr>
            <w:tcW w:w="93" w:type="dxa"/>
            <w:tcBorders/>
            <w:shd w:fill="CCEEFF" w:val="clear"/>
            <w:vAlign w:val="center"/>
          </w:tcPr>
          <w:p>
            <w:pPr>
              <w:pStyle w:val="TableContents"/>
              <w:bidi w:val="0"/>
              <w:spacing w:before="0" w:after="283"/>
              <w:jc w:val="left"/>
              <w:rPr/>
            </w:pPr>
            <w:r>
              <w:rPr/>
              <w:t> </w:t>
            </w:r>
          </w:p>
        </w:tc>
        <w:tc>
          <w:tcPr>
            <w:tcW w:w="218" w:type="dxa"/>
            <w:tcBorders/>
            <w:shd w:fill="CCEEFF" w:val="clear"/>
            <w:vAlign w:val="center"/>
          </w:tcPr>
          <w:p>
            <w:pPr>
              <w:pStyle w:val="TableContents"/>
              <w:bidi w:val="0"/>
              <w:spacing w:before="0" w:after="283"/>
              <w:jc w:val="left"/>
              <w:rPr/>
            </w:pPr>
            <w:r>
              <w:rPr/>
              <w:t>$</w:t>
            </w:r>
          </w:p>
        </w:tc>
        <w:tc>
          <w:tcPr>
            <w:tcW w:w="1062" w:type="dxa"/>
            <w:tcBorders/>
            <w:shd w:fill="CCEEFF" w:val="clear"/>
            <w:vAlign w:val="center"/>
          </w:tcPr>
          <w:p>
            <w:pPr>
              <w:pStyle w:val="TableContents"/>
              <w:bidi w:val="0"/>
              <w:spacing w:before="0" w:after="283"/>
              <w:jc w:val="right"/>
              <w:rPr/>
            </w:pPr>
            <w:r>
              <w:rPr/>
              <w:t>(4,620</w:t>
            </w:r>
          </w:p>
        </w:tc>
        <w:tc>
          <w:tcPr>
            <w:tcW w:w="110" w:type="dxa"/>
            <w:tcBorders/>
            <w:shd w:fill="CCEEFF" w:val="clear"/>
            <w:vAlign w:val="center"/>
          </w:tcPr>
          <w:p>
            <w:pPr>
              <w:pStyle w:val="TableContents"/>
              <w:bidi w:val="0"/>
              <w:spacing w:before="0" w:after="283"/>
              <w:jc w:val="left"/>
              <w:rPr/>
            </w:pPr>
            <w:r>
              <w:rPr/>
              <w:t>)</w:t>
            </w:r>
          </w:p>
        </w:tc>
      </w:tr>
      <w:tr>
        <w:trPr/>
        <w:tc>
          <w:tcPr>
            <w:tcW w:w="6830" w:type="dxa"/>
            <w:tcBorders/>
            <w:shd w:fill="FFFFFF" w:val="clear"/>
            <w:vAlign w:val="center"/>
          </w:tcPr>
          <w:p>
            <w:pPr>
              <w:pStyle w:val="TableContents"/>
              <w:bidi w:val="0"/>
              <w:spacing w:before="0" w:after="283"/>
              <w:jc w:val="left"/>
              <w:rPr/>
            </w:pPr>
            <w:r>
              <w:rPr/>
              <w:t>Adjustments to reconcile net loss to net cash used in operating activities:</w:t>
            </w:r>
          </w:p>
        </w:tc>
        <w:tc>
          <w:tcPr>
            <w:tcW w:w="60" w:type="dxa"/>
            <w:tcBorders/>
            <w:shd w:fill="FFFFFF" w:val="clear"/>
            <w:vAlign w:val="center"/>
          </w:tcPr>
          <w:p>
            <w:pPr>
              <w:pStyle w:val="TableContents"/>
              <w:bidi w:val="0"/>
              <w:spacing w:before="0" w:after="283"/>
              <w:jc w:val="left"/>
              <w:rPr/>
            </w:pPr>
            <w:r>
              <w:rPr/>
              <w:t> </w:t>
            </w:r>
          </w:p>
        </w:tc>
        <w:tc>
          <w:tcPr>
            <w:tcW w:w="218" w:type="dxa"/>
            <w:tcBorders/>
            <w:shd w:fill="FFFFFF" w:val="clear"/>
            <w:vAlign w:val="center"/>
          </w:tcPr>
          <w:p>
            <w:pPr>
              <w:pStyle w:val="TableContents"/>
              <w:bidi w:val="0"/>
              <w:spacing w:before="0" w:after="283"/>
              <w:jc w:val="left"/>
              <w:rPr/>
            </w:pPr>
            <w:r>
              <w:rPr/>
              <w:t> </w:t>
            </w:r>
          </w:p>
        </w:tc>
        <w:tc>
          <w:tcPr>
            <w:tcW w:w="992" w:type="dxa"/>
            <w:tcBorders/>
            <w:shd w:fill="FFFFFF" w:val="clear"/>
            <w:vAlign w:val="center"/>
          </w:tcPr>
          <w:p>
            <w:pPr>
              <w:pStyle w:val="TableContents"/>
              <w:bidi w:val="0"/>
              <w:spacing w:before="0" w:after="283"/>
              <w:jc w:val="right"/>
              <w:rPr/>
            </w:pPr>
            <w:r>
              <w:rPr/>
              <w:t> </w:t>
            </w:r>
          </w:p>
        </w:tc>
        <w:tc>
          <w:tcPr>
            <w:tcW w:w="148" w:type="dxa"/>
            <w:tcBorders/>
            <w:shd w:fill="FFFFFF" w:val="clear"/>
            <w:vAlign w:val="center"/>
          </w:tcPr>
          <w:p>
            <w:pPr>
              <w:pStyle w:val="TableContents"/>
              <w:bidi w:val="0"/>
              <w:spacing w:before="0" w:after="283"/>
              <w:jc w:val="left"/>
              <w:rPr/>
            </w:pPr>
            <w:r>
              <w:rPr/>
              <w:t> </w:t>
            </w:r>
          </w:p>
        </w:tc>
        <w:tc>
          <w:tcPr>
            <w:tcW w:w="93" w:type="dxa"/>
            <w:tcBorders/>
            <w:shd w:fill="FFFFFF" w:val="clear"/>
            <w:vAlign w:val="center"/>
          </w:tcPr>
          <w:p>
            <w:pPr>
              <w:pStyle w:val="TableContents"/>
              <w:bidi w:val="0"/>
              <w:spacing w:before="0" w:after="283"/>
              <w:jc w:val="left"/>
              <w:rPr/>
            </w:pPr>
            <w:r>
              <w:rPr/>
              <w:t> </w:t>
            </w:r>
          </w:p>
        </w:tc>
        <w:tc>
          <w:tcPr>
            <w:tcW w:w="218" w:type="dxa"/>
            <w:tcBorders/>
            <w:shd w:fill="FFFFFF" w:val="clear"/>
            <w:vAlign w:val="center"/>
          </w:tcPr>
          <w:p>
            <w:pPr>
              <w:pStyle w:val="TableContents"/>
              <w:bidi w:val="0"/>
              <w:spacing w:before="0" w:after="283"/>
              <w:jc w:val="left"/>
              <w:rPr/>
            </w:pPr>
            <w:r>
              <w:rPr/>
              <w:t> </w:t>
            </w:r>
          </w:p>
        </w:tc>
        <w:tc>
          <w:tcPr>
            <w:tcW w:w="1062"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6830" w:type="dxa"/>
            <w:tcBorders/>
            <w:shd w:fill="CCEEFF" w:val="clear"/>
            <w:vAlign w:val="center"/>
          </w:tcPr>
          <w:p>
            <w:pPr>
              <w:pStyle w:val="TableContents"/>
              <w:bidi w:val="0"/>
              <w:spacing w:before="0" w:after="283"/>
              <w:jc w:val="left"/>
              <w:rPr/>
            </w:pPr>
            <w:r>
              <w:rPr/>
              <w:t>Depreciation and amortization</w:t>
            </w:r>
          </w:p>
        </w:tc>
        <w:tc>
          <w:tcPr>
            <w:tcW w:w="60" w:type="dxa"/>
            <w:tcBorders/>
            <w:shd w:fill="CCEEFF" w:val="clear"/>
            <w:vAlign w:val="center"/>
          </w:tcPr>
          <w:p>
            <w:pPr>
              <w:pStyle w:val="TableContents"/>
              <w:bidi w:val="0"/>
              <w:spacing w:before="0" w:after="283"/>
              <w:jc w:val="left"/>
              <w:rPr/>
            </w:pPr>
            <w:r>
              <w:rPr/>
              <w:t> </w:t>
            </w:r>
          </w:p>
        </w:tc>
        <w:tc>
          <w:tcPr>
            <w:tcW w:w="218" w:type="dxa"/>
            <w:tcBorders/>
            <w:shd w:fill="CCEEFF" w:val="clear"/>
            <w:vAlign w:val="center"/>
          </w:tcPr>
          <w:p>
            <w:pPr>
              <w:pStyle w:val="TableContents"/>
              <w:bidi w:val="0"/>
              <w:spacing w:before="0" w:after="283"/>
              <w:jc w:val="left"/>
              <w:rPr/>
            </w:pPr>
            <w:r>
              <w:rPr/>
              <w:t> </w:t>
            </w:r>
          </w:p>
        </w:tc>
        <w:tc>
          <w:tcPr>
            <w:tcW w:w="992" w:type="dxa"/>
            <w:tcBorders/>
            <w:shd w:fill="CCEEFF" w:val="clear"/>
            <w:vAlign w:val="center"/>
          </w:tcPr>
          <w:p>
            <w:pPr>
              <w:pStyle w:val="TableContents"/>
              <w:bidi w:val="0"/>
              <w:spacing w:before="0" w:after="283"/>
              <w:jc w:val="right"/>
              <w:rPr/>
            </w:pPr>
            <w:r>
              <w:rPr/>
              <w:t>40</w:t>
            </w:r>
          </w:p>
        </w:tc>
        <w:tc>
          <w:tcPr>
            <w:tcW w:w="148" w:type="dxa"/>
            <w:tcBorders/>
            <w:shd w:fill="CCEEFF" w:val="clear"/>
            <w:vAlign w:val="center"/>
          </w:tcPr>
          <w:p>
            <w:pPr>
              <w:pStyle w:val="TableContents"/>
              <w:bidi w:val="0"/>
              <w:spacing w:before="0" w:after="283"/>
              <w:jc w:val="left"/>
              <w:rPr/>
            </w:pPr>
            <w:r>
              <w:rPr/>
              <w:t> </w:t>
            </w:r>
          </w:p>
        </w:tc>
        <w:tc>
          <w:tcPr>
            <w:tcW w:w="93" w:type="dxa"/>
            <w:tcBorders/>
            <w:shd w:fill="CCEEFF" w:val="clear"/>
            <w:vAlign w:val="center"/>
          </w:tcPr>
          <w:p>
            <w:pPr>
              <w:pStyle w:val="TableContents"/>
              <w:bidi w:val="0"/>
              <w:spacing w:before="0" w:after="283"/>
              <w:jc w:val="left"/>
              <w:rPr/>
            </w:pPr>
            <w:r>
              <w:rPr/>
              <w:t> </w:t>
            </w:r>
          </w:p>
        </w:tc>
        <w:tc>
          <w:tcPr>
            <w:tcW w:w="218" w:type="dxa"/>
            <w:tcBorders/>
            <w:shd w:fill="CCEEFF" w:val="clear"/>
            <w:vAlign w:val="center"/>
          </w:tcPr>
          <w:p>
            <w:pPr>
              <w:pStyle w:val="TableContents"/>
              <w:bidi w:val="0"/>
              <w:spacing w:before="0" w:after="283"/>
              <w:jc w:val="left"/>
              <w:rPr/>
            </w:pPr>
            <w:r>
              <w:rPr/>
              <w:t> </w:t>
            </w:r>
          </w:p>
        </w:tc>
        <w:tc>
          <w:tcPr>
            <w:tcW w:w="1062" w:type="dxa"/>
            <w:tcBorders/>
            <w:shd w:fill="CCEEFF" w:val="clear"/>
            <w:vAlign w:val="center"/>
          </w:tcPr>
          <w:p>
            <w:pPr>
              <w:pStyle w:val="TableContents"/>
              <w:bidi w:val="0"/>
              <w:spacing w:before="0" w:after="283"/>
              <w:jc w:val="right"/>
              <w:rPr/>
            </w:pPr>
            <w:r>
              <w:rPr/>
              <w:t>39</w:t>
            </w:r>
          </w:p>
        </w:tc>
        <w:tc>
          <w:tcPr>
            <w:tcW w:w="110" w:type="dxa"/>
            <w:tcBorders/>
            <w:shd w:fill="CCEEFF" w:val="clear"/>
            <w:vAlign w:val="center"/>
          </w:tcPr>
          <w:p>
            <w:pPr>
              <w:pStyle w:val="TableContents"/>
              <w:bidi w:val="0"/>
              <w:spacing w:before="0" w:after="283"/>
              <w:jc w:val="left"/>
              <w:rPr/>
            </w:pPr>
            <w:r>
              <w:rPr/>
              <w:t> </w:t>
            </w:r>
          </w:p>
        </w:tc>
      </w:tr>
      <w:tr>
        <w:trPr/>
        <w:tc>
          <w:tcPr>
            <w:tcW w:w="6830" w:type="dxa"/>
            <w:tcBorders/>
            <w:shd w:fill="FFFFFF" w:val="clear"/>
            <w:vAlign w:val="center"/>
          </w:tcPr>
          <w:p>
            <w:pPr>
              <w:pStyle w:val="TableContents"/>
              <w:bidi w:val="0"/>
              <w:spacing w:before="0" w:after="283"/>
              <w:jc w:val="left"/>
              <w:rPr/>
            </w:pPr>
            <w:r>
              <w:rPr/>
              <w:t>Non-cash lease expense</w:t>
            </w:r>
          </w:p>
        </w:tc>
        <w:tc>
          <w:tcPr>
            <w:tcW w:w="60" w:type="dxa"/>
            <w:tcBorders/>
            <w:shd w:fill="FFFFFF" w:val="clear"/>
            <w:vAlign w:val="center"/>
          </w:tcPr>
          <w:p>
            <w:pPr>
              <w:pStyle w:val="TableContents"/>
              <w:bidi w:val="0"/>
              <w:spacing w:before="0" w:after="283"/>
              <w:jc w:val="left"/>
              <w:rPr/>
            </w:pPr>
            <w:r>
              <w:rPr/>
              <w:t> </w:t>
            </w:r>
          </w:p>
        </w:tc>
        <w:tc>
          <w:tcPr>
            <w:tcW w:w="218" w:type="dxa"/>
            <w:tcBorders/>
            <w:shd w:fill="FFFFFF" w:val="clear"/>
            <w:vAlign w:val="center"/>
          </w:tcPr>
          <w:p>
            <w:pPr>
              <w:pStyle w:val="TableContents"/>
              <w:bidi w:val="0"/>
              <w:spacing w:before="0" w:after="283"/>
              <w:jc w:val="left"/>
              <w:rPr/>
            </w:pPr>
            <w:r>
              <w:rPr/>
              <w:t> </w:t>
            </w:r>
          </w:p>
        </w:tc>
        <w:tc>
          <w:tcPr>
            <w:tcW w:w="992" w:type="dxa"/>
            <w:tcBorders/>
            <w:shd w:fill="FFFFFF" w:val="clear"/>
            <w:vAlign w:val="center"/>
          </w:tcPr>
          <w:p>
            <w:pPr>
              <w:pStyle w:val="TableContents"/>
              <w:bidi w:val="0"/>
              <w:spacing w:before="0" w:after="283"/>
              <w:jc w:val="right"/>
              <w:rPr/>
            </w:pPr>
            <w:r>
              <w:rPr/>
              <w:t>57</w:t>
            </w:r>
          </w:p>
        </w:tc>
        <w:tc>
          <w:tcPr>
            <w:tcW w:w="148" w:type="dxa"/>
            <w:tcBorders/>
            <w:shd w:fill="FFFFFF" w:val="clear"/>
            <w:vAlign w:val="center"/>
          </w:tcPr>
          <w:p>
            <w:pPr>
              <w:pStyle w:val="TableContents"/>
              <w:bidi w:val="0"/>
              <w:spacing w:before="0" w:after="283"/>
              <w:jc w:val="left"/>
              <w:rPr/>
            </w:pPr>
            <w:r>
              <w:rPr/>
              <w:t> </w:t>
            </w:r>
          </w:p>
        </w:tc>
        <w:tc>
          <w:tcPr>
            <w:tcW w:w="93" w:type="dxa"/>
            <w:tcBorders/>
            <w:shd w:fill="FFFFFF" w:val="clear"/>
            <w:vAlign w:val="center"/>
          </w:tcPr>
          <w:p>
            <w:pPr>
              <w:pStyle w:val="TableContents"/>
              <w:bidi w:val="0"/>
              <w:spacing w:before="0" w:after="283"/>
              <w:jc w:val="left"/>
              <w:rPr/>
            </w:pPr>
            <w:r>
              <w:rPr/>
              <w:t> </w:t>
            </w:r>
          </w:p>
        </w:tc>
        <w:tc>
          <w:tcPr>
            <w:tcW w:w="218" w:type="dxa"/>
            <w:tcBorders/>
            <w:shd w:fill="FFFFFF" w:val="clear"/>
            <w:vAlign w:val="center"/>
          </w:tcPr>
          <w:p>
            <w:pPr>
              <w:pStyle w:val="TableContents"/>
              <w:bidi w:val="0"/>
              <w:spacing w:before="0" w:after="283"/>
              <w:jc w:val="left"/>
              <w:rPr/>
            </w:pPr>
            <w:r>
              <w:rPr/>
              <w:t> </w:t>
            </w:r>
          </w:p>
        </w:tc>
        <w:tc>
          <w:tcPr>
            <w:tcW w:w="1062" w:type="dxa"/>
            <w:tcBorders/>
            <w:shd w:fill="FFFFFF" w:val="clear"/>
            <w:vAlign w:val="center"/>
          </w:tcPr>
          <w:p>
            <w:pPr>
              <w:pStyle w:val="TableContents"/>
              <w:bidi w:val="0"/>
              <w:spacing w:before="0" w:after="283"/>
              <w:jc w:val="right"/>
              <w:rPr/>
            </w:pPr>
            <w:r>
              <w:rPr/>
              <w:t>53</w:t>
            </w:r>
          </w:p>
        </w:tc>
        <w:tc>
          <w:tcPr>
            <w:tcW w:w="110" w:type="dxa"/>
            <w:tcBorders/>
            <w:shd w:fill="FFFFFF" w:val="clear"/>
            <w:vAlign w:val="center"/>
          </w:tcPr>
          <w:p>
            <w:pPr>
              <w:pStyle w:val="TableContents"/>
              <w:bidi w:val="0"/>
              <w:spacing w:before="0" w:after="283"/>
              <w:jc w:val="left"/>
              <w:rPr/>
            </w:pPr>
            <w:r>
              <w:rPr/>
              <w:t> </w:t>
            </w:r>
          </w:p>
        </w:tc>
      </w:tr>
      <w:tr>
        <w:trPr/>
        <w:tc>
          <w:tcPr>
            <w:tcW w:w="6830" w:type="dxa"/>
            <w:tcBorders/>
            <w:shd w:fill="CCEEFF" w:val="clear"/>
            <w:vAlign w:val="center"/>
          </w:tcPr>
          <w:p>
            <w:pPr>
              <w:pStyle w:val="TableContents"/>
              <w:bidi w:val="0"/>
              <w:spacing w:before="0" w:after="283"/>
              <w:jc w:val="left"/>
              <w:rPr/>
            </w:pPr>
            <w:r>
              <w:rPr/>
              <w:t>Provision for credit losses</w:t>
            </w:r>
          </w:p>
        </w:tc>
        <w:tc>
          <w:tcPr>
            <w:tcW w:w="60" w:type="dxa"/>
            <w:tcBorders/>
            <w:shd w:fill="CCEEFF" w:val="clear"/>
            <w:vAlign w:val="center"/>
          </w:tcPr>
          <w:p>
            <w:pPr>
              <w:pStyle w:val="TableContents"/>
              <w:bidi w:val="0"/>
              <w:spacing w:before="0" w:after="283"/>
              <w:jc w:val="left"/>
              <w:rPr/>
            </w:pPr>
            <w:r>
              <w:rPr/>
              <w:t> </w:t>
            </w:r>
          </w:p>
        </w:tc>
        <w:tc>
          <w:tcPr>
            <w:tcW w:w="218" w:type="dxa"/>
            <w:tcBorders/>
            <w:shd w:fill="CCEEFF" w:val="clear"/>
            <w:vAlign w:val="center"/>
          </w:tcPr>
          <w:p>
            <w:pPr>
              <w:pStyle w:val="TableContents"/>
              <w:bidi w:val="0"/>
              <w:spacing w:before="0" w:after="283"/>
              <w:jc w:val="left"/>
              <w:rPr/>
            </w:pPr>
            <w:r>
              <w:rPr/>
              <w:t> </w:t>
            </w:r>
          </w:p>
        </w:tc>
        <w:tc>
          <w:tcPr>
            <w:tcW w:w="992" w:type="dxa"/>
            <w:tcBorders/>
            <w:shd w:fill="CCEEFF" w:val="clear"/>
            <w:vAlign w:val="center"/>
          </w:tcPr>
          <w:p>
            <w:pPr>
              <w:pStyle w:val="TableContents"/>
              <w:bidi w:val="0"/>
              <w:spacing w:before="0" w:after="283"/>
              <w:jc w:val="right"/>
              <w:rPr/>
            </w:pPr>
            <w:r>
              <w:rPr/>
              <w:t>433</w:t>
            </w:r>
          </w:p>
        </w:tc>
        <w:tc>
          <w:tcPr>
            <w:tcW w:w="148" w:type="dxa"/>
            <w:tcBorders/>
            <w:shd w:fill="CCEEFF" w:val="clear"/>
            <w:vAlign w:val="center"/>
          </w:tcPr>
          <w:p>
            <w:pPr>
              <w:pStyle w:val="TableContents"/>
              <w:bidi w:val="0"/>
              <w:spacing w:before="0" w:after="283"/>
              <w:jc w:val="left"/>
              <w:rPr/>
            </w:pPr>
            <w:r>
              <w:rPr/>
              <w:t> </w:t>
            </w:r>
          </w:p>
        </w:tc>
        <w:tc>
          <w:tcPr>
            <w:tcW w:w="93" w:type="dxa"/>
            <w:tcBorders/>
            <w:shd w:fill="CCEEFF" w:val="clear"/>
            <w:vAlign w:val="center"/>
          </w:tcPr>
          <w:p>
            <w:pPr>
              <w:pStyle w:val="TableContents"/>
              <w:bidi w:val="0"/>
              <w:spacing w:before="0" w:after="283"/>
              <w:jc w:val="left"/>
              <w:rPr/>
            </w:pPr>
            <w:r>
              <w:rPr/>
              <w:t> </w:t>
            </w:r>
          </w:p>
        </w:tc>
        <w:tc>
          <w:tcPr>
            <w:tcW w:w="218" w:type="dxa"/>
            <w:tcBorders/>
            <w:shd w:fill="CCEEFF" w:val="clear"/>
            <w:vAlign w:val="center"/>
          </w:tcPr>
          <w:p>
            <w:pPr>
              <w:pStyle w:val="TableContents"/>
              <w:bidi w:val="0"/>
              <w:spacing w:before="0" w:after="283"/>
              <w:jc w:val="left"/>
              <w:rPr/>
            </w:pPr>
            <w:r>
              <w:rPr/>
              <w:t> </w:t>
            </w:r>
          </w:p>
        </w:tc>
        <w:tc>
          <w:tcPr>
            <w:tcW w:w="1062" w:type="dxa"/>
            <w:tcBorders/>
            <w:shd w:fill="CCEEFF" w:val="clear"/>
            <w:vAlign w:val="center"/>
          </w:tcPr>
          <w:p>
            <w:pPr>
              <w:pStyle w:val="TableContents"/>
              <w:bidi w:val="0"/>
              <w:spacing w:before="0" w:after="283"/>
              <w:jc w:val="right"/>
              <w:rPr/>
            </w:pPr>
            <w:r>
              <w:rPr/>
              <w:t>251</w:t>
            </w:r>
          </w:p>
        </w:tc>
        <w:tc>
          <w:tcPr>
            <w:tcW w:w="110" w:type="dxa"/>
            <w:tcBorders/>
            <w:shd w:fill="CCEEFF" w:val="clear"/>
            <w:vAlign w:val="center"/>
          </w:tcPr>
          <w:p>
            <w:pPr>
              <w:pStyle w:val="TableContents"/>
              <w:bidi w:val="0"/>
              <w:spacing w:before="0" w:after="283"/>
              <w:jc w:val="left"/>
              <w:rPr/>
            </w:pPr>
            <w:r>
              <w:rPr/>
              <w:t> </w:t>
            </w:r>
          </w:p>
        </w:tc>
      </w:tr>
      <w:tr>
        <w:trPr/>
        <w:tc>
          <w:tcPr>
            <w:tcW w:w="6830" w:type="dxa"/>
            <w:tcBorders/>
            <w:shd w:fill="FFFFFF" w:val="clear"/>
            <w:vAlign w:val="center"/>
          </w:tcPr>
          <w:p>
            <w:pPr>
              <w:pStyle w:val="TableContents"/>
              <w:bidi w:val="0"/>
              <w:spacing w:before="0" w:after="283"/>
              <w:jc w:val="left"/>
              <w:rPr/>
            </w:pPr>
            <w:r>
              <w:rPr/>
              <w:t>Changes in operating assets and liabilities</w:t>
            </w:r>
          </w:p>
        </w:tc>
        <w:tc>
          <w:tcPr>
            <w:tcW w:w="60" w:type="dxa"/>
            <w:tcBorders/>
            <w:shd w:fill="FFFFFF" w:val="clear"/>
            <w:vAlign w:val="center"/>
          </w:tcPr>
          <w:p>
            <w:pPr>
              <w:pStyle w:val="TableContents"/>
              <w:bidi w:val="0"/>
              <w:spacing w:before="0" w:after="283"/>
              <w:jc w:val="left"/>
              <w:rPr/>
            </w:pPr>
            <w:r>
              <w:rPr/>
              <w:t> </w:t>
            </w:r>
          </w:p>
        </w:tc>
        <w:tc>
          <w:tcPr>
            <w:tcW w:w="218" w:type="dxa"/>
            <w:tcBorders/>
            <w:shd w:fill="FFFFFF" w:val="clear"/>
            <w:vAlign w:val="center"/>
          </w:tcPr>
          <w:p>
            <w:pPr>
              <w:pStyle w:val="TableContents"/>
              <w:bidi w:val="0"/>
              <w:spacing w:before="0" w:after="283"/>
              <w:jc w:val="left"/>
              <w:rPr/>
            </w:pPr>
            <w:r>
              <w:rPr/>
              <w:t> </w:t>
            </w:r>
          </w:p>
        </w:tc>
        <w:tc>
          <w:tcPr>
            <w:tcW w:w="992" w:type="dxa"/>
            <w:tcBorders/>
            <w:shd w:fill="FFFFFF" w:val="clear"/>
            <w:vAlign w:val="center"/>
          </w:tcPr>
          <w:p>
            <w:pPr>
              <w:pStyle w:val="TableContents"/>
              <w:bidi w:val="0"/>
              <w:spacing w:before="0" w:after="283"/>
              <w:jc w:val="right"/>
              <w:rPr/>
            </w:pPr>
            <w:r>
              <w:rPr/>
              <w:t> </w:t>
            </w:r>
          </w:p>
        </w:tc>
        <w:tc>
          <w:tcPr>
            <w:tcW w:w="148" w:type="dxa"/>
            <w:tcBorders/>
            <w:shd w:fill="FFFFFF" w:val="clear"/>
            <w:vAlign w:val="center"/>
          </w:tcPr>
          <w:p>
            <w:pPr>
              <w:pStyle w:val="TableContents"/>
              <w:bidi w:val="0"/>
              <w:spacing w:before="0" w:after="283"/>
              <w:jc w:val="left"/>
              <w:rPr/>
            </w:pPr>
            <w:r>
              <w:rPr/>
              <w:t> </w:t>
            </w:r>
          </w:p>
        </w:tc>
        <w:tc>
          <w:tcPr>
            <w:tcW w:w="93" w:type="dxa"/>
            <w:tcBorders/>
            <w:shd w:fill="FFFFFF" w:val="clear"/>
            <w:vAlign w:val="center"/>
          </w:tcPr>
          <w:p>
            <w:pPr>
              <w:pStyle w:val="TableContents"/>
              <w:bidi w:val="0"/>
              <w:spacing w:before="0" w:after="283"/>
              <w:jc w:val="left"/>
              <w:rPr/>
            </w:pPr>
            <w:r>
              <w:rPr/>
              <w:t> </w:t>
            </w:r>
          </w:p>
        </w:tc>
        <w:tc>
          <w:tcPr>
            <w:tcW w:w="218" w:type="dxa"/>
            <w:tcBorders/>
            <w:shd w:fill="FFFFFF" w:val="clear"/>
            <w:vAlign w:val="center"/>
          </w:tcPr>
          <w:p>
            <w:pPr>
              <w:pStyle w:val="TableContents"/>
              <w:bidi w:val="0"/>
              <w:spacing w:before="0" w:after="283"/>
              <w:jc w:val="left"/>
              <w:rPr/>
            </w:pPr>
            <w:r>
              <w:rPr/>
              <w:t> </w:t>
            </w:r>
          </w:p>
        </w:tc>
        <w:tc>
          <w:tcPr>
            <w:tcW w:w="1062"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6830" w:type="dxa"/>
            <w:tcBorders/>
            <w:shd w:fill="CCEEFF" w:val="clear"/>
            <w:vAlign w:val="center"/>
          </w:tcPr>
          <w:p>
            <w:pPr>
              <w:pStyle w:val="TableContents"/>
              <w:bidi w:val="0"/>
              <w:spacing w:before="0" w:after="283"/>
              <w:jc w:val="left"/>
              <w:rPr/>
            </w:pPr>
            <w:r>
              <w:rPr/>
              <w:t>Accounts receivable, net</w:t>
            </w:r>
          </w:p>
        </w:tc>
        <w:tc>
          <w:tcPr>
            <w:tcW w:w="60" w:type="dxa"/>
            <w:tcBorders/>
            <w:shd w:fill="CCEEFF" w:val="clear"/>
            <w:vAlign w:val="center"/>
          </w:tcPr>
          <w:p>
            <w:pPr>
              <w:pStyle w:val="TableContents"/>
              <w:bidi w:val="0"/>
              <w:spacing w:before="0" w:after="283"/>
              <w:jc w:val="left"/>
              <w:rPr/>
            </w:pPr>
            <w:r>
              <w:rPr/>
              <w:t> </w:t>
            </w:r>
          </w:p>
        </w:tc>
        <w:tc>
          <w:tcPr>
            <w:tcW w:w="218" w:type="dxa"/>
            <w:tcBorders/>
            <w:shd w:fill="CCEEFF" w:val="clear"/>
            <w:vAlign w:val="center"/>
          </w:tcPr>
          <w:p>
            <w:pPr>
              <w:pStyle w:val="TableContents"/>
              <w:bidi w:val="0"/>
              <w:spacing w:before="0" w:after="283"/>
              <w:jc w:val="left"/>
              <w:rPr/>
            </w:pPr>
            <w:r>
              <w:rPr/>
              <w:t> </w:t>
            </w:r>
          </w:p>
        </w:tc>
        <w:tc>
          <w:tcPr>
            <w:tcW w:w="992" w:type="dxa"/>
            <w:tcBorders/>
            <w:shd w:fill="CCEEFF" w:val="clear"/>
            <w:vAlign w:val="center"/>
          </w:tcPr>
          <w:p>
            <w:pPr>
              <w:pStyle w:val="TableContents"/>
              <w:bidi w:val="0"/>
              <w:spacing w:before="0" w:after="283"/>
              <w:jc w:val="right"/>
              <w:rPr/>
            </w:pPr>
            <w:r>
              <w:rPr/>
              <w:t>(2,757</w:t>
            </w:r>
          </w:p>
        </w:tc>
        <w:tc>
          <w:tcPr>
            <w:tcW w:w="148" w:type="dxa"/>
            <w:tcBorders/>
            <w:shd w:fill="CCEEFF" w:val="clear"/>
            <w:vAlign w:val="center"/>
          </w:tcPr>
          <w:p>
            <w:pPr>
              <w:pStyle w:val="TableContents"/>
              <w:bidi w:val="0"/>
              <w:spacing w:before="0" w:after="283"/>
              <w:jc w:val="left"/>
              <w:rPr/>
            </w:pPr>
            <w:r>
              <w:rPr/>
              <w:t>)</w:t>
            </w:r>
          </w:p>
        </w:tc>
        <w:tc>
          <w:tcPr>
            <w:tcW w:w="93" w:type="dxa"/>
            <w:tcBorders/>
            <w:shd w:fill="CCEEFF" w:val="clear"/>
            <w:vAlign w:val="center"/>
          </w:tcPr>
          <w:p>
            <w:pPr>
              <w:pStyle w:val="TableContents"/>
              <w:bidi w:val="0"/>
              <w:spacing w:before="0" w:after="283"/>
              <w:jc w:val="left"/>
              <w:rPr/>
            </w:pPr>
            <w:r>
              <w:rPr/>
              <w:t> </w:t>
            </w:r>
          </w:p>
        </w:tc>
        <w:tc>
          <w:tcPr>
            <w:tcW w:w="218" w:type="dxa"/>
            <w:tcBorders/>
            <w:shd w:fill="CCEEFF" w:val="clear"/>
            <w:vAlign w:val="center"/>
          </w:tcPr>
          <w:p>
            <w:pPr>
              <w:pStyle w:val="TableContents"/>
              <w:bidi w:val="0"/>
              <w:spacing w:before="0" w:after="283"/>
              <w:jc w:val="left"/>
              <w:rPr/>
            </w:pPr>
            <w:r>
              <w:rPr/>
              <w:t> </w:t>
            </w:r>
          </w:p>
        </w:tc>
        <w:tc>
          <w:tcPr>
            <w:tcW w:w="1062" w:type="dxa"/>
            <w:tcBorders/>
            <w:shd w:fill="CCEEFF" w:val="clear"/>
            <w:vAlign w:val="center"/>
          </w:tcPr>
          <w:p>
            <w:pPr>
              <w:pStyle w:val="TableContents"/>
              <w:bidi w:val="0"/>
              <w:spacing w:before="0" w:after="283"/>
              <w:jc w:val="right"/>
              <w:rPr/>
            </w:pPr>
            <w:r>
              <w:rPr/>
              <w:t>(1,501</w:t>
            </w:r>
          </w:p>
        </w:tc>
        <w:tc>
          <w:tcPr>
            <w:tcW w:w="110" w:type="dxa"/>
            <w:tcBorders/>
            <w:shd w:fill="CCEEFF" w:val="clear"/>
            <w:vAlign w:val="center"/>
          </w:tcPr>
          <w:p>
            <w:pPr>
              <w:pStyle w:val="TableContents"/>
              <w:bidi w:val="0"/>
              <w:spacing w:before="0" w:after="283"/>
              <w:jc w:val="left"/>
              <w:rPr/>
            </w:pPr>
            <w:r>
              <w:rPr/>
              <w:t>)</w:t>
            </w:r>
          </w:p>
        </w:tc>
      </w:tr>
      <w:tr>
        <w:trPr/>
        <w:tc>
          <w:tcPr>
            <w:tcW w:w="6830" w:type="dxa"/>
            <w:tcBorders/>
            <w:shd w:fill="FFFFFF" w:val="clear"/>
            <w:vAlign w:val="center"/>
          </w:tcPr>
          <w:p>
            <w:pPr>
              <w:pStyle w:val="TableContents"/>
              <w:bidi w:val="0"/>
              <w:spacing w:before="0" w:after="283"/>
              <w:jc w:val="left"/>
              <w:rPr/>
            </w:pPr>
            <w:r>
              <w:rPr/>
              <w:t>Due from related entity</w:t>
            </w:r>
          </w:p>
        </w:tc>
        <w:tc>
          <w:tcPr>
            <w:tcW w:w="60" w:type="dxa"/>
            <w:tcBorders/>
            <w:shd w:fill="FFFFFF" w:val="clear"/>
            <w:vAlign w:val="center"/>
          </w:tcPr>
          <w:p>
            <w:pPr>
              <w:pStyle w:val="TableContents"/>
              <w:bidi w:val="0"/>
              <w:spacing w:before="0" w:after="283"/>
              <w:jc w:val="left"/>
              <w:rPr/>
            </w:pPr>
            <w:r>
              <w:rPr/>
              <w:t> </w:t>
            </w:r>
          </w:p>
        </w:tc>
        <w:tc>
          <w:tcPr>
            <w:tcW w:w="218" w:type="dxa"/>
            <w:tcBorders/>
            <w:shd w:fill="FFFFFF" w:val="clear"/>
            <w:vAlign w:val="center"/>
          </w:tcPr>
          <w:p>
            <w:pPr>
              <w:pStyle w:val="TableContents"/>
              <w:bidi w:val="0"/>
              <w:spacing w:before="0" w:after="283"/>
              <w:jc w:val="left"/>
              <w:rPr/>
            </w:pPr>
            <w:r>
              <w:rPr/>
              <w:t> </w:t>
            </w:r>
          </w:p>
        </w:tc>
        <w:tc>
          <w:tcPr>
            <w:tcW w:w="992" w:type="dxa"/>
            <w:tcBorders/>
            <w:shd w:fill="FFFFFF" w:val="clear"/>
            <w:vAlign w:val="center"/>
          </w:tcPr>
          <w:p>
            <w:pPr>
              <w:pStyle w:val="TableContents"/>
              <w:bidi w:val="0"/>
              <w:spacing w:before="0" w:after="283"/>
              <w:jc w:val="right"/>
              <w:rPr/>
            </w:pPr>
            <w:r>
              <w:rPr/>
              <w:t>559</w:t>
            </w:r>
          </w:p>
        </w:tc>
        <w:tc>
          <w:tcPr>
            <w:tcW w:w="148" w:type="dxa"/>
            <w:tcBorders/>
            <w:shd w:fill="FFFFFF" w:val="clear"/>
            <w:vAlign w:val="center"/>
          </w:tcPr>
          <w:p>
            <w:pPr>
              <w:pStyle w:val="TableContents"/>
              <w:bidi w:val="0"/>
              <w:spacing w:before="0" w:after="283"/>
              <w:jc w:val="left"/>
              <w:rPr/>
            </w:pPr>
            <w:r>
              <w:rPr/>
              <w:t> </w:t>
            </w:r>
          </w:p>
        </w:tc>
        <w:tc>
          <w:tcPr>
            <w:tcW w:w="93" w:type="dxa"/>
            <w:tcBorders/>
            <w:shd w:fill="FFFFFF" w:val="clear"/>
            <w:vAlign w:val="center"/>
          </w:tcPr>
          <w:p>
            <w:pPr>
              <w:pStyle w:val="TableContents"/>
              <w:bidi w:val="0"/>
              <w:spacing w:before="0" w:after="283"/>
              <w:jc w:val="left"/>
              <w:rPr/>
            </w:pPr>
            <w:r>
              <w:rPr/>
              <w:t> </w:t>
            </w:r>
          </w:p>
        </w:tc>
        <w:tc>
          <w:tcPr>
            <w:tcW w:w="218" w:type="dxa"/>
            <w:tcBorders/>
            <w:shd w:fill="FFFFFF" w:val="clear"/>
            <w:vAlign w:val="center"/>
          </w:tcPr>
          <w:p>
            <w:pPr>
              <w:pStyle w:val="TableContents"/>
              <w:bidi w:val="0"/>
              <w:spacing w:before="0" w:after="283"/>
              <w:jc w:val="left"/>
              <w:rPr/>
            </w:pPr>
            <w:r>
              <w:rPr/>
              <w:t> </w:t>
            </w:r>
          </w:p>
        </w:tc>
        <w:tc>
          <w:tcPr>
            <w:tcW w:w="1062" w:type="dxa"/>
            <w:tcBorders/>
            <w:shd w:fill="FFFFFF" w:val="clear"/>
            <w:vAlign w:val="center"/>
          </w:tcPr>
          <w:p>
            <w:pPr>
              <w:pStyle w:val="TableContents"/>
              <w:bidi w:val="0"/>
              <w:spacing w:before="0" w:after="283"/>
              <w:jc w:val="right"/>
              <w:rPr/>
            </w:pPr>
            <w:r>
              <w:rPr/>
              <w:t>(519</w:t>
            </w:r>
          </w:p>
        </w:tc>
        <w:tc>
          <w:tcPr>
            <w:tcW w:w="110" w:type="dxa"/>
            <w:tcBorders/>
            <w:shd w:fill="FFFFFF" w:val="clear"/>
            <w:vAlign w:val="center"/>
          </w:tcPr>
          <w:p>
            <w:pPr>
              <w:pStyle w:val="TableContents"/>
              <w:bidi w:val="0"/>
              <w:spacing w:before="0" w:after="283"/>
              <w:jc w:val="left"/>
              <w:rPr/>
            </w:pPr>
            <w:r>
              <w:rPr/>
              <w:t>)</w:t>
            </w:r>
          </w:p>
        </w:tc>
      </w:tr>
      <w:tr>
        <w:trPr/>
        <w:tc>
          <w:tcPr>
            <w:tcW w:w="6830" w:type="dxa"/>
            <w:tcBorders/>
            <w:shd w:fill="CCEEFF" w:val="clear"/>
            <w:vAlign w:val="center"/>
          </w:tcPr>
          <w:p>
            <w:pPr>
              <w:pStyle w:val="TableContents"/>
              <w:bidi w:val="0"/>
              <w:spacing w:before="0" w:after="283"/>
              <w:jc w:val="left"/>
              <w:rPr/>
            </w:pPr>
            <w:r>
              <w:rPr/>
              <w:t>Prepaid expenses and other current assets</w:t>
            </w:r>
          </w:p>
        </w:tc>
        <w:tc>
          <w:tcPr>
            <w:tcW w:w="60" w:type="dxa"/>
            <w:tcBorders/>
            <w:shd w:fill="CCEEFF" w:val="clear"/>
            <w:vAlign w:val="center"/>
          </w:tcPr>
          <w:p>
            <w:pPr>
              <w:pStyle w:val="TableContents"/>
              <w:bidi w:val="0"/>
              <w:spacing w:before="0" w:after="283"/>
              <w:jc w:val="left"/>
              <w:rPr/>
            </w:pPr>
            <w:r>
              <w:rPr/>
              <w:t> </w:t>
            </w:r>
          </w:p>
        </w:tc>
        <w:tc>
          <w:tcPr>
            <w:tcW w:w="218" w:type="dxa"/>
            <w:tcBorders/>
            <w:shd w:fill="CCEEFF" w:val="clear"/>
            <w:vAlign w:val="center"/>
          </w:tcPr>
          <w:p>
            <w:pPr>
              <w:pStyle w:val="TableContents"/>
              <w:bidi w:val="0"/>
              <w:spacing w:before="0" w:after="283"/>
              <w:jc w:val="left"/>
              <w:rPr/>
            </w:pPr>
            <w:r>
              <w:rPr/>
              <w:t> </w:t>
            </w:r>
          </w:p>
        </w:tc>
        <w:tc>
          <w:tcPr>
            <w:tcW w:w="992" w:type="dxa"/>
            <w:tcBorders/>
            <w:shd w:fill="CCEEFF" w:val="clear"/>
            <w:vAlign w:val="center"/>
          </w:tcPr>
          <w:p>
            <w:pPr>
              <w:pStyle w:val="TableContents"/>
              <w:bidi w:val="0"/>
              <w:spacing w:before="0" w:after="283"/>
              <w:jc w:val="right"/>
              <w:rPr/>
            </w:pPr>
            <w:r>
              <w:rPr/>
              <w:t>3,678</w:t>
            </w:r>
          </w:p>
        </w:tc>
        <w:tc>
          <w:tcPr>
            <w:tcW w:w="148" w:type="dxa"/>
            <w:tcBorders/>
            <w:shd w:fill="CCEEFF" w:val="clear"/>
            <w:vAlign w:val="center"/>
          </w:tcPr>
          <w:p>
            <w:pPr>
              <w:pStyle w:val="TableContents"/>
              <w:bidi w:val="0"/>
              <w:spacing w:before="0" w:after="283"/>
              <w:jc w:val="left"/>
              <w:rPr/>
            </w:pPr>
            <w:r>
              <w:rPr/>
              <w:t> </w:t>
            </w:r>
          </w:p>
        </w:tc>
        <w:tc>
          <w:tcPr>
            <w:tcW w:w="93" w:type="dxa"/>
            <w:tcBorders/>
            <w:shd w:fill="CCEEFF" w:val="clear"/>
            <w:vAlign w:val="center"/>
          </w:tcPr>
          <w:p>
            <w:pPr>
              <w:pStyle w:val="TableContents"/>
              <w:bidi w:val="0"/>
              <w:spacing w:before="0" w:after="283"/>
              <w:jc w:val="left"/>
              <w:rPr/>
            </w:pPr>
            <w:r>
              <w:rPr/>
              <w:t> </w:t>
            </w:r>
          </w:p>
        </w:tc>
        <w:tc>
          <w:tcPr>
            <w:tcW w:w="218" w:type="dxa"/>
            <w:tcBorders/>
            <w:shd w:fill="CCEEFF" w:val="clear"/>
            <w:vAlign w:val="center"/>
          </w:tcPr>
          <w:p>
            <w:pPr>
              <w:pStyle w:val="TableContents"/>
              <w:bidi w:val="0"/>
              <w:spacing w:before="0" w:after="283"/>
              <w:jc w:val="left"/>
              <w:rPr/>
            </w:pPr>
            <w:r>
              <w:rPr/>
              <w:t> </w:t>
            </w:r>
          </w:p>
        </w:tc>
        <w:tc>
          <w:tcPr>
            <w:tcW w:w="1062" w:type="dxa"/>
            <w:tcBorders/>
            <w:shd w:fill="CCEEFF" w:val="clear"/>
            <w:vAlign w:val="center"/>
          </w:tcPr>
          <w:p>
            <w:pPr>
              <w:pStyle w:val="TableContents"/>
              <w:bidi w:val="0"/>
              <w:spacing w:before="0" w:after="283"/>
              <w:jc w:val="right"/>
              <w:rPr/>
            </w:pPr>
            <w:r>
              <w:rPr/>
              <w:t>(8,214</w:t>
            </w:r>
          </w:p>
        </w:tc>
        <w:tc>
          <w:tcPr>
            <w:tcW w:w="110" w:type="dxa"/>
            <w:tcBorders/>
            <w:shd w:fill="CCEEFF" w:val="clear"/>
            <w:vAlign w:val="center"/>
          </w:tcPr>
          <w:p>
            <w:pPr>
              <w:pStyle w:val="TableContents"/>
              <w:bidi w:val="0"/>
              <w:spacing w:before="0" w:after="283"/>
              <w:jc w:val="left"/>
              <w:rPr/>
            </w:pPr>
            <w:r>
              <w:rPr/>
              <w:t>)</w:t>
            </w:r>
          </w:p>
        </w:tc>
      </w:tr>
      <w:tr>
        <w:trPr/>
        <w:tc>
          <w:tcPr>
            <w:tcW w:w="6830" w:type="dxa"/>
            <w:tcBorders/>
            <w:shd w:fill="FFFFFF" w:val="clear"/>
            <w:vAlign w:val="center"/>
          </w:tcPr>
          <w:p>
            <w:pPr>
              <w:pStyle w:val="TableContents"/>
              <w:bidi w:val="0"/>
              <w:spacing w:before="0" w:after="283"/>
              <w:jc w:val="left"/>
              <w:rPr/>
            </w:pPr>
            <w:r>
              <w:rPr/>
              <w:t>Other noncurrent assets</w:t>
            </w:r>
          </w:p>
        </w:tc>
        <w:tc>
          <w:tcPr>
            <w:tcW w:w="60" w:type="dxa"/>
            <w:tcBorders/>
            <w:shd w:fill="FFFFFF" w:val="clear"/>
            <w:vAlign w:val="center"/>
          </w:tcPr>
          <w:p>
            <w:pPr>
              <w:pStyle w:val="TableContents"/>
              <w:bidi w:val="0"/>
              <w:spacing w:before="0" w:after="283"/>
              <w:jc w:val="left"/>
              <w:rPr/>
            </w:pPr>
            <w:r>
              <w:rPr/>
              <w:t> </w:t>
            </w:r>
          </w:p>
        </w:tc>
        <w:tc>
          <w:tcPr>
            <w:tcW w:w="218" w:type="dxa"/>
            <w:tcBorders/>
            <w:shd w:fill="FFFFFF" w:val="clear"/>
            <w:vAlign w:val="center"/>
          </w:tcPr>
          <w:p>
            <w:pPr>
              <w:pStyle w:val="TableContents"/>
              <w:bidi w:val="0"/>
              <w:spacing w:before="0" w:after="283"/>
              <w:jc w:val="left"/>
              <w:rPr/>
            </w:pPr>
            <w:r>
              <w:rPr/>
              <w:t> </w:t>
            </w:r>
          </w:p>
        </w:tc>
        <w:tc>
          <w:tcPr>
            <w:tcW w:w="992" w:type="dxa"/>
            <w:tcBorders/>
            <w:shd w:fill="FFFFFF" w:val="clear"/>
            <w:vAlign w:val="center"/>
          </w:tcPr>
          <w:p>
            <w:pPr>
              <w:pStyle w:val="TableContents"/>
              <w:bidi w:val="0"/>
              <w:spacing w:before="0" w:after="283"/>
              <w:jc w:val="right"/>
              <w:rPr/>
            </w:pPr>
            <w:r>
              <w:rPr/>
              <w:t>6</w:t>
            </w:r>
          </w:p>
        </w:tc>
        <w:tc>
          <w:tcPr>
            <w:tcW w:w="148" w:type="dxa"/>
            <w:tcBorders/>
            <w:shd w:fill="FFFFFF" w:val="clear"/>
            <w:vAlign w:val="center"/>
          </w:tcPr>
          <w:p>
            <w:pPr>
              <w:pStyle w:val="TableContents"/>
              <w:bidi w:val="0"/>
              <w:spacing w:before="0" w:after="283"/>
              <w:jc w:val="left"/>
              <w:rPr/>
            </w:pPr>
            <w:r>
              <w:rPr/>
              <w:t> </w:t>
            </w:r>
          </w:p>
        </w:tc>
        <w:tc>
          <w:tcPr>
            <w:tcW w:w="93" w:type="dxa"/>
            <w:tcBorders/>
            <w:shd w:fill="FFFFFF" w:val="clear"/>
            <w:vAlign w:val="center"/>
          </w:tcPr>
          <w:p>
            <w:pPr>
              <w:pStyle w:val="TableContents"/>
              <w:bidi w:val="0"/>
              <w:spacing w:before="0" w:after="283"/>
              <w:jc w:val="left"/>
              <w:rPr/>
            </w:pPr>
            <w:r>
              <w:rPr/>
              <w:t> </w:t>
            </w:r>
          </w:p>
        </w:tc>
        <w:tc>
          <w:tcPr>
            <w:tcW w:w="218" w:type="dxa"/>
            <w:tcBorders/>
            <w:shd w:fill="FFFFFF" w:val="clear"/>
            <w:vAlign w:val="center"/>
          </w:tcPr>
          <w:p>
            <w:pPr>
              <w:pStyle w:val="TableContents"/>
              <w:bidi w:val="0"/>
              <w:spacing w:before="0" w:after="283"/>
              <w:jc w:val="left"/>
              <w:rPr/>
            </w:pPr>
            <w:r>
              <w:rPr/>
              <w:t> </w:t>
            </w:r>
          </w:p>
        </w:tc>
        <w:tc>
          <w:tcPr>
            <w:tcW w:w="1062" w:type="dxa"/>
            <w:tcBorders/>
            <w:shd w:fill="FFFFFF" w:val="clear"/>
            <w:vAlign w:val="center"/>
          </w:tcPr>
          <w:p>
            <w:pPr>
              <w:pStyle w:val="TableContents"/>
              <w:bidi w:val="0"/>
              <w:spacing w:before="0" w:after="283"/>
              <w:jc w:val="right"/>
              <w:rPr/>
            </w:pPr>
            <w:r>
              <w:rPr/>
              <w:t>(34</w:t>
            </w:r>
          </w:p>
        </w:tc>
        <w:tc>
          <w:tcPr>
            <w:tcW w:w="110" w:type="dxa"/>
            <w:tcBorders/>
            <w:shd w:fill="FFFFFF" w:val="clear"/>
            <w:vAlign w:val="center"/>
          </w:tcPr>
          <w:p>
            <w:pPr>
              <w:pStyle w:val="TableContents"/>
              <w:bidi w:val="0"/>
              <w:spacing w:before="0" w:after="283"/>
              <w:jc w:val="left"/>
              <w:rPr/>
            </w:pPr>
            <w:r>
              <w:rPr/>
              <w:t>)</w:t>
            </w:r>
          </w:p>
        </w:tc>
      </w:tr>
      <w:tr>
        <w:trPr/>
        <w:tc>
          <w:tcPr>
            <w:tcW w:w="6830" w:type="dxa"/>
            <w:tcBorders/>
            <w:shd w:fill="CCEEFF" w:val="clear"/>
            <w:vAlign w:val="center"/>
          </w:tcPr>
          <w:p>
            <w:pPr>
              <w:pStyle w:val="TableContents"/>
              <w:bidi w:val="0"/>
              <w:spacing w:before="0" w:after="283"/>
              <w:jc w:val="left"/>
              <w:rPr/>
            </w:pPr>
            <w:r>
              <w:rPr/>
              <w:t>Accounts payable</w:t>
            </w:r>
          </w:p>
        </w:tc>
        <w:tc>
          <w:tcPr>
            <w:tcW w:w="60" w:type="dxa"/>
            <w:tcBorders/>
            <w:shd w:fill="CCEEFF" w:val="clear"/>
            <w:vAlign w:val="center"/>
          </w:tcPr>
          <w:p>
            <w:pPr>
              <w:pStyle w:val="TableContents"/>
              <w:bidi w:val="0"/>
              <w:spacing w:before="0" w:after="283"/>
              <w:jc w:val="left"/>
              <w:rPr/>
            </w:pPr>
            <w:r>
              <w:rPr/>
              <w:t> </w:t>
            </w:r>
          </w:p>
        </w:tc>
        <w:tc>
          <w:tcPr>
            <w:tcW w:w="218" w:type="dxa"/>
            <w:tcBorders/>
            <w:shd w:fill="CCEEFF" w:val="clear"/>
            <w:vAlign w:val="center"/>
          </w:tcPr>
          <w:p>
            <w:pPr>
              <w:pStyle w:val="TableContents"/>
              <w:bidi w:val="0"/>
              <w:spacing w:before="0" w:after="283"/>
              <w:jc w:val="left"/>
              <w:rPr/>
            </w:pPr>
            <w:r>
              <w:rPr/>
              <w:t> </w:t>
            </w:r>
          </w:p>
        </w:tc>
        <w:tc>
          <w:tcPr>
            <w:tcW w:w="992" w:type="dxa"/>
            <w:tcBorders/>
            <w:shd w:fill="CCEEFF" w:val="clear"/>
            <w:vAlign w:val="center"/>
          </w:tcPr>
          <w:p>
            <w:pPr>
              <w:pStyle w:val="TableContents"/>
              <w:bidi w:val="0"/>
              <w:spacing w:before="0" w:after="283"/>
              <w:jc w:val="right"/>
              <w:rPr/>
            </w:pPr>
            <w:r>
              <w:rPr/>
              <w:t>(592</w:t>
            </w:r>
          </w:p>
        </w:tc>
        <w:tc>
          <w:tcPr>
            <w:tcW w:w="148" w:type="dxa"/>
            <w:tcBorders/>
            <w:shd w:fill="CCEEFF" w:val="clear"/>
            <w:vAlign w:val="center"/>
          </w:tcPr>
          <w:p>
            <w:pPr>
              <w:pStyle w:val="TableContents"/>
              <w:bidi w:val="0"/>
              <w:spacing w:before="0" w:after="283"/>
              <w:jc w:val="left"/>
              <w:rPr/>
            </w:pPr>
            <w:r>
              <w:rPr/>
              <w:t>)</w:t>
            </w:r>
          </w:p>
        </w:tc>
        <w:tc>
          <w:tcPr>
            <w:tcW w:w="93" w:type="dxa"/>
            <w:tcBorders/>
            <w:shd w:fill="CCEEFF" w:val="clear"/>
            <w:vAlign w:val="center"/>
          </w:tcPr>
          <w:p>
            <w:pPr>
              <w:pStyle w:val="TableContents"/>
              <w:bidi w:val="0"/>
              <w:spacing w:before="0" w:after="283"/>
              <w:jc w:val="left"/>
              <w:rPr/>
            </w:pPr>
            <w:r>
              <w:rPr/>
              <w:t> </w:t>
            </w:r>
          </w:p>
        </w:tc>
        <w:tc>
          <w:tcPr>
            <w:tcW w:w="218" w:type="dxa"/>
            <w:tcBorders/>
            <w:shd w:fill="CCEEFF" w:val="clear"/>
            <w:vAlign w:val="center"/>
          </w:tcPr>
          <w:p>
            <w:pPr>
              <w:pStyle w:val="TableContents"/>
              <w:bidi w:val="0"/>
              <w:spacing w:before="0" w:after="283"/>
              <w:jc w:val="left"/>
              <w:rPr/>
            </w:pPr>
            <w:r>
              <w:rPr/>
              <w:t> </w:t>
            </w:r>
          </w:p>
        </w:tc>
        <w:tc>
          <w:tcPr>
            <w:tcW w:w="1062" w:type="dxa"/>
            <w:tcBorders/>
            <w:shd w:fill="CCEEFF" w:val="clear"/>
            <w:vAlign w:val="center"/>
          </w:tcPr>
          <w:p>
            <w:pPr>
              <w:pStyle w:val="TableContents"/>
              <w:bidi w:val="0"/>
              <w:spacing w:before="0" w:after="283"/>
              <w:jc w:val="right"/>
              <w:rPr/>
            </w:pPr>
            <w:r>
              <w:rPr/>
              <w:t>29</w:t>
            </w:r>
          </w:p>
        </w:tc>
        <w:tc>
          <w:tcPr>
            <w:tcW w:w="110" w:type="dxa"/>
            <w:tcBorders/>
            <w:shd w:fill="CCEEFF" w:val="clear"/>
            <w:vAlign w:val="center"/>
          </w:tcPr>
          <w:p>
            <w:pPr>
              <w:pStyle w:val="TableContents"/>
              <w:bidi w:val="0"/>
              <w:spacing w:before="0" w:after="283"/>
              <w:jc w:val="left"/>
              <w:rPr/>
            </w:pPr>
            <w:r>
              <w:rPr/>
              <w:t> </w:t>
            </w:r>
          </w:p>
        </w:tc>
      </w:tr>
      <w:tr>
        <w:trPr/>
        <w:tc>
          <w:tcPr>
            <w:tcW w:w="6830" w:type="dxa"/>
            <w:tcBorders/>
            <w:shd w:fill="FFFFFF" w:val="clear"/>
            <w:vAlign w:val="center"/>
          </w:tcPr>
          <w:p>
            <w:pPr>
              <w:pStyle w:val="TableContents"/>
              <w:bidi w:val="0"/>
              <w:spacing w:before="0" w:after="283"/>
              <w:jc w:val="left"/>
              <w:rPr/>
            </w:pPr>
            <w:r>
              <w:rPr/>
              <w:t>Accrued expenses and other current liabilities</w:t>
            </w:r>
          </w:p>
        </w:tc>
        <w:tc>
          <w:tcPr>
            <w:tcW w:w="60" w:type="dxa"/>
            <w:tcBorders/>
            <w:shd w:fill="FFFFFF" w:val="clear"/>
            <w:vAlign w:val="center"/>
          </w:tcPr>
          <w:p>
            <w:pPr>
              <w:pStyle w:val="TableContents"/>
              <w:bidi w:val="0"/>
              <w:spacing w:before="0" w:after="283"/>
              <w:jc w:val="left"/>
              <w:rPr/>
            </w:pPr>
            <w:r>
              <w:rPr/>
              <w:t> </w:t>
            </w:r>
          </w:p>
        </w:tc>
        <w:tc>
          <w:tcPr>
            <w:tcW w:w="218" w:type="dxa"/>
            <w:tcBorders/>
            <w:shd w:fill="FFFFFF" w:val="clear"/>
            <w:vAlign w:val="center"/>
          </w:tcPr>
          <w:p>
            <w:pPr>
              <w:pStyle w:val="TableContents"/>
              <w:bidi w:val="0"/>
              <w:spacing w:before="0" w:after="283"/>
              <w:jc w:val="left"/>
              <w:rPr/>
            </w:pPr>
            <w:r>
              <w:rPr/>
              <w:t> </w:t>
            </w:r>
          </w:p>
        </w:tc>
        <w:tc>
          <w:tcPr>
            <w:tcW w:w="992" w:type="dxa"/>
            <w:tcBorders/>
            <w:shd w:fill="FFFFFF" w:val="clear"/>
            <w:vAlign w:val="center"/>
          </w:tcPr>
          <w:p>
            <w:pPr>
              <w:pStyle w:val="TableContents"/>
              <w:bidi w:val="0"/>
              <w:spacing w:before="0" w:after="283"/>
              <w:jc w:val="right"/>
              <w:rPr/>
            </w:pPr>
            <w:r>
              <w:rPr/>
              <w:t>5,370</w:t>
            </w:r>
          </w:p>
        </w:tc>
        <w:tc>
          <w:tcPr>
            <w:tcW w:w="148" w:type="dxa"/>
            <w:tcBorders/>
            <w:shd w:fill="FFFFFF" w:val="clear"/>
            <w:vAlign w:val="center"/>
          </w:tcPr>
          <w:p>
            <w:pPr>
              <w:pStyle w:val="TableContents"/>
              <w:bidi w:val="0"/>
              <w:spacing w:before="0" w:after="283"/>
              <w:jc w:val="left"/>
              <w:rPr/>
            </w:pPr>
            <w:r>
              <w:rPr/>
              <w:t> </w:t>
            </w:r>
          </w:p>
        </w:tc>
        <w:tc>
          <w:tcPr>
            <w:tcW w:w="93" w:type="dxa"/>
            <w:tcBorders/>
            <w:shd w:fill="FFFFFF" w:val="clear"/>
            <w:vAlign w:val="center"/>
          </w:tcPr>
          <w:p>
            <w:pPr>
              <w:pStyle w:val="TableContents"/>
              <w:bidi w:val="0"/>
              <w:spacing w:before="0" w:after="283"/>
              <w:jc w:val="left"/>
              <w:rPr/>
            </w:pPr>
            <w:r>
              <w:rPr/>
              <w:t> </w:t>
            </w:r>
          </w:p>
        </w:tc>
        <w:tc>
          <w:tcPr>
            <w:tcW w:w="218" w:type="dxa"/>
            <w:tcBorders/>
            <w:shd w:fill="FFFFFF" w:val="clear"/>
            <w:vAlign w:val="center"/>
          </w:tcPr>
          <w:p>
            <w:pPr>
              <w:pStyle w:val="TableContents"/>
              <w:bidi w:val="0"/>
              <w:spacing w:before="0" w:after="283"/>
              <w:jc w:val="left"/>
              <w:rPr/>
            </w:pPr>
            <w:r>
              <w:rPr/>
              <w:t> </w:t>
            </w:r>
          </w:p>
        </w:tc>
        <w:tc>
          <w:tcPr>
            <w:tcW w:w="1062" w:type="dxa"/>
            <w:tcBorders/>
            <w:shd w:fill="FFFFFF" w:val="clear"/>
            <w:vAlign w:val="center"/>
          </w:tcPr>
          <w:p>
            <w:pPr>
              <w:pStyle w:val="TableContents"/>
              <w:bidi w:val="0"/>
              <w:spacing w:before="0" w:after="283"/>
              <w:jc w:val="right"/>
              <w:rPr/>
            </w:pPr>
            <w:r>
              <w:rPr/>
              <w:t>1,796</w:t>
            </w:r>
          </w:p>
        </w:tc>
        <w:tc>
          <w:tcPr>
            <w:tcW w:w="110" w:type="dxa"/>
            <w:tcBorders/>
            <w:shd w:fill="FFFFFF" w:val="clear"/>
            <w:vAlign w:val="center"/>
          </w:tcPr>
          <w:p>
            <w:pPr>
              <w:pStyle w:val="TableContents"/>
              <w:bidi w:val="0"/>
              <w:spacing w:before="0" w:after="283"/>
              <w:jc w:val="left"/>
              <w:rPr/>
            </w:pPr>
            <w:r>
              <w:rPr/>
              <w:t> </w:t>
            </w:r>
          </w:p>
        </w:tc>
      </w:tr>
      <w:tr>
        <w:trPr/>
        <w:tc>
          <w:tcPr>
            <w:tcW w:w="6830" w:type="dxa"/>
            <w:tcBorders/>
            <w:shd w:fill="CCEEFF" w:val="clear"/>
            <w:vAlign w:val="center"/>
          </w:tcPr>
          <w:p>
            <w:pPr>
              <w:pStyle w:val="TableContents"/>
              <w:bidi w:val="0"/>
              <w:spacing w:before="0" w:after="283"/>
              <w:jc w:val="left"/>
              <w:rPr/>
            </w:pPr>
            <w:r>
              <w:rPr/>
              <w:t>Contract liabilities</w:t>
            </w:r>
          </w:p>
        </w:tc>
        <w:tc>
          <w:tcPr>
            <w:tcW w:w="60" w:type="dxa"/>
            <w:tcBorders/>
            <w:shd w:fill="CCEEFF" w:val="clear"/>
            <w:vAlign w:val="center"/>
          </w:tcPr>
          <w:p>
            <w:pPr>
              <w:pStyle w:val="TableContents"/>
              <w:bidi w:val="0"/>
              <w:spacing w:before="0" w:after="283"/>
              <w:jc w:val="left"/>
              <w:rPr/>
            </w:pPr>
            <w:r>
              <w:rPr/>
              <w:t> </w:t>
            </w:r>
          </w:p>
        </w:tc>
        <w:tc>
          <w:tcPr>
            <w:tcW w:w="218" w:type="dxa"/>
            <w:tcBorders/>
            <w:shd w:fill="CCEEFF" w:val="clear"/>
            <w:vAlign w:val="center"/>
          </w:tcPr>
          <w:p>
            <w:pPr>
              <w:pStyle w:val="TableContents"/>
              <w:bidi w:val="0"/>
              <w:spacing w:before="0" w:after="283"/>
              <w:jc w:val="left"/>
              <w:rPr/>
            </w:pPr>
            <w:r>
              <w:rPr/>
              <w:t> </w:t>
            </w:r>
          </w:p>
        </w:tc>
        <w:tc>
          <w:tcPr>
            <w:tcW w:w="992" w:type="dxa"/>
            <w:tcBorders/>
            <w:shd w:fill="CCEEFF" w:val="clear"/>
            <w:vAlign w:val="center"/>
          </w:tcPr>
          <w:p>
            <w:pPr>
              <w:pStyle w:val="TableContents"/>
              <w:bidi w:val="0"/>
              <w:spacing w:before="0" w:after="283"/>
              <w:jc w:val="right"/>
              <w:rPr/>
            </w:pPr>
            <w:r>
              <w:rPr/>
              <w:t>(2,800</w:t>
            </w:r>
          </w:p>
        </w:tc>
        <w:tc>
          <w:tcPr>
            <w:tcW w:w="148" w:type="dxa"/>
            <w:tcBorders/>
            <w:shd w:fill="CCEEFF" w:val="clear"/>
            <w:vAlign w:val="center"/>
          </w:tcPr>
          <w:p>
            <w:pPr>
              <w:pStyle w:val="TableContents"/>
              <w:bidi w:val="0"/>
              <w:spacing w:before="0" w:after="283"/>
              <w:jc w:val="left"/>
              <w:rPr/>
            </w:pPr>
            <w:r>
              <w:rPr/>
              <w:t>)</w:t>
            </w:r>
          </w:p>
        </w:tc>
        <w:tc>
          <w:tcPr>
            <w:tcW w:w="93" w:type="dxa"/>
            <w:tcBorders/>
            <w:shd w:fill="CCEEFF" w:val="clear"/>
            <w:vAlign w:val="center"/>
          </w:tcPr>
          <w:p>
            <w:pPr>
              <w:pStyle w:val="TableContents"/>
              <w:bidi w:val="0"/>
              <w:spacing w:before="0" w:after="283"/>
              <w:jc w:val="left"/>
              <w:rPr/>
            </w:pPr>
            <w:r>
              <w:rPr/>
              <w:t> </w:t>
            </w:r>
          </w:p>
        </w:tc>
        <w:tc>
          <w:tcPr>
            <w:tcW w:w="218" w:type="dxa"/>
            <w:tcBorders/>
            <w:shd w:fill="CCEEFF" w:val="clear"/>
            <w:vAlign w:val="center"/>
          </w:tcPr>
          <w:p>
            <w:pPr>
              <w:pStyle w:val="TableContents"/>
              <w:bidi w:val="0"/>
              <w:spacing w:before="0" w:after="283"/>
              <w:jc w:val="left"/>
              <w:rPr/>
            </w:pPr>
            <w:r>
              <w:rPr/>
              <w:t> </w:t>
            </w:r>
          </w:p>
        </w:tc>
        <w:tc>
          <w:tcPr>
            <w:tcW w:w="1062" w:type="dxa"/>
            <w:tcBorders/>
            <w:shd w:fill="CCEEFF" w:val="clear"/>
            <w:vAlign w:val="center"/>
          </w:tcPr>
          <w:p>
            <w:pPr>
              <w:pStyle w:val="TableContents"/>
              <w:bidi w:val="0"/>
              <w:spacing w:before="0" w:after="283"/>
              <w:jc w:val="right"/>
              <w:rPr/>
            </w:pPr>
            <w:r>
              <w:rPr/>
              <w:t>10,957</w:t>
            </w:r>
          </w:p>
        </w:tc>
        <w:tc>
          <w:tcPr>
            <w:tcW w:w="110" w:type="dxa"/>
            <w:tcBorders/>
            <w:shd w:fill="CCEEFF" w:val="clear"/>
            <w:vAlign w:val="center"/>
          </w:tcPr>
          <w:p>
            <w:pPr>
              <w:pStyle w:val="TableContents"/>
              <w:bidi w:val="0"/>
              <w:spacing w:before="0" w:after="283"/>
              <w:jc w:val="left"/>
              <w:rPr/>
            </w:pPr>
            <w:r>
              <w:rPr/>
              <w:t> </w:t>
            </w:r>
          </w:p>
        </w:tc>
      </w:tr>
      <w:tr>
        <w:trPr/>
        <w:tc>
          <w:tcPr>
            <w:tcW w:w="6830" w:type="dxa"/>
            <w:tcBorders/>
            <w:shd w:fill="FFFFFF" w:val="clear"/>
            <w:vAlign w:val="center"/>
          </w:tcPr>
          <w:p>
            <w:pPr>
              <w:pStyle w:val="TableContents"/>
              <w:bidi w:val="0"/>
              <w:spacing w:before="0" w:after="283"/>
              <w:jc w:val="left"/>
              <w:rPr/>
            </w:pPr>
            <w:r>
              <w:rPr/>
              <w:t>Operating lease liabilities</w:t>
            </w:r>
          </w:p>
        </w:tc>
        <w:tc>
          <w:tcPr>
            <w:tcW w:w="60" w:type="dxa"/>
            <w:tcBorders/>
            <w:shd w:fill="FFFFFF" w:val="clear"/>
            <w:vAlign w:val="center"/>
          </w:tcPr>
          <w:p>
            <w:pPr>
              <w:pStyle w:val="TableContents"/>
              <w:bidi w:val="0"/>
              <w:spacing w:before="0" w:after="283"/>
              <w:jc w:val="left"/>
              <w:rPr/>
            </w:pPr>
            <w:r>
              <w:rPr/>
              <w:t> </w:t>
            </w:r>
          </w:p>
        </w:tc>
        <w:tc>
          <w:tcPr>
            <w:tcW w:w="218"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992" w:type="dxa"/>
            <w:tcBorders>
              <w:bottom w:val="single" w:sz="12" w:space="0" w:color="000000"/>
            </w:tcBorders>
            <w:shd w:fill="FFFFFF" w:val="clear"/>
            <w:tcMar>
              <w:bottom w:w="28" w:type="dxa"/>
            </w:tcMar>
            <w:vAlign w:val="center"/>
          </w:tcPr>
          <w:p>
            <w:pPr>
              <w:pStyle w:val="TableContents"/>
              <w:bidi w:val="0"/>
              <w:spacing w:before="0" w:after="283"/>
              <w:jc w:val="right"/>
              <w:rPr/>
            </w:pPr>
            <w:r>
              <w:rPr/>
              <w:t>(59</w:t>
            </w:r>
          </w:p>
        </w:tc>
        <w:tc>
          <w:tcPr>
            <w:tcW w:w="148" w:type="dxa"/>
            <w:tcBorders/>
            <w:shd w:fill="FFFFFF" w:val="clear"/>
            <w:vAlign w:val="center"/>
          </w:tcPr>
          <w:p>
            <w:pPr>
              <w:pStyle w:val="TableContents"/>
              <w:bidi w:val="0"/>
              <w:spacing w:before="0" w:after="283"/>
              <w:jc w:val="left"/>
              <w:rPr/>
            </w:pPr>
            <w:r>
              <w:rPr/>
              <w:t>)</w:t>
            </w:r>
          </w:p>
        </w:tc>
        <w:tc>
          <w:tcPr>
            <w:tcW w:w="93" w:type="dxa"/>
            <w:tcBorders/>
            <w:shd w:fill="FFFFFF" w:val="clear"/>
            <w:vAlign w:val="center"/>
          </w:tcPr>
          <w:p>
            <w:pPr>
              <w:pStyle w:val="TableContents"/>
              <w:bidi w:val="0"/>
              <w:spacing w:before="0" w:after="283"/>
              <w:jc w:val="left"/>
              <w:rPr/>
            </w:pPr>
            <w:r>
              <w:rPr/>
              <w:t> </w:t>
            </w:r>
          </w:p>
        </w:tc>
        <w:tc>
          <w:tcPr>
            <w:tcW w:w="218"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062" w:type="dxa"/>
            <w:tcBorders>
              <w:bottom w:val="single" w:sz="12" w:space="0" w:color="000000"/>
            </w:tcBorders>
            <w:shd w:fill="FFFFFF" w:val="clear"/>
            <w:tcMar>
              <w:bottom w:w="28" w:type="dxa"/>
            </w:tcMar>
            <w:vAlign w:val="center"/>
          </w:tcPr>
          <w:p>
            <w:pPr>
              <w:pStyle w:val="TableContents"/>
              <w:bidi w:val="0"/>
              <w:spacing w:before="0" w:after="283"/>
              <w:jc w:val="right"/>
              <w:rPr/>
            </w:pPr>
            <w:r>
              <w:rPr/>
              <w:t>(53</w:t>
            </w:r>
          </w:p>
        </w:tc>
        <w:tc>
          <w:tcPr>
            <w:tcW w:w="110" w:type="dxa"/>
            <w:tcBorders/>
            <w:shd w:fill="FFFFFF" w:val="clear"/>
            <w:vAlign w:val="center"/>
          </w:tcPr>
          <w:p>
            <w:pPr>
              <w:pStyle w:val="TableContents"/>
              <w:bidi w:val="0"/>
              <w:spacing w:before="0" w:after="283"/>
              <w:jc w:val="left"/>
              <w:rPr/>
            </w:pPr>
            <w:r>
              <w:rPr/>
              <w:t>)</w:t>
            </w:r>
          </w:p>
        </w:tc>
      </w:tr>
      <w:tr>
        <w:trPr/>
        <w:tc>
          <w:tcPr>
            <w:tcW w:w="6830" w:type="dxa"/>
            <w:tcBorders/>
            <w:shd w:fill="CCEEFF" w:val="clear"/>
            <w:vAlign w:val="center"/>
          </w:tcPr>
          <w:p>
            <w:pPr>
              <w:pStyle w:val="TableContents"/>
              <w:bidi w:val="0"/>
              <w:spacing w:before="0" w:after="283"/>
              <w:jc w:val="left"/>
              <w:rPr/>
            </w:pPr>
            <w:r>
              <w:rPr/>
              <w:t>Net cash used in operating activities</w:t>
            </w:r>
          </w:p>
        </w:tc>
        <w:tc>
          <w:tcPr>
            <w:tcW w:w="60" w:type="dxa"/>
            <w:tcBorders/>
            <w:shd w:fill="CCEEFF" w:val="clear"/>
            <w:vAlign w:val="center"/>
          </w:tcPr>
          <w:p>
            <w:pPr>
              <w:pStyle w:val="TableContents"/>
              <w:bidi w:val="0"/>
              <w:spacing w:before="0" w:after="283"/>
              <w:jc w:val="left"/>
              <w:rPr/>
            </w:pPr>
            <w:r>
              <w:rPr/>
              <w:t> </w:t>
            </w:r>
          </w:p>
        </w:tc>
        <w:tc>
          <w:tcPr>
            <w:tcW w:w="218"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92" w:type="dxa"/>
            <w:tcBorders>
              <w:bottom w:val="single" w:sz="12" w:space="0" w:color="000000"/>
            </w:tcBorders>
            <w:shd w:fill="CCEEFF" w:val="clear"/>
            <w:tcMar>
              <w:bottom w:w="28" w:type="dxa"/>
            </w:tcMar>
            <w:vAlign w:val="center"/>
          </w:tcPr>
          <w:p>
            <w:pPr>
              <w:pStyle w:val="TableContents"/>
              <w:bidi w:val="0"/>
              <w:spacing w:before="0" w:after="283"/>
              <w:jc w:val="right"/>
              <w:rPr/>
            </w:pPr>
            <w:r>
              <w:rPr/>
              <w:t>(1,746</w:t>
            </w:r>
          </w:p>
        </w:tc>
        <w:tc>
          <w:tcPr>
            <w:tcW w:w="148" w:type="dxa"/>
            <w:tcBorders/>
            <w:shd w:fill="CCEEFF" w:val="clear"/>
            <w:vAlign w:val="center"/>
          </w:tcPr>
          <w:p>
            <w:pPr>
              <w:pStyle w:val="TableContents"/>
              <w:bidi w:val="0"/>
              <w:spacing w:before="0" w:after="283"/>
              <w:jc w:val="left"/>
              <w:rPr/>
            </w:pPr>
            <w:r>
              <w:rPr/>
              <w:t>)</w:t>
            </w:r>
          </w:p>
        </w:tc>
        <w:tc>
          <w:tcPr>
            <w:tcW w:w="93" w:type="dxa"/>
            <w:tcBorders/>
            <w:shd w:fill="CCEEFF" w:val="clear"/>
            <w:vAlign w:val="center"/>
          </w:tcPr>
          <w:p>
            <w:pPr>
              <w:pStyle w:val="TableContents"/>
              <w:bidi w:val="0"/>
              <w:spacing w:before="0" w:after="283"/>
              <w:jc w:val="left"/>
              <w:rPr/>
            </w:pPr>
            <w:r>
              <w:rPr/>
              <w:t> </w:t>
            </w:r>
          </w:p>
        </w:tc>
        <w:tc>
          <w:tcPr>
            <w:tcW w:w="218"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62" w:type="dxa"/>
            <w:tcBorders>
              <w:bottom w:val="single" w:sz="12" w:space="0" w:color="000000"/>
            </w:tcBorders>
            <w:shd w:fill="CCEEFF" w:val="clear"/>
            <w:tcMar>
              <w:bottom w:w="28" w:type="dxa"/>
            </w:tcMar>
            <w:vAlign w:val="center"/>
          </w:tcPr>
          <w:p>
            <w:pPr>
              <w:pStyle w:val="TableContents"/>
              <w:bidi w:val="0"/>
              <w:spacing w:before="0" w:after="283"/>
              <w:jc w:val="right"/>
              <w:rPr/>
            </w:pPr>
            <w:r>
              <w:rPr/>
              <w:t>(1,816</w:t>
            </w:r>
          </w:p>
        </w:tc>
        <w:tc>
          <w:tcPr>
            <w:tcW w:w="110" w:type="dxa"/>
            <w:tcBorders/>
            <w:shd w:fill="CCEEFF" w:val="clear"/>
            <w:vAlign w:val="center"/>
          </w:tcPr>
          <w:p>
            <w:pPr>
              <w:pStyle w:val="TableContents"/>
              <w:bidi w:val="0"/>
              <w:spacing w:before="0" w:after="283"/>
              <w:jc w:val="left"/>
              <w:rPr/>
            </w:pPr>
            <w:r>
              <w:rPr/>
              <w:t>)</w:t>
            </w:r>
          </w:p>
        </w:tc>
      </w:tr>
      <w:tr>
        <w:trPr/>
        <w:tc>
          <w:tcPr>
            <w:tcW w:w="6830" w:type="dxa"/>
            <w:tcBorders/>
            <w:shd w:fill="FFFFFF" w:val="clear"/>
            <w:vAlign w:val="center"/>
          </w:tcPr>
          <w:p>
            <w:pPr>
              <w:pStyle w:val="TableContents"/>
              <w:bidi w:val="0"/>
              <w:spacing w:before="0" w:after="283"/>
              <w:jc w:val="left"/>
              <w:rPr>
                <w:b/>
              </w:rPr>
            </w:pPr>
            <w:r>
              <w:rPr>
                <w:b/>
              </w:rPr>
              <w:t>Cash flows from investing activities</w:t>
            </w:r>
          </w:p>
        </w:tc>
        <w:tc>
          <w:tcPr>
            <w:tcW w:w="60" w:type="dxa"/>
            <w:tcBorders/>
            <w:shd w:fill="FFFFFF" w:val="clear"/>
            <w:vAlign w:val="center"/>
          </w:tcPr>
          <w:p>
            <w:pPr>
              <w:pStyle w:val="TableContents"/>
              <w:bidi w:val="0"/>
              <w:spacing w:before="0" w:after="283"/>
              <w:jc w:val="left"/>
              <w:rPr/>
            </w:pPr>
            <w:r>
              <w:rPr/>
              <w:t> </w:t>
            </w:r>
          </w:p>
        </w:tc>
        <w:tc>
          <w:tcPr>
            <w:tcW w:w="218" w:type="dxa"/>
            <w:tcBorders/>
            <w:shd w:fill="FFFFFF" w:val="clear"/>
            <w:vAlign w:val="center"/>
          </w:tcPr>
          <w:p>
            <w:pPr>
              <w:pStyle w:val="TableContents"/>
              <w:bidi w:val="0"/>
              <w:spacing w:before="0" w:after="283"/>
              <w:jc w:val="left"/>
              <w:rPr/>
            </w:pPr>
            <w:r>
              <w:rPr/>
              <w:t> </w:t>
            </w:r>
          </w:p>
        </w:tc>
        <w:tc>
          <w:tcPr>
            <w:tcW w:w="992" w:type="dxa"/>
            <w:tcBorders/>
            <w:shd w:fill="FFFFFF" w:val="clear"/>
            <w:vAlign w:val="center"/>
          </w:tcPr>
          <w:p>
            <w:pPr>
              <w:pStyle w:val="TableContents"/>
              <w:bidi w:val="0"/>
              <w:spacing w:before="0" w:after="283"/>
              <w:jc w:val="right"/>
              <w:rPr/>
            </w:pPr>
            <w:r>
              <w:rPr/>
              <w:t> </w:t>
            </w:r>
          </w:p>
        </w:tc>
        <w:tc>
          <w:tcPr>
            <w:tcW w:w="148" w:type="dxa"/>
            <w:tcBorders/>
            <w:shd w:fill="FFFFFF" w:val="clear"/>
            <w:vAlign w:val="center"/>
          </w:tcPr>
          <w:p>
            <w:pPr>
              <w:pStyle w:val="TableContents"/>
              <w:bidi w:val="0"/>
              <w:spacing w:before="0" w:after="283"/>
              <w:jc w:val="left"/>
              <w:rPr/>
            </w:pPr>
            <w:r>
              <w:rPr/>
              <w:t> </w:t>
            </w:r>
          </w:p>
        </w:tc>
        <w:tc>
          <w:tcPr>
            <w:tcW w:w="93" w:type="dxa"/>
            <w:tcBorders/>
            <w:shd w:fill="FFFFFF" w:val="clear"/>
            <w:vAlign w:val="center"/>
          </w:tcPr>
          <w:p>
            <w:pPr>
              <w:pStyle w:val="TableContents"/>
              <w:bidi w:val="0"/>
              <w:spacing w:before="0" w:after="283"/>
              <w:jc w:val="left"/>
              <w:rPr/>
            </w:pPr>
            <w:r>
              <w:rPr/>
              <w:t> </w:t>
            </w:r>
          </w:p>
        </w:tc>
        <w:tc>
          <w:tcPr>
            <w:tcW w:w="218" w:type="dxa"/>
            <w:tcBorders/>
            <w:shd w:fill="FFFFFF" w:val="clear"/>
            <w:vAlign w:val="center"/>
          </w:tcPr>
          <w:p>
            <w:pPr>
              <w:pStyle w:val="TableContents"/>
              <w:bidi w:val="0"/>
              <w:spacing w:before="0" w:after="283"/>
              <w:jc w:val="left"/>
              <w:rPr/>
            </w:pPr>
            <w:r>
              <w:rPr/>
              <w:t> </w:t>
            </w:r>
          </w:p>
        </w:tc>
        <w:tc>
          <w:tcPr>
            <w:tcW w:w="1062"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6830" w:type="dxa"/>
            <w:tcBorders/>
            <w:shd w:fill="CCEEFF" w:val="clear"/>
            <w:vAlign w:val="center"/>
          </w:tcPr>
          <w:p>
            <w:pPr>
              <w:pStyle w:val="TableContents"/>
              <w:bidi w:val="0"/>
              <w:spacing w:before="0" w:after="283"/>
              <w:jc w:val="left"/>
              <w:rPr/>
            </w:pPr>
            <w:r>
              <w:rPr/>
              <w:t>Purchases of property and equipment</w:t>
            </w:r>
          </w:p>
        </w:tc>
        <w:tc>
          <w:tcPr>
            <w:tcW w:w="60" w:type="dxa"/>
            <w:tcBorders/>
            <w:shd w:fill="CCEEFF" w:val="clear"/>
            <w:vAlign w:val="center"/>
          </w:tcPr>
          <w:p>
            <w:pPr>
              <w:pStyle w:val="TableContents"/>
              <w:bidi w:val="0"/>
              <w:spacing w:before="0" w:after="283"/>
              <w:jc w:val="left"/>
              <w:rPr/>
            </w:pPr>
            <w:r>
              <w:rPr/>
              <w:t> </w:t>
            </w:r>
          </w:p>
        </w:tc>
        <w:tc>
          <w:tcPr>
            <w:tcW w:w="218"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92" w:type="dxa"/>
            <w:tcBorders>
              <w:bottom w:val="single" w:sz="12" w:space="0" w:color="000000"/>
            </w:tcBorders>
            <w:shd w:fill="CCEEFF" w:val="clear"/>
            <w:tcMar>
              <w:bottom w:w="28" w:type="dxa"/>
            </w:tcMar>
            <w:vAlign w:val="center"/>
          </w:tcPr>
          <w:p>
            <w:pPr>
              <w:pStyle w:val="TableContents"/>
              <w:bidi w:val="0"/>
              <w:spacing w:before="0" w:after="283"/>
              <w:jc w:val="right"/>
              <w:rPr/>
            </w:pPr>
            <w:r>
              <w:rPr/>
              <w:t>(2</w:t>
            </w:r>
          </w:p>
        </w:tc>
        <w:tc>
          <w:tcPr>
            <w:tcW w:w="148" w:type="dxa"/>
            <w:tcBorders/>
            <w:shd w:fill="CCEEFF" w:val="clear"/>
            <w:vAlign w:val="center"/>
          </w:tcPr>
          <w:p>
            <w:pPr>
              <w:pStyle w:val="TableContents"/>
              <w:bidi w:val="0"/>
              <w:spacing w:before="0" w:after="283"/>
              <w:jc w:val="left"/>
              <w:rPr/>
            </w:pPr>
            <w:r>
              <w:rPr/>
              <w:t>)</w:t>
            </w:r>
          </w:p>
        </w:tc>
        <w:tc>
          <w:tcPr>
            <w:tcW w:w="93" w:type="dxa"/>
            <w:tcBorders/>
            <w:shd w:fill="CCEEFF" w:val="clear"/>
            <w:vAlign w:val="center"/>
          </w:tcPr>
          <w:p>
            <w:pPr>
              <w:pStyle w:val="TableContents"/>
              <w:bidi w:val="0"/>
              <w:spacing w:before="0" w:after="283"/>
              <w:jc w:val="left"/>
              <w:rPr/>
            </w:pPr>
            <w:r>
              <w:rPr/>
              <w:t> </w:t>
            </w:r>
          </w:p>
        </w:tc>
        <w:tc>
          <w:tcPr>
            <w:tcW w:w="218"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62" w:type="dxa"/>
            <w:tcBorders>
              <w:bottom w:val="single" w:sz="12" w:space="0" w:color="000000"/>
            </w:tcBorders>
            <w:shd w:fill="CCEEFF" w:val="clear"/>
            <w:tcMar>
              <w:bottom w:w="28" w:type="dxa"/>
            </w:tcMar>
            <w:vAlign w:val="center"/>
          </w:tcPr>
          <w:p>
            <w:pPr>
              <w:pStyle w:val="TableContents"/>
              <w:bidi w:val="0"/>
              <w:spacing w:before="0" w:after="283"/>
              <w:jc w:val="right"/>
              <w:rPr/>
            </w:pPr>
            <w:r>
              <w:rPr/>
              <w:t>(19</w:t>
            </w:r>
          </w:p>
        </w:tc>
        <w:tc>
          <w:tcPr>
            <w:tcW w:w="110" w:type="dxa"/>
            <w:tcBorders/>
            <w:shd w:fill="CCEEFF" w:val="clear"/>
            <w:vAlign w:val="center"/>
          </w:tcPr>
          <w:p>
            <w:pPr>
              <w:pStyle w:val="TableContents"/>
              <w:bidi w:val="0"/>
              <w:spacing w:before="0" w:after="283"/>
              <w:jc w:val="left"/>
              <w:rPr/>
            </w:pPr>
            <w:r>
              <w:rPr/>
              <w:t>)</w:t>
            </w:r>
          </w:p>
        </w:tc>
      </w:tr>
      <w:tr>
        <w:trPr/>
        <w:tc>
          <w:tcPr>
            <w:tcW w:w="6830" w:type="dxa"/>
            <w:tcBorders/>
            <w:shd w:fill="FFFFFF" w:val="clear"/>
            <w:vAlign w:val="center"/>
          </w:tcPr>
          <w:p>
            <w:pPr>
              <w:pStyle w:val="TableContents"/>
              <w:bidi w:val="0"/>
              <w:spacing w:before="0" w:after="283"/>
              <w:jc w:val="left"/>
              <w:rPr/>
            </w:pPr>
            <w:r>
              <w:rPr/>
              <w:t>Net cash used in investing activities</w:t>
            </w:r>
          </w:p>
        </w:tc>
        <w:tc>
          <w:tcPr>
            <w:tcW w:w="60" w:type="dxa"/>
            <w:tcBorders/>
            <w:shd w:fill="FFFFFF" w:val="clear"/>
            <w:vAlign w:val="center"/>
          </w:tcPr>
          <w:p>
            <w:pPr>
              <w:pStyle w:val="TableContents"/>
              <w:bidi w:val="0"/>
              <w:spacing w:before="0" w:after="283"/>
              <w:jc w:val="left"/>
              <w:rPr/>
            </w:pPr>
            <w:r>
              <w:rPr/>
              <w:t> </w:t>
            </w:r>
          </w:p>
        </w:tc>
        <w:tc>
          <w:tcPr>
            <w:tcW w:w="218"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992" w:type="dxa"/>
            <w:tcBorders>
              <w:bottom w:val="single" w:sz="12" w:space="0" w:color="000000"/>
            </w:tcBorders>
            <w:shd w:fill="FFFFFF" w:val="clear"/>
            <w:tcMar>
              <w:bottom w:w="28" w:type="dxa"/>
            </w:tcMar>
            <w:vAlign w:val="center"/>
          </w:tcPr>
          <w:p>
            <w:pPr>
              <w:pStyle w:val="TableContents"/>
              <w:bidi w:val="0"/>
              <w:spacing w:before="0" w:after="283"/>
              <w:jc w:val="right"/>
              <w:rPr/>
            </w:pPr>
            <w:r>
              <w:rPr/>
              <w:t>(2</w:t>
            </w:r>
          </w:p>
        </w:tc>
        <w:tc>
          <w:tcPr>
            <w:tcW w:w="148" w:type="dxa"/>
            <w:tcBorders/>
            <w:shd w:fill="FFFFFF" w:val="clear"/>
            <w:vAlign w:val="center"/>
          </w:tcPr>
          <w:p>
            <w:pPr>
              <w:pStyle w:val="TableContents"/>
              <w:bidi w:val="0"/>
              <w:spacing w:before="0" w:after="283"/>
              <w:jc w:val="left"/>
              <w:rPr/>
            </w:pPr>
            <w:r>
              <w:rPr/>
              <w:t>)</w:t>
            </w:r>
          </w:p>
        </w:tc>
        <w:tc>
          <w:tcPr>
            <w:tcW w:w="93" w:type="dxa"/>
            <w:tcBorders/>
            <w:shd w:fill="FFFFFF" w:val="clear"/>
            <w:vAlign w:val="center"/>
          </w:tcPr>
          <w:p>
            <w:pPr>
              <w:pStyle w:val="TableContents"/>
              <w:bidi w:val="0"/>
              <w:spacing w:before="0" w:after="283"/>
              <w:jc w:val="left"/>
              <w:rPr/>
            </w:pPr>
            <w:r>
              <w:rPr/>
              <w:t> </w:t>
            </w:r>
          </w:p>
        </w:tc>
        <w:tc>
          <w:tcPr>
            <w:tcW w:w="218"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062" w:type="dxa"/>
            <w:tcBorders>
              <w:bottom w:val="single" w:sz="12" w:space="0" w:color="000000"/>
            </w:tcBorders>
            <w:shd w:fill="FFFFFF" w:val="clear"/>
            <w:tcMar>
              <w:bottom w:w="28" w:type="dxa"/>
            </w:tcMar>
            <w:vAlign w:val="center"/>
          </w:tcPr>
          <w:p>
            <w:pPr>
              <w:pStyle w:val="TableContents"/>
              <w:bidi w:val="0"/>
              <w:spacing w:before="0" w:after="283"/>
              <w:jc w:val="right"/>
              <w:rPr/>
            </w:pPr>
            <w:r>
              <w:rPr/>
              <w:t>(19</w:t>
            </w:r>
          </w:p>
        </w:tc>
        <w:tc>
          <w:tcPr>
            <w:tcW w:w="110" w:type="dxa"/>
            <w:tcBorders/>
            <w:shd w:fill="FFFFFF" w:val="clear"/>
            <w:vAlign w:val="center"/>
          </w:tcPr>
          <w:p>
            <w:pPr>
              <w:pStyle w:val="TableContents"/>
              <w:bidi w:val="0"/>
              <w:spacing w:before="0" w:after="283"/>
              <w:jc w:val="left"/>
              <w:rPr/>
            </w:pPr>
            <w:r>
              <w:rPr/>
              <w:t>)</w:t>
            </w:r>
          </w:p>
        </w:tc>
      </w:tr>
      <w:tr>
        <w:trPr/>
        <w:tc>
          <w:tcPr>
            <w:tcW w:w="6830" w:type="dxa"/>
            <w:tcBorders/>
            <w:shd w:fill="CCEEFF" w:val="clear"/>
            <w:vAlign w:val="center"/>
          </w:tcPr>
          <w:p>
            <w:pPr>
              <w:pStyle w:val="TableContents"/>
              <w:bidi w:val="0"/>
              <w:spacing w:before="0" w:after="283"/>
              <w:jc w:val="left"/>
              <w:rPr>
                <w:b/>
              </w:rPr>
            </w:pPr>
            <w:r>
              <w:rPr>
                <w:b/>
              </w:rPr>
              <w:t>Cash flows from financing activities</w:t>
            </w:r>
          </w:p>
        </w:tc>
        <w:tc>
          <w:tcPr>
            <w:tcW w:w="60" w:type="dxa"/>
            <w:tcBorders/>
            <w:shd w:fill="CCEEFF" w:val="clear"/>
            <w:vAlign w:val="center"/>
          </w:tcPr>
          <w:p>
            <w:pPr>
              <w:pStyle w:val="TableContents"/>
              <w:bidi w:val="0"/>
              <w:spacing w:before="0" w:after="283"/>
              <w:jc w:val="left"/>
              <w:rPr/>
            </w:pPr>
            <w:r>
              <w:rPr/>
              <w:t> </w:t>
            </w:r>
          </w:p>
        </w:tc>
        <w:tc>
          <w:tcPr>
            <w:tcW w:w="218" w:type="dxa"/>
            <w:tcBorders/>
            <w:shd w:fill="CCEEFF" w:val="clear"/>
            <w:vAlign w:val="center"/>
          </w:tcPr>
          <w:p>
            <w:pPr>
              <w:pStyle w:val="TableContents"/>
              <w:bidi w:val="0"/>
              <w:spacing w:before="0" w:after="283"/>
              <w:jc w:val="left"/>
              <w:rPr/>
            </w:pPr>
            <w:r>
              <w:rPr/>
              <w:t> </w:t>
            </w:r>
          </w:p>
        </w:tc>
        <w:tc>
          <w:tcPr>
            <w:tcW w:w="992" w:type="dxa"/>
            <w:tcBorders/>
            <w:shd w:fill="CCEEFF" w:val="clear"/>
            <w:vAlign w:val="center"/>
          </w:tcPr>
          <w:p>
            <w:pPr>
              <w:pStyle w:val="TableContents"/>
              <w:bidi w:val="0"/>
              <w:spacing w:before="0" w:after="283"/>
              <w:jc w:val="right"/>
              <w:rPr/>
            </w:pPr>
            <w:r>
              <w:rPr/>
              <w:t> </w:t>
            </w:r>
          </w:p>
        </w:tc>
        <w:tc>
          <w:tcPr>
            <w:tcW w:w="148" w:type="dxa"/>
            <w:tcBorders/>
            <w:shd w:fill="CCEEFF" w:val="clear"/>
            <w:vAlign w:val="center"/>
          </w:tcPr>
          <w:p>
            <w:pPr>
              <w:pStyle w:val="TableContents"/>
              <w:bidi w:val="0"/>
              <w:spacing w:before="0" w:after="283"/>
              <w:jc w:val="left"/>
              <w:rPr/>
            </w:pPr>
            <w:r>
              <w:rPr/>
              <w:t> </w:t>
            </w:r>
          </w:p>
        </w:tc>
        <w:tc>
          <w:tcPr>
            <w:tcW w:w="93" w:type="dxa"/>
            <w:tcBorders/>
            <w:shd w:fill="CCEEFF" w:val="clear"/>
            <w:vAlign w:val="center"/>
          </w:tcPr>
          <w:p>
            <w:pPr>
              <w:pStyle w:val="TableContents"/>
              <w:bidi w:val="0"/>
              <w:spacing w:before="0" w:after="283"/>
              <w:jc w:val="left"/>
              <w:rPr/>
            </w:pPr>
            <w:r>
              <w:rPr/>
              <w:t> </w:t>
            </w:r>
          </w:p>
        </w:tc>
        <w:tc>
          <w:tcPr>
            <w:tcW w:w="218" w:type="dxa"/>
            <w:tcBorders/>
            <w:shd w:fill="CCEEFF" w:val="clear"/>
            <w:vAlign w:val="center"/>
          </w:tcPr>
          <w:p>
            <w:pPr>
              <w:pStyle w:val="TableContents"/>
              <w:bidi w:val="0"/>
              <w:spacing w:before="0" w:after="283"/>
              <w:jc w:val="left"/>
              <w:rPr/>
            </w:pPr>
            <w:r>
              <w:rPr/>
              <w:t> </w:t>
            </w:r>
          </w:p>
        </w:tc>
        <w:tc>
          <w:tcPr>
            <w:tcW w:w="1062"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6830" w:type="dxa"/>
            <w:tcBorders/>
            <w:shd w:fill="FFFFFF" w:val="clear"/>
            <w:vAlign w:val="center"/>
          </w:tcPr>
          <w:p>
            <w:pPr>
              <w:pStyle w:val="TableContents"/>
              <w:bidi w:val="0"/>
              <w:spacing w:before="0" w:after="283"/>
              <w:jc w:val="left"/>
              <w:rPr/>
            </w:pPr>
            <w:r>
              <w:rPr/>
              <w:t>Borrowing on line of credit</w:t>
            </w:r>
          </w:p>
        </w:tc>
        <w:tc>
          <w:tcPr>
            <w:tcW w:w="60" w:type="dxa"/>
            <w:tcBorders/>
            <w:shd w:fill="FFFFFF" w:val="clear"/>
            <w:vAlign w:val="center"/>
          </w:tcPr>
          <w:p>
            <w:pPr>
              <w:pStyle w:val="TableContents"/>
              <w:bidi w:val="0"/>
              <w:spacing w:before="0" w:after="283"/>
              <w:jc w:val="left"/>
              <w:rPr/>
            </w:pPr>
            <w:r>
              <w:rPr/>
              <w:t> </w:t>
            </w:r>
          </w:p>
        </w:tc>
        <w:tc>
          <w:tcPr>
            <w:tcW w:w="218" w:type="dxa"/>
            <w:tcBorders/>
            <w:shd w:fill="FFFFFF" w:val="clear"/>
            <w:vAlign w:val="center"/>
          </w:tcPr>
          <w:p>
            <w:pPr>
              <w:pStyle w:val="TableContents"/>
              <w:bidi w:val="0"/>
              <w:spacing w:before="0" w:after="283"/>
              <w:jc w:val="left"/>
              <w:rPr/>
            </w:pPr>
            <w:r>
              <w:rPr/>
              <w:t> </w:t>
            </w:r>
          </w:p>
        </w:tc>
        <w:tc>
          <w:tcPr>
            <w:tcW w:w="992" w:type="dxa"/>
            <w:tcBorders/>
            <w:shd w:fill="FFFFFF" w:val="clear"/>
            <w:vAlign w:val="center"/>
          </w:tcPr>
          <w:p>
            <w:pPr>
              <w:pStyle w:val="TableContents"/>
              <w:bidi w:val="0"/>
              <w:spacing w:before="0" w:after="283"/>
              <w:jc w:val="right"/>
              <w:rPr/>
            </w:pPr>
            <w:r>
              <w:rPr/>
              <w:t>—</w:t>
            </w:r>
          </w:p>
        </w:tc>
        <w:tc>
          <w:tcPr>
            <w:tcW w:w="148" w:type="dxa"/>
            <w:tcBorders/>
            <w:shd w:fill="FFFFFF" w:val="clear"/>
            <w:vAlign w:val="center"/>
          </w:tcPr>
          <w:p>
            <w:pPr>
              <w:pStyle w:val="TableContents"/>
              <w:bidi w:val="0"/>
              <w:spacing w:before="0" w:after="283"/>
              <w:jc w:val="left"/>
              <w:rPr/>
            </w:pPr>
            <w:r>
              <w:rPr/>
              <w:t> </w:t>
            </w:r>
          </w:p>
        </w:tc>
        <w:tc>
          <w:tcPr>
            <w:tcW w:w="93" w:type="dxa"/>
            <w:tcBorders/>
            <w:shd w:fill="FFFFFF" w:val="clear"/>
            <w:vAlign w:val="center"/>
          </w:tcPr>
          <w:p>
            <w:pPr>
              <w:pStyle w:val="TableContents"/>
              <w:bidi w:val="0"/>
              <w:spacing w:before="0" w:after="283"/>
              <w:jc w:val="left"/>
              <w:rPr/>
            </w:pPr>
            <w:r>
              <w:rPr/>
              <w:t> </w:t>
            </w:r>
          </w:p>
        </w:tc>
        <w:tc>
          <w:tcPr>
            <w:tcW w:w="218" w:type="dxa"/>
            <w:tcBorders/>
            <w:shd w:fill="FFFFFF" w:val="clear"/>
            <w:vAlign w:val="center"/>
          </w:tcPr>
          <w:p>
            <w:pPr>
              <w:pStyle w:val="TableContents"/>
              <w:bidi w:val="0"/>
              <w:spacing w:before="0" w:after="283"/>
              <w:jc w:val="left"/>
              <w:rPr/>
            </w:pPr>
            <w:r>
              <w:rPr/>
              <w:t> </w:t>
            </w:r>
          </w:p>
        </w:tc>
        <w:tc>
          <w:tcPr>
            <w:tcW w:w="1062" w:type="dxa"/>
            <w:tcBorders/>
            <w:shd w:fill="FFFFFF" w:val="clear"/>
            <w:vAlign w:val="center"/>
          </w:tcPr>
          <w:p>
            <w:pPr>
              <w:pStyle w:val="TableContents"/>
              <w:bidi w:val="0"/>
              <w:spacing w:before="0" w:after="283"/>
              <w:jc w:val="right"/>
              <w:rPr/>
            </w:pPr>
            <w:r>
              <w:rPr/>
              <w:t>500</w:t>
            </w:r>
          </w:p>
        </w:tc>
        <w:tc>
          <w:tcPr>
            <w:tcW w:w="110" w:type="dxa"/>
            <w:tcBorders/>
            <w:shd w:fill="FFFFFF" w:val="clear"/>
            <w:vAlign w:val="center"/>
          </w:tcPr>
          <w:p>
            <w:pPr>
              <w:pStyle w:val="TableContents"/>
              <w:bidi w:val="0"/>
              <w:spacing w:before="0" w:after="283"/>
              <w:jc w:val="left"/>
              <w:rPr/>
            </w:pPr>
            <w:r>
              <w:rPr/>
              <w:t> </w:t>
            </w:r>
          </w:p>
        </w:tc>
      </w:tr>
      <w:tr>
        <w:trPr/>
        <w:tc>
          <w:tcPr>
            <w:tcW w:w="6830" w:type="dxa"/>
            <w:tcBorders/>
            <w:shd w:fill="CCEEFF" w:val="clear"/>
            <w:vAlign w:val="center"/>
          </w:tcPr>
          <w:p>
            <w:pPr>
              <w:pStyle w:val="TableContents"/>
              <w:bidi w:val="0"/>
              <w:spacing w:before="0" w:after="283"/>
              <w:jc w:val="left"/>
              <w:rPr/>
            </w:pPr>
            <w:r>
              <w:rPr/>
              <w:t>Capital contributions</w:t>
            </w:r>
          </w:p>
        </w:tc>
        <w:tc>
          <w:tcPr>
            <w:tcW w:w="60" w:type="dxa"/>
            <w:tcBorders/>
            <w:shd w:fill="CCEEFF" w:val="clear"/>
            <w:vAlign w:val="center"/>
          </w:tcPr>
          <w:p>
            <w:pPr>
              <w:pStyle w:val="TableContents"/>
              <w:bidi w:val="0"/>
              <w:spacing w:before="0" w:after="283"/>
              <w:jc w:val="left"/>
              <w:rPr/>
            </w:pPr>
            <w:r>
              <w:rPr/>
              <w:t> </w:t>
            </w:r>
          </w:p>
        </w:tc>
        <w:tc>
          <w:tcPr>
            <w:tcW w:w="218" w:type="dxa"/>
            <w:tcBorders/>
            <w:shd w:fill="CCEEFF" w:val="clear"/>
            <w:vAlign w:val="center"/>
          </w:tcPr>
          <w:p>
            <w:pPr>
              <w:pStyle w:val="TableContents"/>
              <w:bidi w:val="0"/>
              <w:spacing w:before="0" w:after="283"/>
              <w:jc w:val="left"/>
              <w:rPr/>
            </w:pPr>
            <w:r>
              <w:rPr/>
              <w:t> </w:t>
            </w:r>
          </w:p>
        </w:tc>
        <w:tc>
          <w:tcPr>
            <w:tcW w:w="992" w:type="dxa"/>
            <w:tcBorders/>
            <w:shd w:fill="CCEEFF" w:val="clear"/>
            <w:vAlign w:val="center"/>
          </w:tcPr>
          <w:p>
            <w:pPr>
              <w:pStyle w:val="TableContents"/>
              <w:bidi w:val="0"/>
              <w:spacing w:before="0" w:after="283"/>
              <w:jc w:val="right"/>
              <w:rPr/>
            </w:pPr>
            <w:r>
              <w:rPr/>
              <w:t>1,000</w:t>
            </w:r>
          </w:p>
        </w:tc>
        <w:tc>
          <w:tcPr>
            <w:tcW w:w="148" w:type="dxa"/>
            <w:tcBorders/>
            <w:shd w:fill="CCEEFF" w:val="clear"/>
            <w:vAlign w:val="center"/>
          </w:tcPr>
          <w:p>
            <w:pPr>
              <w:pStyle w:val="TableContents"/>
              <w:bidi w:val="0"/>
              <w:spacing w:before="0" w:after="283"/>
              <w:jc w:val="left"/>
              <w:rPr/>
            </w:pPr>
            <w:r>
              <w:rPr/>
              <w:t> </w:t>
            </w:r>
          </w:p>
        </w:tc>
        <w:tc>
          <w:tcPr>
            <w:tcW w:w="93" w:type="dxa"/>
            <w:tcBorders/>
            <w:shd w:fill="CCEEFF" w:val="clear"/>
            <w:vAlign w:val="center"/>
          </w:tcPr>
          <w:p>
            <w:pPr>
              <w:pStyle w:val="TableContents"/>
              <w:bidi w:val="0"/>
              <w:spacing w:before="0" w:after="283"/>
              <w:jc w:val="left"/>
              <w:rPr/>
            </w:pPr>
            <w:r>
              <w:rPr/>
              <w:t> </w:t>
            </w:r>
          </w:p>
        </w:tc>
        <w:tc>
          <w:tcPr>
            <w:tcW w:w="218" w:type="dxa"/>
            <w:tcBorders/>
            <w:shd w:fill="CCEEFF" w:val="clear"/>
            <w:vAlign w:val="center"/>
          </w:tcPr>
          <w:p>
            <w:pPr>
              <w:pStyle w:val="TableContents"/>
              <w:bidi w:val="0"/>
              <w:spacing w:before="0" w:after="283"/>
              <w:jc w:val="left"/>
              <w:rPr/>
            </w:pPr>
            <w:r>
              <w:rPr/>
              <w:t> </w:t>
            </w:r>
          </w:p>
        </w:tc>
        <w:tc>
          <w:tcPr>
            <w:tcW w:w="1062" w:type="dxa"/>
            <w:tcBorders/>
            <w:shd w:fill="CCEEFF" w:val="clear"/>
            <w:vAlign w:val="center"/>
          </w:tcPr>
          <w:p>
            <w:pPr>
              <w:pStyle w:val="TableContents"/>
              <w:bidi w:val="0"/>
              <w:spacing w:before="0" w:after="283"/>
              <w:jc w:val="right"/>
              <w:rPr/>
            </w:pPr>
            <w:r>
              <w:rPr/>
              <w:t>1,800</w:t>
            </w:r>
          </w:p>
        </w:tc>
        <w:tc>
          <w:tcPr>
            <w:tcW w:w="110" w:type="dxa"/>
            <w:tcBorders/>
            <w:shd w:fill="CCEEFF" w:val="clear"/>
            <w:vAlign w:val="center"/>
          </w:tcPr>
          <w:p>
            <w:pPr>
              <w:pStyle w:val="TableContents"/>
              <w:bidi w:val="0"/>
              <w:spacing w:before="0" w:after="283"/>
              <w:jc w:val="left"/>
              <w:rPr/>
            </w:pPr>
            <w:r>
              <w:rPr/>
              <w:t> </w:t>
            </w:r>
          </w:p>
        </w:tc>
      </w:tr>
      <w:tr>
        <w:trPr/>
        <w:tc>
          <w:tcPr>
            <w:tcW w:w="6830" w:type="dxa"/>
            <w:tcBorders/>
            <w:shd w:fill="FFFFFF" w:val="clear"/>
            <w:vAlign w:val="center"/>
          </w:tcPr>
          <w:p>
            <w:pPr>
              <w:pStyle w:val="TableContents"/>
              <w:bidi w:val="0"/>
              <w:spacing w:before="0" w:after="283"/>
              <w:jc w:val="left"/>
              <w:rPr/>
            </w:pPr>
            <w:r>
              <w:rPr/>
              <w:t>Distributions</w:t>
            </w:r>
          </w:p>
        </w:tc>
        <w:tc>
          <w:tcPr>
            <w:tcW w:w="60" w:type="dxa"/>
            <w:tcBorders/>
            <w:shd w:fill="FFFFFF" w:val="clear"/>
            <w:vAlign w:val="center"/>
          </w:tcPr>
          <w:p>
            <w:pPr>
              <w:pStyle w:val="TableContents"/>
              <w:bidi w:val="0"/>
              <w:spacing w:before="0" w:after="283"/>
              <w:jc w:val="left"/>
              <w:rPr/>
            </w:pPr>
            <w:r>
              <w:rPr/>
              <w:t> </w:t>
            </w:r>
          </w:p>
        </w:tc>
        <w:tc>
          <w:tcPr>
            <w:tcW w:w="218"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992" w:type="dxa"/>
            <w:tcBorders>
              <w:bottom w:val="single" w:sz="12" w:space="0" w:color="000000"/>
            </w:tcBorders>
            <w:shd w:fill="FFFFFF" w:val="clear"/>
            <w:tcMar>
              <w:bottom w:w="28" w:type="dxa"/>
            </w:tcMar>
            <w:vAlign w:val="center"/>
          </w:tcPr>
          <w:p>
            <w:pPr>
              <w:pStyle w:val="TableContents"/>
              <w:bidi w:val="0"/>
              <w:spacing w:before="0" w:after="283"/>
              <w:jc w:val="right"/>
              <w:rPr/>
            </w:pPr>
            <w:r>
              <w:rPr/>
              <w:t>(16</w:t>
            </w:r>
          </w:p>
        </w:tc>
        <w:tc>
          <w:tcPr>
            <w:tcW w:w="148" w:type="dxa"/>
            <w:tcBorders/>
            <w:shd w:fill="FFFFFF" w:val="clear"/>
            <w:vAlign w:val="center"/>
          </w:tcPr>
          <w:p>
            <w:pPr>
              <w:pStyle w:val="TableContents"/>
              <w:bidi w:val="0"/>
              <w:spacing w:before="0" w:after="283"/>
              <w:jc w:val="left"/>
              <w:rPr/>
            </w:pPr>
            <w:r>
              <w:rPr/>
              <w:t>)</w:t>
            </w:r>
          </w:p>
        </w:tc>
        <w:tc>
          <w:tcPr>
            <w:tcW w:w="93" w:type="dxa"/>
            <w:tcBorders/>
            <w:shd w:fill="FFFFFF" w:val="clear"/>
            <w:vAlign w:val="center"/>
          </w:tcPr>
          <w:p>
            <w:pPr>
              <w:pStyle w:val="TableContents"/>
              <w:bidi w:val="0"/>
              <w:spacing w:before="0" w:after="283"/>
              <w:jc w:val="left"/>
              <w:rPr/>
            </w:pPr>
            <w:r>
              <w:rPr/>
              <w:t> </w:t>
            </w:r>
          </w:p>
        </w:tc>
        <w:tc>
          <w:tcPr>
            <w:tcW w:w="218"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062" w:type="dxa"/>
            <w:tcBorders>
              <w:bottom w:val="single" w:sz="12" w:space="0" w:color="000000"/>
            </w:tcBorders>
            <w:shd w:fill="FFFFFF" w:val="clear"/>
            <w:tcMar>
              <w:bottom w:w="28" w:type="dxa"/>
            </w:tcMar>
            <w:vAlign w:val="center"/>
          </w:tcPr>
          <w:p>
            <w:pPr>
              <w:pStyle w:val="TableContents"/>
              <w:bidi w:val="0"/>
              <w:spacing w:before="0" w:after="283"/>
              <w:jc w:val="right"/>
              <w:rPr/>
            </w:pPr>
            <w:r>
              <w:rPr/>
              <w:t>(181</w:t>
            </w:r>
          </w:p>
        </w:tc>
        <w:tc>
          <w:tcPr>
            <w:tcW w:w="110" w:type="dxa"/>
            <w:tcBorders/>
            <w:shd w:fill="FFFFFF" w:val="clear"/>
            <w:vAlign w:val="center"/>
          </w:tcPr>
          <w:p>
            <w:pPr>
              <w:pStyle w:val="TableContents"/>
              <w:bidi w:val="0"/>
              <w:spacing w:before="0" w:after="283"/>
              <w:jc w:val="left"/>
              <w:rPr/>
            </w:pPr>
            <w:r>
              <w:rPr/>
              <w:t>)</w:t>
            </w:r>
          </w:p>
        </w:tc>
      </w:tr>
      <w:tr>
        <w:trPr/>
        <w:tc>
          <w:tcPr>
            <w:tcW w:w="6830" w:type="dxa"/>
            <w:tcBorders/>
            <w:shd w:fill="CCEEFF" w:val="clear"/>
            <w:vAlign w:val="center"/>
          </w:tcPr>
          <w:p>
            <w:pPr>
              <w:pStyle w:val="TableContents"/>
              <w:bidi w:val="0"/>
              <w:spacing w:before="0" w:after="283"/>
              <w:jc w:val="left"/>
              <w:rPr/>
            </w:pPr>
            <w:r>
              <w:rPr/>
              <w:t>Net cash provided by financing activities</w:t>
            </w:r>
          </w:p>
        </w:tc>
        <w:tc>
          <w:tcPr>
            <w:tcW w:w="60" w:type="dxa"/>
            <w:tcBorders/>
            <w:shd w:fill="CCEEFF" w:val="clear"/>
            <w:vAlign w:val="center"/>
          </w:tcPr>
          <w:p>
            <w:pPr>
              <w:pStyle w:val="TableContents"/>
              <w:bidi w:val="0"/>
              <w:spacing w:before="0" w:after="283"/>
              <w:jc w:val="left"/>
              <w:rPr/>
            </w:pPr>
            <w:r>
              <w:rPr/>
              <w:t> </w:t>
            </w:r>
          </w:p>
        </w:tc>
        <w:tc>
          <w:tcPr>
            <w:tcW w:w="218"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92" w:type="dxa"/>
            <w:tcBorders>
              <w:bottom w:val="single" w:sz="12" w:space="0" w:color="000000"/>
            </w:tcBorders>
            <w:shd w:fill="CCEEFF" w:val="clear"/>
            <w:tcMar>
              <w:bottom w:w="28" w:type="dxa"/>
            </w:tcMar>
            <w:vAlign w:val="center"/>
          </w:tcPr>
          <w:p>
            <w:pPr>
              <w:pStyle w:val="TableContents"/>
              <w:bidi w:val="0"/>
              <w:spacing w:before="0" w:after="283"/>
              <w:jc w:val="right"/>
              <w:rPr/>
            </w:pPr>
            <w:r>
              <w:rPr/>
              <w:t>984</w:t>
            </w:r>
          </w:p>
        </w:tc>
        <w:tc>
          <w:tcPr>
            <w:tcW w:w="148" w:type="dxa"/>
            <w:tcBorders/>
            <w:shd w:fill="CCEEFF" w:val="clear"/>
            <w:vAlign w:val="center"/>
          </w:tcPr>
          <w:p>
            <w:pPr>
              <w:pStyle w:val="TableContents"/>
              <w:bidi w:val="0"/>
              <w:spacing w:before="0" w:after="283"/>
              <w:jc w:val="left"/>
              <w:rPr/>
            </w:pPr>
            <w:r>
              <w:rPr/>
              <w:t> </w:t>
            </w:r>
          </w:p>
        </w:tc>
        <w:tc>
          <w:tcPr>
            <w:tcW w:w="93" w:type="dxa"/>
            <w:tcBorders/>
            <w:shd w:fill="CCEEFF" w:val="clear"/>
            <w:vAlign w:val="center"/>
          </w:tcPr>
          <w:p>
            <w:pPr>
              <w:pStyle w:val="TableContents"/>
              <w:bidi w:val="0"/>
              <w:spacing w:before="0" w:after="283"/>
              <w:jc w:val="left"/>
              <w:rPr/>
            </w:pPr>
            <w:r>
              <w:rPr/>
              <w:t> </w:t>
            </w:r>
          </w:p>
        </w:tc>
        <w:tc>
          <w:tcPr>
            <w:tcW w:w="218"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62" w:type="dxa"/>
            <w:tcBorders>
              <w:bottom w:val="single" w:sz="12" w:space="0" w:color="000000"/>
            </w:tcBorders>
            <w:shd w:fill="CCEEFF" w:val="clear"/>
            <w:tcMar>
              <w:bottom w:w="28" w:type="dxa"/>
            </w:tcMar>
            <w:vAlign w:val="center"/>
          </w:tcPr>
          <w:p>
            <w:pPr>
              <w:pStyle w:val="TableContents"/>
              <w:bidi w:val="0"/>
              <w:spacing w:before="0" w:after="283"/>
              <w:jc w:val="right"/>
              <w:rPr/>
            </w:pPr>
            <w:r>
              <w:rPr/>
              <w:t>2,119</w:t>
            </w:r>
          </w:p>
        </w:tc>
        <w:tc>
          <w:tcPr>
            <w:tcW w:w="110" w:type="dxa"/>
            <w:tcBorders/>
            <w:shd w:fill="CCEEFF" w:val="clear"/>
            <w:vAlign w:val="center"/>
          </w:tcPr>
          <w:p>
            <w:pPr>
              <w:pStyle w:val="TableContents"/>
              <w:bidi w:val="0"/>
              <w:spacing w:before="0" w:after="283"/>
              <w:jc w:val="left"/>
              <w:rPr/>
            </w:pPr>
            <w:r>
              <w:rPr/>
              <w:t> </w:t>
            </w:r>
          </w:p>
        </w:tc>
      </w:tr>
      <w:tr>
        <w:trPr/>
        <w:tc>
          <w:tcPr>
            <w:tcW w:w="6830" w:type="dxa"/>
            <w:tcBorders/>
            <w:shd w:fill="FFFFFF" w:val="clear"/>
            <w:vAlign w:val="center"/>
          </w:tcPr>
          <w:p>
            <w:pPr>
              <w:pStyle w:val="TableContents"/>
              <w:bidi w:val="0"/>
              <w:spacing w:before="0" w:after="283"/>
              <w:jc w:val="left"/>
              <w:rPr/>
            </w:pPr>
            <w:r>
              <w:rPr/>
              <w:t>Net (decrease) increase in cash and cash equivalents</w:t>
            </w:r>
          </w:p>
        </w:tc>
        <w:tc>
          <w:tcPr>
            <w:tcW w:w="60" w:type="dxa"/>
            <w:tcBorders/>
            <w:shd w:fill="FFFFFF" w:val="clear"/>
            <w:vAlign w:val="center"/>
          </w:tcPr>
          <w:p>
            <w:pPr>
              <w:pStyle w:val="TableContents"/>
              <w:bidi w:val="0"/>
              <w:spacing w:before="0" w:after="283"/>
              <w:jc w:val="left"/>
              <w:rPr/>
            </w:pPr>
            <w:r>
              <w:rPr/>
              <w:t> </w:t>
            </w:r>
          </w:p>
        </w:tc>
        <w:tc>
          <w:tcPr>
            <w:tcW w:w="218"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992" w:type="dxa"/>
            <w:tcBorders>
              <w:bottom w:val="single" w:sz="12" w:space="0" w:color="000000"/>
            </w:tcBorders>
            <w:shd w:fill="FFFFFF" w:val="clear"/>
            <w:tcMar>
              <w:bottom w:w="28" w:type="dxa"/>
            </w:tcMar>
            <w:vAlign w:val="center"/>
          </w:tcPr>
          <w:p>
            <w:pPr>
              <w:pStyle w:val="TableContents"/>
              <w:bidi w:val="0"/>
              <w:spacing w:before="0" w:after="283"/>
              <w:jc w:val="right"/>
              <w:rPr/>
            </w:pPr>
            <w:r>
              <w:rPr/>
              <w:t>(764</w:t>
            </w:r>
          </w:p>
        </w:tc>
        <w:tc>
          <w:tcPr>
            <w:tcW w:w="148" w:type="dxa"/>
            <w:tcBorders/>
            <w:shd w:fill="FFFFFF" w:val="clear"/>
            <w:vAlign w:val="center"/>
          </w:tcPr>
          <w:p>
            <w:pPr>
              <w:pStyle w:val="TableContents"/>
              <w:bidi w:val="0"/>
              <w:spacing w:before="0" w:after="283"/>
              <w:jc w:val="left"/>
              <w:rPr/>
            </w:pPr>
            <w:r>
              <w:rPr/>
              <w:t>)</w:t>
            </w:r>
          </w:p>
        </w:tc>
        <w:tc>
          <w:tcPr>
            <w:tcW w:w="93" w:type="dxa"/>
            <w:tcBorders/>
            <w:shd w:fill="FFFFFF" w:val="clear"/>
            <w:vAlign w:val="center"/>
          </w:tcPr>
          <w:p>
            <w:pPr>
              <w:pStyle w:val="TableContents"/>
              <w:bidi w:val="0"/>
              <w:spacing w:before="0" w:after="283"/>
              <w:jc w:val="left"/>
              <w:rPr/>
            </w:pPr>
            <w:r>
              <w:rPr/>
              <w:t> </w:t>
            </w:r>
          </w:p>
        </w:tc>
        <w:tc>
          <w:tcPr>
            <w:tcW w:w="218"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062" w:type="dxa"/>
            <w:tcBorders>
              <w:bottom w:val="single" w:sz="12" w:space="0" w:color="000000"/>
            </w:tcBorders>
            <w:shd w:fill="FFFFFF" w:val="clear"/>
            <w:tcMar>
              <w:bottom w:w="28" w:type="dxa"/>
            </w:tcMar>
            <w:vAlign w:val="center"/>
          </w:tcPr>
          <w:p>
            <w:pPr>
              <w:pStyle w:val="TableContents"/>
              <w:bidi w:val="0"/>
              <w:spacing w:before="0" w:after="283"/>
              <w:jc w:val="right"/>
              <w:rPr/>
            </w:pPr>
            <w:r>
              <w:rPr/>
              <w:t>284</w:t>
            </w:r>
          </w:p>
        </w:tc>
        <w:tc>
          <w:tcPr>
            <w:tcW w:w="110" w:type="dxa"/>
            <w:tcBorders/>
            <w:shd w:fill="FFFFFF" w:val="clear"/>
            <w:vAlign w:val="center"/>
          </w:tcPr>
          <w:p>
            <w:pPr>
              <w:pStyle w:val="TableContents"/>
              <w:bidi w:val="0"/>
              <w:spacing w:before="0" w:after="283"/>
              <w:jc w:val="left"/>
              <w:rPr/>
            </w:pPr>
            <w:r>
              <w:rPr/>
              <w:t> </w:t>
            </w:r>
          </w:p>
        </w:tc>
      </w:tr>
      <w:tr>
        <w:trPr/>
        <w:tc>
          <w:tcPr>
            <w:tcW w:w="6830" w:type="dxa"/>
            <w:tcBorders/>
            <w:shd w:fill="CCEEFF" w:val="clear"/>
            <w:vAlign w:val="center"/>
          </w:tcPr>
          <w:p>
            <w:pPr>
              <w:pStyle w:val="TableContents"/>
              <w:bidi w:val="0"/>
              <w:spacing w:before="0" w:after="283"/>
              <w:jc w:val="left"/>
              <w:rPr/>
            </w:pPr>
            <w:r>
              <w:rPr/>
              <w:t>Cash and restricted cash at beginning of period</w:t>
            </w:r>
          </w:p>
        </w:tc>
        <w:tc>
          <w:tcPr>
            <w:tcW w:w="60" w:type="dxa"/>
            <w:tcBorders/>
            <w:shd w:fill="CCEEFF" w:val="clear"/>
            <w:vAlign w:val="center"/>
          </w:tcPr>
          <w:p>
            <w:pPr>
              <w:pStyle w:val="TableContents"/>
              <w:bidi w:val="0"/>
              <w:spacing w:before="0" w:after="283"/>
              <w:jc w:val="left"/>
              <w:rPr/>
            </w:pPr>
            <w:r>
              <w:rPr/>
              <w:t> </w:t>
            </w:r>
          </w:p>
        </w:tc>
        <w:tc>
          <w:tcPr>
            <w:tcW w:w="218"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92" w:type="dxa"/>
            <w:tcBorders>
              <w:bottom w:val="single" w:sz="12" w:space="0" w:color="000000"/>
            </w:tcBorders>
            <w:shd w:fill="CCEEFF" w:val="clear"/>
            <w:tcMar>
              <w:bottom w:w="28" w:type="dxa"/>
            </w:tcMar>
            <w:vAlign w:val="center"/>
          </w:tcPr>
          <w:p>
            <w:pPr>
              <w:pStyle w:val="TableContents"/>
              <w:bidi w:val="0"/>
              <w:spacing w:before="0" w:after="283"/>
              <w:jc w:val="right"/>
              <w:rPr/>
            </w:pPr>
            <w:r>
              <w:rPr/>
              <w:t>3,542</w:t>
            </w:r>
          </w:p>
        </w:tc>
        <w:tc>
          <w:tcPr>
            <w:tcW w:w="148" w:type="dxa"/>
            <w:tcBorders/>
            <w:shd w:fill="CCEEFF" w:val="clear"/>
            <w:vAlign w:val="center"/>
          </w:tcPr>
          <w:p>
            <w:pPr>
              <w:pStyle w:val="TableContents"/>
              <w:bidi w:val="0"/>
              <w:spacing w:before="0" w:after="283"/>
              <w:jc w:val="left"/>
              <w:rPr/>
            </w:pPr>
            <w:r>
              <w:rPr/>
              <w:t> </w:t>
            </w:r>
          </w:p>
        </w:tc>
        <w:tc>
          <w:tcPr>
            <w:tcW w:w="93" w:type="dxa"/>
            <w:tcBorders/>
            <w:shd w:fill="CCEEFF" w:val="clear"/>
            <w:vAlign w:val="center"/>
          </w:tcPr>
          <w:p>
            <w:pPr>
              <w:pStyle w:val="TableContents"/>
              <w:bidi w:val="0"/>
              <w:spacing w:before="0" w:after="283"/>
              <w:jc w:val="left"/>
              <w:rPr/>
            </w:pPr>
            <w:r>
              <w:rPr/>
              <w:t> </w:t>
            </w:r>
          </w:p>
        </w:tc>
        <w:tc>
          <w:tcPr>
            <w:tcW w:w="218"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62" w:type="dxa"/>
            <w:tcBorders>
              <w:bottom w:val="single" w:sz="12" w:space="0" w:color="000000"/>
            </w:tcBorders>
            <w:shd w:fill="CCEEFF" w:val="clear"/>
            <w:tcMar>
              <w:bottom w:w="28" w:type="dxa"/>
            </w:tcMar>
            <w:vAlign w:val="center"/>
          </w:tcPr>
          <w:p>
            <w:pPr>
              <w:pStyle w:val="TableContents"/>
              <w:bidi w:val="0"/>
              <w:spacing w:before="0" w:after="283"/>
              <w:jc w:val="right"/>
              <w:rPr/>
            </w:pPr>
            <w:r>
              <w:rPr/>
              <w:t>1,710</w:t>
            </w:r>
          </w:p>
        </w:tc>
        <w:tc>
          <w:tcPr>
            <w:tcW w:w="110" w:type="dxa"/>
            <w:tcBorders/>
            <w:shd w:fill="CCEEFF" w:val="clear"/>
            <w:vAlign w:val="center"/>
          </w:tcPr>
          <w:p>
            <w:pPr>
              <w:pStyle w:val="TableContents"/>
              <w:bidi w:val="0"/>
              <w:spacing w:before="0" w:after="283"/>
              <w:jc w:val="left"/>
              <w:rPr/>
            </w:pPr>
            <w:r>
              <w:rPr/>
              <w:t> </w:t>
            </w:r>
          </w:p>
        </w:tc>
      </w:tr>
      <w:tr>
        <w:trPr/>
        <w:tc>
          <w:tcPr>
            <w:tcW w:w="6830" w:type="dxa"/>
            <w:tcBorders/>
            <w:shd w:fill="FFFFFF" w:val="clear"/>
            <w:vAlign w:val="center"/>
          </w:tcPr>
          <w:p>
            <w:pPr>
              <w:pStyle w:val="TableContents"/>
              <w:bidi w:val="0"/>
              <w:spacing w:before="0" w:after="283"/>
              <w:jc w:val="left"/>
              <w:rPr/>
            </w:pPr>
            <w:r>
              <w:rPr/>
              <w:t>Cash and restricted cash at end of period</w:t>
            </w:r>
          </w:p>
        </w:tc>
        <w:tc>
          <w:tcPr>
            <w:tcW w:w="60" w:type="dxa"/>
            <w:tcBorders/>
            <w:shd w:fill="FFFFFF" w:val="clear"/>
            <w:vAlign w:val="center"/>
          </w:tcPr>
          <w:p>
            <w:pPr>
              <w:pStyle w:val="TableContents"/>
              <w:bidi w:val="0"/>
              <w:spacing w:before="0" w:after="283"/>
              <w:jc w:val="left"/>
              <w:rPr/>
            </w:pPr>
            <w:r>
              <w:rPr/>
              <w:t> </w:t>
            </w:r>
          </w:p>
        </w:tc>
        <w:tc>
          <w:tcPr>
            <w:tcW w:w="218" w:type="dxa"/>
            <w:tcBorders>
              <w:bottom w:val="double" w:sz="10" w:space="0" w:color="000000"/>
            </w:tcBorders>
            <w:shd w:fill="FFFFFF" w:val="clear"/>
            <w:tcMar>
              <w:bottom w:w="28" w:type="dxa"/>
            </w:tcMar>
            <w:vAlign w:val="center"/>
          </w:tcPr>
          <w:p>
            <w:pPr>
              <w:pStyle w:val="TableContents"/>
              <w:bidi w:val="0"/>
              <w:spacing w:before="0" w:after="283"/>
              <w:jc w:val="left"/>
              <w:rPr/>
            </w:pPr>
            <w:r>
              <w:rPr/>
              <w:t>$</w:t>
            </w:r>
          </w:p>
        </w:tc>
        <w:tc>
          <w:tcPr>
            <w:tcW w:w="992" w:type="dxa"/>
            <w:tcBorders>
              <w:bottom w:val="double" w:sz="10" w:space="0" w:color="000000"/>
            </w:tcBorders>
            <w:shd w:fill="FFFFFF" w:val="clear"/>
            <w:tcMar>
              <w:bottom w:w="28" w:type="dxa"/>
            </w:tcMar>
            <w:vAlign w:val="center"/>
          </w:tcPr>
          <w:p>
            <w:pPr>
              <w:pStyle w:val="TableContents"/>
              <w:bidi w:val="0"/>
              <w:spacing w:before="0" w:after="283"/>
              <w:jc w:val="right"/>
              <w:rPr/>
            </w:pPr>
            <w:r>
              <w:rPr/>
              <w:t>2,778</w:t>
            </w:r>
          </w:p>
        </w:tc>
        <w:tc>
          <w:tcPr>
            <w:tcW w:w="148" w:type="dxa"/>
            <w:tcBorders/>
            <w:shd w:fill="FFFFFF" w:val="clear"/>
            <w:vAlign w:val="center"/>
          </w:tcPr>
          <w:p>
            <w:pPr>
              <w:pStyle w:val="TableContents"/>
              <w:bidi w:val="0"/>
              <w:spacing w:before="0" w:after="283"/>
              <w:jc w:val="left"/>
              <w:rPr/>
            </w:pPr>
            <w:r>
              <w:rPr/>
              <w:t> </w:t>
            </w:r>
          </w:p>
        </w:tc>
        <w:tc>
          <w:tcPr>
            <w:tcW w:w="93" w:type="dxa"/>
            <w:tcBorders/>
            <w:shd w:fill="FFFFFF" w:val="clear"/>
            <w:vAlign w:val="center"/>
          </w:tcPr>
          <w:p>
            <w:pPr>
              <w:pStyle w:val="TableContents"/>
              <w:bidi w:val="0"/>
              <w:spacing w:before="0" w:after="283"/>
              <w:jc w:val="left"/>
              <w:rPr/>
            </w:pPr>
            <w:r>
              <w:rPr/>
              <w:t> </w:t>
            </w:r>
          </w:p>
        </w:tc>
        <w:tc>
          <w:tcPr>
            <w:tcW w:w="218" w:type="dxa"/>
            <w:tcBorders>
              <w:bottom w:val="double" w:sz="10" w:space="0" w:color="000000"/>
            </w:tcBorders>
            <w:shd w:fill="FFFFFF" w:val="clear"/>
            <w:tcMar>
              <w:bottom w:w="28" w:type="dxa"/>
            </w:tcMar>
            <w:vAlign w:val="center"/>
          </w:tcPr>
          <w:p>
            <w:pPr>
              <w:pStyle w:val="TableContents"/>
              <w:bidi w:val="0"/>
              <w:spacing w:before="0" w:after="283"/>
              <w:jc w:val="left"/>
              <w:rPr/>
            </w:pPr>
            <w:r>
              <w:rPr/>
              <w:t>$</w:t>
            </w:r>
          </w:p>
        </w:tc>
        <w:tc>
          <w:tcPr>
            <w:tcW w:w="1062" w:type="dxa"/>
            <w:tcBorders>
              <w:bottom w:val="double" w:sz="10" w:space="0" w:color="000000"/>
            </w:tcBorders>
            <w:shd w:fill="FFFFFF" w:val="clear"/>
            <w:tcMar>
              <w:bottom w:w="28" w:type="dxa"/>
            </w:tcMar>
            <w:vAlign w:val="center"/>
          </w:tcPr>
          <w:p>
            <w:pPr>
              <w:pStyle w:val="TableContents"/>
              <w:bidi w:val="0"/>
              <w:spacing w:before="0" w:after="283"/>
              <w:jc w:val="right"/>
              <w:rPr/>
            </w:pPr>
            <w:r>
              <w:rPr/>
              <w:t>1,994</w:t>
            </w:r>
          </w:p>
        </w:tc>
        <w:tc>
          <w:tcPr>
            <w:tcW w:w="110" w:type="dxa"/>
            <w:tcBorders/>
            <w:shd w:fill="FFFFFF" w:val="clear"/>
            <w:vAlign w:val="center"/>
          </w:tcPr>
          <w:p>
            <w:pPr>
              <w:pStyle w:val="TableContents"/>
              <w:bidi w:val="0"/>
              <w:spacing w:before="0" w:after="283"/>
              <w:jc w:val="left"/>
              <w:rPr/>
            </w:pPr>
            <w:r>
              <w:rPr/>
              <w:t> </w:t>
            </w:r>
          </w:p>
        </w:tc>
      </w:tr>
      <w:tr>
        <w:trPr/>
        <w:tc>
          <w:tcPr>
            <w:tcW w:w="683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8" w:type="dxa"/>
            <w:tcBorders/>
            <w:shd w:fill="CCEEFF" w:val="clear"/>
            <w:vAlign w:val="center"/>
          </w:tcPr>
          <w:p>
            <w:pPr>
              <w:pStyle w:val="TableContents"/>
              <w:bidi w:val="0"/>
              <w:spacing w:before="0" w:after="283"/>
              <w:jc w:val="left"/>
              <w:rPr/>
            </w:pPr>
            <w:r>
              <w:rPr/>
              <w:t> </w:t>
            </w:r>
          </w:p>
        </w:tc>
        <w:tc>
          <w:tcPr>
            <w:tcW w:w="992" w:type="dxa"/>
            <w:tcBorders/>
            <w:shd w:fill="CCEEFF" w:val="clear"/>
            <w:vAlign w:val="center"/>
          </w:tcPr>
          <w:p>
            <w:pPr>
              <w:pStyle w:val="TableContents"/>
              <w:bidi w:val="0"/>
              <w:spacing w:before="0" w:after="283"/>
              <w:jc w:val="right"/>
              <w:rPr/>
            </w:pPr>
            <w:r>
              <w:rPr/>
              <w:t> </w:t>
            </w:r>
          </w:p>
        </w:tc>
        <w:tc>
          <w:tcPr>
            <w:tcW w:w="148" w:type="dxa"/>
            <w:tcBorders/>
            <w:shd w:fill="CCEEFF" w:val="clear"/>
            <w:vAlign w:val="center"/>
          </w:tcPr>
          <w:p>
            <w:pPr>
              <w:pStyle w:val="TableContents"/>
              <w:bidi w:val="0"/>
              <w:spacing w:before="0" w:after="283"/>
              <w:jc w:val="left"/>
              <w:rPr/>
            </w:pPr>
            <w:r>
              <w:rPr/>
              <w:t> </w:t>
            </w:r>
          </w:p>
        </w:tc>
        <w:tc>
          <w:tcPr>
            <w:tcW w:w="93" w:type="dxa"/>
            <w:tcBorders/>
            <w:shd w:fill="CCEEFF" w:val="clear"/>
            <w:vAlign w:val="center"/>
          </w:tcPr>
          <w:p>
            <w:pPr>
              <w:pStyle w:val="TableContents"/>
              <w:bidi w:val="0"/>
              <w:spacing w:before="0" w:after="283"/>
              <w:jc w:val="left"/>
              <w:rPr/>
            </w:pPr>
            <w:r>
              <w:rPr/>
              <w:t> </w:t>
            </w:r>
          </w:p>
        </w:tc>
        <w:tc>
          <w:tcPr>
            <w:tcW w:w="218" w:type="dxa"/>
            <w:tcBorders/>
            <w:shd w:fill="CCEEFF" w:val="clear"/>
            <w:vAlign w:val="center"/>
          </w:tcPr>
          <w:p>
            <w:pPr>
              <w:pStyle w:val="TableContents"/>
              <w:bidi w:val="0"/>
              <w:spacing w:before="0" w:after="283"/>
              <w:jc w:val="left"/>
              <w:rPr/>
            </w:pPr>
            <w:r>
              <w:rPr/>
              <w:t> </w:t>
            </w:r>
          </w:p>
        </w:tc>
        <w:tc>
          <w:tcPr>
            <w:tcW w:w="1062"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6830" w:type="dxa"/>
            <w:tcBorders/>
            <w:shd w:fill="FFFFFF" w:val="clear"/>
            <w:vAlign w:val="center"/>
          </w:tcPr>
          <w:p>
            <w:pPr>
              <w:pStyle w:val="TableContents"/>
              <w:bidi w:val="0"/>
              <w:spacing w:before="0" w:after="283"/>
              <w:jc w:val="left"/>
              <w:rPr/>
            </w:pPr>
            <w:r>
              <w:rPr/>
              <w:t>Cash</w:t>
            </w:r>
          </w:p>
        </w:tc>
        <w:tc>
          <w:tcPr>
            <w:tcW w:w="60" w:type="dxa"/>
            <w:tcBorders/>
            <w:shd w:fill="FFFFFF" w:val="clear"/>
            <w:vAlign w:val="center"/>
          </w:tcPr>
          <w:p>
            <w:pPr>
              <w:pStyle w:val="TableContents"/>
              <w:bidi w:val="0"/>
              <w:spacing w:before="0" w:after="283"/>
              <w:jc w:val="left"/>
              <w:rPr/>
            </w:pPr>
            <w:r>
              <w:rPr/>
              <w:t> </w:t>
            </w:r>
          </w:p>
        </w:tc>
        <w:tc>
          <w:tcPr>
            <w:tcW w:w="218" w:type="dxa"/>
            <w:tcBorders/>
            <w:shd w:fill="FFFFFF" w:val="clear"/>
            <w:vAlign w:val="center"/>
          </w:tcPr>
          <w:p>
            <w:pPr>
              <w:pStyle w:val="TableContents"/>
              <w:bidi w:val="0"/>
              <w:spacing w:before="0" w:after="283"/>
              <w:jc w:val="left"/>
              <w:rPr/>
            </w:pPr>
            <w:r>
              <w:rPr/>
              <w:t>$</w:t>
            </w:r>
          </w:p>
        </w:tc>
        <w:tc>
          <w:tcPr>
            <w:tcW w:w="992" w:type="dxa"/>
            <w:tcBorders/>
            <w:shd w:fill="FFFFFF" w:val="clear"/>
            <w:vAlign w:val="center"/>
          </w:tcPr>
          <w:p>
            <w:pPr>
              <w:pStyle w:val="TableContents"/>
              <w:bidi w:val="0"/>
              <w:spacing w:before="0" w:after="283"/>
              <w:jc w:val="right"/>
              <w:rPr/>
            </w:pPr>
            <w:r>
              <w:rPr/>
              <w:t>762</w:t>
            </w:r>
          </w:p>
        </w:tc>
        <w:tc>
          <w:tcPr>
            <w:tcW w:w="148" w:type="dxa"/>
            <w:tcBorders/>
            <w:shd w:fill="FFFFFF" w:val="clear"/>
            <w:vAlign w:val="center"/>
          </w:tcPr>
          <w:p>
            <w:pPr>
              <w:pStyle w:val="TableContents"/>
              <w:bidi w:val="0"/>
              <w:spacing w:before="0" w:after="283"/>
              <w:jc w:val="left"/>
              <w:rPr/>
            </w:pPr>
            <w:r>
              <w:rPr/>
              <w:t> </w:t>
            </w:r>
          </w:p>
        </w:tc>
        <w:tc>
          <w:tcPr>
            <w:tcW w:w="93" w:type="dxa"/>
            <w:tcBorders/>
            <w:shd w:fill="FFFFFF" w:val="clear"/>
            <w:vAlign w:val="center"/>
          </w:tcPr>
          <w:p>
            <w:pPr>
              <w:pStyle w:val="TableContents"/>
              <w:bidi w:val="0"/>
              <w:spacing w:before="0" w:after="283"/>
              <w:jc w:val="left"/>
              <w:rPr/>
            </w:pPr>
            <w:r>
              <w:rPr/>
              <w:t> </w:t>
            </w:r>
          </w:p>
        </w:tc>
        <w:tc>
          <w:tcPr>
            <w:tcW w:w="218" w:type="dxa"/>
            <w:tcBorders/>
            <w:shd w:fill="FFFFFF" w:val="clear"/>
            <w:vAlign w:val="center"/>
          </w:tcPr>
          <w:p>
            <w:pPr>
              <w:pStyle w:val="TableContents"/>
              <w:bidi w:val="0"/>
              <w:spacing w:before="0" w:after="283"/>
              <w:jc w:val="left"/>
              <w:rPr/>
            </w:pPr>
            <w:r>
              <w:rPr/>
              <w:t>$</w:t>
            </w:r>
          </w:p>
        </w:tc>
        <w:tc>
          <w:tcPr>
            <w:tcW w:w="1062" w:type="dxa"/>
            <w:tcBorders/>
            <w:shd w:fill="FFFFFF" w:val="clear"/>
            <w:vAlign w:val="center"/>
          </w:tcPr>
          <w:p>
            <w:pPr>
              <w:pStyle w:val="TableContents"/>
              <w:bidi w:val="0"/>
              <w:spacing w:before="0" w:after="283"/>
              <w:jc w:val="right"/>
              <w:rPr/>
            </w:pPr>
            <w:r>
              <w:rPr/>
              <w:t>1,524</w:t>
            </w:r>
          </w:p>
        </w:tc>
        <w:tc>
          <w:tcPr>
            <w:tcW w:w="110" w:type="dxa"/>
            <w:tcBorders/>
            <w:shd w:fill="FFFFFF" w:val="clear"/>
            <w:vAlign w:val="center"/>
          </w:tcPr>
          <w:p>
            <w:pPr>
              <w:pStyle w:val="TableContents"/>
              <w:bidi w:val="0"/>
              <w:spacing w:before="0" w:after="283"/>
              <w:jc w:val="left"/>
              <w:rPr/>
            </w:pPr>
            <w:r>
              <w:rPr/>
              <w:t> </w:t>
            </w:r>
          </w:p>
        </w:tc>
      </w:tr>
      <w:tr>
        <w:trPr/>
        <w:tc>
          <w:tcPr>
            <w:tcW w:w="6830" w:type="dxa"/>
            <w:tcBorders/>
            <w:shd w:fill="CCEEFF" w:val="clear"/>
            <w:vAlign w:val="center"/>
          </w:tcPr>
          <w:p>
            <w:pPr>
              <w:pStyle w:val="TableContents"/>
              <w:bidi w:val="0"/>
              <w:spacing w:before="0" w:after="283"/>
              <w:jc w:val="left"/>
              <w:rPr/>
            </w:pPr>
            <w:r>
              <w:rPr/>
              <w:t>Restricted cash</w:t>
            </w:r>
          </w:p>
        </w:tc>
        <w:tc>
          <w:tcPr>
            <w:tcW w:w="60" w:type="dxa"/>
            <w:tcBorders/>
            <w:shd w:fill="CCEEFF" w:val="clear"/>
            <w:vAlign w:val="center"/>
          </w:tcPr>
          <w:p>
            <w:pPr>
              <w:pStyle w:val="TableContents"/>
              <w:bidi w:val="0"/>
              <w:spacing w:before="0" w:after="283"/>
              <w:jc w:val="left"/>
              <w:rPr/>
            </w:pPr>
            <w:r>
              <w:rPr/>
              <w:t> </w:t>
            </w:r>
          </w:p>
        </w:tc>
        <w:tc>
          <w:tcPr>
            <w:tcW w:w="218"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92" w:type="dxa"/>
            <w:tcBorders>
              <w:bottom w:val="single" w:sz="12" w:space="0" w:color="000000"/>
            </w:tcBorders>
            <w:shd w:fill="CCEEFF" w:val="clear"/>
            <w:tcMar>
              <w:bottom w:w="28" w:type="dxa"/>
            </w:tcMar>
            <w:vAlign w:val="center"/>
          </w:tcPr>
          <w:p>
            <w:pPr>
              <w:pStyle w:val="TableContents"/>
              <w:bidi w:val="0"/>
              <w:spacing w:before="0" w:after="283"/>
              <w:jc w:val="right"/>
              <w:rPr/>
            </w:pPr>
            <w:r>
              <w:rPr/>
              <w:t>2,016</w:t>
            </w:r>
          </w:p>
        </w:tc>
        <w:tc>
          <w:tcPr>
            <w:tcW w:w="148" w:type="dxa"/>
            <w:tcBorders/>
            <w:shd w:fill="CCEEFF" w:val="clear"/>
            <w:vAlign w:val="center"/>
          </w:tcPr>
          <w:p>
            <w:pPr>
              <w:pStyle w:val="TableContents"/>
              <w:bidi w:val="0"/>
              <w:spacing w:before="0" w:after="283"/>
              <w:jc w:val="left"/>
              <w:rPr/>
            </w:pPr>
            <w:r>
              <w:rPr/>
              <w:t> </w:t>
            </w:r>
          </w:p>
        </w:tc>
        <w:tc>
          <w:tcPr>
            <w:tcW w:w="93" w:type="dxa"/>
            <w:tcBorders/>
            <w:shd w:fill="CCEEFF" w:val="clear"/>
            <w:vAlign w:val="center"/>
          </w:tcPr>
          <w:p>
            <w:pPr>
              <w:pStyle w:val="TableContents"/>
              <w:bidi w:val="0"/>
              <w:spacing w:before="0" w:after="283"/>
              <w:jc w:val="left"/>
              <w:rPr/>
            </w:pPr>
            <w:r>
              <w:rPr/>
              <w:t> </w:t>
            </w:r>
          </w:p>
        </w:tc>
        <w:tc>
          <w:tcPr>
            <w:tcW w:w="218"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62" w:type="dxa"/>
            <w:tcBorders>
              <w:bottom w:val="single" w:sz="12" w:space="0" w:color="000000"/>
            </w:tcBorders>
            <w:shd w:fill="CCEEFF" w:val="clear"/>
            <w:tcMar>
              <w:bottom w:w="28" w:type="dxa"/>
            </w:tcMar>
            <w:vAlign w:val="center"/>
          </w:tcPr>
          <w:p>
            <w:pPr>
              <w:pStyle w:val="TableContents"/>
              <w:bidi w:val="0"/>
              <w:spacing w:before="0" w:after="283"/>
              <w:jc w:val="right"/>
              <w:rPr/>
            </w:pPr>
            <w:r>
              <w:rPr/>
              <w:t>2,018</w:t>
            </w:r>
          </w:p>
        </w:tc>
        <w:tc>
          <w:tcPr>
            <w:tcW w:w="110" w:type="dxa"/>
            <w:tcBorders/>
            <w:shd w:fill="CCEEFF" w:val="clear"/>
            <w:vAlign w:val="center"/>
          </w:tcPr>
          <w:p>
            <w:pPr>
              <w:pStyle w:val="TableContents"/>
              <w:bidi w:val="0"/>
              <w:spacing w:before="0" w:after="283"/>
              <w:jc w:val="left"/>
              <w:rPr/>
            </w:pPr>
            <w:r>
              <w:rPr/>
              <w:t> </w:t>
            </w:r>
          </w:p>
        </w:tc>
      </w:tr>
      <w:tr>
        <w:trPr/>
        <w:tc>
          <w:tcPr>
            <w:tcW w:w="6830" w:type="dxa"/>
            <w:tcBorders/>
            <w:shd w:fill="FFFFFF" w:val="clear"/>
            <w:vAlign w:val="center"/>
          </w:tcPr>
          <w:p>
            <w:pPr>
              <w:pStyle w:val="TableContents"/>
              <w:bidi w:val="0"/>
              <w:spacing w:before="0" w:after="283"/>
              <w:jc w:val="left"/>
              <w:rPr/>
            </w:pPr>
            <w:r>
              <w:rPr/>
              <w:t>Cash and restricted cash</w:t>
            </w:r>
          </w:p>
        </w:tc>
        <w:tc>
          <w:tcPr>
            <w:tcW w:w="60" w:type="dxa"/>
            <w:tcBorders/>
            <w:shd w:fill="FFFFFF" w:val="clear"/>
            <w:vAlign w:val="center"/>
          </w:tcPr>
          <w:p>
            <w:pPr>
              <w:pStyle w:val="TableContents"/>
              <w:bidi w:val="0"/>
              <w:spacing w:before="0" w:after="283"/>
              <w:jc w:val="left"/>
              <w:rPr/>
            </w:pPr>
            <w:r>
              <w:rPr/>
              <w:t> </w:t>
            </w:r>
          </w:p>
        </w:tc>
        <w:tc>
          <w:tcPr>
            <w:tcW w:w="218" w:type="dxa"/>
            <w:tcBorders>
              <w:bottom w:val="double" w:sz="10" w:space="0" w:color="000000"/>
            </w:tcBorders>
            <w:shd w:fill="FFFFFF" w:val="clear"/>
            <w:tcMar>
              <w:bottom w:w="28" w:type="dxa"/>
            </w:tcMar>
            <w:vAlign w:val="center"/>
          </w:tcPr>
          <w:p>
            <w:pPr>
              <w:pStyle w:val="TableContents"/>
              <w:bidi w:val="0"/>
              <w:spacing w:before="0" w:after="283"/>
              <w:jc w:val="left"/>
              <w:rPr/>
            </w:pPr>
            <w:r>
              <w:rPr/>
              <w:t>$</w:t>
            </w:r>
          </w:p>
        </w:tc>
        <w:tc>
          <w:tcPr>
            <w:tcW w:w="992" w:type="dxa"/>
            <w:tcBorders>
              <w:bottom w:val="double" w:sz="10" w:space="0" w:color="000000"/>
            </w:tcBorders>
            <w:shd w:fill="FFFFFF" w:val="clear"/>
            <w:tcMar>
              <w:bottom w:w="28" w:type="dxa"/>
            </w:tcMar>
            <w:vAlign w:val="center"/>
          </w:tcPr>
          <w:p>
            <w:pPr>
              <w:pStyle w:val="TableContents"/>
              <w:bidi w:val="0"/>
              <w:spacing w:before="0" w:after="283"/>
              <w:jc w:val="right"/>
              <w:rPr/>
            </w:pPr>
            <w:r>
              <w:rPr/>
              <w:t>2,778</w:t>
            </w:r>
          </w:p>
        </w:tc>
        <w:tc>
          <w:tcPr>
            <w:tcW w:w="148" w:type="dxa"/>
            <w:tcBorders/>
            <w:shd w:fill="FFFFFF" w:val="clear"/>
            <w:vAlign w:val="center"/>
          </w:tcPr>
          <w:p>
            <w:pPr>
              <w:pStyle w:val="TableContents"/>
              <w:bidi w:val="0"/>
              <w:spacing w:before="0" w:after="283"/>
              <w:jc w:val="left"/>
              <w:rPr/>
            </w:pPr>
            <w:r>
              <w:rPr/>
              <w:t> </w:t>
            </w:r>
          </w:p>
        </w:tc>
        <w:tc>
          <w:tcPr>
            <w:tcW w:w="93" w:type="dxa"/>
            <w:tcBorders/>
            <w:shd w:fill="FFFFFF" w:val="clear"/>
            <w:vAlign w:val="center"/>
          </w:tcPr>
          <w:p>
            <w:pPr>
              <w:pStyle w:val="TableContents"/>
              <w:bidi w:val="0"/>
              <w:spacing w:before="0" w:after="283"/>
              <w:jc w:val="left"/>
              <w:rPr/>
            </w:pPr>
            <w:r>
              <w:rPr/>
              <w:t> </w:t>
            </w:r>
          </w:p>
        </w:tc>
        <w:tc>
          <w:tcPr>
            <w:tcW w:w="218" w:type="dxa"/>
            <w:tcBorders>
              <w:bottom w:val="double" w:sz="10" w:space="0" w:color="000000"/>
            </w:tcBorders>
            <w:shd w:fill="FFFFFF" w:val="clear"/>
            <w:tcMar>
              <w:bottom w:w="28" w:type="dxa"/>
            </w:tcMar>
            <w:vAlign w:val="center"/>
          </w:tcPr>
          <w:p>
            <w:pPr>
              <w:pStyle w:val="TableContents"/>
              <w:bidi w:val="0"/>
              <w:spacing w:before="0" w:after="283"/>
              <w:jc w:val="left"/>
              <w:rPr/>
            </w:pPr>
            <w:r>
              <w:rPr/>
              <w:t>$</w:t>
            </w:r>
          </w:p>
        </w:tc>
        <w:tc>
          <w:tcPr>
            <w:tcW w:w="1062" w:type="dxa"/>
            <w:tcBorders>
              <w:bottom w:val="double" w:sz="10" w:space="0" w:color="000000"/>
            </w:tcBorders>
            <w:shd w:fill="FFFFFF" w:val="clear"/>
            <w:tcMar>
              <w:bottom w:w="28" w:type="dxa"/>
            </w:tcMar>
            <w:vAlign w:val="center"/>
          </w:tcPr>
          <w:p>
            <w:pPr>
              <w:pStyle w:val="TableContents"/>
              <w:bidi w:val="0"/>
              <w:spacing w:before="0" w:after="283"/>
              <w:jc w:val="right"/>
              <w:rPr/>
            </w:pPr>
            <w:r>
              <w:rPr/>
              <w:t>3,542</w:t>
            </w:r>
          </w:p>
        </w:tc>
        <w:tc>
          <w:tcPr>
            <w:tcW w:w="110" w:type="dxa"/>
            <w:tcBorders/>
            <w:shd w:fill="FFFFFF" w:val="clear"/>
            <w:vAlign w:val="center"/>
          </w:tcPr>
          <w:p>
            <w:pPr>
              <w:pStyle w:val="TableContents"/>
              <w:bidi w:val="0"/>
              <w:spacing w:before="0" w:after="283"/>
              <w:jc w:val="left"/>
              <w:rPr/>
            </w:pPr>
            <w:r>
              <w:rPr/>
              <w:t> </w:t>
            </w:r>
          </w:p>
        </w:tc>
      </w:tr>
      <w:tr>
        <w:trPr/>
        <w:tc>
          <w:tcPr>
            <w:tcW w:w="683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8" w:type="dxa"/>
            <w:tcBorders/>
            <w:shd w:fill="CCEEFF" w:val="clear"/>
            <w:vAlign w:val="center"/>
          </w:tcPr>
          <w:p>
            <w:pPr>
              <w:pStyle w:val="TableContents"/>
              <w:bidi w:val="0"/>
              <w:spacing w:before="0" w:after="283"/>
              <w:jc w:val="left"/>
              <w:rPr/>
            </w:pPr>
            <w:r>
              <w:rPr/>
              <w:t> </w:t>
            </w:r>
          </w:p>
        </w:tc>
        <w:tc>
          <w:tcPr>
            <w:tcW w:w="992" w:type="dxa"/>
            <w:tcBorders/>
            <w:shd w:fill="CCEEFF" w:val="clear"/>
            <w:vAlign w:val="center"/>
          </w:tcPr>
          <w:p>
            <w:pPr>
              <w:pStyle w:val="TableContents"/>
              <w:bidi w:val="0"/>
              <w:spacing w:before="0" w:after="283"/>
              <w:jc w:val="right"/>
              <w:rPr/>
            </w:pPr>
            <w:r>
              <w:rPr/>
              <w:t> </w:t>
            </w:r>
          </w:p>
        </w:tc>
        <w:tc>
          <w:tcPr>
            <w:tcW w:w="148" w:type="dxa"/>
            <w:tcBorders/>
            <w:shd w:fill="CCEEFF" w:val="clear"/>
            <w:vAlign w:val="center"/>
          </w:tcPr>
          <w:p>
            <w:pPr>
              <w:pStyle w:val="TableContents"/>
              <w:bidi w:val="0"/>
              <w:spacing w:before="0" w:after="283"/>
              <w:jc w:val="left"/>
              <w:rPr/>
            </w:pPr>
            <w:r>
              <w:rPr/>
              <w:t> </w:t>
            </w:r>
          </w:p>
        </w:tc>
        <w:tc>
          <w:tcPr>
            <w:tcW w:w="93" w:type="dxa"/>
            <w:tcBorders/>
            <w:shd w:fill="CCEEFF" w:val="clear"/>
            <w:vAlign w:val="center"/>
          </w:tcPr>
          <w:p>
            <w:pPr>
              <w:pStyle w:val="TableContents"/>
              <w:bidi w:val="0"/>
              <w:spacing w:before="0" w:after="283"/>
              <w:jc w:val="left"/>
              <w:rPr/>
            </w:pPr>
            <w:r>
              <w:rPr/>
              <w:t> </w:t>
            </w:r>
          </w:p>
        </w:tc>
        <w:tc>
          <w:tcPr>
            <w:tcW w:w="218" w:type="dxa"/>
            <w:tcBorders/>
            <w:shd w:fill="CCEEFF" w:val="clear"/>
            <w:vAlign w:val="center"/>
          </w:tcPr>
          <w:p>
            <w:pPr>
              <w:pStyle w:val="TableContents"/>
              <w:bidi w:val="0"/>
              <w:spacing w:before="0" w:after="283"/>
              <w:jc w:val="left"/>
              <w:rPr/>
            </w:pPr>
            <w:r>
              <w:rPr/>
              <w:t> </w:t>
            </w:r>
          </w:p>
        </w:tc>
        <w:tc>
          <w:tcPr>
            <w:tcW w:w="1062"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6830" w:type="dxa"/>
            <w:tcBorders/>
            <w:shd w:fill="FFFFFF" w:val="clear"/>
            <w:vAlign w:val="center"/>
          </w:tcPr>
          <w:p>
            <w:pPr>
              <w:pStyle w:val="TableContents"/>
              <w:bidi w:val="0"/>
              <w:spacing w:before="0" w:after="283"/>
              <w:jc w:val="left"/>
              <w:rPr>
                <w:b/>
              </w:rPr>
            </w:pPr>
            <w:r>
              <w:rPr>
                <w:b/>
              </w:rPr>
              <w:t>Supplemental disclosure of cash flow information:</w:t>
            </w:r>
          </w:p>
        </w:tc>
        <w:tc>
          <w:tcPr>
            <w:tcW w:w="60" w:type="dxa"/>
            <w:tcBorders/>
            <w:shd w:fill="FFFFFF" w:val="clear"/>
            <w:vAlign w:val="center"/>
          </w:tcPr>
          <w:p>
            <w:pPr>
              <w:pStyle w:val="TableContents"/>
              <w:bidi w:val="0"/>
              <w:spacing w:before="0" w:after="283"/>
              <w:jc w:val="left"/>
              <w:rPr/>
            </w:pPr>
            <w:r>
              <w:rPr/>
              <w:t> </w:t>
            </w:r>
          </w:p>
        </w:tc>
        <w:tc>
          <w:tcPr>
            <w:tcW w:w="218" w:type="dxa"/>
            <w:tcBorders/>
            <w:shd w:fill="FFFFFF" w:val="clear"/>
            <w:vAlign w:val="center"/>
          </w:tcPr>
          <w:p>
            <w:pPr>
              <w:pStyle w:val="TableContents"/>
              <w:bidi w:val="0"/>
              <w:spacing w:before="0" w:after="283"/>
              <w:jc w:val="left"/>
              <w:rPr/>
            </w:pPr>
            <w:r>
              <w:rPr/>
              <w:t> </w:t>
            </w:r>
          </w:p>
        </w:tc>
        <w:tc>
          <w:tcPr>
            <w:tcW w:w="992" w:type="dxa"/>
            <w:tcBorders/>
            <w:shd w:fill="FFFFFF" w:val="clear"/>
            <w:vAlign w:val="center"/>
          </w:tcPr>
          <w:p>
            <w:pPr>
              <w:pStyle w:val="TableContents"/>
              <w:bidi w:val="0"/>
              <w:spacing w:before="0" w:after="283"/>
              <w:jc w:val="right"/>
              <w:rPr/>
            </w:pPr>
            <w:r>
              <w:rPr/>
              <w:t> </w:t>
            </w:r>
          </w:p>
        </w:tc>
        <w:tc>
          <w:tcPr>
            <w:tcW w:w="148" w:type="dxa"/>
            <w:tcBorders/>
            <w:shd w:fill="FFFFFF" w:val="clear"/>
            <w:vAlign w:val="center"/>
          </w:tcPr>
          <w:p>
            <w:pPr>
              <w:pStyle w:val="TableContents"/>
              <w:bidi w:val="0"/>
              <w:spacing w:before="0" w:after="283"/>
              <w:jc w:val="left"/>
              <w:rPr/>
            </w:pPr>
            <w:r>
              <w:rPr/>
              <w:t> </w:t>
            </w:r>
          </w:p>
        </w:tc>
        <w:tc>
          <w:tcPr>
            <w:tcW w:w="93" w:type="dxa"/>
            <w:tcBorders/>
            <w:shd w:fill="FFFFFF" w:val="clear"/>
            <w:vAlign w:val="center"/>
          </w:tcPr>
          <w:p>
            <w:pPr>
              <w:pStyle w:val="TableContents"/>
              <w:bidi w:val="0"/>
              <w:spacing w:before="0" w:after="283"/>
              <w:jc w:val="left"/>
              <w:rPr/>
            </w:pPr>
            <w:r>
              <w:rPr/>
              <w:t> </w:t>
            </w:r>
          </w:p>
        </w:tc>
        <w:tc>
          <w:tcPr>
            <w:tcW w:w="218" w:type="dxa"/>
            <w:tcBorders/>
            <w:shd w:fill="FFFFFF" w:val="clear"/>
            <w:vAlign w:val="center"/>
          </w:tcPr>
          <w:p>
            <w:pPr>
              <w:pStyle w:val="TableContents"/>
              <w:bidi w:val="0"/>
              <w:spacing w:before="0" w:after="283"/>
              <w:jc w:val="left"/>
              <w:rPr/>
            </w:pPr>
            <w:r>
              <w:rPr/>
              <w:t> </w:t>
            </w:r>
          </w:p>
        </w:tc>
        <w:tc>
          <w:tcPr>
            <w:tcW w:w="1062"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6830" w:type="dxa"/>
            <w:tcBorders/>
            <w:shd w:fill="CCEEFF" w:val="clear"/>
            <w:vAlign w:val="center"/>
          </w:tcPr>
          <w:p>
            <w:pPr>
              <w:pStyle w:val="TableContents"/>
              <w:bidi w:val="0"/>
              <w:spacing w:before="0" w:after="283"/>
              <w:jc w:val="left"/>
              <w:rPr/>
            </w:pPr>
            <w:r>
              <w:rPr/>
              <w:t>Cash paid during the period for interest</w:t>
            </w:r>
          </w:p>
        </w:tc>
        <w:tc>
          <w:tcPr>
            <w:tcW w:w="60" w:type="dxa"/>
            <w:tcBorders/>
            <w:shd w:fill="CCEEFF" w:val="clear"/>
            <w:vAlign w:val="center"/>
          </w:tcPr>
          <w:p>
            <w:pPr>
              <w:pStyle w:val="TableContents"/>
              <w:bidi w:val="0"/>
              <w:spacing w:before="0" w:after="283"/>
              <w:jc w:val="left"/>
              <w:rPr/>
            </w:pPr>
            <w:r>
              <w:rPr/>
              <w:t> </w:t>
            </w:r>
          </w:p>
        </w:tc>
        <w:tc>
          <w:tcPr>
            <w:tcW w:w="218" w:type="dxa"/>
            <w:tcBorders/>
            <w:shd w:fill="CCEEFF" w:val="clear"/>
            <w:vAlign w:val="center"/>
          </w:tcPr>
          <w:p>
            <w:pPr>
              <w:pStyle w:val="TableContents"/>
              <w:bidi w:val="0"/>
              <w:spacing w:before="0" w:after="283"/>
              <w:jc w:val="left"/>
              <w:rPr/>
            </w:pPr>
            <w:r>
              <w:rPr/>
              <w:t>$</w:t>
            </w:r>
          </w:p>
        </w:tc>
        <w:tc>
          <w:tcPr>
            <w:tcW w:w="992" w:type="dxa"/>
            <w:tcBorders/>
            <w:shd w:fill="CCEEFF" w:val="clear"/>
            <w:vAlign w:val="center"/>
          </w:tcPr>
          <w:p>
            <w:pPr>
              <w:pStyle w:val="TableContents"/>
              <w:bidi w:val="0"/>
              <w:spacing w:before="0" w:after="283"/>
              <w:jc w:val="right"/>
              <w:rPr/>
            </w:pPr>
            <w:r>
              <w:rPr/>
              <w:t>130</w:t>
            </w:r>
          </w:p>
        </w:tc>
        <w:tc>
          <w:tcPr>
            <w:tcW w:w="148" w:type="dxa"/>
            <w:tcBorders/>
            <w:shd w:fill="CCEEFF" w:val="clear"/>
            <w:vAlign w:val="center"/>
          </w:tcPr>
          <w:p>
            <w:pPr>
              <w:pStyle w:val="TableContents"/>
              <w:bidi w:val="0"/>
              <w:spacing w:before="0" w:after="283"/>
              <w:jc w:val="left"/>
              <w:rPr/>
            </w:pPr>
            <w:r>
              <w:rPr/>
              <w:t> </w:t>
            </w:r>
          </w:p>
        </w:tc>
        <w:tc>
          <w:tcPr>
            <w:tcW w:w="93" w:type="dxa"/>
            <w:tcBorders/>
            <w:shd w:fill="CCEEFF" w:val="clear"/>
            <w:vAlign w:val="center"/>
          </w:tcPr>
          <w:p>
            <w:pPr>
              <w:pStyle w:val="TableContents"/>
              <w:bidi w:val="0"/>
              <w:spacing w:before="0" w:after="283"/>
              <w:jc w:val="left"/>
              <w:rPr/>
            </w:pPr>
            <w:r>
              <w:rPr/>
              <w:t> </w:t>
            </w:r>
          </w:p>
        </w:tc>
        <w:tc>
          <w:tcPr>
            <w:tcW w:w="218" w:type="dxa"/>
            <w:tcBorders/>
            <w:shd w:fill="CCEEFF" w:val="clear"/>
            <w:vAlign w:val="center"/>
          </w:tcPr>
          <w:p>
            <w:pPr>
              <w:pStyle w:val="TableContents"/>
              <w:bidi w:val="0"/>
              <w:spacing w:before="0" w:after="283"/>
              <w:jc w:val="left"/>
              <w:rPr/>
            </w:pPr>
            <w:r>
              <w:rPr/>
              <w:t>$</w:t>
            </w:r>
          </w:p>
        </w:tc>
        <w:tc>
          <w:tcPr>
            <w:tcW w:w="1062" w:type="dxa"/>
            <w:tcBorders/>
            <w:shd w:fill="CCEEFF" w:val="clear"/>
            <w:vAlign w:val="center"/>
          </w:tcPr>
          <w:p>
            <w:pPr>
              <w:pStyle w:val="TableContents"/>
              <w:bidi w:val="0"/>
              <w:spacing w:before="0" w:after="283"/>
              <w:jc w:val="right"/>
              <w:rPr/>
            </w:pPr>
            <w:r>
              <w:rPr/>
              <w:t>58</w:t>
            </w:r>
          </w:p>
        </w:tc>
        <w:tc>
          <w:tcPr>
            <w:tcW w:w="11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The accompanying notes are an integral part of these financial statements.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center"/>
        <w:rPr>
          <w:sz w:val="20"/>
          <w:bdr w:val="single" w:sz="12" w:space="1" w:color="000000"/>
        </w:rPr>
      </w:pPr>
      <w:r>
        <w:rPr>
          <w:sz w:val="20"/>
          <w:bdr w:val="single" w:sz="12" w:space="1" w:color="000000"/>
        </w:rPr>
        <w:t>F-136</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43" w:name="E_005"/>
      <w:bookmarkEnd w:id="43"/>
      <w:r>
        <w:rPr>
          <w:rFonts w:ascii="Times New Roman;Times;Serif" w:hAnsi="Times New Roman;Times;Serif"/>
          <w:b/>
          <w:i w:val="false"/>
          <w:caps w:val="false"/>
          <w:smallCaps w:val="false"/>
          <w:sz w:val="20"/>
        </w:rPr>
        <w:t xml:space="preserve">SUNDER ENERGY LLC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Notes to Unaudited Financial Statements</w:t>
      </w:r>
    </w:p>
    <w:p>
      <w:pPr>
        <w:pStyle w:val="TextBody"/>
        <w:bidi w:val="0"/>
        <w:spacing w:before="0" w:after="0"/>
        <w:ind w:left="0" w:right="0" w:hanging="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(Dollars in thousands except per share amounts)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Note 1. </w:t>
      </w:r>
      <w:r>
        <w:rPr>
          <w:rFonts w:ascii="Times New Roman;Times;Serif" w:hAnsi="Times New Roman;Times;Serif"/>
          <w:b/>
          <w:i/>
          <w:caps w:val="false"/>
          <w:smallCaps w:val="false"/>
          <w:sz w:val="20"/>
        </w:rPr>
        <w:t>BUSINESS AND ORGANIZATION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Description of Business and Organization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Sunder Energy LLC (“the Company”) was established as a limited liability company in 2019 under the laws of the State of Delaware. The Company provides a third-party solar energy sales force to initiate and execute contracts with customers throughout the United States. The Company’s sales force works with solar installation companies in which the Company acts as the agent for each transaction entered.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Basis of Presentation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financial statements and accompanying notes have been prepared in accordance with generally accepted accounting principles (“U.S. GAAP”).</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Summary of Significant Accounting Policies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Management Estimates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preparation of the financial statements in conformity with U.S. GAAP requires management to make estimates and assumptions that affect the amounts of assets and liabilities and disclosures of contingent assets and liabilities reported in these financial statements and accompanying notes. The Company bases its estimates on historical experience and various other assumptions believed to be reasonable. Actual financial results could materially differ from those estimates. Significant estimates include financial credit losses, valuation of contingencies such as litigation and the incremental borrowing rate used in discounting of lease liabilities.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Concentration of Credit Risk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financial instruments that may be exposed to concentrations of credit risk consist primarily of temporary cash investments and accounts receivable. The Company maintains its cash balances at financial institutions. At times, such balances may exceed federally insured limits. The Company has not experienced any losses in such accounts. The Company believes it is not exposed to any significant credit risk on cash.</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Customers, A, B and C accounted for 20%, 15% and 11%, of the Company’s revenue, respectively, for the six months ended June 30, 2025. Customers A, B and D accounted for 27%, 12% and 10% of the Company’s revenue, respectively, for the six months ended June 30, 2024.</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June 30, 2025, Customers E and F accounted for 27% and 12%, respectively, of the Company’s trade accounts receivable balance. As of December 31, 2024, Customers E and G accounted for 50% and 12%, respectively, of the Company’s trade accounts receivable. As of December 31, 2023, there were no trade accounts receivable concentrations.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12" w:space="1" w:color="000000"/>
        </w:rPr>
      </w:pPr>
      <w:r>
        <w:rPr>
          <w:sz w:val="20"/>
          <w:bdr w:val="single" w:sz="12" w:space="1" w:color="000000"/>
        </w:rPr>
        <w:t>F-137</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Restricted Cash</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Restricted cash represents cash balances that are subject to contractual restrictions related to the Company’s litigation financing agreement. Restricted cash is included with cash and cash equivalents when reconciling beginning and ending balances on the Company’s statements of cash flows and is classified as current on the Company’s balance sheet based on the expected timing of its accessibility.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Accounts Receivable, Net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Trade accounts receivable represent amounts reported by the installation companies where revenue has been recognized but that have not been paid. The Company has amounts due from sales representatives related to transaction fees on advances to the sales representatives, commission and bonus overpayments, and contractor advances. Contractor advances have no set repayment terms and have been included as a current asset based on when repayment is expected.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maintains an allowance for credit losses attributable to customers. These allowances are based upon current market conditions such as how installation partners are performing, if the installation partner is known to have financial or other performance issues, and historical losses incurred by the Company related to installation partners. The Company also maintains an allowance for credit losses attributable to amounts due from its sales representatives. The allowance for credit losses due from its sales representatives is estimated based upon an understanding of sales representatives’ selling activity, whether the sales representative is currently active, or if departed from the Company, the length of time that such sales representative was last active. Actual credit losses could differ from those estimates.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Prepaid expenses and Other Current Assets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Prepaid expenses and other current assets include amounts paid in advance for services to be received within one year, such as prepaid commissions, bonuses paid to sales representatives, and other customary prepaid expenses arising in the ordinary course of business. These amounts are recognized as expense when the associated services are utilized. Commissions are paid to sales representatives and recorded as prepaid commissions prior to the respective sale’s recognition as revenue by the Company. If the sale is cancelled, these commissions must be refunded to the Company. Commissions are recognized as Sales commissions within the Company’s statement of operations when the related revenue is recognized.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Property and Equipment, net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Property and equipment are recorded at cost less accumulated depreciation and are composed of personal property used in the business. Depreciation is computed using the straight- line method over the assets’ estimated useful lives that are estimated at 5 years or the remaining term of the lease for leasehold improvements, 5 years for computer equipment, and 7 years for furniture and fixtures. Expenditures for repairs and maintenance are charged to expense when incurred. Expenses for major renewals and betterments, which extend the useful lives of existing equipment, are capitalized and depreciated. Upon retirement or disposition of property and equipment, the cost and related accumulated depreciation are removed from the accounts and any resulting gain or loss is recognized in the statement of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Leases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determines if an arrangement contains a lease at the inception of a contract. The lease classification is determined at the commencement date. Right-of-use assets represent the Company’s right to use an underlying asset for the lease term and lease liabilities represent the Company’s obligation to make lease payments arising from the lease during the lease term. Right-of-use assets and lease liabilities are recognized at the commencement date based on the present value of the remaining future minimum lease payments during the lease term. Lease commencement is the date the Company has the right to control the property. The Company utilizes its incremental borrowing rate to discount the lease payments. Operating leases are expensed on a straight-line basis over the lease term. The Company recognizes an expense for these leases on a straight-line basis over the lease term. Short-term leases are those leases with an initial term of 12 months or less and are not recorded on the Company’s balance sheet. The Company did not have any short-term leases as of and for the periods ended June 30, 2025 and 2024.</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sz w:val="20"/>
          <w:bdr w:val="single" w:sz="12" w:space="1" w:color="000000"/>
        </w:rPr>
      </w:pPr>
      <w:r>
        <w:rPr>
          <w:sz w:val="20"/>
          <w:bdr w:val="single" w:sz="12" w:space="1" w:color="000000"/>
        </w:rPr>
        <w:t>F-138</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Contract Liabilities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Contract liabilities consist of deferred revenue and customer advances, which represent consideration received from a customer for revenue not yet recognized. Such consideration is accounted for as contract liabilities prior to achieving permission to operate (“PTO”).</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Revenue Recognition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Financial Accounting Standards Board (“FASB”) Accounting Standards Codification (“ASC”) Topic 606, Revenue from Contracts with Customers and related amendments, revenue is recognized when promised goods or services are transferred to customers in an amount that reflects the consideration to which the Company expects to be entitled in exchange for those goods and services.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earns sales revenue based on residential solar installation contracts for residential homeowners that are sold to installation companies in accordance with the Company’s contracts with those installation companies (the “Customer”). Upon entering into a sales contract, the requisite performance obligation of the Company is to assist the customer in the progress of the installation and obtain PTO. PTO typically occurs within 3 to 6 months after the initial sale, but can happen as early as two months or as late as twelve months after the sale.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When contracts are signed by customers, initial payments are received from the installation companies and are subsequently passed down directly to the sales representative who made the sale. If the homeowner in the end decides not to go through with the installation, this amount will be returned to the installation companies. Sales representatives are not entitled to receive commissions on a sale unless funds are received from the installation company for that sale. Total sales revenue for each contract is based on the size of the system, baseline rate, and funding method used. The Company records sales revenue at a point in time when the homeowner has received permission to turn the system on. The Company records revenue as the total amount to be paid out by the installation company to the Company. As the Company is only acting as the agent in the situation, it records revenue on a net basis.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does not have any significant financing components. Due to being a service provider, the Company is not obligated to warranty installed systems, and therefore the Company has not recorded a reserve for warranty work.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Contract liabilities as of June 30, 2025 and December 31,2024 consist of deferred revenue of $14,431 and $17,231, respectively. Revenue for the six months ended June 30, 2025 that was included in the contract liabilities balance at the beginning of the period was $14,644.</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Income Taxes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income is passed through to the members for income tax purposes and therefore, no provision for federal and state income taxes has been provided for in these statements.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Tax penalties and interest, if any, would be classified with income tax expenses in the financial statements. No tax penalties or interest have been incurred or are recognized in the financial statements. Generally, three tax years remain subject to examination by tax jurisdictions.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Advertising and Promotions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costs associated with advertising and promoting the Company’s goods and services are expensed in the years incurred. Advertising expense totaled $766 and $806 for the six months ended June 30, 2025 and 2024, respectively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Limited Liability of Member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Chicken Parm Pizza, LLC is the sole member (“Parent”, “Sole Member” or “Member”) of the Company. The rights and obligations as the Sole Member of the Company are governed by the Second Amended and Restated Limited Liability Company Agreement of Sunder Energy LLC dated as of October 30, 2023 (the “Operating Agreement”). The Operating Agreement provides that the liabilities of the Company shall be solely the liabilities of the Company, and the member shall not be obligated for any such liability solely by reason of being a member of the Company.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sz w:val="20"/>
          <w:bdr w:val="single" w:sz="12" w:space="1" w:color="000000"/>
        </w:rPr>
      </w:pPr>
      <w:r>
        <w:rPr>
          <w:sz w:val="20"/>
          <w:bdr w:val="single" w:sz="12" w:space="1" w:color="000000"/>
        </w:rPr>
        <w:t>F-139</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Stock-Based Compensation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entered into a Compensation Award plan and a liquidity-based bonus plan award with a cash settlement feature conditioned upon the closing of a liquidity event. These awards are classified as liability awards. Liability classified stock awards are remeasured at fair value each reporting period until settlement, with changes in fair value recognized in compensation expense.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Company also entered incentive award agreements with certain employees under which the Parent company’s incentive units may be issued upon satisfaction of specified service and/or performance conditions. The awards are classified as equity awards in accordance with ASC 718, </w:t>
      </w:r>
      <w:r>
        <w:rPr>
          <w:rFonts w:ascii="Times New Roman;Times;Serif" w:hAnsi="Times New Roman;Times;Serif"/>
          <w:b w:val="false"/>
          <w:i/>
          <w:caps w:val="false"/>
          <w:smallCaps w:val="false"/>
          <w:sz w:val="20"/>
        </w:rPr>
        <w:t xml:space="preserve">Compensation—Stock Compensation.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2. </w:t>
      </w:r>
      <w:r>
        <w:rPr>
          <w:rFonts w:ascii="Times New Roman;Times;Serif" w:hAnsi="Times New Roman;Times;Serif"/>
          <w:b/>
          <w:i/>
          <w:caps w:val="false"/>
          <w:smallCaps w:val="false"/>
          <w:sz w:val="20"/>
        </w:rPr>
        <w:t>GOING CONCERN AND SALE OF COMPANY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Management of the Company has assessed the Company’s liquidity position. As of June 30, 2025, the Company has incurred net losses for the past two years and the six months ended June 30, 2025, and is experiencing liquidity constraints. The members intend to provide additional capital contributions, as necessary, to fund operations and meet the Company’s financial obligations, however, there can be no assurance that such contributions will be made or if made, sufficient to fund the Company’s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Therefore, there is substantial doubt about the Company’s ability to continue as a going concern within one year after the date that the unaudited financial statements are issued. The accompanying unaudited financial statements have been prepared assuming the Company will continue to operate as a going concern, which contemplates the realization of assets and settlement of liabilities in the normal course of business. They do not include any adjustments to reflect the possible future effects on the recoverability and classification of assets or the amounts and classifications of liabilities that may result from uncertainty related to its ability to continue as a going concern.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On September 21, 2025, the Company entered into a Membership Interest Purchase Agreement (“MIPA”) between the Company, the Sole Member and Complete Solaria, Inc., and Complete Solar, Inc., a subsidiary of Complete Solaria (collectively “Complete Solaria”) to sell all of the member’s interest in Sunder. The sale of Sunder was completed on September 24, 2025. Refer to Note 14 – </w:t>
      </w:r>
      <w:r>
        <w:rPr>
          <w:rFonts w:ascii="Times New Roman;Times;Serif" w:hAnsi="Times New Roman;Times;Serif"/>
          <w:b w:val="false"/>
          <w:i/>
          <w:caps w:val="false"/>
          <w:smallCaps w:val="false"/>
          <w:sz w:val="20"/>
        </w:rPr>
        <w:t>Subsequent Events</w:t>
      </w:r>
      <w:r>
        <w:rPr>
          <w:rFonts w:ascii="Times New Roman;Times;Serif" w:hAnsi="Times New Roman;Times;Serif"/>
          <w:b w:val="false"/>
          <w:i w:val="false"/>
          <w:caps w:val="false"/>
          <w:smallCaps w:val="false"/>
          <w:sz w:val="20"/>
        </w:rPr>
        <w:t>, for a further discussion of the sale of the Company.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sz w:val="20"/>
          <w:bdr w:val="single" w:sz="12" w:space="1" w:color="000000"/>
        </w:rPr>
      </w:pPr>
      <w:r>
        <w:rPr>
          <w:sz w:val="20"/>
          <w:bdr w:val="single" w:sz="12" w:space="1" w:color="000000"/>
        </w:rPr>
        <w:t>F-140</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3. </w:t>
      </w:r>
      <w:r>
        <w:rPr>
          <w:rFonts w:ascii="Times New Roman;Times;Serif" w:hAnsi="Times New Roman;Times;Serif"/>
          <w:b/>
          <w:i/>
          <w:caps w:val="false"/>
          <w:smallCaps w:val="false"/>
          <w:sz w:val="20"/>
        </w:rPr>
        <w:t>ACCOUNTS RECEIVABLE, NET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Amounts comprising accounts receivable are as follows</w:t>
      </w:r>
      <w:r>
        <w:rPr>
          <w:rFonts w:ascii="Times New Roman;Times;Serif" w:hAnsi="Times New Roman;Times;Serif"/>
          <w:b w:val="false"/>
          <w:i/>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tbl>
      <w:tblPr>
        <w:tblW w:w="6235" w:type="dxa"/>
        <w:jc w:val="left"/>
        <w:tblInd w:w="0" w:type="dxa"/>
        <w:tblLayout w:type="fixed"/>
        <w:tblCellMar>
          <w:top w:w="0" w:type="dxa"/>
          <w:left w:w="0" w:type="dxa"/>
          <w:bottom w:w="0" w:type="dxa"/>
          <w:right w:w="0" w:type="dxa"/>
        </w:tblCellMar>
      </w:tblPr>
      <w:tblGrid>
        <w:gridCol w:w="3620"/>
        <w:gridCol w:w="60"/>
        <w:gridCol w:w="175"/>
        <w:gridCol w:w="700"/>
        <w:gridCol w:w="95"/>
        <w:gridCol w:w="60"/>
        <w:gridCol w:w="283"/>
        <w:gridCol w:w="1132"/>
        <w:gridCol w:w="110"/>
      </w:tblGrid>
      <w:tr>
        <w:trPr/>
        <w:tc>
          <w:tcPr>
            <w:tcW w:w="3620"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p>
        </w:tc>
        <w:tc>
          <w:tcPr>
            <w:tcW w:w="2445"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As of</w:t>
            </w:r>
          </w:p>
        </w:tc>
        <w:tc>
          <w:tcPr>
            <w:tcW w:w="110" w:type="dxa"/>
            <w:tcBorders/>
            <w:vAlign w:val="center"/>
          </w:tcPr>
          <w:p>
            <w:pPr>
              <w:pStyle w:val="TableContents"/>
              <w:bidi w:val="0"/>
              <w:spacing w:before="0" w:after="283"/>
              <w:jc w:val="left"/>
              <w:rPr/>
            </w:pPr>
            <w:r>
              <w:rPr/>
              <w:t> </w:t>
            </w:r>
          </w:p>
        </w:tc>
      </w:tr>
      <w:tr>
        <w:trPr/>
        <w:tc>
          <w:tcPr>
            <w:tcW w:w="3620"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p>
        </w:tc>
        <w:tc>
          <w:tcPr>
            <w:tcW w:w="875" w:type="dxa"/>
            <w:gridSpan w:val="2"/>
            <w:tcBorders/>
            <w:vAlign w:val="center"/>
          </w:tcPr>
          <w:p>
            <w:pPr>
              <w:pStyle w:val="TableContents"/>
              <w:bidi w:val="0"/>
              <w:spacing w:before="0" w:after="283"/>
              <w:jc w:val="center"/>
              <w:rPr>
                <w:b/>
              </w:rPr>
            </w:pPr>
            <w:r>
              <w:rPr>
                <w:b/>
              </w:rPr>
              <w:t>June 30,</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15" w:type="dxa"/>
            <w:gridSpan w:val="2"/>
            <w:tcBorders/>
            <w:vAlign w:val="center"/>
          </w:tcPr>
          <w:p>
            <w:pPr>
              <w:pStyle w:val="TableContents"/>
              <w:bidi w:val="0"/>
              <w:spacing w:before="0" w:after="283"/>
              <w:jc w:val="center"/>
              <w:rPr>
                <w:b/>
              </w:rPr>
            </w:pPr>
            <w:r>
              <w:rPr>
                <w:b/>
              </w:rPr>
              <w:t>December 31,</w:t>
            </w:r>
          </w:p>
        </w:tc>
        <w:tc>
          <w:tcPr>
            <w:tcW w:w="110" w:type="dxa"/>
            <w:tcBorders/>
            <w:vAlign w:val="center"/>
          </w:tcPr>
          <w:p>
            <w:pPr>
              <w:pStyle w:val="TableContents"/>
              <w:bidi w:val="0"/>
              <w:spacing w:before="0" w:after="283"/>
              <w:jc w:val="left"/>
              <w:rPr/>
            </w:pPr>
            <w:r>
              <w:rPr/>
              <w:t> </w:t>
            </w:r>
          </w:p>
        </w:tc>
      </w:tr>
      <w:tr>
        <w:trPr/>
        <w:tc>
          <w:tcPr>
            <w:tcW w:w="3620"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p>
        </w:tc>
        <w:tc>
          <w:tcPr>
            <w:tcW w:w="87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2025</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1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2024</w:t>
            </w:r>
          </w:p>
        </w:tc>
        <w:tc>
          <w:tcPr>
            <w:tcW w:w="110" w:type="dxa"/>
            <w:tcBorders/>
            <w:vAlign w:val="center"/>
          </w:tcPr>
          <w:p>
            <w:pPr>
              <w:pStyle w:val="TableContents"/>
              <w:bidi w:val="0"/>
              <w:spacing w:before="0" w:after="283"/>
              <w:jc w:val="left"/>
              <w:rPr/>
            </w:pPr>
            <w:r>
              <w:rPr/>
              <w:t> </w:t>
            </w:r>
          </w:p>
        </w:tc>
      </w:tr>
      <w:tr>
        <w:trPr/>
        <w:tc>
          <w:tcPr>
            <w:tcW w:w="3620" w:type="dxa"/>
            <w:tcBorders/>
            <w:shd w:fill="CCEEFF" w:val="clear"/>
            <w:vAlign w:val="center"/>
          </w:tcPr>
          <w:p>
            <w:pPr>
              <w:pStyle w:val="TableContents"/>
              <w:bidi w:val="0"/>
              <w:spacing w:before="0" w:after="283"/>
              <w:jc w:val="both"/>
              <w:rPr/>
            </w:pPr>
            <w:r>
              <w:rPr/>
              <w:t>Trade accounts receivable</w:t>
            </w:r>
          </w:p>
        </w:tc>
        <w:tc>
          <w:tcPr>
            <w:tcW w:w="60" w:type="dxa"/>
            <w:tcBorders/>
            <w:shd w:fill="CCEEFF" w:val="clear"/>
            <w:vAlign w:val="center"/>
          </w:tcPr>
          <w:p>
            <w:pPr>
              <w:pStyle w:val="TableContents"/>
              <w:bidi w:val="0"/>
              <w:spacing w:before="0" w:after="283"/>
              <w:jc w:val="left"/>
              <w:rPr/>
            </w:pPr>
            <w:r>
              <w:rPr/>
              <w:t> </w:t>
            </w:r>
          </w:p>
        </w:tc>
        <w:tc>
          <w:tcPr>
            <w:tcW w:w="175" w:type="dxa"/>
            <w:tcBorders/>
            <w:shd w:fill="CCEEFF" w:val="clear"/>
            <w:vAlign w:val="center"/>
          </w:tcPr>
          <w:p>
            <w:pPr>
              <w:pStyle w:val="TableContents"/>
              <w:bidi w:val="0"/>
              <w:spacing w:before="0" w:after="283"/>
              <w:jc w:val="left"/>
              <w:rPr/>
            </w:pPr>
            <w:r>
              <w:rPr/>
              <w:t>$</w:t>
            </w:r>
          </w:p>
        </w:tc>
        <w:tc>
          <w:tcPr>
            <w:tcW w:w="700" w:type="dxa"/>
            <w:tcBorders/>
            <w:shd w:fill="CCEEFF" w:val="clear"/>
            <w:vAlign w:val="center"/>
          </w:tcPr>
          <w:p>
            <w:pPr>
              <w:pStyle w:val="TableContents"/>
              <w:bidi w:val="0"/>
              <w:spacing w:before="0" w:after="283"/>
              <w:jc w:val="right"/>
              <w:rPr/>
            </w:pPr>
            <w:r>
              <w:rPr/>
              <w:t>2,640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83" w:type="dxa"/>
            <w:tcBorders/>
            <w:shd w:fill="CCEEFF" w:val="clear"/>
            <w:vAlign w:val="center"/>
          </w:tcPr>
          <w:p>
            <w:pPr>
              <w:pStyle w:val="TableContents"/>
              <w:bidi w:val="0"/>
              <w:spacing w:before="0" w:after="283"/>
              <w:jc w:val="left"/>
              <w:rPr/>
            </w:pPr>
            <w:r>
              <w:rPr/>
              <w:t>$</w:t>
            </w:r>
          </w:p>
        </w:tc>
        <w:tc>
          <w:tcPr>
            <w:tcW w:w="1132" w:type="dxa"/>
            <w:tcBorders/>
            <w:shd w:fill="CCEEFF" w:val="clear"/>
            <w:vAlign w:val="center"/>
          </w:tcPr>
          <w:p>
            <w:pPr>
              <w:pStyle w:val="TableContents"/>
              <w:bidi w:val="0"/>
              <w:spacing w:before="0" w:after="283"/>
              <w:jc w:val="right"/>
              <w:rPr/>
            </w:pPr>
            <w:r>
              <w:rPr/>
              <w:t>1,199</w:t>
            </w:r>
          </w:p>
        </w:tc>
        <w:tc>
          <w:tcPr>
            <w:tcW w:w="110" w:type="dxa"/>
            <w:tcBorders/>
            <w:shd w:fill="CCEEFF" w:val="clear"/>
            <w:vAlign w:val="center"/>
          </w:tcPr>
          <w:p>
            <w:pPr>
              <w:pStyle w:val="TableContents"/>
              <w:bidi w:val="0"/>
              <w:spacing w:before="0" w:after="283"/>
              <w:jc w:val="left"/>
              <w:rPr/>
            </w:pPr>
            <w:r>
              <w:rPr/>
              <w:t> </w:t>
            </w:r>
          </w:p>
        </w:tc>
      </w:tr>
      <w:tr>
        <w:trPr/>
        <w:tc>
          <w:tcPr>
            <w:tcW w:w="3620" w:type="dxa"/>
            <w:tcBorders/>
            <w:shd w:fill="FFFFFF" w:val="clear"/>
            <w:vAlign w:val="center"/>
          </w:tcPr>
          <w:p>
            <w:pPr>
              <w:pStyle w:val="TableContents"/>
              <w:bidi w:val="0"/>
              <w:spacing w:before="0" w:after="283"/>
              <w:jc w:val="both"/>
              <w:rPr/>
            </w:pPr>
            <w:r>
              <w:rPr/>
              <w:t>Allowance for credit losses</w:t>
            </w:r>
          </w:p>
        </w:tc>
        <w:tc>
          <w:tcPr>
            <w:tcW w:w="60" w:type="dxa"/>
            <w:tcBorders/>
            <w:shd w:fill="FFFFFF" w:val="clear"/>
            <w:vAlign w:val="center"/>
          </w:tcPr>
          <w:p>
            <w:pPr>
              <w:pStyle w:val="TableContents"/>
              <w:bidi w:val="0"/>
              <w:spacing w:before="0" w:after="283"/>
              <w:jc w:val="left"/>
              <w:rPr/>
            </w:pPr>
            <w:r>
              <w:rPr/>
              <w:t> </w:t>
            </w:r>
          </w:p>
        </w:tc>
        <w:tc>
          <w:tcPr>
            <w:tcW w:w="175"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700" w:type="dxa"/>
            <w:tcBorders>
              <w:bottom w:val="single" w:sz="12" w:space="0" w:color="000000"/>
            </w:tcBorders>
            <w:shd w:fill="FFFFFF" w:val="clear"/>
            <w:tcMar>
              <w:bottom w:w="28" w:type="dxa"/>
            </w:tcMar>
            <w:vAlign w:val="center"/>
          </w:tcPr>
          <w:p>
            <w:pPr>
              <w:pStyle w:val="TableContents"/>
              <w:bidi w:val="0"/>
              <w:spacing w:before="0" w:after="283"/>
              <w:jc w:val="right"/>
              <w:rPr/>
            </w:pPr>
            <w:r>
              <w:rPr/>
              <w:t>(548</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283"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32" w:type="dxa"/>
            <w:tcBorders>
              <w:bottom w:val="single" w:sz="12" w:space="0" w:color="000000"/>
            </w:tcBorders>
            <w:shd w:fill="FFFFFF" w:val="clear"/>
            <w:tcMar>
              <w:bottom w:w="28" w:type="dxa"/>
            </w:tcMar>
            <w:vAlign w:val="center"/>
          </w:tcPr>
          <w:p>
            <w:pPr>
              <w:pStyle w:val="TableContents"/>
              <w:bidi w:val="0"/>
              <w:spacing w:before="0" w:after="283"/>
              <w:jc w:val="right"/>
              <w:rPr/>
            </w:pPr>
            <w:r>
              <w:rPr/>
              <w:t>(286</w:t>
            </w:r>
          </w:p>
        </w:tc>
        <w:tc>
          <w:tcPr>
            <w:tcW w:w="110" w:type="dxa"/>
            <w:tcBorders/>
            <w:shd w:fill="FFFFFF" w:val="clear"/>
            <w:vAlign w:val="center"/>
          </w:tcPr>
          <w:p>
            <w:pPr>
              <w:pStyle w:val="TableContents"/>
              <w:bidi w:val="0"/>
              <w:spacing w:before="0" w:after="283"/>
              <w:jc w:val="left"/>
              <w:rPr/>
            </w:pPr>
            <w:r>
              <w:rPr/>
              <w:t>)</w:t>
            </w:r>
          </w:p>
        </w:tc>
      </w:tr>
      <w:tr>
        <w:trPr/>
        <w:tc>
          <w:tcPr>
            <w:tcW w:w="3620" w:type="dxa"/>
            <w:tcBorders/>
            <w:shd w:fill="CCEEFF" w:val="clear"/>
            <w:vAlign w:val="center"/>
          </w:tcPr>
          <w:p>
            <w:pPr>
              <w:pStyle w:val="TableContents"/>
              <w:bidi w:val="0"/>
              <w:spacing w:before="0" w:after="283"/>
              <w:jc w:val="both"/>
              <w:rPr/>
            </w:pPr>
            <w:r>
              <w:rPr/>
              <w:t>Trade accounts receivable, net</w:t>
            </w:r>
          </w:p>
        </w:tc>
        <w:tc>
          <w:tcPr>
            <w:tcW w:w="60" w:type="dxa"/>
            <w:tcBorders/>
            <w:shd w:fill="CCEEFF" w:val="clear"/>
            <w:vAlign w:val="center"/>
          </w:tcPr>
          <w:p>
            <w:pPr>
              <w:pStyle w:val="TableContents"/>
              <w:bidi w:val="0"/>
              <w:spacing w:before="0" w:after="283"/>
              <w:jc w:val="left"/>
              <w:rPr/>
            </w:pPr>
            <w:r>
              <w:rPr/>
              <w:t> </w:t>
            </w:r>
          </w:p>
        </w:tc>
        <w:tc>
          <w:tcPr>
            <w:tcW w:w="175"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700" w:type="dxa"/>
            <w:tcBorders>
              <w:bottom w:val="single" w:sz="12" w:space="0" w:color="000000"/>
            </w:tcBorders>
            <w:shd w:fill="CCEEFF" w:val="clear"/>
            <w:tcMar>
              <w:bottom w:w="28" w:type="dxa"/>
            </w:tcMar>
            <w:vAlign w:val="center"/>
          </w:tcPr>
          <w:p>
            <w:pPr>
              <w:pStyle w:val="TableContents"/>
              <w:bidi w:val="0"/>
              <w:spacing w:before="0" w:after="283"/>
              <w:jc w:val="right"/>
              <w:rPr/>
            </w:pPr>
            <w:r>
              <w:rPr/>
              <w:t>2,092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83"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32" w:type="dxa"/>
            <w:tcBorders>
              <w:bottom w:val="single" w:sz="12" w:space="0" w:color="000000"/>
            </w:tcBorders>
            <w:shd w:fill="CCEEFF" w:val="clear"/>
            <w:tcMar>
              <w:bottom w:w="28" w:type="dxa"/>
            </w:tcMar>
            <w:vAlign w:val="center"/>
          </w:tcPr>
          <w:p>
            <w:pPr>
              <w:pStyle w:val="TableContents"/>
              <w:bidi w:val="0"/>
              <w:spacing w:before="0" w:after="283"/>
              <w:jc w:val="right"/>
              <w:rPr/>
            </w:pPr>
            <w:r>
              <w:rPr/>
              <w:t>913</w:t>
            </w:r>
          </w:p>
        </w:tc>
        <w:tc>
          <w:tcPr>
            <w:tcW w:w="110" w:type="dxa"/>
            <w:tcBorders/>
            <w:shd w:fill="CCEEFF" w:val="clear"/>
            <w:vAlign w:val="center"/>
          </w:tcPr>
          <w:p>
            <w:pPr>
              <w:pStyle w:val="TableContents"/>
              <w:bidi w:val="0"/>
              <w:spacing w:before="0" w:after="283"/>
              <w:jc w:val="left"/>
              <w:rPr/>
            </w:pPr>
            <w:r>
              <w:rPr/>
              <w:t> </w:t>
            </w:r>
          </w:p>
        </w:tc>
      </w:tr>
      <w:tr>
        <w:trPr/>
        <w:tc>
          <w:tcPr>
            <w:tcW w:w="3620" w:type="dxa"/>
            <w:tcBorders/>
            <w:shd w:fill="FFFFFF" w:val="clear"/>
            <w:vAlign w:val="center"/>
          </w:tcPr>
          <w:p>
            <w:pPr>
              <w:pStyle w:val="TableContents"/>
              <w:bidi w:val="0"/>
              <w:spacing w:before="0" w:after="283"/>
              <w:jc w:val="both"/>
              <w:rPr/>
            </w:pPr>
            <w:r>
              <w:rPr/>
              <w:t> </w:t>
            </w:r>
          </w:p>
        </w:tc>
        <w:tc>
          <w:tcPr>
            <w:tcW w:w="60" w:type="dxa"/>
            <w:tcBorders/>
            <w:shd w:fill="FFFFFF" w:val="clear"/>
            <w:vAlign w:val="center"/>
          </w:tcPr>
          <w:p>
            <w:pPr>
              <w:pStyle w:val="TableContents"/>
              <w:bidi w:val="0"/>
              <w:spacing w:before="0" w:after="283"/>
              <w:jc w:val="left"/>
              <w:rPr/>
            </w:pPr>
            <w:r>
              <w:rPr/>
              <w:t> </w:t>
            </w:r>
          </w:p>
        </w:tc>
        <w:tc>
          <w:tcPr>
            <w:tcW w:w="175" w:type="dxa"/>
            <w:tcBorders/>
            <w:shd w:fill="FFFFFF" w:val="clear"/>
            <w:vAlign w:val="center"/>
          </w:tcPr>
          <w:p>
            <w:pPr>
              <w:pStyle w:val="TableContents"/>
              <w:bidi w:val="0"/>
              <w:spacing w:before="0" w:after="283"/>
              <w:jc w:val="left"/>
              <w:rPr/>
            </w:pPr>
            <w:r>
              <w:rPr/>
              <w:t> </w:t>
            </w:r>
          </w:p>
        </w:tc>
        <w:tc>
          <w:tcPr>
            <w:tcW w:w="70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83" w:type="dxa"/>
            <w:tcBorders/>
            <w:shd w:fill="FFFFFF" w:val="clear"/>
            <w:vAlign w:val="center"/>
          </w:tcPr>
          <w:p>
            <w:pPr>
              <w:pStyle w:val="TableContents"/>
              <w:bidi w:val="0"/>
              <w:spacing w:before="0" w:after="283"/>
              <w:jc w:val="left"/>
              <w:rPr/>
            </w:pPr>
            <w:r>
              <w:rPr/>
              <w:t> </w:t>
            </w:r>
          </w:p>
        </w:tc>
        <w:tc>
          <w:tcPr>
            <w:tcW w:w="1132"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3620" w:type="dxa"/>
            <w:tcBorders/>
            <w:shd w:fill="CCEEFF" w:val="clear"/>
            <w:vAlign w:val="center"/>
          </w:tcPr>
          <w:p>
            <w:pPr>
              <w:pStyle w:val="TableContents"/>
              <w:bidi w:val="0"/>
              <w:spacing w:before="0" w:after="283"/>
              <w:jc w:val="both"/>
              <w:rPr/>
            </w:pPr>
            <w:r>
              <w:rPr/>
              <w:t>Contractor advances receivable</w:t>
            </w:r>
          </w:p>
        </w:tc>
        <w:tc>
          <w:tcPr>
            <w:tcW w:w="60" w:type="dxa"/>
            <w:tcBorders/>
            <w:shd w:fill="CCEEFF" w:val="clear"/>
            <w:vAlign w:val="center"/>
          </w:tcPr>
          <w:p>
            <w:pPr>
              <w:pStyle w:val="TableContents"/>
              <w:bidi w:val="0"/>
              <w:spacing w:before="0" w:after="283"/>
              <w:jc w:val="left"/>
              <w:rPr/>
            </w:pPr>
            <w:r>
              <w:rPr/>
              <w:t> </w:t>
            </w:r>
          </w:p>
        </w:tc>
        <w:tc>
          <w:tcPr>
            <w:tcW w:w="175" w:type="dxa"/>
            <w:tcBorders/>
            <w:shd w:fill="CCEEFF" w:val="clear"/>
            <w:vAlign w:val="center"/>
          </w:tcPr>
          <w:p>
            <w:pPr>
              <w:pStyle w:val="TableContents"/>
              <w:bidi w:val="0"/>
              <w:spacing w:before="0" w:after="283"/>
              <w:jc w:val="left"/>
              <w:rPr/>
            </w:pPr>
            <w:r>
              <w:rPr/>
              <w:t>$</w:t>
            </w:r>
          </w:p>
        </w:tc>
        <w:tc>
          <w:tcPr>
            <w:tcW w:w="700" w:type="dxa"/>
            <w:tcBorders/>
            <w:shd w:fill="CCEEFF" w:val="clear"/>
            <w:vAlign w:val="center"/>
          </w:tcPr>
          <w:p>
            <w:pPr>
              <w:pStyle w:val="TableContents"/>
              <w:bidi w:val="0"/>
              <w:spacing w:before="0" w:after="283"/>
              <w:jc w:val="right"/>
              <w:rPr/>
            </w:pPr>
            <w:r>
              <w:rPr/>
              <w:t>759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83" w:type="dxa"/>
            <w:tcBorders/>
            <w:shd w:fill="CCEEFF" w:val="clear"/>
            <w:vAlign w:val="center"/>
          </w:tcPr>
          <w:p>
            <w:pPr>
              <w:pStyle w:val="TableContents"/>
              <w:bidi w:val="0"/>
              <w:spacing w:before="0" w:after="283"/>
              <w:jc w:val="left"/>
              <w:rPr/>
            </w:pPr>
            <w:r>
              <w:rPr/>
              <w:t>$</w:t>
            </w:r>
          </w:p>
        </w:tc>
        <w:tc>
          <w:tcPr>
            <w:tcW w:w="1132" w:type="dxa"/>
            <w:tcBorders/>
            <w:shd w:fill="CCEEFF" w:val="clear"/>
            <w:vAlign w:val="center"/>
          </w:tcPr>
          <w:p>
            <w:pPr>
              <w:pStyle w:val="TableContents"/>
              <w:bidi w:val="0"/>
              <w:spacing w:before="0" w:after="283"/>
              <w:jc w:val="right"/>
              <w:rPr/>
            </w:pPr>
            <w:r>
              <w:rPr/>
              <w:t>786</w:t>
            </w:r>
          </w:p>
        </w:tc>
        <w:tc>
          <w:tcPr>
            <w:tcW w:w="110" w:type="dxa"/>
            <w:tcBorders/>
            <w:shd w:fill="CCEEFF" w:val="clear"/>
            <w:vAlign w:val="center"/>
          </w:tcPr>
          <w:p>
            <w:pPr>
              <w:pStyle w:val="TableContents"/>
              <w:bidi w:val="0"/>
              <w:spacing w:before="0" w:after="283"/>
              <w:jc w:val="left"/>
              <w:rPr/>
            </w:pPr>
            <w:r>
              <w:rPr/>
              <w:t> </w:t>
            </w:r>
          </w:p>
        </w:tc>
      </w:tr>
      <w:tr>
        <w:trPr/>
        <w:tc>
          <w:tcPr>
            <w:tcW w:w="3620" w:type="dxa"/>
            <w:tcBorders/>
            <w:shd w:fill="FFFFFF" w:val="clear"/>
            <w:vAlign w:val="center"/>
          </w:tcPr>
          <w:p>
            <w:pPr>
              <w:pStyle w:val="TableContents"/>
              <w:bidi w:val="0"/>
              <w:spacing w:before="0" w:after="283"/>
              <w:jc w:val="both"/>
              <w:rPr/>
            </w:pPr>
            <w:r>
              <w:rPr/>
              <w:t>Transaction fee receivable</w:t>
            </w:r>
          </w:p>
        </w:tc>
        <w:tc>
          <w:tcPr>
            <w:tcW w:w="60" w:type="dxa"/>
            <w:tcBorders/>
            <w:shd w:fill="FFFFFF" w:val="clear"/>
            <w:vAlign w:val="center"/>
          </w:tcPr>
          <w:p>
            <w:pPr>
              <w:pStyle w:val="TableContents"/>
              <w:bidi w:val="0"/>
              <w:spacing w:before="0" w:after="283"/>
              <w:jc w:val="left"/>
              <w:rPr/>
            </w:pPr>
            <w:r>
              <w:rPr/>
              <w:t> </w:t>
            </w:r>
          </w:p>
        </w:tc>
        <w:tc>
          <w:tcPr>
            <w:tcW w:w="175" w:type="dxa"/>
            <w:tcBorders/>
            <w:shd w:fill="FFFFFF" w:val="clear"/>
            <w:vAlign w:val="center"/>
          </w:tcPr>
          <w:p>
            <w:pPr>
              <w:pStyle w:val="TableContents"/>
              <w:bidi w:val="0"/>
              <w:spacing w:before="0" w:after="283"/>
              <w:jc w:val="left"/>
              <w:rPr/>
            </w:pPr>
            <w:r>
              <w:rPr/>
              <w:t> </w:t>
            </w:r>
          </w:p>
        </w:tc>
        <w:tc>
          <w:tcPr>
            <w:tcW w:w="700" w:type="dxa"/>
            <w:tcBorders/>
            <w:shd w:fill="FFFFFF" w:val="clear"/>
            <w:vAlign w:val="center"/>
          </w:tcPr>
          <w:p>
            <w:pPr>
              <w:pStyle w:val="TableContents"/>
              <w:bidi w:val="0"/>
              <w:spacing w:before="0" w:after="283"/>
              <w:jc w:val="right"/>
              <w:rPr/>
            </w:pPr>
            <w:r>
              <w:rPr/>
              <w:t>9</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83" w:type="dxa"/>
            <w:tcBorders/>
            <w:shd w:fill="FFFFFF" w:val="clear"/>
            <w:vAlign w:val="center"/>
          </w:tcPr>
          <w:p>
            <w:pPr>
              <w:pStyle w:val="TableContents"/>
              <w:bidi w:val="0"/>
              <w:spacing w:before="0" w:after="283"/>
              <w:jc w:val="left"/>
              <w:rPr/>
            </w:pPr>
            <w:r>
              <w:rPr/>
              <w:t> </w:t>
            </w:r>
          </w:p>
        </w:tc>
        <w:tc>
          <w:tcPr>
            <w:tcW w:w="1132" w:type="dxa"/>
            <w:tcBorders/>
            <w:shd w:fill="FFFFFF" w:val="clear"/>
            <w:vAlign w:val="center"/>
          </w:tcPr>
          <w:p>
            <w:pPr>
              <w:pStyle w:val="TableContents"/>
              <w:bidi w:val="0"/>
              <w:spacing w:before="0" w:after="283"/>
              <w:jc w:val="right"/>
              <w:rPr/>
            </w:pPr>
            <w:r>
              <w:rPr/>
              <w:t>20</w:t>
            </w:r>
          </w:p>
        </w:tc>
        <w:tc>
          <w:tcPr>
            <w:tcW w:w="110" w:type="dxa"/>
            <w:tcBorders/>
            <w:shd w:fill="FFFFFF" w:val="clear"/>
            <w:vAlign w:val="center"/>
          </w:tcPr>
          <w:p>
            <w:pPr>
              <w:pStyle w:val="TableContents"/>
              <w:bidi w:val="0"/>
              <w:spacing w:before="0" w:after="283"/>
              <w:jc w:val="left"/>
              <w:rPr/>
            </w:pPr>
            <w:r>
              <w:rPr/>
              <w:t> </w:t>
            </w:r>
          </w:p>
        </w:tc>
      </w:tr>
      <w:tr>
        <w:trPr/>
        <w:tc>
          <w:tcPr>
            <w:tcW w:w="3620" w:type="dxa"/>
            <w:tcBorders/>
            <w:shd w:fill="CCEEFF" w:val="clear"/>
            <w:vAlign w:val="center"/>
          </w:tcPr>
          <w:p>
            <w:pPr>
              <w:pStyle w:val="TableContents"/>
              <w:bidi w:val="0"/>
              <w:spacing w:before="0" w:after="283"/>
              <w:jc w:val="both"/>
              <w:rPr/>
            </w:pPr>
            <w:r>
              <w:rPr/>
              <w:t>Commissions overpayment receivable</w:t>
            </w:r>
          </w:p>
        </w:tc>
        <w:tc>
          <w:tcPr>
            <w:tcW w:w="60" w:type="dxa"/>
            <w:tcBorders/>
            <w:shd w:fill="CCEEFF" w:val="clear"/>
            <w:vAlign w:val="center"/>
          </w:tcPr>
          <w:p>
            <w:pPr>
              <w:pStyle w:val="TableContents"/>
              <w:bidi w:val="0"/>
              <w:spacing w:before="0" w:after="283"/>
              <w:jc w:val="left"/>
              <w:rPr/>
            </w:pPr>
            <w:r>
              <w:rPr/>
              <w:t> </w:t>
            </w:r>
          </w:p>
        </w:tc>
        <w:tc>
          <w:tcPr>
            <w:tcW w:w="175" w:type="dxa"/>
            <w:tcBorders/>
            <w:shd w:fill="CCEEFF" w:val="clear"/>
            <w:vAlign w:val="center"/>
          </w:tcPr>
          <w:p>
            <w:pPr>
              <w:pStyle w:val="TableContents"/>
              <w:bidi w:val="0"/>
              <w:spacing w:before="0" w:after="283"/>
              <w:jc w:val="left"/>
              <w:rPr/>
            </w:pPr>
            <w:r>
              <w:rPr/>
              <w:t> </w:t>
            </w:r>
          </w:p>
        </w:tc>
        <w:tc>
          <w:tcPr>
            <w:tcW w:w="700" w:type="dxa"/>
            <w:tcBorders/>
            <w:shd w:fill="CCEEFF" w:val="clear"/>
            <w:vAlign w:val="center"/>
          </w:tcPr>
          <w:p>
            <w:pPr>
              <w:pStyle w:val="TableContents"/>
              <w:bidi w:val="0"/>
              <w:spacing w:before="0" w:after="283"/>
              <w:jc w:val="right"/>
              <w:rPr/>
            </w:pPr>
            <w:r>
              <w:rPr/>
              <w:t>2,942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83" w:type="dxa"/>
            <w:tcBorders/>
            <w:shd w:fill="CCEEFF" w:val="clear"/>
            <w:vAlign w:val="center"/>
          </w:tcPr>
          <w:p>
            <w:pPr>
              <w:pStyle w:val="TableContents"/>
              <w:bidi w:val="0"/>
              <w:spacing w:before="0" w:after="283"/>
              <w:jc w:val="left"/>
              <w:rPr/>
            </w:pPr>
            <w:r>
              <w:rPr/>
              <w:t> </w:t>
            </w:r>
          </w:p>
        </w:tc>
        <w:tc>
          <w:tcPr>
            <w:tcW w:w="1132" w:type="dxa"/>
            <w:tcBorders/>
            <w:shd w:fill="CCEEFF" w:val="clear"/>
            <w:vAlign w:val="center"/>
          </w:tcPr>
          <w:p>
            <w:pPr>
              <w:pStyle w:val="TableContents"/>
              <w:bidi w:val="0"/>
              <w:spacing w:before="0" w:after="283"/>
              <w:jc w:val="right"/>
              <w:rPr/>
            </w:pPr>
            <w:r>
              <w:rPr/>
              <w:t>1,574</w:t>
            </w:r>
          </w:p>
        </w:tc>
        <w:tc>
          <w:tcPr>
            <w:tcW w:w="110" w:type="dxa"/>
            <w:tcBorders/>
            <w:shd w:fill="CCEEFF" w:val="clear"/>
            <w:vAlign w:val="center"/>
          </w:tcPr>
          <w:p>
            <w:pPr>
              <w:pStyle w:val="TableContents"/>
              <w:bidi w:val="0"/>
              <w:spacing w:before="0" w:after="283"/>
              <w:jc w:val="left"/>
              <w:rPr/>
            </w:pPr>
            <w:r>
              <w:rPr/>
              <w:t> </w:t>
            </w:r>
          </w:p>
        </w:tc>
      </w:tr>
      <w:tr>
        <w:trPr/>
        <w:tc>
          <w:tcPr>
            <w:tcW w:w="3620" w:type="dxa"/>
            <w:tcBorders/>
            <w:shd w:fill="FFFFFF" w:val="clear"/>
            <w:vAlign w:val="center"/>
          </w:tcPr>
          <w:p>
            <w:pPr>
              <w:pStyle w:val="TableContents"/>
              <w:bidi w:val="0"/>
              <w:spacing w:before="0" w:after="283"/>
              <w:jc w:val="both"/>
              <w:rPr/>
            </w:pPr>
            <w:r>
              <w:rPr/>
              <w:t>Allowance for credit losses</w:t>
            </w:r>
          </w:p>
        </w:tc>
        <w:tc>
          <w:tcPr>
            <w:tcW w:w="60" w:type="dxa"/>
            <w:tcBorders/>
            <w:shd w:fill="FFFFFF" w:val="clear"/>
            <w:vAlign w:val="center"/>
          </w:tcPr>
          <w:p>
            <w:pPr>
              <w:pStyle w:val="TableContents"/>
              <w:bidi w:val="0"/>
              <w:spacing w:before="0" w:after="283"/>
              <w:jc w:val="left"/>
              <w:rPr/>
            </w:pPr>
            <w:r>
              <w:rPr/>
              <w:t> </w:t>
            </w:r>
          </w:p>
        </w:tc>
        <w:tc>
          <w:tcPr>
            <w:tcW w:w="175"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700" w:type="dxa"/>
            <w:tcBorders>
              <w:bottom w:val="single" w:sz="12" w:space="0" w:color="000000"/>
            </w:tcBorders>
            <w:shd w:fill="FFFFFF" w:val="clear"/>
            <w:tcMar>
              <w:bottom w:w="28" w:type="dxa"/>
            </w:tcMar>
            <w:vAlign w:val="center"/>
          </w:tcPr>
          <w:p>
            <w:pPr>
              <w:pStyle w:val="TableContents"/>
              <w:bidi w:val="0"/>
              <w:spacing w:before="0" w:after="283"/>
              <w:jc w:val="right"/>
              <w:rPr/>
            </w:pPr>
            <w:r>
              <w:rPr/>
              <w:t>(487</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283"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32" w:type="dxa"/>
            <w:tcBorders>
              <w:bottom w:val="single" w:sz="12" w:space="0" w:color="000000"/>
            </w:tcBorders>
            <w:shd w:fill="FFFFFF" w:val="clear"/>
            <w:tcMar>
              <w:bottom w:w="28" w:type="dxa"/>
            </w:tcMar>
            <w:vAlign w:val="center"/>
          </w:tcPr>
          <w:p>
            <w:pPr>
              <w:pStyle w:val="TableContents"/>
              <w:bidi w:val="0"/>
              <w:spacing w:before="0" w:after="283"/>
              <w:jc w:val="right"/>
              <w:rPr/>
            </w:pPr>
            <w:r>
              <w:rPr/>
              <w:t>(302</w:t>
            </w:r>
          </w:p>
        </w:tc>
        <w:tc>
          <w:tcPr>
            <w:tcW w:w="110" w:type="dxa"/>
            <w:tcBorders/>
            <w:shd w:fill="FFFFFF" w:val="clear"/>
            <w:vAlign w:val="center"/>
          </w:tcPr>
          <w:p>
            <w:pPr>
              <w:pStyle w:val="TableContents"/>
              <w:bidi w:val="0"/>
              <w:spacing w:before="0" w:after="283"/>
              <w:jc w:val="left"/>
              <w:rPr/>
            </w:pPr>
            <w:r>
              <w:rPr/>
              <w:t>)</w:t>
            </w:r>
          </w:p>
        </w:tc>
      </w:tr>
      <w:tr>
        <w:trPr/>
        <w:tc>
          <w:tcPr>
            <w:tcW w:w="3620" w:type="dxa"/>
            <w:tcBorders/>
            <w:shd w:fill="CCEEFF" w:val="clear"/>
            <w:vAlign w:val="center"/>
          </w:tcPr>
          <w:p>
            <w:pPr>
              <w:pStyle w:val="TableContents"/>
              <w:bidi w:val="0"/>
              <w:spacing w:before="0" w:after="283"/>
              <w:jc w:val="both"/>
              <w:rPr/>
            </w:pPr>
            <w:r>
              <w:rPr/>
              <w:t>Total due from sales representatives</w:t>
            </w:r>
          </w:p>
        </w:tc>
        <w:tc>
          <w:tcPr>
            <w:tcW w:w="60" w:type="dxa"/>
            <w:tcBorders/>
            <w:shd w:fill="CCEEFF" w:val="clear"/>
            <w:vAlign w:val="center"/>
          </w:tcPr>
          <w:p>
            <w:pPr>
              <w:pStyle w:val="TableContents"/>
              <w:bidi w:val="0"/>
              <w:spacing w:before="0" w:after="283"/>
              <w:jc w:val="left"/>
              <w:rPr/>
            </w:pPr>
            <w:r>
              <w:rPr/>
              <w:t> </w:t>
            </w:r>
          </w:p>
        </w:tc>
        <w:tc>
          <w:tcPr>
            <w:tcW w:w="175"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700" w:type="dxa"/>
            <w:tcBorders>
              <w:bottom w:val="single" w:sz="12" w:space="0" w:color="000000"/>
            </w:tcBorders>
            <w:shd w:fill="CCEEFF" w:val="clear"/>
            <w:tcMar>
              <w:bottom w:w="28" w:type="dxa"/>
            </w:tcMar>
            <w:vAlign w:val="center"/>
          </w:tcPr>
          <w:p>
            <w:pPr>
              <w:pStyle w:val="TableContents"/>
              <w:bidi w:val="0"/>
              <w:spacing w:before="0" w:after="283"/>
              <w:jc w:val="right"/>
              <w:rPr/>
            </w:pPr>
            <w:r>
              <w:rPr/>
              <w:t>3,223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83"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32" w:type="dxa"/>
            <w:tcBorders>
              <w:bottom w:val="single" w:sz="12" w:space="0" w:color="000000"/>
            </w:tcBorders>
            <w:shd w:fill="CCEEFF" w:val="clear"/>
            <w:tcMar>
              <w:bottom w:w="28" w:type="dxa"/>
            </w:tcMar>
            <w:vAlign w:val="center"/>
          </w:tcPr>
          <w:p>
            <w:pPr>
              <w:pStyle w:val="TableContents"/>
              <w:bidi w:val="0"/>
              <w:spacing w:before="0" w:after="283"/>
              <w:jc w:val="right"/>
              <w:rPr/>
            </w:pPr>
            <w:r>
              <w:rPr/>
              <w:t>2,078</w:t>
            </w:r>
          </w:p>
        </w:tc>
        <w:tc>
          <w:tcPr>
            <w:tcW w:w="110" w:type="dxa"/>
            <w:tcBorders/>
            <w:shd w:fill="CCEEFF" w:val="clear"/>
            <w:vAlign w:val="center"/>
          </w:tcPr>
          <w:p>
            <w:pPr>
              <w:pStyle w:val="TableContents"/>
              <w:bidi w:val="0"/>
              <w:spacing w:before="0" w:after="283"/>
              <w:jc w:val="left"/>
              <w:rPr/>
            </w:pPr>
            <w:r>
              <w:rPr/>
              <w:t> </w:t>
            </w:r>
          </w:p>
        </w:tc>
      </w:tr>
      <w:tr>
        <w:trPr/>
        <w:tc>
          <w:tcPr>
            <w:tcW w:w="3620" w:type="dxa"/>
            <w:tcBorders/>
            <w:shd w:fill="FFFFFF" w:val="clear"/>
            <w:vAlign w:val="center"/>
          </w:tcPr>
          <w:p>
            <w:pPr>
              <w:pStyle w:val="TableContents"/>
              <w:bidi w:val="0"/>
              <w:spacing w:before="0" w:after="283"/>
              <w:jc w:val="both"/>
              <w:rPr/>
            </w:pPr>
            <w:r>
              <w:rPr/>
              <w:t>Total accounts receivable, net</w:t>
            </w:r>
          </w:p>
        </w:tc>
        <w:tc>
          <w:tcPr>
            <w:tcW w:w="60" w:type="dxa"/>
            <w:tcBorders/>
            <w:shd w:fill="FFFFFF" w:val="clear"/>
            <w:vAlign w:val="center"/>
          </w:tcPr>
          <w:p>
            <w:pPr>
              <w:pStyle w:val="TableContents"/>
              <w:bidi w:val="0"/>
              <w:spacing w:before="0" w:after="283"/>
              <w:jc w:val="left"/>
              <w:rPr/>
            </w:pPr>
            <w:r>
              <w:rPr/>
              <w:t> </w:t>
            </w:r>
          </w:p>
        </w:tc>
        <w:tc>
          <w:tcPr>
            <w:tcW w:w="175" w:type="dxa"/>
            <w:tcBorders>
              <w:bottom w:val="double" w:sz="10" w:space="0" w:color="000000"/>
            </w:tcBorders>
            <w:shd w:fill="FFFFFF" w:val="clear"/>
            <w:tcMar>
              <w:bottom w:w="28" w:type="dxa"/>
            </w:tcMar>
            <w:vAlign w:val="center"/>
          </w:tcPr>
          <w:p>
            <w:pPr>
              <w:pStyle w:val="TableContents"/>
              <w:bidi w:val="0"/>
              <w:spacing w:before="0" w:after="283"/>
              <w:jc w:val="left"/>
              <w:rPr/>
            </w:pPr>
            <w:r>
              <w:rPr/>
              <w:t>$</w:t>
            </w:r>
          </w:p>
        </w:tc>
        <w:tc>
          <w:tcPr>
            <w:tcW w:w="700" w:type="dxa"/>
            <w:tcBorders>
              <w:bottom w:val="double" w:sz="10" w:space="0" w:color="000000"/>
            </w:tcBorders>
            <w:shd w:fill="FFFFFF" w:val="clear"/>
            <w:tcMar>
              <w:bottom w:w="28" w:type="dxa"/>
            </w:tcMar>
            <w:vAlign w:val="center"/>
          </w:tcPr>
          <w:p>
            <w:pPr>
              <w:pStyle w:val="TableContents"/>
              <w:bidi w:val="0"/>
              <w:spacing w:before="0" w:after="283"/>
              <w:jc w:val="right"/>
              <w:rPr/>
            </w:pPr>
            <w:r>
              <w:rPr/>
              <w:t>5,315</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83" w:type="dxa"/>
            <w:tcBorders>
              <w:bottom w:val="double" w:sz="10" w:space="0" w:color="000000"/>
            </w:tcBorders>
            <w:shd w:fill="FFFFFF" w:val="clear"/>
            <w:tcMar>
              <w:bottom w:w="28" w:type="dxa"/>
            </w:tcMar>
            <w:vAlign w:val="center"/>
          </w:tcPr>
          <w:p>
            <w:pPr>
              <w:pStyle w:val="TableContents"/>
              <w:bidi w:val="0"/>
              <w:spacing w:before="0" w:after="283"/>
              <w:jc w:val="left"/>
              <w:rPr/>
            </w:pPr>
            <w:r>
              <w:rPr/>
              <w:t>$</w:t>
            </w:r>
          </w:p>
        </w:tc>
        <w:tc>
          <w:tcPr>
            <w:tcW w:w="1132" w:type="dxa"/>
            <w:tcBorders>
              <w:bottom w:val="double" w:sz="10" w:space="0" w:color="000000"/>
            </w:tcBorders>
            <w:shd w:fill="FFFFFF" w:val="clear"/>
            <w:tcMar>
              <w:bottom w:w="28" w:type="dxa"/>
            </w:tcMar>
            <w:vAlign w:val="center"/>
          </w:tcPr>
          <w:p>
            <w:pPr>
              <w:pStyle w:val="TableContents"/>
              <w:bidi w:val="0"/>
              <w:spacing w:before="0" w:after="283"/>
              <w:jc w:val="right"/>
              <w:rPr/>
            </w:pPr>
            <w:r>
              <w:rPr/>
              <w:t>2,991</w:t>
            </w:r>
          </w:p>
        </w:tc>
        <w:tc>
          <w:tcPr>
            <w:tcW w:w="11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4</w:t>
      </w:r>
      <w:r>
        <w:rPr>
          <w:rFonts w:ascii="Times New Roman;Times;Serif" w:hAnsi="Times New Roman;Times;Serif"/>
          <w:b/>
          <w:i/>
          <w:caps w:val="false"/>
          <w:smallCaps w:val="false"/>
          <w:sz w:val="20"/>
        </w:rPr>
        <w:t xml:space="preserve">. ALLOWANCE FOR CREDIT LOSSES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allowances for credit losses for receivables by portfolio segment and the related activity for the six months ended June 30, 2025 and 2024, are as follows</w:t>
      </w:r>
      <w:r>
        <w:rPr>
          <w:rFonts w:ascii="Times New Roman;Times;Serif" w:hAnsi="Times New Roman;Times;Serif"/>
          <w:b w:val="false"/>
          <w:i/>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809"/>
        <w:gridCol w:w="60"/>
        <w:gridCol w:w="421"/>
        <w:gridCol w:w="1145"/>
        <w:gridCol w:w="77"/>
        <w:gridCol w:w="77"/>
        <w:gridCol w:w="516"/>
        <w:gridCol w:w="961"/>
        <w:gridCol w:w="122"/>
        <w:gridCol w:w="77"/>
        <w:gridCol w:w="451"/>
        <w:gridCol w:w="1227"/>
        <w:gridCol w:w="122"/>
        <w:gridCol w:w="77"/>
        <w:gridCol w:w="516"/>
        <w:gridCol w:w="1405"/>
        <w:gridCol w:w="77"/>
        <w:gridCol w:w="77"/>
        <w:gridCol w:w="180"/>
        <w:gridCol w:w="723"/>
        <w:gridCol w:w="85"/>
      </w:tblGrid>
      <w:tr>
        <w:trPr/>
        <w:tc>
          <w:tcPr>
            <w:tcW w:w="1809"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8251" w:type="dxa"/>
            <w:gridSpan w:val="18"/>
            <w:tcBorders>
              <w:bottom w:val="single" w:sz="12" w:space="0" w:color="000000"/>
            </w:tcBorders>
            <w:tcMar>
              <w:bottom w:w="28" w:type="dxa"/>
            </w:tcMar>
            <w:vAlign w:val="center"/>
          </w:tcPr>
          <w:p>
            <w:pPr>
              <w:pStyle w:val="TableContents"/>
              <w:bidi w:val="0"/>
              <w:spacing w:before="0" w:after="283"/>
              <w:jc w:val="center"/>
              <w:rPr>
                <w:b/>
              </w:rPr>
            </w:pPr>
            <w:r>
              <w:rPr>
                <w:b/>
              </w:rPr>
              <w:t>As of and for the six months ended June 30, 2025</w:t>
            </w:r>
          </w:p>
        </w:tc>
        <w:tc>
          <w:tcPr>
            <w:tcW w:w="85" w:type="dxa"/>
            <w:tcBorders/>
            <w:vAlign w:val="center"/>
          </w:tcPr>
          <w:p>
            <w:pPr>
              <w:pStyle w:val="TableContents"/>
              <w:bidi w:val="0"/>
              <w:spacing w:before="0" w:after="283"/>
              <w:jc w:val="left"/>
              <w:rPr/>
            </w:pPr>
            <w:r>
              <w:rPr/>
              <w:t> </w:t>
            </w:r>
          </w:p>
        </w:tc>
      </w:tr>
      <w:tr>
        <w:trPr/>
        <w:tc>
          <w:tcPr>
            <w:tcW w:w="1809"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566"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Accounts receivable</w:t>
            </w:r>
          </w:p>
        </w:tc>
        <w:tc>
          <w:tcPr>
            <w:tcW w:w="77" w:type="dxa"/>
            <w:tcBorders/>
            <w:vAlign w:val="center"/>
          </w:tcPr>
          <w:p>
            <w:pPr>
              <w:pStyle w:val="TableContents"/>
              <w:bidi w:val="0"/>
              <w:spacing w:before="0" w:after="283"/>
              <w:jc w:val="left"/>
              <w:rPr/>
            </w:pPr>
            <w:r>
              <w:rPr/>
              <w:t> </w:t>
            </w:r>
          </w:p>
        </w:tc>
        <w:tc>
          <w:tcPr>
            <w:tcW w:w="77" w:type="dxa"/>
            <w:tcBorders/>
            <w:vAlign w:val="center"/>
          </w:tcPr>
          <w:p>
            <w:pPr>
              <w:pStyle w:val="TableContents"/>
              <w:bidi w:val="0"/>
              <w:spacing w:before="0" w:after="283"/>
              <w:jc w:val="left"/>
              <w:rPr/>
            </w:pPr>
            <w:r>
              <w:rPr/>
              <w:t> </w:t>
            </w:r>
          </w:p>
        </w:tc>
        <w:tc>
          <w:tcPr>
            <w:tcW w:w="1477"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Transaction fees</w:t>
            </w:r>
          </w:p>
        </w:tc>
        <w:tc>
          <w:tcPr>
            <w:tcW w:w="122" w:type="dxa"/>
            <w:tcBorders/>
            <w:vAlign w:val="center"/>
          </w:tcPr>
          <w:p>
            <w:pPr>
              <w:pStyle w:val="TableContents"/>
              <w:bidi w:val="0"/>
              <w:spacing w:before="0" w:after="283"/>
              <w:jc w:val="left"/>
              <w:rPr/>
            </w:pPr>
            <w:r>
              <w:rPr/>
              <w:t> </w:t>
            </w:r>
          </w:p>
        </w:tc>
        <w:tc>
          <w:tcPr>
            <w:tcW w:w="77" w:type="dxa"/>
            <w:tcBorders/>
            <w:vAlign w:val="center"/>
          </w:tcPr>
          <w:p>
            <w:pPr>
              <w:pStyle w:val="TableContents"/>
              <w:bidi w:val="0"/>
              <w:spacing w:before="0" w:after="283"/>
              <w:jc w:val="left"/>
              <w:rPr/>
            </w:pPr>
            <w:r>
              <w:rPr/>
              <w:t> </w:t>
            </w:r>
          </w:p>
        </w:tc>
        <w:tc>
          <w:tcPr>
            <w:tcW w:w="1678"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Contractor advances</w:t>
            </w:r>
          </w:p>
        </w:tc>
        <w:tc>
          <w:tcPr>
            <w:tcW w:w="122" w:type="dxa"/>
            <w:tcBorders/>
            <w:vAlign w:val="center"/>
          </w:tcPr>
          <w:p>
            <w:pPr>
              <w:pStyle w:val="TableContents"/>
              <w:bidi w:val="0"/>
              <w:spacing w:before="0" w:after="283"/>
              <w:jc w:val="left"/>
              <w:rPr/>
            </w:pPr>
            <w:r>
              <w:rPr/>
              <w:t> </w:t>
            </w:r>
          </w:p>
        </w:tc>
        <w:tc>
          <w:tcPr>
            <w:tcW w:w="77" w:type="dxa"/>
            <w:tcBorders/>
            <w:vAlign w:val="center"/>
          </w:tcPr>
          <w:p>
            <w:pPr>
              <w:pStyle w:val="TableContents"/>
              <w:bidi w:val="0"/>
              <w:spacing w:before="0" w:after="283"/>
              <w:jc w:val="left"/>
              <w:rPr/>
            </w:pPr>
            <w:r>
              <w:rPr/>
              <w:t> </w:t>
            </w:r>
          </w:p>
        </w:tc>
        <w:tc>
          <w:tcPr>
            <w:tcW w:w="1921"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Commissions receivable</w:t>
            </w:r>
          </w:p>
        </w:tc>
        <w:tc>
          <w:tcPr>
            <w:tcW w:w="77" w:type="dxa"/>
            <w:tcBorders/>
            <w:vAlign w:val="center"/>
          </w:tcPr>
          <w:p>
            <w:pPr>
              <w:pStyle w:val="TableContents"/>
              <w:bidi w:val="0"/>
              <w:spacing w:before="0" w:after="283"/>
              <w:jc w:val="left"/>
              <w:rPr/>
            </w:pPr>
            <w:r>
              <w:rPr/>
              <w:t> </w:t>
            </w:r>
          </w:p>
        </w:tc>
        <w:tc>
          <w:tcPr>
            <w:tcW w:w="77" w:type="dxa"/>
            <w:tcBorders/>
            <w:vAlign w:val="center"/>
          </w:tcPr>
          <w:p>
            <w:pPr>
              <w:pStyle w:val="TableContents"/>
              <w:bidi w:val="0"/>
              <w:spacing w:before="0" w:after="283"/>
              <w:jc w:val="left"/>
              <w:rPr/>
            </w:pPr>
            <w:r>
              <w:rPr/>
              <w:t> </w:t>
            </w:r>
          </w:p>
        </w:tc>
        <w:tc>
          <w:tcPr>
            <w:tcW w:w="903"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Total</w:t>
            </w:r>
          </w:p>
        </w:tc>
        <w:tc>
          <w:tcPr>
            <w:tcW w:w="85" w:type="dxa"/>
            <w:tcBorders/>
            <w:vAlign w:val="center"/>
          </w:tcPr>
          <w:p>
            <w:pPr>
              <w:pStyle w:val="TableContents"/>
              <w:bidi w:val="0"/>
              <w:spacing w:before="0" w:after="283"/>
              <w:jc w:val="left"/>
              <w:rPr/>
            </w:pPr>
            <w:r>
              <w:rPr/>
              <w:t> </w:t>
            </w:r>
          </w:p>
        </w:tc>
      </w:tr>
      <w:tr>
        <w:trPr/>
        <w:tc>
          <w:tcPr>
            <w:tcW w:w="1809" w:type="dxa"/>
            <w:tcBorders/>
            <w:shd w:fill="CCEEFF" w:val="clear"/>
            <w:vAlign w:val="center"/>
          </w:tcPr>
          <w:p>
            <w:pPr>
              <w:pStyle w:val="TableContents"/>
              <w:bidi w:val="0"/>
              <w:spacing w:before="0" w:after="283"/>
              <w:jc w:val="both"/>
              <w:rPr/>
            </w:pPr>
            <w:r>
              <w:rPr/>
              <w:t>Beginning balance</w:t>
            </w:r>
          </w:p>
        </w:tc>
        <w:tc>
          <w:tcPr>
            <w:tcW w:w="60" w:type="dxa"/>
            <w:tcBorders/>
            <w:shd w:fill="CCEEFF" w:val="clear"/>
            <w:vAlign w:val="center"/>
          </w:tcPr>
          <w:p>
            <w:pPr>
              <w:pStyle w:val="TableContents"/>
              <w:bidi w:val="0"/>
              <w:spacing w:before="0" w:after="283"/>
              <w:jc w:val="left"/>
              <w:rPr/>
            </w:pPr>
            <w:r>
              <w:rPr/>
              <w:t> </w:t>
            </w:r>
          </w:p>
        </w:tc>
        <w:tc>
          <w:tcPr>
            <w:tcW w:w="421" w:type="dxa"/>
            <w:tcBorders/>
            <w:shd w:fill="CCEEFF" w:val="clear"/>
            <w:vAlign w:val="center"/>
          </w:tcPr>
          <w:p>
            <w:pPr>
              <w:pStyle w:val="TableContents"/>
              <w:bidi w:val="0"/>
              <w:spacing w:before="0" w:after="283"/>
              <w:jc w:val="left"/>
              <w:rPr/>
            </w:pPr>
            <w:r>
              <w:rPr/>
              <w:t>$</w:t>
            </w:r>
          </w:p>
        </w:tc>
        <w:tc>
          <w:tcPr>
            <w:tcW w:w="1145" w:type="dxa"/>
            <w:tcBorders/>
            <w:shd w:fill="CCEEFF" w:val="clear"/>
            <w:vAlign w:val="center"/>
          </w:tcPr>
          <w:p>
            <w:pPr>
              <w:pStyle w:val="TableContents"/>
              <w:bidi w:val="0"/>
              <w:spacing w:before="0" w:after="283"/>
              <w:jc w:val="right"/>
              <w:rPr/>
            </w:pPr>
            <w:r>
              <w:rPr/>
              <w:t>286</w:t>
            </w:r>
          </w:p>
        </w:tc>
        <w:tc>
          <w:tcPr>
            <w:tcW w:w="77" w:type="dxa"/>
            <w:tcBorders/>
            <w:shd w:fill="CCEEFF" w:val="clear"/>
            <w:vAlign w:val="center"/>
          </w:tcPr>
          <w:p>
            <w:pPr>
              <w:pStyle w:val="TableContents"/>
              <w:bidi w:val="0"/>
              <w:spacing w:before="0" w:after="283"/>
              <w:jc w:val="left"/>
              <w:rPr/>
            </w:pPr>
            <w:r>
              <w:rPr/>
              <w:t> </w:t>
            </w:r>
          </w:p>
        </w:tc>
        <w:tc>
          <w:tcPr>
            <w:tcW w:w="77" w:type="dxa"/>
            <w:tcBorders/>
            <w:shd w:fill="CCEEFF" w:val="clear"/>
            <w:vAlign w:val="center"/>
          </w:tcPr>
          <w:p>
            <w:pPr>
              <w:pStyle w:val="TableContents"/>
              <w:bidi w:val="0"/>
              <w:spacing w:before="0" w:after="283"/>
              <w:jc w:val="left"/>
              <w:rPr/>
            </w:pPr>
            <w:r>
              <w:rPr/>
              <w:t> </w:t>
            </w:r>
          </w:p>
        </w:tc>
        <w:tc>
          <w:tcPr>
            <w:tcW w:w="516" w:type="dxa"/>
            <w:tcBorders/>
            <w:shd w:fill="CCEEFF" w:val="clear"/>
            <w:vAlign w:val="center"/>
          </w:tcPr>
          <w:p>
            <w:pPr>
              <w:pStyle w:val="TableContents"/>
              <w:bidi w:val="0"/>
              <w:spacing w:before="0" w:after="283"/>
              <w:jc w:val="left"/>
              <w:rPr/>
            </w:pPr>
            <w:r>
              <w:rPr/>
              <w:t>$</w:t>
            </w:r>
          </w:p>
        </w:tc>
        <w:tc>
          <w:tcPr>
            <w:tcW w:w="961" w:type="dxa"/>
            <w:tcBorders/>
            <w:shd w:fill="CCEEFF" w:val="clear"/>
            <w:vAlign w:val="center"/>
          </w:tcPr>
          <w:p>
            <w:pPr>
              <w:pStyle w:val="TableContents"/>
              <w:bidi w:val="0"/>
              <w:spacing w:before="0" w:after="283"/>
              <w:jc w:val="right"/>
              <w:rPr/>
            </w:pPr>
            <w:r>
              <w:rPr/>
              <w:t>1</w:t>
            </w:r>
          </w:p>
        </w:tc>
        <w:tc>
          <w:tcPr>
            <w:tcW w:w="122" w:type="dxa"/>
            <w:tcBorders/>
            <w:shd w:fill="CCEEFF" w:val="clear"/>
            <w:vAlign w:val="center"/>
          </w:tcPr>
          <w:p>
            <w:pPr>
              <w:pStyle w:val="TableContents"/>
              <w:bidi w:val="0"/>
              <w:spacing w:before="0" w:after="283"/>
              <w:jc w:val="left"/>
              <w:rPr/>
            </w:pPr>
            <w:r>
              <w:rPr/>
              <w:t> </w:t>
            </w:r>
          </w:p>
        </w:tc>
        <w:tc>
          <w:tcPr>
            <w:tcW w:w="77" w:type="dxa"/>
            <w:tcBorders/>
            <w:shd w:fill="CCEEFF" w:val="clear"/>
            <w:vAlign w:val="center"/>
          </w:tcPr>
          <w:p>
            <w:pPr>
              <w:pStyle w:val="TableContents"/>
              <w:bidi w:val="0"/>
              <w:spacing w:before="0" w:after="283"/>
              <w:jc w:val="left"/>
              <w:rPr/>
            </w:pPr>
            <w:r>
              <w:rPr/>
              <w:t> </w:t>
            </w:r>
          </w:p>
        </w:tc>
        <w:tc>
          <w:tcPr>
            <w:tcW w:w="451" w:type="dxa"/>
            <w:tcBorders/>
            <w:shd w:fill="CCEEFF" w:val="clear"/>
            <w:vAlign w:val="center"/>
          </w:tcPr>
          <w:p>
            <w:pPr>
              <w:pStyle w:val="TableContents"/>
              <w:bidi w:val="0"/>
              <w:spacing w:before="0" w:after="283"/>
              <w:jc w:val="left"/>
              <w:rPr/>
            </w:pPr>
            <w:r>
              <w:rPr/>
              <w:t>$</w:t>
            </w:r>
          </w:p>
        </w:tc>
        <w:tc>
          <w:tcPr>
            <w:tcW w:w="1227" w:type="dxa"/>
            <w:tcBorders/>
            <w:shd w:fill="CCEEFF" w:val="clear"/>
            <w:vAlign w:val="center"/>
          </w:tcPr>
          <w:p>
            <w:pPr>
              <w:pStyle w:val="TableContents"/>
              <w:bidi w:val="0"/>
              <w:spacing w:before="0" w:after="283"/>
              <w:jc w:val="right"/>
              <w:rPr/>
            </w:pPr>
            <w:r>
              <w:rPr/>
              <w:t>131</w:t>
            </w:r>
          </w:p>
        </w:tc>
        <w:tc>
          <w:tcPr>
            <w:tcW w:w="122" w:type="dxa"/>
            <w:tcBorders/>
            <w:shd w:fill="CCEEFF" w:val="clear"/>
            <w:vAlign w:val="center"/>
          </w:tcPr>
          <w:p>
            <w:pPr>
              <w:pStyle w:val="TableContents"/>
              <w:bidi w:val="0"/>
              <w:spacing w:before="0" w:after="283"/>
              <w:jc w:val="left"/>
              <w:rPr/>
            </w:pPr>
            <w:r>
              <w:rPr/>
              <w:t> </w:t>
            </w:r>
          </w:p>
        </w:tc>
        <w:tc>
          <w:tcPr>
            <w:tcW w:w="77" w:type="dxa"/>
            <w:tcBorders/>
            <w:shd w:fill="CCEEFF" w:val="clear"/>
            <w:vAlign w:val="center"/>
          </w:tcPr>
          <w:p>
            <w:pPr>
              <w:pStyle w:val="TableContents"/>
              <w:bidi w:val="0"/>
              <w:spacing w:before="0" w:after="283"/>
              <w:jc w:val="left"/>
              <w:rPr/>
            </w:pPr>
            <w:r>
              <w:rPr/>
              <w:t> </w:t>
            </w:r>
          </w:p>
        </w:tc>
        <w:tc>
          <w:tcPr>
            <w:tcW w:w="516" w:type="dxa"/>
            <w:tcBorders/>
            <w:shd w:fill="CCEEFF" w:val="clear"/>
            <w:vAlign w:val="center"/>
          </w:tcPr>
          <w:p>
            <w:pPr>
              <w:pStyle w:val="TableContents"/>
              <w:bidi w:val="0"/>
              <w:spacing w:before="0" w:after="283"/>
              <w:jc w:val="left"/>
              <w:rPr/>
            </w:pPr>
            <w:r>
              <w:rPr/>
              <w:t>$</w:t>
            </w:r>
          </w:p>
        </w:tc>
        <w:tc>
          <w:tcPr>
            <w:tcW w:w="1405" w:type="dxa"/>
            <w:tcBorders/>
            <w:shd w:fill="CCEEFF" w:val="clear"/>
            <w:vAlign w:val="center"/>
          </w:tcPr>
          <w:p>
            <w:pPr>
              <w:pStyle w:val="TableContents"/>
              <w:bidi w:val="0"/>
              <w:spacing w:before="0" w:after="283"/>
              <w:jc w:val="right"/>
              <w:rPr/>
            </w:pPr>
            <w:r>
              <w:rPr/>
              <w:t>170</w:t>
            </w:r>
          </w:p>
        </w:tc>
        <w:tc>
          <w:tcPr>
            <w:tcW w:w="77" w:type="dxa"/>
            <w:tcBorders/>
            <w:shd w:fill="CCEEFF" w:val="clear"/>
            <w:vAlign w:val="center"/>
          </w:tcPr>
          <w:p>
            <w:pPr>
              <w:pStyle w:val="TableContents"/>
              <w:bidi w:val="0"/>
              <w:spacing w:before="0" w:after="283"/>
              <w:jc w:val="left"/>
              <w:rPr/>
            </w:pPr>
            <w:r>
              <w:rPr/>
              <w:t> </w:t>
            </w:r>
          </w:p>
        </w:tc>
        <w:tc>
          <w:tcPr>
            <w:tcW w:w="77" w:type="dxa"/>
            <w:tcBorders/>
            <w:shd w:fill="CCEEFF" w:val="clear"/>
            <w:vAlign w:val="center"/>
          </w:tcPr>
          <w:p>
            <w:pPr>
              <w:pStyle w:val="TableContents"/>
              <w:bidi w:val="0"/>
              <w:spacing w:before="0" w:after="283"/>
              <w:jc w:val="left"/>
              <w:rPr/>
            </w:pPr>
            <w:r>
              <w:rPr/>
              <w:t> </w:t>
            </w:r>
          </w:p>
        </w:tc>
        <w:tc>
          <w:tcPr>
            <w:tcW w:w="180" w:type="dxa"/>
            <w:tcBorders/>
            <w:shd w:fill="CCEEFF" w:val="clear"/>
            <w:vAlign w:val="center"/>
          </w:tcPr>
          <w:p>
            <w:pPr>
              <w:pStyle w:val="TableContents"/>
              <w:bidi w:val="0"/>
              <w:spacing w:before="0" w:after="283"/>
              <w:jc w:val="left"/>
              <w:rPr/>
            </w:pPr>
            <w:r>
              <w:rPr/>
              <w:t>$</w:t>
            </w:r>
          </w:p>
        </w:tc>
        <w:tc>
          <w:tcPr>
            <w:tcW w:w="723" w:type="dxa"/>
            <w:tcBorders/>
            <w:shd w:fill="CCEEFF" w:val="clear"/>
            <w:vAlign w:val="center"/>
          </w:tcPr>
          <w:p>
            <w:pPr>
              <w:pStyle w:val="TableContents"/>
              <w:bidi w:val="0"/>
              <w:spacing w:before="0" w:after="283"/>
              <w:jc w:val="right"/>
              <w:rPr/>
            </w:pPr>
            <w:r>
              <w:rPr/>
              <w:t>588</w:t>
            </w:r>
          </w:p>
        </w:tc>
        <w:tc>
          <w:tcPr>
            <w:tcW w:w="85" w:type="dxa"/>
            <w:tcBorders/>
            <w:shd w:fill="CCEEFF" w:val="clear"/>
            <w:vAlign w:val="center"/>
          </w:tcPr>
          <w:p>
            <w:pPr>
              <w:pStyle w:val="TableContents"/>
              <w:bidi w:val="0"/>
              <w:spacing w:before="0" w:after="283"/>
              <w:ind w:left="0" w:right="0" w:hanging="180"/>
              <w:jc w:val="left"/>
              <w:rPr/>
            </w:pPr>
            <w:r>
              <w:rPr/>
              <w:t> </w:t>
            </w:r>
          </w:p>
        </w:tc>
      </w:tr>
      <w:tr>
        <w:trPr/>
        <w:tc>
          <w:tcPr>
            <w:tcW w:w="1809" w:type="dxa"/>
            <w:tcBorders/>
            <w:shd w:fill="FFFFFF" w:val="clear"/>
            <w:vAlign w:val="center"/>
          </w:tcPr>
          <w:p>
            <w:pPr>
              <w:pStyle w:val="TableContents"/>
              <w:bidi w:val="0"/>
              <w:spacing w:before="0" w:after="283"/>
              <w:jc w:val="left"/>
              <w:rPr/>
            </w:pPr>
            <w:r>
              <w:rPr/>
              <w:t>Provision for credit losses</w:t>
            </w:r>
          </w:p>
        </w:tc>
        <w:tc>
          <w:tcPr>
            <w:tcW w:w="60" w:type="dxa"/>
            <w:tcBorders/>
            <w:shd w:fill="FFFFFF" w:val="clear"/>
            <w:vAlign w:val="center"/>
          </w:tcPr>
          <w:p>
            <w:pPr>
              <w:pStyle w:val="TableContents"/>
              <w:bidi w:val="0"/>
              <w:spacing w:before="0" w:after="283"/>
              <w:jc w:val="left"/>
              <w:rPr/>
            </w:pPr>
            <w:r>
              <w:rPr/>
              <w:t> </w:t>
            </w:r>
          </w:p>
        </w:tc>
        <w:tc>
          <w:tcPr>
            <w:tcW w:w="421" w:type="dxa"/>
            <w:tcBorders/>
            <w:shd w:fill="FFFFFF" w:val="clear"/>
            <w:vAlign w:val="center"/>
          </w:tcPr>
          <w:p>
            <w:pPr>
              <w:pStyle w:val="TableContents"/>
              <w:bidi w:val="0"/>
              <w:spacing w:before="0" w:after="283"/>
              <w:jc w:val="left"/>
              <w:rPr/>
            </w:pPr>
            <w:r>
              <w:rPr/>
              <w:t> </w:t>
            </w:r>
          </w:p>
        </w:tc>
        <w:tc>
          <w:tcPr>
            <w:tcW w:w="1145" w:type="dxa"/>
            <w:tcBorders/>
            <w:shd w:fill="FFFFFF" w:val="clear"/>
            <w:vAlign w:val="center"/>
          </w:tcPr>
          <w:p>
            <w:pPr>
              <w:pStyle w:val="TableContents"/>
              <w:bidi w:val="0"/>
              <w:spacing w:before="0" w:after="283"/>
              <w:jc w:val="right"/>
              <w:rPr/>
            </w:pPr>
            <w:r>
              <w:rPr/>
              <w:t>248</w:t>
            </w:r>
          </w:p>
        </w:tc>
        <w:tc>
          <w:tcPr>
            <w:tcW w:w="77" w:type="dxa"/>
            <w:tcBorders/>
            <w:shd w:fill="FFFFFF" w:val="clear"/>
            <w:vAlign w:val="center"/>
          </w:tcPr>
          <w:p>
            <w:pPr>
              <w:pStyle w:val="TableContents"/>
              <w:bidi w:val="0"/>
              <w:spacing w:before="0" w:after="283"/>
              <w:jc w:val="left"/>
              <w:rPr/>
            </w:pPr>
            <w:r>
              <w:rPr/>
              <w:t> </w:t>
            </w:r>
          </w:p>
        </w:tc>
        <w:tc>
          <w:tcPr>
            <w:tcW w:w="77" w:type="dxa"/>
            <w:tcBorders/>
            <w:shd w:fill="FFFFFF" w:val="clear"/>
            <w:vAlign w:val="center"/>
          </w:tcPr>
          <w:p>
            <w:pPr>
              <w:pStyle w:val="TableContents"/>
              <w:bidi w:val="0"/>
              <w:spacing w:before="0" w:after="283"/>
              <w:jc w:val="left"/>
              <w:rPr/>
            </w:pPr>
            <w:r>
              <w:rPr/>
              <w:t> </w:t>
            </w:r>
          </w:p>
        </w:tc>
        <w:tc>
          <w:tcPr>
            <w:tcW w:w="516" w:type="dxa"/>
            <w:tcBorders/>
            <w:shd w:fill="FFFFFF" w:val="clear"/>
            <w:vAlign w:val="center"/>
          </w:tcPr>
          <w:p>
            <w:pPr>
              <w:pStyle w:val="TableContents"/>
              <w:bidi w:val="0"/>
              <w:spacing w:before="0" w:after="283"/>
              <w:jc w:val="left"/>
              <w:rPr/>
            </w:pPr>
            <w:r>
              <w:rPr/>
              <w:t> </w:t>
            </w:r>
          </w:p>
        </w:tc>
        <w:tc>
          <w:tcPr>
            <w:tcW w:w="961" w:type="dxa"/>
            <w:tcBorders/>
            <w:shd w:fill="FFFFFF" w:val="clear"/>
            <w:vAlign w:val="center"/>
          </w:tcPr>
          <w:p>
            <w:pPr>
              <w:pStyle w:val="TableContents"/>
              <w:bidi w:val="0"/>
              <w:spacing w:before="0" w:after="283"/>
              <w:jc w:val="right"/>
              <w:rPr/>
            </w:pPr>
            <w:r>
              <w:rPr/>
              <w:t>(1</w:t>
            </w:r>
          </w:p>
        </w:tc>
        <w:tc>
          <w:tcPr>
            <w:tcW w:w="122" w:type="dxa"/>
            <w:tcBorders/>
            <w:shd w:fill="FFFFFF" w:val="clear"/>
            <w:vAlign w:val="center"/>
          </w:tcPr>
          <w:p>
            <w:pPr>
              <w:pStyle w:val="TableContents"/>
              <w:bidi w:val="0"/>
              <w:spacing w:before="0" w:after="283"/>
              <w:jc w:val="left"/>
              <w:rPr/>
            </w:pPr>
            <w:r>
              <w:rPr/>
              <w:t>)</w:t>
            </w:r>
          </w:p>
        </w:tc>
        <w:tc>
          <w:tcPr>
            <w:tcW w:w="77" w:type="dxa"/>
            <w:tcBorders/>
            <w:shd w:fill="FFFFFF" w:val="clear"/>
            <w:vAlign w:val="center"/>
          </w:tcPr>
          <w:p>
            <w:pPr>
              <w:pStyle w:val="TableContents"/>
              <w:bidi w:val="0"/>
              <w:spacing w:before="0" w:after="283"/>
              <w:jc w:val="left"/>
              <w:rPr/>
            </w:pPr>
            <w:r>
              <w:rPr/>
              <w:t> </w:t>
            </w:r>
          </w:p>
        </w:tc>
        <w:tc>
          <w:tcPr>
            <w:tcW w:w="451" w:type="dxa"/>
            <w:tcBorders/>
            <w:shd w:fill="FFFFFF" w:val="clear"/>
            <w:vAlign w:val="center"/>
          </w:tcPr>
          <w:p>
            <w:pPr>
              <w:pStyle w:val="TableContents"/>
              <w:bidi w:val="0"/>
              <w:spacing w:before="0" w:after="283"/>
              <w:jc w:val="left"/>
              <w:rPr/>
            </w:pPr>
            <w:r>
              <w:rPr/>
              <w:t> </w:t>
            </w:r>
          </w:p>
        </w:tc>
        <w:tc>
          <w:tcPr>
            <w:tcW w:w="1227" w:type="dxa"/>
            <w:tcBorders/>
            <w:shd w:fill="FFFFFF" w:val="clear"/>
            <w:vAlign w:val="center"/>
          </w:tcPr>
          <w:p>
            <w:pPr>
              <w:pStyle w:val="TableContents"/>
              <w:bidi w:val="0"/>
              <w:spacing w:before="0" w:after="283"/>
              <w:jc w:val="right"/>
              <w:rPr/>
            </w:pPr>
            <w:r>
              <w:rPr/>
              <w:t>(5</w:t>
            </w:r>
          </w:p>
        </w:tc>
        <w:tc>
          <w:tcPr>
            <w:tcW w:w="122" w:type="dxa"/>
            <w:tcBorders/>
            <w:shd w:fill="FFFFFF" w:val="clear"/>
            <w:vAlign w:val="center"/>
          </w:tcPr>
          <w:p>
            <w:pPr>
              <w:pStyle w:val="TableContents"/>
              <w:bidi w:val="0"/>
              <w:spacing w:before="0" w:after="283"/>
              <w:jc w:val="left"/>
              <w:rPr/>
            </w:pPr>
            <w:r>
              <w:rPr/>
              <w:t>)</w:t>
            </w:r>
          </w:p>
        </w:tc>
        <w:tc>
          <w:tcPr>
            <w:tcW w:w="77" w:type="dxa"/>
            <w:tcBorders/>
            <w:shd w:fill="FFFFFF" w:val="clear"/>
            <w:vAlign w:val="center"/>
          </w:tcPr>
          <w:p>
            <w:pPr>
              <w:pStyle w:val="TableContents"/>
              <w:bidi w:val="0"/>
              <w:spacing w:before="0" w:after="283"/>
              <w:jc w:val="left"/>
              <w:rPr/>
            </w:pPr>
            <w:r>
              <w:rPr/>
              <w:t> </w:t>
            </w:r>
          </w:p>
        </w:tc>
        <w:tc>
          <w:tcPr>
            <w:tcW w:w="516" w:type="dxa"/>
            <w:tcBorders/>
            <w:shd w:fill="FFFFFF" w:val="clear"/>
            <w:vAlign w:val="center"/>
          </w:tcPr>
          <w:p>
            <w:pPr>
              <w:pStyle w:val="TableContents"/>
              <w:bidi w:val="0"/>
              <w:spacing w:before="0" w:after="283"/>
              <w:jc w:val="left"/>
              <w:rPr/>
            </w:pPr>
            <w:r>
              <w:rPr/>
              <w:t> </w:t>
            </w:r>
          </w:p>
        </w:tc>
        <w:tc>
          <w:tcPr>
            <w:tcW w:w="1405" w:type="dxa"/>
            <w:tcBorders/>
            <w:shd w:fill="FFFFFF" w:val="clear"/>
            <w:vAlign w:val="center"/>
          </w:tcPr>
          <w:p>
            <w:pPr>
              <w:pStyle w:val="TableContents"/>
              <w:bidi w:val="0"/>
              <w:spacing w:before="0" w:after="283"/>
              <w:jc w:val="right"/>
              <w:rPr/>
            </w:pPr>
            <w:r>
              <w:rPr/>
              <w:t>191</w:t>
            </w:r>
          </w:p>
        </w:tc>
        <w:tc>
          <w:tcPr>
            <w:tcW w:w="77" w:type="dxa"/>
            <w:tcBorders/>
            <w:shd w:fill="FFFFFF" w:val="clear"/>
            <w:vAlign w:val="center"/>
          </w:tcPr>
          <w:p>
            <w:pPr>
              <w:pStyle w:val="TableContents"/>
              <w:bidi w:val="0"/>
              <w:spacing w:before="0" w:after="283"/>
              <w:jc w:val="left"/>
              <w:rPr/>
            </w:pPr>
            <w:r>
              <w:rPr/>
              <w:t> </w:t>
            </w:r>
          </w:p>
        </w:tc>
        <w:tc>
          <w:tcPr>
            <w:tcW w:w="77" w:type="dxa"/>
            <w:tcBorders/>
            <w:shd w:fill="FFFFFF" w:val="clear"/>
            <w:vAlign w:val="center"/>
          </w:tcPr>
          <w:p>
            <w:pPr>
              <w:pStyle w:val="TableContents"/>
              <w:bidi w:val="0"/>
              <w:spacing w:before="0" w:after="283"/>
              <w:jc w:val="left"/>
              <w:rPr/>
            </w:pPr>
            <w:r>
              <w:rPr/>
              <w:t> </w:t>
            </w:r>
          </w:p>
        </w:tc>
        <w:tc>
          <w:tcPr>
            <w:tcW w:w="180" w:type="dxa"/>
            <w:tcBorders/>
            <w:shd w:fill="FFFFFF" w:val="clear"/>
            <w:vAlign w:val="center"/>
          </w:tcPr>
          <w:p>
            <w:pPr>
              <w:pStyle w:val="TableContents"/>
              <w:bidi w:val="0"/>
              <w:spacing w:before="0" w:after="283"/>
              <w:jc w:val="left"/>
              <w:rPr/>
            </w:pPr>
            <w:r>
              <w:rPr/>
              <w:t> </w:t>
            </w:r>
          </w:p>
        </w:tc>
        <w:tc>
          <w:tcPr>
            <w:tcW w:w="723" w:type="dxa"/>
            <w:tcBorders/>
            <w:shd w:fill="FFFFFF" w:val="clear"/>
            <w:vAlign w:val="center"/>
          </w:tcPr>
          <w:p>
            <w:pPr>
              <w:pStyle w:val="TableContents"/>
              <w:bidi w:val="0"/>
              <w:spacing w:before="0" w:after="283"/>
              <w:jc w:val="right"/>
              <w:rPr/>
            </w:pPr>
            <w:r>
              <w:rPr/>
              <w:t>433</w:t>
            </w:r>
          </w:p>
        </w:tc>
        <w:tc>
          <w:tcPr>
            <w:tcW w:w="85" w:type="dxa"/>
            <w:tcBorders/>
            <w:shd w:fill="FFFFFF" w:val="clear"/>
            <w:vAlign w:val="center"/>
          </w:tcPr>
          <w:p>
            <w:pPr>
              <w:pStyle w:val="TableContents"/>
              <w:bidi w:val="0"/>
              <w:spacing w:before="0" w:after="283"/>
              <w:jc w:val="left"/>
              <w:rPr/>
            </w:pPr>
            <w:r>
              <w:rPr/>
              <w:t> </w:t>
            </w:r>
          </w:p>
        </w:tc>
      </w:tr>
      <w:tr>
        <w:trPr/>
        <w:tc>
          <w:tcPr>
            <w:tcW w:w="1809" w:type="dxa"/>
            <w:tcBorders/>
            <w:shd w:fill="CCEEFF" w:val="clear"/>
            <w:vAlign w:val="center"/>
          </w:tcPr>
          <w:p>
            <w:pPr>
              <w:pStyle w:val="TableContents"/>
              <w:bidi w:val="0"/>
              <w:spacing w:before="0" w:after="283"/>
              <w:jc w:val="both"/>
              <w:rPr/>
            </w:pPr>
            <w:r>
              <w:rPr/>
              <w:t>Write-offs</w:t>
            </w:r>
          </w:p>
        </w:tc>
        <w:tc>
          <w:tcPr>
            <w:tcW w:w="60" w:type="dxa"/>
            <w:tcBorders/>
            <w:shd w:fill="CCEEFF" w:val="clear"/>
            <w:vAlign w:val="center"/>
          </w:tcPr>
          <w:p>
            <w:pPr>
              <w:pStyle w:val="TableContents"/>
              <w:bidi w:val="0"/>
              <w:spacing w:before="0" w:after="283"/>
              <w:jc w:val="left"/>
              <w:rPr/>
            </w:pPr>
            <w:r>
              <w:rPr/>
              <w:t> </w:t>
            </w:r>
          </w:p>
        </w:tc>
        <w:tc>
          <w:tcPr>
            <w:tcW w:w="421" w:type="dxa"/>
            <w:tcBorders/>
            <w:shd w:fill="CCEEFF" w:val="clear"/>
            <w:vAlign w:val="center"/>
          </w:tcPr>
          <w:p>
            <w:pPr>
              <w:pStyle w:val="TableContents"/>
              <w:bidi w:val="0"/>
              <w:spacing w:before="0" w:after="283"/>
              <w:jc w:val="left"/>
              <w:rPr/>
            </w:pPr>
            <w:r>
              <w:rPr/>
              <w:t> </w:t>
            </w:r>
          </w:p>
        </w:tc>
        <w:tc>
          <w:tcPr>
            <w:tcW w:w="1145" w:type="dxa"/>
            <w:tcBorders/>
            <w:shd w:fill="CCEEFF" w:val="clear"/>
            <w:vAlign w:val="center"/>
          </w:tcPr>
          <w:p>
            <w:pPr>
              <w:pStyle w:val="TableContents"/>
              <w:bidi w:val="0"/>
              <w:spacing w:before="0" w:after="283"/>
              <w:jc w:val="right"/>
              <w:rPr/>
            </w:pPr>
            <w:r>
              <w:rPr/>
              <w:t>—</w:t>
            </w:r>
          </w:p>
        </w:tc>
        <w:tc>
          <w:tcPr>
            <w:tcW w:w="77" w:type="dxa"/>
            <w:tcBorders/>
            <w:shd w:fill="CCEEFF" w:val="clear"/>
            <w:vAlign w:val="center"/>
          </w:tcPr>
          <w:p>
            <w:pPr>
              <w:pStyle w:val="TableContents"/>
              <w:bidi w:val="0"/>
              <w:spacing w:before="0" w:after="283"/>
              <w:jc w:val="left"/>
              <w:rPr/>
            </w:pPr>
            <w:r>
              <w:rPr/>
              <w:t> </w:t>
            </w:r>
          </w:p>
        </w:tc>
        <w:tc>
          <w:tcPr>
            <w:tcW w:w="77" w:type="dxa"/>
            <w:tcBorders/>
            <w:shd w:fill="CCEEFF" w:val="clear"/>
            <w:vAlign w:val="center"/>
          </w:tcPr>
          <w:p>
            <w:pPr>
              <w:pStyle w:val="TableContents"/>
              <w:bidi w:val="0"/>
              <w:spacing w:before="0" w:after="283"/>
              <w:jc w:val="left"/>
              <w:rPr/>
            </w:pPr>
            <w:r>
              <w:rPr/>
              <w:t> </w:t>
            </w:r>
          </w:p>
        </w:tc>
        <w:tc>
          <w:tcPr>
            <w:tcW w:w="516" w:type="dxa"/>
            <w:tcBorders/>
            <w:shd w:fill="CCEEFF" w:val="clear"/>
            <w:vAlign w:val="center"/>
          </w:tcPr>
          <w:p>
            <w:pPr>
              <w:pStyle w:val="TableContents"/>
              <w:bidi w:val="0"/>
              <w:spacing w:before="0" w:after="283"/>
              <w:jc w:val="left"/>
              <w:rPr/>
            </w:pPr>
            <w:r>
              <w:rPr/>
              <w:t> </w:t>
            </w:r>
          </w:p>
        </w:tc>
        <w:tc>
          <w:tcPr>
            <w:tcW w:w="961" w:type="dxa"/>
            <w:tcBorders/>
            <w:shd w:fill="CCEEFF" w:val="clear"/>
            <w:vAlign w:val="center"/>
          </w:tcPr>
          <w:p>
            <w:pPr>
              <w:pStyle w:val="TableContents"/>
              <w:bidi w:val="0"/>
              <w:spacing w:before="0" w:after="283"/>
              <w:jc w:val="right"/>
              <w:rPr/>
            </w:pPr>
            <w:r>
              <w:rPr/>
              <w:t>—</w:t>
            </w:r>
          </w:p>
        </w:tc>
        <w:tc>
          <w:tcPr>
            <w:tcW w:w="122" w:type="dxa"/>
            <w:tcBorders/>
            <w:shd w:fill="CCEEFF" w:val="clear"/>
            <w:vAlign w:val="center"/>
          </w:tcPr>
          <w:p>
            <w:pPr>
              <w:pStyle w:val="TableContents"/>
              <w:bidi w:val="0"/>
              <w:spacing w:before="0" w:after="283"/>
              <w:jc w:val="left"/>
              <w:rPr/>
            </w:pPr>
            <w:r>
              <w:rPr/>
              <w:t> </w:t>
            </w:r>
          </w:p>
        </w:tc>
        <w:tc>
          <w:tcPr>
            <w:tcW w:w="77" w:type="dxa"/>
            <w:tcBorders/>
            <w:shd w:fill="CCEEFF" w:val="clear"/>
            <w:vAlign w:val="center"/>
          </w:tcPr>
          <w:p>
            <w:pPr>
              <w:pStyle w:val="TableContents"/>
              <w:bidi w:val="0"/>
              <w:spacing w:before="0" w:after="283"/>
              <w:jc w:val="left"/>
              <w:rPr/>
            </w:pPr>
            <w:r>
              <w:rPr/>
              <w:t> </w:t>
            </w:r>
          </w:p>
        </w:tc>
        <w:tc>
          <w:tcPr>
            <w:tcW w:w="451" w:type="dxa"/>
            <w:tcBorders/>
            <w:shd w:fill="CCEEFF" w:val="clear"/>
            <w:vAlign w:val="center"/>
          </w:tcPr>
          <w:p>
            <w:pPr>
              <w:pStyle w:val="TableContents"/>
              <w:bidi w:val="0"/>
              <w:spacing w:before="0" w:after="283"/>
              <w:jc w:val="left"/>
              <w:rPr/>
            </w:pPr>
            <w:r>
              <w:rPr/>
              <w:t> </w:t>
            </w:r>
          </w:p>
        </w:tc>
        <w:tc>
          <w:tcPr>
            <w:tcW w:w="1227" w:type="dxa"/>
            <w:tcBorders/>
            <w:shd w:fill="CCEEFF" w:val="clear"/>
            <w:vAlign w:val="center"/>
          </w:tcPr>
          <w:p>
            <w:pPr>
              <w:pStyle w:val="TableContents"/>
              <w:bidi w:val="0"/>
              <w:spacing w:before="0" w:after="283"/>
              <w:jc w:val="right"/>
              <w:rPr/>
            </w:pPr>
            <w:r>
              <w:rPr/>
              <w:t>—</w:t>
            </w:r>
          </w:p>
        </w:tc>
        <w:tc>
          <w:tcPr>
            <w:tcW w:w="122" w:type="dxa"/>
            <w:tcBorders/>
            <w:shd w:fill="CCEEFF" w:val="clear"/>
            <w:vAlign w:val="center"/>
          </w:tcPr>
          <w:p>
            <w:pPr>
              <w:pStyle w:val="TableContents"/>
              <w:bidi w:val="0"/>
              <w:spacing w:before="0" w:after="283"/>
              <w:jc w:val="left"/>
              <w:rPr/>
            </w:pPr>
            <w:r>
              <w:rPr/>
              <w:t> </w:t>
            </w:r>
          </w:p>
        </w:tc>
        <w:tc>
          <w:tcPr>
            <w:tcW w:w="77" w:type="dxa"/>
            <w:tcBorders/>
            <w:shd w:fill="CCEEFF" w:val="clear"/>
            <w:vAlign w:val="center"/>
          </w:tcPr>
          <w:p>
            <w:pPr>
              <w:pStyle w:val="TableContents"/>
              <w:bidi w:val="0"/>
              <w:spacing w:before="0" w:after="283"/>
              <w:jc w:val="left"/>
              <w:rPr/>
            </w:pPr>
            <w:r>
              <w:rPr/>
              <w:t> </w:t>
            </w:r>
          </w:p>
        </w:tc>
        <w:tc>
          <w:tcPr>
            <w:tcW w:w="516" w:type="dxa"/>
            <w:tcBorders/>
            <w:shd w:fill="CCEEFF" w:val="clear"/>
            <w:vAlign w:val="center"/>
          </w:tcPr>
          <w:p>
            <w:pPr>
              <w:pStyle w:val="TableContents"/>
              <w:bidi w:val="0"/>
              <w:spacing w:before="0" w:after="283"/>
              <w:jc w:val="left"/>
              <w:rPr/>
            </w:pPr>
            <w:r>
              <w:rPr/>
              <w:t> </w:t>
            </w:r>
          </w:p>
        </w:tc>
        <w:tc>
          <w:tcPr>
            <w:tcW w:w="1405" w:type="dxa"/>
            <w:tcBorders/>
            <w:shd w:fill="CCEEFF" w:val="clear"/>
            <w:vAlign w:val="center"/>
          </w:tcPr>
          <w:p>
            <w:pPr>
              <w:pStyle w:val="TableContents"/>
              <w:bidi w:val="0"/>
              <w:spacing w:before="0" w:after="283"/>
              <w:jc w:val="right"/>
              <w:rPr/>
            </w:pPr>
            <w:r>
              <w:rPr/>
              <w:t>—</w:t>
            </w:r>
          </w:p>
        </w:tc>
        <w:tc>
          <w:tcPr>
            <w:tcW w:w="77" w:type="dxa"/>
            <w:tcBorders/>
            <w:shd w:fill="CCEEFF" w:val="clear"/>
            <w:vAlign w:val="center"/>
          </w:tcPr>
          <w:p>
            <w:pPr>
              <w:pStyle w:val="TableContents"/>
              <w:bidi w:val="0"/>
              <w:spacing w:before="0" w:after="283"/>
              <w:jc w:val="left"/>
              <w:rPr/>
            </w:pPr>
            <w:r>
              <w:rPr/>
              <w:t> </w:t>
            </w:r>
          </w:p>
        </w:tc>
        <w:tc>
          <w:tcPr>
            <w:tcW w:w="77" w:type="dxa"/>
            <w:tcBorders/>
            <w:shd w:fill="CCEEFF" w:val="clear"/>
            <w:vAlign w:val="center"/>
          </w:tcPr>
          <w:p>
            <w:pPr>
              <w:pStyle w:val="TableContents"/>
              <w:bidi w:val="0"/>
              <w:spacing w:before="0" w:after="283"/>
              <w:jc w:val="left"/>
              <w:rPr/>
            </w:pPr>
            <w:r>
              <w:rPr/>
              <w:t> </w:t>
            </w:r>
          </w:p>
        </w:tc>
        <w:tc>
          <w:tcPr>
            <w:tcW w:w="180" w:type="dxa"/>
            <w:tcBorders/>
            <w:shd w:fill="CCEEFF" w:val="clear"/>
            <w:vAlign w:val="center"/>
          </w:tcPr>
          <w:p>
            <w:pPr>
              <w:pStyle w:val="TableContents"/>
              <w:bidi w:val="0"/>
              <w:spacing w:before="0" w:after="283"/>
              <w:jc w:val="left"/>
              <w:rPr/>
            </w:pPr>
            <w:r>
              <w:rPr/>
              <w:t> </w:t>
            </w:r>
          </w:p>
        </w:tc>
        <w:tc>
          <w:tcPr>
            <w:tcW w:w="723" w:type="dxa"/>
            <w:tcBorders/>
            <w:shd w:fill="CCEEFF" w:val="clear"/>
            <w:vAlign w:val="center"/>
          </w:tcPr>
          <w:p>
            <w:pPr>
              <w:pStyle w:val="TableContents"/>
              <w:bidi w:val="0"/>
              <w:spacing w:before="0" w:after="283"/>
              <w:jc w:val="right"/>
              <w:rPr/>
            </w:pPr>
            <w:r>
              <w:rPr/>
              <w:t>—</w:t>
            </w:r>
          </w:p>
        </w:tc>
        <w:tc>
          <w:tcPr>
            <w:tcW w:w="85" w:type="dxa"/>
            <w:tcBorders/>
            <w:shd w:fill="CCEEFF" w:val="clear"/>
            <w:vAlign w:val="center"/>
          </w:tcPr>
          <w:p>
            <w:pPr>
              <w:pStyle w:val="TableContents"/>
              <w:bidi w:val="0"/>
              <w:spacing w:before="0" w:after="283"/>
              <w:ind w:left="0" w:right="0" w:hanging="180"/>
              <w:jc w:val="left"/>
              <w:rPr/>
            </w:pPr>
            <w:r>
              <w:rPr/>
              <w:t> </w:t>
            </w:r>
          </w:p>
        </w:tc>
      </w:tr>
      <w:tr>
        <w:trPr/>
        <w:tc>
          <w:tcPr>
            <w:tcW w:w="1809" w:type="dxa"/>
            <w:tcBorders/>
            <w:shd w:fill="FFFFFF" w:val="clear"/>
            <w:vAlign w:val="center"/>
          </w:tcPr>
          <w:p>
            <w:pPr>
              <w:pStyle w:val="TableContents"/>
              <w:bidi w:val="0"/>
              <w:spacing w:before="0" w:after="283"/>
              <w:jc w:val="left"/>
              <w:rPr/>
            </w:pPr>
            <w:r>
              <w:rPr/>
              <w:t>Recoveries</w:t>
            </w:r>
          </w:p>
        </w:tc>
        <w:tc>
          <w:tcPr>
            <w:tcW w:w="60" w:type="dxa"/>
            <w:tcBorders/>
            <w:shd w:fill="FFFFFF" w:val="clear"/>
            <w:vAlign w:val="center"/>
          </w:tcPr>
          <w:p>
            <w:pPr>
              <w:pStyle w:val="TableContents"/>
              <w:bidi w:val="0"/>
              <w:spacing w:before="0" w:after="283"/>
              <w:jc w:val="left"/>
              <w:rPr/>
            </w:pPr>
            <w:r>
              <w:rPr/>
              <w:t> </w:t>
            </w:r>
          </w:p>
        </w:tc>
        <w:tc>
          <w:tcPr>
            <w:tcW w:w="421"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45" w:type="dxa"/>
            <w:tcBorders>
              <w:bottom w:val="single" w:sz="12" w:space="0" w:color="000000"/>
            </w:tcBorders>
            <w:shd w:fill="FFFFFF" w:val="clear"/>
            <w:tcMar>
              <w:bottom w:w="28" w:type="dxa"/>
            </w:tcMar>
            <w:vAlign w:val="center"/>
          </w:tcPr>
          <w:p>
            <w:pPr>
              <w:pStyle w:val="TableContents"/>
              <w:bidi w:val="0"/>
              <w:spacing w:before="0" w:after="283"/>
              <w:jc w:val="right"/>
              <w:rPr/>
            </w:pPr>
            <w:r>
              <w:rPr/>
              <w:t>14</w:t>
            </w:r>
          </w:p>
        </w:tc>
        <w:tc>
          <w:tcPr>
            <w:tcW w:w="77" w:type="dxa"/>
            <w:tcBorders/>
            <w:shd w:fill="FFFFFF" w:val="clear"/>
            <w:vAlign w:val="center"/>
          </w:tcPr>
          <w:p>
            <w:pPr>
              <w:pStyle w:val="TableContents"/>
              <w:bidi w:val="0"/>
              <w:spacing w:before="0" w:after="283"/>
              <w:jc w:val="left"/>
              <w:rPr/>
            </w:pPr>
            <w:r>
              <w:rPr/>
              <w:t> </w:t>
            </w:r>
          </w:p>
        </w:tc>
        <w:tc>
          <w:tcPr>
            <w:tcW w:w="77" w:type="dxa"/>
            <w:tcBorders/>
            <w:shd w:fill="FFFFFF" w:val="clear"/>
            <w:vAlign w:val="center"/>
          </w:tcPr>
          <w:p>
            <w:pPr>
              <w:pStyle w:val="TableContents"/>
              <w:bidi w:val="0"/>
              <w:spacing w:before="0" w:after="283"/>
              <w:jc w:val="left"/>
              <w:rPr/>
            </w:pPr>
            <w:r>
              <w:rPr/>
              <w:t> </w:t>
            </w:r>
          </w:p>
        </w:tc>
        <w:tc>
          <w:tcPr>
            <w:tcW w:w="516"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961"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122" w:type="dxa"/>
            <w:tcBorders/>
            <w:shd w:fill="FFFFFF" w:val="clear"/>
            <w:vAlign w:val="center"/>
          </w:tcPr>
          <w:p>
            <w:pPr>
              <w:pStyle w:val="TableContents"/>
              <w:bidi w:val="0"/>
              <w:spacing w:before="0" w:after="283"/>
              <w:jc w:val="left"/>
              <w:rPr/>
            </w:pPr>
            <w:r>
              <w:rPr/>
              <w:t> </w:t>
            </w:r>
          </w:p>
        </w:tc>
        <w:tc>
          <w:tcPr>
            <w:tcW w:w="77" w:type="dxa"/>
            <w:tcBorders/>
            <w:shd w:fill="FFFFFF" w:val="clear"/>
            <w:vAlign w:val="center"/>
          </w:tcPr>
          <w:p>
            <w:pPr>
              <w:pStyle w:val="TableContents"/>
              <w:bidi w:val="0"/>
              <w:spacing w:before="0" w:after="283"/>
              <w:jc w:val="left"/>
              <w:rPr/>
            </w:pPr>
            <w:r>
              <w:rPr/>
              <w:t> </w:t>
            </w:r>
          </w:p>
        </w:tc>
        <w:tc>
          <w:tcPr>
            <w:tcW w:w="451"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27"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122" w:type="dxa"/>
            <w:tcBorders/>
            <w:shd w:fill="FFFFFF" w:val="clear"/>
            <w:vAlign w:val="center"/>
          </w:tcPr>
          <w:p>
            <w:pPr>
              <w:pStyle w:val="TableContents"/>
              <w:bidi w:val="0"/>
              <w:spacing w:before="0" w:after="283"/>
              <w:jc w:val="left"/>
              <w:rPr/>
            </w:pPr>
            <w:r>
              <w:rPr/>
              <w:t> </w:t>
            </w:r>
          </w:p>
        </w:tc>
        <w:tc>
          <w:tcPr>
            <w:tcW w:w="77" w:type="dxa"/>
            <w:tcBorders/>
            <w:shd w:fill="FFFFFF" w:val="clear"/>
            <w:vAlign w:val="center"/>
          </w:tcPr>
          <w:p>
            <w:pPr>
              <w:pStyle w:val="TableContents"/>
              <w:bidi w:val="0"/>
              <w:spacing w:before="0" w:after="283"/>
              <w:jc w:val="left"/>
              <w:rPr/>
            </w:pPr>
            <w:r>
              <w:rPr/>
              <w:t> </w:t>
            </w:r>
          </w:p>
        </w:tc>
        <w:tc>
          <w:tcPr>
            <w:tcW w:w="516"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405"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77" w:type="dxa"/>
            <w:tcBorders/>
            <w:shd w:fill="FFFFFF" w:val="clear"/>
            <w:vAlign w:val="center"/>
          </w:tcPr>
          <w:p>
            <w:pPr>
              <w:pStyle w:val="TableContents"/>
              <w:bidi w:val="0"/>
              <w:spacing w:before="0" w:after="283"/>
              <w:jc w:val="left"/>
              <w:rPr/>
            </w:pPr>
            <w:r>
              <w:rPr/>
              <w:t> </w:t>
            </w:r>
          </w:p>
        </w:tc>
        <w:tc>
          <w:tcPr>
            <w:tcW w:w="77" w:type="dxa"/>
            <w:tcBorders/>
            <w:shd w:fill="FFFFFF" w:val="clear"/>
            <w:vAlign w:val="center"/>
          </w:tcPr>
          <w:p>
            <w:pPr>
              <w:pStyle w:val="TableContents"/>
              <w:bidi w:val="0"/>
              <w:spacing w:before="0" w:after="283"/>
              <w:jc w:val="left"/>
              <w:rPr/>
            </w:pPr>
            <w:r>
              <w:rPr/>
              <w:t> </w:t>
            </w:r>
          </w:p>
        </w:tc>
        <w:tc>
          <w:tcPr>
            <w:tcW w:w="18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723" w:type="dxa"/>
            <w:tcBorders>
              <w:bottom w:val="single" w:sz="12" w:space="0" w:color="000000"/>
            </w:tcBorders>
            <w:shd w:fill="FFFFFF" w:val="clear"/>
            <w:tcMar>
              <w:bottom w:w="28" w:type="dxa"/>
            </w:tcMar>
            <w:vAlign w:val="center"/>
          </w:tcPr>
          <w:p>
            <w:pPr>
              <w:pStyle w:val="TableContents"/>
              <w:bidi w:val="0"/>
              <w:spacing w:before="0" w:after="283"/>
              <w:jc w:val="right"/>
              <w:rPr/>
            </w:pPr>
            <w:r>
              <w:rPr/>
              <w:t>14</w:t>
            </w:r>
          </w:p>
        </w:tc>
        <w:tc>
          <w:tcPr>
            <w:tcW w:w="85" w:type="dxa"/>
            <w:tcBorders/>
            <w:shd w:fill="FFFFFF" w:val="clear"/>
            <w:vAlign w:val="center"/>
          </w:tcPr>
          <w:p>
            <w:pPr>
              <w:pStyle w:val="TableContents"/>
              <w:bidi w:val="0"/>
              <w:spacing w:before="0" w:after="283"/>
              <w:jc w:val="left"/>
              <w:rPr/>
            </w:pPr>
            <w:r>
              <w:rPr/>
              <w:t> </w:t>
            </w:r>
          </w:p>
        </w:tc>
      </w:tr>
      <w:tr>
        <w:trPr/>
        <w:tc>
          <w:tcPr>
            <w:tcW w:w="1809" w:type="dxa"/>
            <w:tcBorders/>
            <w:shd w:fill="CCEEFF" w:val="clear"/>
            <w:vAlign w:val="center"/>
          </w:tcPr>
          <w:p>
            <w:pPr>
              <w:pStyle w:val="TableContents"/>
              <w:bidi w:val="0"/>
              <w:spacing w:before="0" w:after="283"/>
              <w:jc w:val="both"/>
              <w:rPr/>
            </w:pPr>
            <w:r>
              <w:rPr/>
              <w:t>Total</w:t>
            </w:r>
          </w:p>
        </w:tc>
        <w:tc>
          <w:tcPr>
            <w:tcW w:w="60" w:type="dxa"/>
            <w:tcBorders/>
            <w:shd w:fill="CCEEFF" w:val="clear"/>
            <w:vAlign w:val="center"/>
          </w:tcPr>
          <w:p>
            <w:pPr>
              <w:pStyle w:val="TableContents"/>
              <w:bidi w:val="0"/>
              <w:spacing w:before="0" w:after="283"/>
              <w:jc w:val="left"/>
              <w:rPr/>
            </w:pPr>
            <w:r>
              <w:rPr/>
              <w:t> </w:t>
            </w:r>
          </w:p>
        </w:tc>
        <w:tc>
          <w:tcPr>
            <w:tcW w:w="421"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145" w:type="dxa"/>
            <w:tcBorders>
              <w:bottom w:val="double" w:sz="10" w:space="0" w:color="000000"/>
            </w:tcBorders>
            <w:shd w:fill="CCEEFF" w:val="clear"/>
            <w:tcMar>
              <w:bottom w:w="28" w:type="dxa"/>
            </w:tcMar>
            <w:vAlign w:val="center"/>
          </w:tcPr>
          <w:p>
            <w:pPr>
              <w:pStyle w:val="TableContents"/>
              <w:bidi w:val="0"/>
              <w:spacing w:before="0" w:after="283"/>
              <w:jc w:val="right"/>
              <w:rPr/>
            </w:pPr>
            <w:r>
              <w:rPr/>
              <w:t>548</w:t>
            </w:r>
          </w:p>
        </w:tc>
        <w:tc>
          <w:tcPr>
            <w:tcW w:w="77" w:type="dxa"/>
            <w:tcBorders/>
            <w:shd w:fill="CCEEFF" w:val="clear"/>
            <w:vAlign w:val="center"/>
          </w:tcPr>
          <w:p>
            <w:pPr>
              <w:pStyle w:val="TableContents"/>
              <w:bidi w:val="0"/>
              <w:spacing w:before="0" w:after="283"/>
              <w:jc w:val="left"/>
              <w:rPr/>
            </w:pPr>
            <w:r>
              <w:rPr/>
              <w:t> </w:t>
            </w:r>
          </w:p>
        </w:tc>
        <w:tc>
          <w:tcPr>
            <w:tcW w:w="77" w:type="dxa"/>
            <w:tcBorders/>
            <w:shd w:fill="CCEEFF" w:val="clear"/>
            <w:vAlign w:val="center"/>
          </w:tcPr>
          <w:p>
            <w:pPr>
              <w:pStyle w:val="TableContents"/>
              <w:bidi w:val="0"/>
              <w:spacing w:before="0" w:after="283"/>
              <w:jc w:val="left"/>
              <w:rPr/>
            </w:pPr>
            <w:r>
              <w:rPr/>
              <w:t> </w:t>
            </w:r>
          </w:p>
        </w:tc>
        <w:tc>
          <w:tcPr>
            <w:tcW w:w="516"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961" w:type="dxa"/>
            <w:tcBorders>
              <w:bottom w:val="double" w:sz="10" w:space="0" w:color="000000"/>
            </w:tcBorders>
            <w:shd w:fill="CCEEFF" w:val="clear"/>
            <w:tcMar>
              <w:bottom w:w="28" w:type="dxa"/>
            </w:tcMar>
            <w:vAlign w:val="center"/>
          </w:tcPr>
          <w:p>
            <w:pPr>
              <w:pStyle w:val="TableContents"/>
              <w:bidi w:val="0"/>
              <w:spacing w:before="0" w:after="283"/>
              <w:jc w:val="right"/>
              <w:rPr/>
            </w:pPr>
            <w:r>
              <w:rPr/>
              <w:t>—</w:t>
            </w:r>
          </w:p>
        </w:tc>
        <w:tc>
          <w:tcPr>
            <w:tcW w:w="122" w:type="dxa"/>
            <w:tcBorders/>
            <w:shd w:fill="CCEEFF" w:val="clear"/>
            <w:vAlign w:val="center"/>
          </w:tcPr>
          <w:p>
            <w:pPr>
              <w:pStyle w:val="TableContents"/>
              <w:bidi w:val="0"/>
              <w:spacing w:before="0" w:after="283"/>
              <w:jc w:val="left"/>
              <w:rPr/>
            </w:pPr>
            <w:r>
              <w:rPr/>
              <w:t> </w:t>
            </w:r>
          </w:p>
        </w:tc>
        <w:tc>
          <w:tcPr>
            <w:tcW w:w="77" w:type="dxa"/>
            <w:tcBorders/>
            <w:shd w:fill="CCEEFF" w:val="clear"/>
            <w:vAlign w:val="center"/>
          </w:tcPr>
          <w:p>
            <w:pPr>
              <w:pStyle w:val="TableContents"/>
              <w:bidi w:val="0"/>
              <w:spacing w:before="0" w:after="283"/>
              <w:jc w:val="left"/>
              <w:rPr/>
            </w:pPr>
            <w:r>
              <w:rPr/>
              <w:t> </w:t>
            </w:r>
          </w:p>
        </w:tc>
        <w:tc>
          <w:tcPr>
            <w:tcW w:w="451"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227" w:type="dxa"/>
            <w:tcBorders>
              <w:bottom w:val="double" w:sz="10" w:space="0" w:color="000000"/>
            </w:tcBorders>
            <w:shd w:fill="CCEEFF" w:val="clear"/>
            <w:tcMar>
              <w:bottom w:w="28" w:type="dxa"/>
            </w:tcMar>
            <w:vAlign w:val="center"/>
          </w:tcPr>
          <w:p>
            <w:pPr>
              <w:pStyle w:val="TableContents"/>
              <w:bidi w:val="0"/>
              <w:spacing w:before="0" w:after="283"/>
              <w:jc w:val="right"/>
              <w:rPr/>
            </w:pPr>
            <w:r>
              <w:rPr/>
              <w:t>126</w:t>
            </w:r>
          </w:p>
        </w:tc>
        <w:tc>
          <w:tcPr>
            <w:tcW w:w="122" w:type="dxa"/>
            <w:tcBorders/>
            <w:shd w:fill="CCEEFF" w:val="clear"/>
            <w:vAlign w:val="center"/>
          </w:tcPr>
          <w:p>
            <w:pPr>
              <w:pStyle w:val="TableContents"/>
              <w:bidi w:val="0"/>
              <w:spacing w:before="0" w:after="283"/>
              <w:jc w:val="left"/>
              <w:rPr/>
            </w:pPr>
            <w:r>
              <w:rPr/>
              <w:t> </w:t>
            </w:r>
          </w:p>
        </w:tc>
        <w:tc>
          <w:tcPr>
            <w:tcW w:w="77" w:type="dxa"/>
            <w:tcBorders/>
            <w:shd w:fill="CCEEFF" w:val="clear"/>
            <w:vAlign w:val="center"/>
          </w:tcPr>
          <w:p>
            <w:pPr>
              <w:pStyle w:val="TableContents"/>
              <w:bidi w:val="0"/>
              <w:spacing w:before="0" w:after="283"/>
              <w:jc w:val="left"/>
              <w:rPr/>
            </w:pPr>
            <w:r>
              <w:rPr/>
              <w:t> </w:t>
            </w:r>
          </w:p>
        </w:tc>
        <w:tc>
          <w:tcPr>
            <w:tcW w:w="516"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405" w:type="dxa"/>
            <w:tcBorders>
              <w:bottom w:val="double" w:sz="10" w:space="0" w:color="000000"/>
            </w:tcBorders>
            <w:shd w:fill="CCEEFF" w:val="clear"/>
            <w:tcMar>
              <w:bottom w:w="28" w:type="dxa"/>
            </w:tcMar>
            <w:vAlign w:val="center"/>
          </w:tcPr>
          <w:p>
            <w:pPr>
              <w:pStyle w:val="TableContents"/>
              <w:bidi w:val="0"/>
              <w:spacing w:before="0" w:after="283"/>
              <w:jc w:val="right"/>
              <w:rPr/>
            </w:pPr>
            <w:r>
              <w:rPr/>
              <w:t>361</w:t>
            </w:r>
          </w:p>
        </w:tc>
        <w:tc>
          <w:tcPr>
            <w:tcW w:w="77" w:type="dxa"/>
            <w:tcBorders/>
            <w:shd w:fill="CCEEFF" w:val="clear"/>
            <w:vAlign w:val="center"/>
          </w:tcPr>
          <w:p>
            <w:pPr>
              <w:pStyle w:val="TableContents"/>
              <w:bidi w:val="0"/>
              <w:spacing w:before="0" w:after="283"/>
              <w:jc w:val="left"/>
              <w:rPr/>
            </w:pPr>
            <w:r>
              <w:rPr/>
              <w:t> </w:t>
            </w:r>
          </w:p>
        </w:tc>
        <w:tc>
          <w:tcPr>
            <w:tcW w:w="77" w:type="dxa"/>
            <w:tcBorders/>
            <w:shd w:fill="CCEEFF" w:val="clear"/>
            <w:vAlign w:val="center"/>
          </w:tcPr>
          <w:p>
            <w:pPr>
              <w:pStyle w:val="TableContents"/>
              <w:bidi w:val="0"/>
              <w:spacing w:before="0" w:after="283"/>
              <w:jc w:val="left"/>
              <w:rPr/>
            </w:pPr>
            <w:r>
              <w:rPr/>
              <w:t> </w:t>
            </w:r>
          </w:p>
        </w:tc>
        <w:tc>
          <w:tcPr>
            <w:tcW w:w="180"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723" w:type="dxa"/>
            <w:tcBorders>
              <w:bottom w:val="double" w:sz="10" w:space="0" w:color="000000"/>
            </w:tcBorders>
            <w:shd w:fill="CCEEFF" w:val="clear"/>
            <w:tcMar>
              <w:bottom w:w="28" w:type="dxa"/>
            </w:tcMar>
            <w:vAlign w:val="center"/>
          </w:tcPr>
          <w:p>
            <w:pPr>
              <w:pStyle w:val="TableContents"/>
              <w:bidi w:val="0"/>
              <w:spacing w:before="0" w:after="283"/>
              <w:jc w:val="right"/>
              <w:rPr/>
            </w:pPr>
            <w:r>
              <w:rPr/>
              <w:t>1,035</w:t>
            </w:r>
          </w:p>
        </w:tc>
        <w:tc>
          <w:tcPr>
            <w:tcW w:w="8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839"/>
        <w:gridCol w:w="60"/>
        <w:gridCol w:w="427"/>
        <w:gridCol w:w="1161"/>
        <w:gridCol w:w="132"/>
        <w:gridCol w:w="83"/>
        <w:gridCol w:w="520"/>
        <w:gridCol w:w="967"/>
        <w:gridCol w:w="132"/>
        <w:gridCol w:w="83"/>
        <w:gridCol w:w="457"/>
        <w:gridCol w:w="1243"/>
        <w:gridCol w:w="83"/>
        <w:gridCol w:w="83"/>
        <w:gridCol w:w="680"/>
        <w:gridCol w:w="1265"/>
        <w:gridCol w:w="83"/>
        <w:gridCol w:w="83"/>
        <w:gridCol w:w="212"/>
        <w:gridCol w:w="528"/>
        <w:gridCol w:w="84"/>
      </w:tblGrid>
      <w:tr>
        <w:trPr/>
        <w:tc>
          <w:tcPr>
            <w:tcW w:w="1839"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8222" w:type="dxa"/>
            <w:gridSpan w:val="18"/>
            <w:tcBorders>
              <w:bottom w:val="single" w:sz="12" w:space="0" w:color="000000"/>
            </w:tcBorders>
            <w:tcMar>
              <w:bottom w:w="28" w:type="dxa"/>
            </w:tcMar>
            <w:vAlign w:val="center"/>
          </w:tcPr>
          <w:p>
            <w:pPr>
              <w:pStyle w:val="TableContents"/>
              <w:bidi w:val="0"/>
              <w:spacing w:before="0" w:after="283"/>
              <w:jc w:val="center"/>
              <w:rPr>
                <w:b/>
              </w:rPr>
            </w:pPr>
            <w:r>
              <w:rPr>
                <w:b/>
              </w:rPr>
              <w:t>As of and for the six months ended June 30, 2024</w:t>
            </w:r>
          </w:p>
        </w:tc>
        <w:tc>
          <w:tcPr>
            <w:tcW w:w="84" w:type="dxa"/>
            <w:tcBorders/>
            <w:vAlign w:val="center"/>
          </w:tcPr>
          <w:p>
            <w:pPr>
              <w:pStyle w:val="TableContents"/>
              <w:bidi w:val="0"/>
              <w:spacing w:before="0" w:after="283"/>
              <w:jc w:val="left"/>
              <w:rPr/>
            </w:pPr>
            <w:r>
              <w:rPr/>
              <w:t> </w:t>
            </w:r>
          </w:p>
        </w:tc>
      </w:tr>
      <w:tr>
        <w:trPr/>
        <w:tc>
          <w:tcPr>
            <w:tcW w:w="1839"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588"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Accounts receivable</w:t>
            </w:r>
          </w:p>
        </w:tc>
        <w:tc>
          <w:tcPr>
            <w:tcW w:w="132" w:type="dxa"/>
            <w:tcBorders/>
            <w:vAlign w:val="center"/>
          </w:tcPr>
          <w:p>
            <w:pPr>
              <w:pStyle w:val="TableContents"/>
              <w:bidi w:val="0"/>
              <w:spacing w:before="0" w:after="283"/>
              <w:jc w:val="left"/>
              <w:rPr/>
            </w:pPr>
            <w:r>
              <w:rPr/>
              <w:t> </w:t>
            </w:r>
          </w:p>
        </w:tc>
        <w:tc>
          <w:tcPr>
            <w:tcW w:w="83" w:type="dxa"/>
            <w:tcBorders/>
            <w:vAlign w:val="center"/>
          </w:tcPr>
          <w:p>
            <w:pPr>
              <w:pStyle w:val="TableContents"/>
              <w:bidi w:val="0"/>
              <w:spacing w:before="0" w:after="283"/>
              <w:jc w:val="left"/>
              <w:rPr/>
            </w:pPr>
            <w:r>
              <w:rPr/>
              <w:t> </w:t>
            </w:r>
          </w:p>
        </w:tc>
        <w:tc>
          <w:tcPr>
            <w:tcW w:w="1487"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Transaction fees</w:t>
            </w:r>
          </w:p>
        </w:tc>
        <w:tc>
          <w:tcPr>
            <w:tcW w:w="132" w:type="dxa"/>
            <w:tcBorders/>
            <w:vAlign w:val="center"/>
          </w:tcPr>
          <w:p>
            <w:pPr>
              <w:pStyle w:val="TableContents"/>
              <w:bidi w:val="0"/>
              <w:spacing w:before="0" w:after="283"/>
              <w:jc w:val="left"/>
              <w:rPr/>
            </w:pPr>
            <w:r>
              <w:rPr/>
              <w:t> </w:t>
            </w:r>
          </w:p>
        </w:tc>
        <w:tc>
          <w:tcPr>
            <w:tcW w:w="83" w:type="dxa"/>
            <w:tcBorders/>
            <w:vAlign w:val="center"/>
          </w:tcPr>
          <w:p>
            <w:pPr>
              <w:pStyle w:val="TableContents"/>
              <w:bidi w:val="0"/>
              <w:spacing w:before="0" w:after="283"/>
              <w:jc w:val="left"/>
              <w:rPr/>
            </w:pPr>
            <w:r>
              <w:rPr/>
              <w:t> </w:t>
            </w:r>
          </w:p>
        </w:tc>
        <w:tc>
          <w:tcPr>
            <w:tcW w:w="170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Contractor advances</w:t>
            </w:r>
          </w:p>
        </w:tc>
        <w:tc>
          <w:tcPr>
            <w:tcW w:w="83" w:type="dxa"/>
            <w:tcBorders/>
            <w:vAlign w:val="center"/>
          </w:tcPr>
          <w:p>
            <w:pPr>
              <w:pStyle w:val="TableContents"/>
              <w:bidi w:val="0"/>
              <w:spacing w:before="0" w:after="283"/>
              <w:jc w:val="left"/>
              <w:rPr/>
            </w:pPr>
            <w:r>
              <w:rPr/>
              <w:t> </w:t>
            </w:r>
          </w:p>
        </w:tc>
        <w:tc>
          <w:tcPr>
            <w:tcW w:w="83" w:type="dxa"/>
            <w:tcBorders/>
            <w:vAlign w:val="center"/>
          </w:tcPr>
          <w:p>
            <w:pPr>
              <w:pStyle w:val="TableContents"/>
              <w:bidi w:val="0"/>
              <w:spacing w:before="0" w:after="283"/>
              <w:jc w:val="left"/>
              <w:rPr/>
            </w:pPr>
            <w:r>
              <w:rPr/>
              <w:t> </w:t>
            </w:r>
          </w:p>
        </w:tc>
        <w:tc>
          <w:tcPr>
            <w:tcW w:w="194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Commissions receivable</w:t>
            </w:r>
          </w:p>
        </w:tc>
        <w:tc>
          <w:tcPr>
            <w:tcW w:w="83" w:type="dxa"/>
            <w:tcBorders/>
            <w:vAlign w:val="center"/>
          </w:tcPr>
          <w:p>
            <w:pPr>
              <w:pStyle w:val="TableContents"/>
              <w:bidi w:val="0"/>
              <w:spacing w:before="0" w:after="283"/>
              <w:jc w:val="left"/>
              <w:rPr/>
            </w:pPr>
            <w:r>
              <w:rPr/>
              <w:t> </w:t>
            </w:r>
          </w:p>
        </w:tc>
        <w:tc>
          <w:tcPr>
            <w:tcW w:w="83" w:type="dxa"/>
            <w:tcBorders/>
            <w:vAlign w:val="center"/>
          </w:tcPr>
          <w:p>
            <w:pPr>
              <w:pStyle w:val="TableContents"/>
              <w:bidi w:val="0"/>
              <w:spacing w:before="0" w:after="283"/>
              <w:jc w:val="left"/>
              <w:rPr/>
            </w:pPr>
            <w:r>
              <w:rPr/>
              <w:t> </w:t>
            </w:r>
          </w:p>
        </w:tc>
        <w:tc>
          <w:tcPr>
            <w:tcW w:w="74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Total</w:t>
            </w:r>
          </w:p>
        </w:tc>
        <w:tc>
          <w:tcPr>
            <w:tcW w:w="84" w:type="dxa"/>
            <w:tcBorders/>
            <w:vAlign w:val="center"/>
          </w:tcPr>
          <w:p>
            <w:pPr>
              <w:pStyle w:val="TableContents"/>
              <w:bidi w:val="0"/>
              <w:spacing w:before="0" w:after="283"/>
              <w:jc w:val="left"/>
              <w:rPr/>
            </w:pPr>
            <w:r>
              <w:rPr/>
              <w:t> </w:t>
            </w:r>
          </w:p>
        </w:tc>
      </w:tr>
      <w:tr>
        <w:trPr/>
        <w:tc>
          <w:tcPr>
            <w:tcW w:w="1839" w:type="dxa"/>
            <w:tcBorders/>
            <w:shd w:fill="CCEEFF" w:val="clear"/>
            <w:vAlign w:val="center"/>
          </w:tcPr>
          <w:p>
            <w:pPr>
              <w:pStyle w:val="TableContents"/>
              <w:bidi w:val="0"/>
              <w:spacing w:before="0" w:after="283"/>
              <w:jc w:val="both"/>
              <w:rPr/>
            </w:pPr>
            <w:r>
              <w:rPr/>
              <w:t>Beginning balance</w:t>
            </w:r>
          </w:p>
        </w:tc>
        <w:tc>
          <w:tcPr>
            <w:tcW w:w="60" w:type="dxa"/>
            <w:tcBorders/>
            <w:shd w:fill="CCEEFF" w:val="clear"/>
            <w:vAlign w:val="center"/>
          </w:tcPr>
          <w:p>
            <w:pPr>
              <w:pStyle w:val="TableContents"/>
              <w:bidi w:val="0"/>
              <w:spacing w:before="0" w:after="283"/>
              <w:jc w:val="left"/>
              <w:rPr/>
            </w:pPr>
            <w:r>
              <w:rPr/>
              <w:t> </w:t>
            </w:r>
          </w:p>
        </w:tc>
        <w:tc>
          <w:tcPr>
            <w:tcW w:w="427" w:type="dxa"/>
            <w:tcBorders/>
            <w:shd w:fill="CCEEFF" w:val="clear"/>
            <w:vAlign w:val="center"/>
          </w:tcPr>
          <w:p>
            <w:pPr>
              <w:pStyle w:val="TableContents"/>
              <w:bidi w:val="0"/>
              <w:spacing w:before="0" w:after="283"/>
              <w:jc w:val="left"/>
              <w:rPr/>
            </w:pPr>
            <w:r>
              <w:rPr/>
              <w:t>$</w:t>
            </w:r>
          </w:p>
        </w:tc>
        <w:tc>
          <w:tcPr>
            <w:tcW w:w="1161" w:type="dxa"/>
            <w:tcBorders/>
            <w:shd w:fill="CCEEFF" w:val="clear"/>
            <w:vAlign w:val="center"/>
          </w:tcPr>
          <w:p>
            <w:pPr>
              <w:pStyle w:val="TableContents"/>
              <w:bidi w:val="0"/>
              <w:spacing w:before="0" w:after="283"/>
              <w:jc w:val="right"/>
              <w:rPr/>
            </w:pPr>
            <w:r>
              <w:rPr/>
              <w:t>—</w:t>
            </w:r>
          </w:p>
        </w:tc>
        <w:tc>
          <w:tcPr>
            <w:tcW w:w="132" w:type="dxa"/>
            <w:tcBorders/>
            <w:shd w:fill="CCEEFF" w:val="clear"/>
            <w:vAlign w:val="center"/>
          </w:tcPr>
          <w:p>
            <w:pPr>
              <w:pStyle w:val="TableContents"/>
              <w:bidi w:val="0"/>
              <w:spacing w:before="0" w:after="283"/>
              <w:jc w:val="left"/>
              <w:rPr/>
            </w:pPr>
            <w:r>
              <w:rPr/>
              <w:t> </w:t>
            </w:r>
          </w:p>
        </w:tc>
        <w:tc>
          <w:tcPr>
            <w:tcW w:w="83" w:type="dxa"/>
            <w:tcBorders/>
            <w:shd w:fill="CCEEFF" w:val="clear"/>
            <w:vAlign w:val="center"/>
          </w:tcPr>
          <w:p>
            <w:pPr>
              <w:pStyle w:val="TableContents"/>
              <w:bidi w:val="0"/>
              <w:spacing w:before="0" w:after="283"/>
              <w:jc w:val="left"/>
              <w:rPr/>
            </w:pPr>
            <w:r>
              <w:rPr/>
              <w:t> </w:t>
            </w:r>
          </w:p>
        </w:tc>
        <w:tc>
          <w:tcPr>
            <w:tcW w:w="520" w:type="dxa"/>
            <w:tcBorders/>
            <w:shd w:fill="CCEEFF" w:val="clear"/>
            <w:vAlign w:val="center"/>
          </w:tcPr>
          <w:p>
            <w:pPr>
              <w:pStyle w:val="TableContents"/>
              <w:bidi w:val="0"/>
              <w:spacing w:before="0" w:after="283"/>
              <w:jc w:val="left"/>
              <w:rPr/>
            </w:pPr>
            <w:r>
              <w:rPr/>
              <w:t>$</w:t>
            </w:r>
          </w:p>
        </w:tc>
        <w:tc>
          <w:tcPr>
            <w:tcW w:w="967" w:type="dxa"/>
            <w:tcBorders/>
            <w:shd w:fill="CCEEFF" w:val="clear"/>
            <w:vAlign w:val="center"/>
          </w:tcPr>
          <w:p>
            <w:pPr>
              <w:pStyle w:val="TableContents"/>
              <w:bidi w:val="0"/>
              <w:spacing w:before="0" w:after="283"/>
              <w:jc w:val="right"/>
              <w:rPr/>
            </w:pPr>
            <w:r>
              <w:rPr/>
              <w:t>5</w:t>
            </w:r>
          </w:p>
        </w:tc>
        <w:tc>
          <w:tcPr>
            <w:tcW w:w="132" w:type="dxa"/>
            <w:tcBorders/>
            <w:shd w:fill="CCEEFF" w:val="clear"/>
            <w:vAlign w:val="center"/>
          </w:tcPr>
          <w:p>
            <w:pPr>
              <w:pStyle w:val="TableContents"/>
              <w:bidi w:val="0"/>
              <w:spacing w:before="0" w:after="283"/>
              <w:jc w:val="left"/>
              <w:rPr/>
            </w:pPr>
            <w:r>
              <w:rPr/>
              <w:t> </w:t>
            </w:r>
          </w:p>
        </w:tc>
        <w:tc>
          <w:tcPr>
            <w:tcW w:w="83" w:type="dxa"/>
            <w:tcBorders/>
            <w:shd w:fill="CCEEFF" w:val="clear"/>
            <w:vAlign w:val="center"/>
          </w:tcPr>
          <w:p>
            <w:pPr>
              <w:pStyle w:val="TableContents"/>
              <w:bidi w:val="0"/>
              <w:spacing w:before="0" w:after="283"/>
              <w:jc w:val="left"/>
              <w:rPr/>
            </w:pPr>
            <w:r>
              <w:rPr/>
              <w:t> </w:t>
            </w:r>
          </w:p>
        </w:tc>
        <w:tc>
          <w:tcPr>
            <w:tcW w:w="457" w:type="dxa"/>
            <w:tcBorders/>
            <w:shd w:fill="CCEEFF" w:val="clear"/>
            <w:vAlign w:val="center"/>
          </w:tcPr>
          <w:p>
            <w:pPr>
              <w:pStyle w:val="TableContents"/>
              <w:bidi w:val="0"/>
              <w:spacing w:before="0" w:after="283"/>
              <w:jc w:val="left"/>
              <w:rPr/>
            </w:pPr>
            <w:r>
              <w:rPr/>
              <w:t>$</w:t>
            </w:r>
          </w:p>
        </w:tc>
        <w:tc>
          <w:tcPr>
            <w:tcW w:w="1243" w:type="dxa"/>
            <w:tcBorders/>
            <w:shd w:fill="CCEEFF" w:val="clear"/>
            <w:vAlign w:val="center"/>
          </w:tcPr>
          <w:p>
            <w:pPr>
              <w:pStyle w:val="TableContents"/>
              <w:bidi w:val="0"/>
              <w:spacing w:before="0" w:after="283"/>
              <w:jc w:val="right"/>
              <w:rPr/>
            </w:pPr>
            <w:r>
              <w:rPr/>
              <w:t>46</w:t>
            </w:r>
          </w:p>
        </w:tc>
        <w:tc>
          <w:tcPr>
            <w:tcW w:w="83" w:type="dxa"/>
            <w:tcBorders/>
            <w:shd w:fill="CCEEFF" w:val="clear"/>
            <w:vAlign w:val="center"/>
          </w:tcPr>
          <w:p>
            <w:pPr>
              <w:pStyle w:val="TableContents"/>
              <w:bidi w:val="0"/>
              <w:spacing w:before="0" w:after="283"/>
              <w:jc w:val="left"/>
              <w:rPr/>
            </w:pPr>
            <w:r>
              <w:rPr/>
              <w:t> </w:t>
            </w:r>
          </w:p>
        </w:tc>
        <w:tc>
          <w:tcPr>
            <w:tcW w:w="83"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left"/>
              <w:rPr/>
            </w:pPr>
            <w:r>
              <w:rPr/>
              <w:t>$</w:t>
            </w:r>
          </w:p>
        </w:tc>
        <w:tc>
          <w:tcPr>
            <w:tcW w:w="1265" w:type="dxa"/>
            <w:tcBorders/>
            <w:shd w:fill="CCEEFF" w:val="clear"/>
            <w:vAlign w:val="center"/>
          </w:tcPr>
          <w:p>
            <w:pPr>
              <w:pStyle w:val="TableContents"/>
              <w:bidi w:val="0"/>
              <w:spacing w:before="0" w:after="283"/>
              <w:jc w:val="right"/>
              <w:rPr/>
            </w:pPr>
            <w:r>
              <w:rPr/>
              <w:t>3</w:t>
            </w:r>
          </w:p>
        </w:tc>
        <w:tc>
          <w:tcPr>
            <w:tcW w:w="83" w:type="dxa"/>
            <w:tcBorders/>
            <w:shd w:fill="CCEEFF" w:val="clear"/>
            <w:vAlign w:val="center"/>
          </w:tcPr>
          <w:p>
            <w:pPr>
              <w:pStyle w:val="TableContents"/>
              <w:bidi w:val="0"/>
              <w:spacing w:before="0" w:after="283"/>
              <w:jc w:val="left"/>
              <w:rPr/>
            </w:pPr>
            <w:r>
              <w:rPr/>
              <w:t> </w:t>
            </w:r>
          </w:p>
        </w:tc>
        <w:tc>
          <w:tcPr>
            <w:tcW w:w="83" w:type="dxa"/>
            <w:tcBorders/>
            <w:shd w:fill="CCEEFF" w:val="clear"/>
            <w:vAlign w:val="center"/>
          </w:tcPr>
          <w:p>
            <w:pPr>
              <w:pStyle w:val="TableContents"/>
              <w:bidi w:val="0"/>
              <w:spacing w:before="0" w:after="283"/>
              <w:jc w:val="left"/>
              <w:rPr/>
            </w:pPr>
            <w:r>
              <w:rPr/>
              <w:t> </w:t>
            </w:r>
          </w:p>
        </w:tc>
        <w:tc>
          <w:tcPr>
            <w:tcW w:w="212" w:type="dxa"/>
            <w:tcBorders/>
            <w:shd w:fill="CCEEFF" w:val="clear"/>
            <w:vAlign w:val="center"/>
          </w:tcPr>
          <w:p>
            <w:pPr>
              <w:pStyle w:val="TableContents"/>
              <w:bidi w:val="0"/>
              <w:spacing w:before="0" w:after="283"/>
              <w:jc w:val="left"/>
              <w:rPr/>
            </w:pPr>
            <w:r>
              <w:rPr/>
              <w:t>$</w:t>
            </w:r>
          </w:p>
        </w:tc>
        <w:tc>
          <w:tcPr>
            <w:tcW w:w="528" w:type="dxa"/>
            <w:tcBorders/>
            <w:shd w:fill="CCEEFF" w:val="clear"/>
            <w:vAlign w:val="center"/>
          </w:tcPr>
          <w:p>
            <w:pPr>
              <w:pStyle w:val="TableContents"/>
              <w:bidi w:val="0"/>
              <w:spacing w:before="0" w:after="283"/>
              <w:jc w:val="right"/>
              <w:rPr/>
            </w:pPr>
            <w:r>
              <w:rPr/>
              <w:t>54</w:t>
            </w:r>
          </w:p>
        </w:tc>
        <w:tc>
          <w:tcPr>
            <w:tcW w:w="84" w:type="dxa"/>
            <w:tcBorders/>
            <w:shd w:fill="CCEEFF" w:val="clear"/>
            <w:vAlign w:val="center"/>
          </w:tcPr>
          <w:p>
            <w:pPr>
              <w:pStyle w:val="TableContents"/>
              <w:bidi w:val="0"/>
              <w:spacing w:before="0" w:after="283"/>
              <w:ind w:left="0" w:right="0" w:hanging="180"/>
              <w:jc w:val="left"/>
              <w:rPr/>
            </w:pPr>
            <w:r>
              <w:rPr/>
              <w:t> </w:t>
            </w:r>
          </w:p>
        </w:tc>
      </w:tr>
      <w:tr>
        <w:trPr/>
        <w:tc>
          <w:tcPr>
            <w:tcW w:w="1839" w:type="dxa"/>
            <w:tcBorders/>
            <w:shd w:fill="FFFFFF" w:val="clear"/>
            <w:vAlign w:val="center"/>
          </w:tcPr>
          <w:p>
            <w:pPr>
              <w:pStyle w:val="TableContents"/>
              <w:bidi w:val="0"/>
              <w:spacing w:before="0" w:after="283"/>
              <w:jc w:val="left"/>
              <w:rPr/>
            </w:pPr>
            <w:r>
              <w:rPr/>
              <w:t>Provision for credit losses</w:t>
            </w:r>
          </w:p>
        </w:tc>
        <w:tc>
          <w:tcPr>
            <w:tcW w:w="60" w:type="dxa"/>
            <w:tcBorders/>
            <w:shd w:fill="FFFFFF" w:val="clear"/>
            <w:vAlign w:val="center"/>
          </w:tcPr>
          <w:p>
            <w:pPr>
              <w:pStyle w:val="TableContents"/>
              <w:bidi w:val="0"/>
              <w:spacing w:before="0" w:after="283"/>
              <w:jc w:val="left"/>
              <w:rPr/>
            </w:pPr>
            <w:r>
              <w:rPr/>
              <w:t> </w:t>
            </w:r>
          </w:p>
        </w:tc>
        <w:tc>
          <w:tcPr>
            <w:tcW w:w="427" w:type="dxa"/>
            <w:tcBorders/>
            <w:shd w:fill="FFFFFF" w:val="clear"/>
            <w:vAlign w:val="center"/>
          </w:tcPr>
          <w:p>
            <w:pPr>
              <w:pStyle w:val="TableContents"/>
              <w:bidi w:val="0"/>
              <w:spacing w:before="0" w:after="283"/>
              <w:jc w:val="left"/>
              <w:rPr/>
            </w:pPr>
            <w:r>
              <w:rPr/>
              <w:t> </w:t>
            </w:r>
          </w:p>
        </w:tc>
        <w:tc>
          <w:tcPr>
            <w:tcW w:w="1161" w:type="dxa"/>
            <w:tcBorders/>
            <w:shd w:fill="FFFFFF" w:val="clear"/>
            <w:vAlign w:val="center"/>
          </w:tcPr>
          <w:p>
            <w:pPr>
              <w:pStyle w:val="TableContents"/>
              <w:bidi w:val="0"/>
              <w:spacing w:before="0" w:after="283"/>
              <w:jc w:val="right"/>
              <w:rPr/>
            </w:pPr>
            <w:r>
              <w:rPr/>
              <w:t>137</w:t>
            </w:r>
          </w:p>
        </w:tc>
        <w:tc>
          <w:tcPr>
            <w:tcW w:w="132" w:type="dxa"/>
            <w:tcBorders/>
            <w:shd w:fill="FFFFFF" w:val="clear"/>
            <w:vAlign w:val="center"/>
          </w:tcPr>
          <w:p>
            <w:pPr>
              <w:pStyle w:val="TableContents"/>
              <w:bidi w:val="0"/>
              <w:spacing w:before="0" w:after="283"/>
              <w:jc w:val="left"/>
              <w:rPr/>
            </w:pPr>
            <w:r>
              <w:rPr/>
              <w:t> </w:t>
            </w:r>
          </w:p>
        </w:tc>
        <w:tc>
          <w:tcPr>
            <w:tcW w:w="83" w:type="dxa"/>
            <w:tcBorders/>
            <w:shd w:fill="FFFFFF" w:val="clear"/>
            <w:vAlign w:val="center"/>
          </w:tcPr>
          <w:p>
            <w:pPr>
              <w:pStyle w:val="TableContents"/>
              <w:bidi w:val="0"/>
              <w:spacing w:before="0" w:after="283"/>
              <w:jc w:val="left"/>
              <w:rPr/>
            </w:pPr>
            <w:r>
              <w:rPr/>
              <w:t> </w:t>
            </w:r>
          </w:p>
        </w:tc>
        <w:tc>
          <w:tcPr>
            <w:tcW w:w="520" w:type="dxa"/>
            <w:tcBorders/>
            <w:shd w:fill="FFFFFF" w:val="clear"/>
            <w:vAlign w:val="center"/>
          </w:tcPr>
          <w:p>
            <w:pPr>
              <w:pStyle w:val="TableContents"/>
              <w:bidi w:val="0"/>
              <w:spacing w:before="0" w:after="283"/>
              <w:jc w:val="left"/>
              <w:rPr/>
            </w:pPr>
            <w:r>
              <w:rPr/>
              <w:t> </w:t>
            </w:r>
          </w:p>
        </w:tc>
        <w:tc>
          <w:tcPr>
            <w:tcW w:w="967" w:type="dxa"/>
            <w:tcBorders/>
            <w:shd w:fill="FFFFFF" w:val="clear"/>
            <w:vAlign w:val="center"/>
          </w:tcPr>
          <w:p>
            <w:pPr>
              <w:pStyle w:val="TableContents"/>
              <w:bidi w:val="0"/>
              <w:spacing w:before="0" w:after="283"/>
              <w:jc w:val="right"/>
              <w:rPr/>
            </w:pPr>
            <w:r>
              <w:rPr/>
              <w:t>(1</w:t>
            </w:r>
          </w:p>
        </w:tc>
        <w:tc>
          <w:tcPr>
            <w:tcW w:w="132" w:type="dxa"/>
            <w:tcBorders/>
            <w:shd w:fill="FFFFFF" w:val="clear"/>
            <w:vAlign w:val="center"/>
          </w:tcPr>
          <w:p>
            <w:pPr>
              <w:pStyle w:val="TableContents"/>
              <w:bidi w:val="0"/>
              <w:spacing w:before="0" w:after="283"/>
              <w:jc w:val="left"/>
              <w:rPr/>
            </w:pPr>
            <w:r>
              <w:rPr/>
              <w:t>)</w:t>
            </w:r>
          </w:p>
        </w:tc>
        <w:tc>
          <w:tcPr>
            <w:tcW w:w="83" w:type="dxa"/>
            <w:tcBorders/>
            <w:shd w:fill="FFFFFF" w:val="clear"/>
            <w:vAlign w:val="center"/>
          </w:tcPr>
          <w:p>
            <w:pPr>
              <w:pStyle w:val="TableContents"/>
              <w:bidi w:val="0"/>
              <w:spacing w:before="0" w:after="283"/>
              <w:jc w:val="left"/>
              <w:rPr/>
            </w:pPr>
            <w:r>
              <w:rPr/>
              <w:t> </w:t>
            </w:r>
          </w:p>
        </w:tc>
        <w:tc>
          <w:tcPr>
            <w:tcW w:w="457" w:type="dxa"/>
            <w:tcBorders/>
            <w:shd w:fill="FFFFFF" w:val="clear"/>
            <w:vAlign w:val="center"/>
          </w:tcPr>
          <w:p>
            <w:pPr>
              <w:pStyle w:val="TableContents"/>
              <w:bidi w:val="0"/>
              <w:spacing w:before="0" w:after="283"/>
              <w:jc w:val="left"/>
              <w:rPr/>
            </w:pPr>
            <w:r>
              <w:rPr/>
              <w:t> </w:t>
            </w:r>
          </w:p>
        </w:tc>
        <w:tc>
          <w:tcPr>
            <w:tcW w:w="1243" w:type="dxa"/>
            <w:tcBorders/>
            <w:shd w:fill="FFFFFF" w:val="clear"/>
            <w:vAlign w:val="center"/>
          </w:tcPr>
          <w:p>
            <w:pPr>
              <w:pStyle w:val="TableContents"/>
              <w:bidi w:val="0"/>
              <w:spacing w:before="0" w:after="283"/>
              <w:jc w:val="right"/>
              <w:rPr/>
            </w:pPr>
            <w:r>
              <w:rPr/>
              <w:t>92</w:t>
            </w:r>
          </w:p>
        </w:tc>
        <w:tc>
          <w:tcPr>
            <w:tcW w:w="83" w:type="dxa"/>
            <w:tcBorders/>
            <w:shd w:fill="FFFFFF" w:val="clear"/>
            <w:vAlign w:val="center"/>
          </w:tcPr>
          <w:p>
            <w:pPr>
              <w:pStyle w:val="TableContents"/>
              <w:bidi w:val="0"/>
              <w:spacing w:before="0" w:after="283"/>
              <w:jc w:val="left"/>
              <w:rPr/>
            </w:pPr>
            <w:r>
              <w:rPr/>
              <w:t> </w:t>
            </w:r>
          </w:p>
        </w:tc>
        <w:tc>
          <w:tcPr>
            <w:tcW w:w="83"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left"/>
              <w:rPr/>
            </w:pPr>
            <w:r>
              <w:rPr/>
              <w:t> </w:t>
            </w:r>
          </w:p>
        </w:tc>
        <w:tc>
          <w:tcPr>
            <w:tcW w:w="1265" w:type="dxa"/>
            <w:tcBorders/>
            <w:shd w:fill="FFFFFF" w:val="clear"/>
            <w:vAlign w:val="center"/>
          </w:tcPr>
          <w:p>
            <w:pPr>
              <w:pStyle w:val="TableContents"/>
              <w:bidi w:val="0"/>
              <w:spacing w:before="0" w:after="283"/>
              <w:jc w:val="right"/>
              <w:rPr/>
            </w:pPr>
            <w:r>
              <w:rPr/>
              <w:t>23</w:t>
            </w:r>
          </w:p>
        </w:tc>
        <w:tc>
          <w:tcPr>
            <w:tcW w:w="83" w:type="dxa"/>
            <w:tcBorders/>
            <w:shd w:fill="FFFFFF" w:val="clear"/>
            <w:vAlign w:val="center"/>
          </w:tcPr>
          <w:p>
            <w:pPr>
              <w:pStyle w:val="TableContents"/>
              <w:bidi w:val="0"/>
              <w:spacing w:before="0" w:after="283"/>
              <w:jc w:val="left"/>
              <w:rPr/>
            </w:pPr>
            <w:r>
              <w:rPr/>
              <w:t> </w:t>
            </w:r>
          </w:p>
        </w:tc>
        <w:tc>
          <w:tcPr>
            <w:tcW w:w="83" w:type="dxa"/>
            <w:tcBorders/>
            <w:shd w:fill="FFFFFF" w:val="clear"/>
            <w:vAlign w:val="center"/>
          </w:tcPr>
          <w:p>
            <w:pPr>
              <w:pStyle w:val="TableContents"/>
              <w:bidi w:val="0"/>
              <w:spacing w:before="0" w:after="283"/>
              <w:jc w:val="left"/>
              <w:rPr/>
            </w:pPr>
            <w:r>
              <w:rPr/>
              <w:t> </w:t>
            </w:r>
          </w:p>
        </w:tc>
        <w:tc>
          <w:tcPr>
            <w:tcW w:w="212" w:type="dxa"/>
            <w:tcBorders/>
            <w:shd w:fill="FFFFFF" w:val="clear"/>
            <w:vAlign w:val="center"/>
          </w:tcPr>
          <w:p>
            <w:pPr>
              <w:pStyle w:val="TableContents"/>
              <w:bidi w:val="0"/>
              <w:spacing w:before="0" w:after="283"/>
              <w:jc w:val="left"/>
              <w:rPr/>
            </w:pPr>
            <w:r>
              <w:rPr/>
              <w:t> </w:t>
            </w:r>
          </w:p>
        </w:tc>
        <w:tc>
          <w:tcPr>
            <w:tcW w:w="528" w:type="dxa"/>
            <w:tcBorders/>
            <w:shd w:fill="FFFFFF" w:val="clear"/>
            <w:vAlign w:val="center"/>
          </w:tcPr>
          <w:p>
            <w:pPr>
              <w:pStyle w:val="TableContents"/>
              <w:bidi w:val="0"/>
              <w:spacing w:before="0" w:after="283"/>
              <w:jc w:val="right"/>
              <w:rPr/>
            </w:pPr>
            <w:r>
              <w:rPr/>
              <w:t>251</w:t>
            </w:r>
          </w:p>
        </w:tc>
        <w:tc>
          <w:tcPr>
            <w:tcW w:w="84" w:type="dxa"/>
            <w:tcBorders/>
            <w:shd w:fill="FFFFFF" w:val="clear"/>
            <w:vAlign w:val="center"/>
          </w:tcPr>
          <w:p>
            <w:pPr>
              <w:pStyle w:val="TableContents"/>
              <w:bidi w:val="0"/>
              <w:spacing w:before="0" w:after="283"/>
              <w:jc w:val="left"/>
              <w:rPr/>
            </w:pPr>
            <w:r>
              <w:rPr/>
              <w:t> </w:t>
            </w:r>
          </w:p>
        </w:tc>
      </w:tr>
      <w:tr>
        <w:trPr/>
        <w:tc>
          <w:tcPr>
            <w:tcW w:w="1839" w:type="dxa"/>
            <w:tcBorders/>
            <w:shd w:fill="CCEEFF" w:val="clear"/>
            <w:vAlign w:val="center"/>
          </w:tcPr>
          <w:p>
            <w:pPr>
              <w:pStyle w:val="TableContents"/>
              <w:bidi w:val="0"/>
              <w:spacing w:before="0" w:after="283"/>
              <w:jc w:val="both"/>
              <w:rPr/>
            </w:pPr>
            <w:r>
              <w:rPr/>
              <w:t>Write-offs</w:t>
            </w:r>
          </w:p>
        </w:tc>
        <w:tc>
          <w:tcPr>
            <w:tcW w:w="60" w:type="dxa"/>
            <w:tcBorders/>
            <w:shd w:fill="CCEEFF" w:val="clear"/>
            <w:vAlign w:val="center"/>
          </w:tcPr>
          <w:p>
            <w:pPr>
              <w:pStyle w:val="TableContents"/>
              <w:bidi w:val="0"/>
              <w:spacing w:before="0" w:after="283"/>
              <w:jc w:val="left"/>
              <w:rPr/>
            </w:pPr>
            <w:r>
              <w:rPr/>
              <w:t> </w:t>
            </w:r>
          </w:p>
        </w:tc>
        <w:tc>
          <w:tcPr>
            <w:tcW w:w="427" w:type="dxa"/>
            <w:tcBorders/>
            <w:shd w:fill="CCEEFF" w:val="clear"/>
            <w:vAlign w:val="center"/>
          </w:tcPr>
          <w:p>
            <w:pPr>
              <w:pStyle w:val="TableContents"/>
              <w:bidi w:val="0"/>
              <w:spacing w:before="0" w:after="283"/>
              <w:jc w:val="left"/>
              <w:rPr/>
            </w:pPr>
            <w:r>
              <w:rPr/>
              <w:t> </w:t>
            </w:r>
          </w:p>
        </w:tc>
        <w:tc>
          <w:tcPr>
            <w:tcW w:w="1161" w:type="dxa"/>
            <w:tcBorders/>
            <w:shd w:fill="CCEEFF" w:val="clear"/>
            <w:vAlign w:val="center"/>
          </w:tcPr>
          <w:p>
            <w:pPr>
              <w:pStyle w:val="TableContents"/>
              <w:bidi w:val="0"/>
              <w:spacing w:before="0" w:after="283"/>
              <w:jc w:val="right"/>
              <w:rPr/>
            </w:pPr>
            <w:r>
              <w:rPr/>
              <w:t>—</w:t>
            </w:r>
          </w:p>
        </w:tc>
        <w:tc>
          <w:tcPr>
            <w:tcW w:w="132" w:type="dxa"/>
            <w:tcBorders/>
            <w:shd w:fill="CCEEFF" w:val="clear"/>
            <w:vAlign w:val="center"/>
          </w:tcPr>
          <w:p>
            <w:pPr>
              <w:pStyle w:val="TableContents"/>
              <w:bidi w:val="0"/>
              <w:spacing w:before="0" w:after="283"/>
              <w:jc w:val="left"/>
              <w:rPr/>
            </w:pPr>
            <w:r>
              <w:rPr/>
              <w:t> </w:t>
            </w:r>
          </w:p>
        </w:tc>
        <w:tc>
          <w:tcPr>
            <w:tcW w:w="83" w:type="dxa"/>
            <w:tcBorders/>
            <w:shd w:fill="CCEEFF" w:val="clear"/>
            <w:vAlign w:val="center"/>
          </w:tcPr>
          <w:p>
            <w:pPr>
              <w:pStyle w:val="TableContents"/>
              <w:bidi w:val="0"/>
              <w:spacing w:before="0" w:after="283"/>
              <w:jc w:val="left"/>
              <w:rPr/>
            </w:pPr>
            <w:r>
              <w:rPr/>
              <w:t> </w:t>
            </w:r>
          </w:p>
        </w:tc>
        <w:tc>
          <w:tcPr>
            <w:tcW w:w="520" w:type="dxa"/>
            <w:tcBorders/>
            <w:shd w:fill="CCEEFF" w:val="clear"/>
            <w:vAlign w:val="center"/>
          </w:tcPr>
          <w:p>
            <w:pPr>
              <w:pStyle w:val="TableContents"/>
              <w:bidi w:val="0"/>
              <w:spacing w:before="0" w:after="283"/>
              <w:jc w:val="left"/>
              <w:rPr/>
            </w:pPr>
            <w:r>
              <w:rPr/>
              <w:t> </w:t>
            </w:r>
          </w:p>
        </w:tc>
        <w:tc>
          <w:tcPr>
            <w:tcW w:w="967" w:type="dxa"/>
            <w:tcBorders/>
            <w:shd w:fill="CCEEFF" w:val="clear"/>
            <w:vAlign w:val="center"/>
          </w:tcPr>
          <w:p>
            <w:pPr>
              <w:pStyle w:val="TableContents"/>
              <w:bidi w:val="0"/>
              <w:spacing w:before="0" w:after="283"/>
              <w:jc w:val="right"/>
              <w:rPr/>
            </w:pPr>
            <w:r>
              <w:rPr/>
              <w:t>—</w:t>
            </w:r>
          </w:p>
        </w:tc>
        <w:tc>
          <w:tcPr>
            <w:tcW w:w="132" w:type="dxa"/>
            <w:tcBorders/>
            <w:shd w:fill="CCEEFF" w:val="clear"/>
            <w:vAlign w:val="center"/>
          </w:tcPr>
          <w:p>
            <w:pPr>
              <w:pStyle w:val="TableContents"/>
              <w:bidi w:val="0"/>
              <w:spacing w:before="0" w:after="283"/>
              <w:jc w:val="left"/>
              <w:rPr/>
            </w:pPr>
            <w:r>
              <w:rPr/>
              <w:t> </w:t>
            </w:r>
          </w:p>
        </w:tc>
        <w:tc>
          <w:tcPr>
            <w:tcW w:w="83" w:type="dxa"/>
            <w:tcBorders/>
            <w:shd w:fill="CCEEFF" w:val="clear"/>
            <w:vAlign w:val="center"/>
          </w:tcPr>
          <w:p>
            <w:pPr>
              <w:pStyle w:val="TableContents"/>
              <w:bidi w:val="0"/>
              <w:spacing w:before="0" w:after="283"/>
              <w:jc w:val="left"/>
              <w:rPr/>
            </w:pPr>
            <w:r>
              <w:rPr/>
              <w:t> </w:t>
            </w:r>
          </w:p>
        </w:tc>
        <w:tc>
          <w:tcPr>
            <w:tcW w:w="457" w:type="dxa"/>
            <w:tcBorders/>
            <w:shd w:fill="CCEEFF" w:val="clear"/>
            <w:vAlign w:val="center"/>
          </w:tcPr>
          <w:p>
            <w:pPr>
              <w:pStyle w:val="TableContents"/>
              <w:bidi w:val="0"/>
              <w:spacing w:before="0" w:after="283"/>
              <w:jc w:val="left"/>
              <w:rPr/>
            </w:pPr>
            <w:r>
              <w:rPr/>
              <w:t> </w:t>
            </w:r>
          </w:p>
        </w:tc>
        <w:tc>
          <w:tcPr>
            <w:tcW w:w="1243" w:type="dxa"/>
            <w:tcBorders/>
            <w:shd w:fill="CCEEFF" w:val="clear"/>
            <w:vAlign w:val="center"/>
          </w:tcPr>
          <w:p>
            <w:pPr>
              <w:pStyle w:val="TableContents"/>
              <w:bidi w:val="0"/>
              <w:spacing w:before="0" w:after="283"/>
              <w:jc w:val="right"/>
              <w:rPr/>
            </w:pPr>
            <w:r>
              <w:rPr/>
              <w:t>—</w:t>
            </w:r>
          </w:p>
        </w:tc>
        <w:tc>
          <w:tcPr>
            <w:tcW w:w="83" w:type="dxa"/>
            <w:tcBorders/>
            <w:shd w:fill="CCEEFF" w:val="clear"/>
            <w:vAlign w:val="center"/>
          </w:tcPr>
          <w:p>
            <w:pPr>
              <w:pStyle w:val="TableContents"/>
              <w:bidi w:val="0"/>
              <w:spacing w:before="0" w:after="283"/>
              <w:jc w:val="left"/>
              <w:rPr/>
            </w:pPr>
            <w:r>
              <w:rPr/>
              <w:t> </w:t>
            </w:r>
          </w:p>
        </w:tc>
        <w:tc>
          <w:tcPr>
            <w:tcW w:w="83"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left"/>
              <w:rPr/>
            </w:pPr>
            <w:r>
              <w:rPr/>
              <w:t> </w:t>
            </w:r>
          </w:p>
        </w:tc>
        <w:tc>
          <w:tcPr>
            <w:tcW w:w="1265" w:type="dxa"/>
            <w:tcBorders/>
            <w:shd w:fill="CCEEFF" w:val="clear"/>
            <w:vAlign w:val="center"/>
          </w:tcPr>
          <w:p>
            <w:pPr>
              <w:pStyle w:val="TableContents"/>
              <w:bidi w:val="0"/>
              <w:spacing w:before="0" w:after="283"/>
              <w:jc w:val="right"/>
              <w:rPr/>
            </w:pPr>
            <w:r>
              <w:rPr/>
              <w:t>—</w:t>
            </w:r>
          </w:p>
        </w:tc>
        <w:tc>
          <w:tcPr>
            <w:tcW w:w="83" w:type="dxa"/>
            <w:tcBorders/>
            <w:shd w:fill="CCEEFF" w:val="clear"/>
            <w:vAlign w:val="center"/>
          </w:tcPr>
          <w:p>
            <w:pPr>
              <w:pStyle w:val="TableContents"/>
              <w:bidi w:val="0"/>
              <w:spacing w:before="0" w:after="283"/>
              <w:jc w:val="left"/>
              <w:rPr/>
            </w:pPr>
            <w:r>
              <w:rPr/>
              <w:t> </w:t>
            </w:r>
          </w:p>
        </w:tc>
        <w:tc>
          <w:tcPr>
            <w:tcW w:w="83" w:type="dxa"/>
            <w:tcBorders/>
            <w:shd w:fill="CCEEFF" w:val="clear"/>
            <w:vAlign w:val="center"/>
          </w:tcPr>
          <w:p>
            <w:pPr>
              <w:pStyle w:val="TableContents"/>
              <w:bidi w:val="0"/>
              <w:spacing w:before="0" w:after="283"/>
              <w:jc w:val="left"/>
              <w:rPr/>
            </w:pPr>
            <w:r>
              <w:rPr/>
              <w:t> </w:t>
            </w:r>
          </w:p>
        </w:tc>
        <w:tc>
          <w:tcPr>
            <w:tcW w:w="212" w:type="dxa"/>
            <w:tcBorders/>
            <w:shd w:fill="CCEEFF" w:val="clear"/>
            <w:vAlign w:val="center"/>
          </w:tcPr>
          <w:p>
            <w:pPr>
              <w:pStyle w:val="TableContents"/>
              <w:bidi w:val="0"/>
              <w:spacing w:before="0" w:after="283"/>
              <w:jc w:val="left"/>
              <w:rPr/>
            </w:pPr>
            <w:r>
              <w:rPr/>
              <w:t> </w:t>
            </w:r>
          </w:p>
        </w:tc>
        <w:tc>
          <w:tcPr>
            <w:tcW w:w="528" w:type="dxa"/>
            <w:tcBorders/>
            <w:shd w:fill="CCEEFF" w:val="clear"/>
            <w:vAlign w:val="center"/>
          </w:tcPr>
          <w:p>
            <w:pPr>
              <w:pStyle w:val="TableContents"/>
              <w:bidi w:val="0"/>
              <w:spacing w:before="0" w:after="283"/>
              <w:jc w:val="right"/>
              <w:rPr/>
            </w:pPr>
            <w:r>
              <w:rPr/>
              <w:t>—</w:t>
            </w:r>
          </w:p>
        </w:tc>
        <w:tc>
          <w:tcPr>
            <w:tcW w:w="84" w:type="dxa"/>
            <w:tcBorders/>
            <w:shd w:fill="CCEEFF" w:val="clear"/>
            <w:vAlign w:val="center"/>
          </w:tcPr>
          <w:p>
            <w:pPr>
              <w:pStyle w:val="TableContents"/>
              <w:bidi w:val="0"/>
              <w:spacing w:before="0" w:after="283"/>
              <w:ind w:left="0" w:right="0" w:hanging="180"/>
              <w:jc w:val="left"/>
              <w:rPr/>
            </w:pPr>
            <w:r>
              <w:rPr/>
              <w:t> </w:t>
            </w:r>
          </w:p>
        </w:tc>
      </w:tr>
      <w:tr>
        <w:trPr/>
        <w:tc>
          <w:tcPr>
            <w:tcW w:w="1839" w:type="dxa"/>
            <w:tcBorders/>
            <w:shd w:fill="FFFFFF" w:val="clear"/>
            <w:vAlign w:val="center"/>
          </w:tcPr>
          <w:p>
            <w:pPr>
              <w:pStyle w:val="TableContents"/>
              <w:bidi w:val="0"/>
              <w:spacing w:before="0" w:after="283"/>
              <w:jc w:val="left"/>
              <w:rPr/>
            </w:pPr>
            <w:r>
              <w:rPr/>
              <w:t>Recoveries</w:t>
            </w:r>
          </w:p>
        </w:tc>
        <w:tc>
          <w:tcPr>
            <w:tcW w:w="60" w:type="dxa"/>
            <w:tcBorders/>
            <w:shd w:fill="FFFFFF" w:val="clear"/>
            <w:vAlign w:val="center"/>
          </w:tcPr>
          <w:p>
            <w:pPr>
              <w:pStyle w:val="TableContents"/>
              <w:bidi w:val="0"/>
              <w:spacing w:before="0" w:after="283"/>
              <w:jc w:val="left"/>
              <w:rPr/>
            </w:pPr>
            <w:r>
              <w:rPr/>
              <w:t> </w:t>
            </w:r>
          </w:p>
        </w:tc>
        <w:tc>
          <w:tcPr>
            <w:tcW w:w="427"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61"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132" w:type="dxa"/>
            <w:tcBorders/>
            <w:shd w:fill="FFFFFF" w:val="clear"/>
            <w:vAlign w:val="center"/>
          </w:tcPr>
          <w:p>
            <w:pPr>
              <w:pStyle w:val="TableContents"/>
              <w:bidi w:val="0"/>
              <w:spacing w:before="0" w:after="283"/>
              <w:jc w:val="left"/>
              <w:rPr/>
            </w:pPr>
            <w:r>
              <w:rPr/>
              <w:t> </w:t>
            </w:r>
          </w:p>
        </w:tc>
        <w:tc>
          <w:tcPr>
            <w:tcW w:w="83" w:type="dxa"/>
            <w:tcBorders/>
            <w:shd w:fill="FFFFFF" w:val="clear"/>
            <w:vAlign w:val="center"/>
          </w:tcPr>
          <w:p>
            <w:pPr>
              <w:pStyle w:val="TableContents"/>
              <w:bidi w:val="0"/>
              <w:spacing w:before="0" w:after="283"/>
              <w:jc w:val="left"/>
              <w:rPr/>
            </w:pPr>
            <w:r>
              <w:rPr/>
              <w:t> </w:t>
            </w:r>
          </w:p>
        </w:tc>
        <w:tc>
          <w:tcPr>
            <w:tcW w:w="52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967"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132" w:type="dxa"/>
            <w:tcBorders/>
            <w:shd w:fill="FFFFFF" w:val="clear"/>
            <w:vAlign w:val="center"/>
          </w:tcPr>
          <w:p>
            <w:pPr>
              <w:pStyle w:val="TableContents"/>
              <w:bidi w:val="0"/>
              <w:spacing w:before="0" w:after="283"/>
              <w:jc w:val="left"/>
              <w:rPr/>
            </w:pPr>
            <w:r>
              <w:rPr/>
              <w:t> </w:t>
            </w:r>
          </w:p>
        </w:tc>
        <w:tc>
          <w:tcPr>
            <w:tcW w:w="83" w:type="dxa"/>
            <w:tcBorders/>
            <w:shd w:fill="FFFFFF" w:val="clear"/>
            <w:vAlign w:val="center"/>
          </w:tcPr>
          <w:p>
            <w:pPr>
              <w:pStyle w:val="TableContents"/>
              <w:bidi w:val="0"/>
              <w:spacing w:before="0" w:after="283"/>
              <w:jc w:val="left"/>
              <w:rPr/>
            </w:pPr>
            <w:r>
              <w:rPr/>
              <w:t> </w:t>
            </w:r>
          </w:p>
        </w:tc>
        <w:tc>
          <w:tcPr>
            <w:tcW w:w="457"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43"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83" w:type="dxa"/>
            <w:tcBorders/>
            <w:shd w:fill="FFFFFF" w:val="clear"/>
            <w:vAlign w:val="center"/>
          </w:tcPr>
          <w:p>
            <w:pPr>
              <w:pStyle w:val="TableContents"/>
              <w:bidi w:val="0"/>
              <w:spacing w:before="0" w:after="283"/>
              <w:jc w:val="left"/>
              <w:rPr/>
            </w:pPr>
            <w:r>
              <w:rPr/>
              <w:t> </w:t>
            </w:r>
          </w:p>
        </w:tc>
        <w:tc>
          <w:tcPr>
            <w:tcW w:w="83" w:type="dxa"/>
            <w:tcBorders/>
            <w:shd w:fill="FFFFFF" w:val="clear"/>
            <w:vAlign w:val="center"/>
          </w:tcPr>
          <w:p>
            <w:pPr>
              <w:pStyle w:val="TableContents"/>
              <w:bidi w:val="0"/>
              <w:spacing w:before="0" w:after="283"/>
              <w:jc w:val="left"/>
              <w:rPr/>
            </w:pPr>
            <w:r>
              <w:rPr/>
              <w:t> </w:t>
            </w:r>
          </w:p>
        </w:tc>
        <w:tc>
          <w:tcPr>
            <w:tcW w:w="68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65"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83" w:type="dxa"/>
            <w:tcBorders/>
            <w:shd w:fill="FFFFFF" w:val="clear"/>
            <w:vAlign w:val="center"/>
          </w:tcPr>
          <w:p>
            <w:pPr>
              <w:pStyle w:val="TableContents"/>
              <w:bidi w:val="0"/>
              <w:spacing w:before="0" w:after="283"/>
              <w:jc w:val="left"/>
              <w:rPr/>
            </w:pPr>
            <w:r>
              <w:rPr/>
              <w:t> </w:t>
            </w:r>
          </w:p>
        </w:tc>
        <w:tc>
          <w:tcPr>
            <w:tcW w:w="83" w:type="dxa"/>
            <w:tcBorders/>
            <w:shd w:fill="FFFFFF" w:val="clear"/>
            <w:vAlign w:val="center"/>
          </w:tcPr>
          <w:p>
            <w:pPr>
              <w:pStyle w:val="TableContents"/>
              <w:bidi w:val="0"/>
              <w:spacing w:before="0" w:after="283"/>
              <w:jc w:val="left"/>
              <w:rPr/>
            </w:pPr>
            <w:r>
              <w:rPr/>
              <w:t> </w:t>
            </w:r>
          </w:p>
        </w:tc>
        <w:tc>
          <w:tcPr>
            <w:tcW w:w="212"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528"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84" w:type="dxa"/>
            <w:tcBorders/>
            <w:shd w:fill="FFFFFF" w:val="clear"/>
            <w:vAlign w:val="center"/>
          </w:tcPr>
          <w:p>
            <w:pPr>
              <w:pStyle w:val="TableContents"/>
              <w:bidi w:val="0"/>
              <w:spacing w:before="0" w:after="283"/>
              <w:jc w:val="left"/>
              <w:rPr/>
            </w:pPr>
            <w:r>
              <w:rPr/>
              <w:t> </w:t>
            </w:r>
          </w:p>
        </w:tc>
      </w:tr>
      <w:tr>
        <w:trPr/>
        <w:tc>
          <w:tcPr>
            <w:tcW w:w="1839" w:type="dxa"/>
            <w:tcBorders/>
            <w:shd w:fill="CCEEFF" w:val="clear"/>
            <w:vAlign w:val="center"/>
          </w:tcPr>
          <w:p>
            <w:pPr>
              <w:pStyle w:val="TableContents"/>
              <w:bidi w:val="0"/>
              <w:spacing w:before="0" w:after="283"/>
              <w:jc w:val="both"/>
              <w:rPr/>
            </w:pPr>
            <w:r>
              <w:rPr/>
              <w:t>Total</w:t>
            </w:r>
          </w:p>
        </w:tc>
        <w:tc>
          <w:tcPr>
            <w:tcW w:w="60" w:type="dxa"/>
            <w:tcBorders/>
            <w:shd w:fill="CCEEFF" w:val="clear"/>
            <w:vAlign w:val="center"/>
          </w:tcPr>
          <w:p>
            <w:pPr>
              <w:pStyle w:val="TableContents"/>
              <w:bidi w:val="0"/>
              <w:spacing w:before="0" w:after="283"/>
              <w:jc w:val="left"/>
              <w:rPr/>
            </w:pPr>
            <w:r>
              <w:rPr/>
              <w:t> </w:t>
            </w:r>
          </w:p>
        </w:tc>
        <w:tc>
          <w:tcPr>
            <w:tcW w:w="427"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161" w:type="dxa"/>
            <w:tcBorders>
              <w:bottom w:val="double" w:sz="10" w:space="0" w:color="000000"/>
            </w:tcBorders>
            <w:shd w:fill="CCEEFF" w:val="clear"/>
            <w:tcMar>
              <w:bottom w:w="28" w:type="dxa"/>
            </w:tcMar>
            <w:vAlign w:val="center"/>
          </w:tcPr>
          <w:p>
            <w:pPr>
              <w:pStyle w:val="TableContents"/>
              <w:bidi w:val="0"/>
              <w:spacing w:before="0" w:after="283"/>
              <w:jc w:val="right"/>
              <w:rPr/>
            </w:pPr>
            <w:r>
              <w:rPr/>
              <w:t>137</w:t>
            </w:r>
          </w:p>
        </w:tc>
        <w:tc>
          <w:tcPr>
            <w:tcW w:w="132" w:type="dxa"/>
            <w:tcBorders/>
            <w:shd w:fill="CCEEFF" w:val="clear"/>
            <w:vAlign w:val="center"/>
          </w:tcPr>
          <w:p>
            <w:pPr>
              <w:pStyle w:val="TableContents"/>
              <w:bidi w:val="0"/>
              <w:spacing w:before="0" w:after="283"/>
              <w:jc w:val="left"/>
              <w:rPr/>
            </w:pPr>
            <w:r>
              <w:rPr/>
              <w:t>)</w:t>
            </w:r>
          </w:p>
        </w:tc>
        <w:tc>
          <w:tcPr>
            <w:tcW w:w="83" w:type="dxa"/>
            <w:tcBorders/>
            <w:shd w:fill="CCEEFF" w:val="clear"/>
            <w:vAlign w:val="center"/>
          </w:tcPr>
          <w:p>
            <w:pPr>
              <w:pStyle w:val="TableContents"/>
              <w:bidi w:val="0"/>
              <w:spacing w:before="0" w:after="283"/>
              <w:jc w:val="left"/>
              <w:rPr/>
            </w:pPr>
            <w:r>
              <w:rPr/>
              <w:t> </w:t>
            </w:r>
          </w:p>
        </w:tc>
        <w:tc>
          <w:tcPr>
            <w:tcW w:w="520"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967" w:type="dxa"/>
            <w:tcBorders>
              <w:bottom w:val="double" w:sz="10" w:space="0" w:color="000000"/>
            </w:tcBorders>
            <w:shd w:fill="CCEEFF" w:val="clear"/>
            <w:tcMar>
              <w:bottom w:w="28" w:type="dxa"/>
            </w:tcMar>
            <w:vAlign w:val="center"/>
          </w:tcPr>
          <w:p>
            <w:pPr>
              <w:pStyle w:val="TableContents"/>
              <w:bidi w:val="0"/>
              <w:spacing w:before="0" w:after="283"/>
              <w:jc w:val="right"/>
              <w:rPr/>
            </w:pPr>
            <w:r>
              <w:rPr/>
              <w:t>4</w:t>
            </w:r>
          </w:p>
        </w:tc>
        <w:tc>
          <w:tcPr>
            <w:tcW w:w="132" w:type="dxa"/>
            <w:tcBorders/>
            <w:shd w:fill="CCEEFF" w:val="clear"/>
            <w:vAlign w:val="center"/>
          </w:tcPr>
          <w:p>
            <w:pPr>
              <w:pStyle w:val="TableContents"/>
              <w:bidi w:val="0"/>
              <w:spacing w:before="0" w:after="283"/>
              <w:jc w:val="left"/>
              <w:rPr/>
            </w:pPr>
            <w:r>
              <w:rPr/>
              <w:t> </w:t>
            </w:r>
          </w:p>
        </w:tc>
        <w:tc>
          <w:tcPr>
            <w:tcW w:w="83" w:type="dxa"/>
            <w:tcBorders/>
            <w:shd w:fill="CCEEFF" w:val="clear"/>
            <w:vAlign w:val="center"/>
          </w:tcPr>
          <w:p>
            <w:pPr>
              <w:pStyle w:val="TableContents"/>
              <w:bidi w:val="0"/>
              <w:spacing w:before="0" w:after="283"/>
              <w:jc w:val="left"/>
              <w:rPr/>
            </w:pPr>
            <w:r>
              <w:rPr/>
              <w:t> </w:t>
            </w:r>
          </w:p>
        </w:tc>
        <w:tc>
          <w:tcPr>
            <w:tcW w:w="457"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243" w:type="dxa"/>
            <w:tcBorders>
              <w:bottom w:val="double" w:sz="10" w:space="0" w:color="000000"/>
            </w:tcBorders>
            <w:shd w:fill="CCEEFF" w:val="clear"/>
            <w:tcMar>
              <w:bottom w:w="28" w:type="dxa"/>
            </w:tcMar>
            <w:vAlign w:val="center"/>
          </w:tcPr>
          <w:p>
            <w:pPr>
              <w:pStyle w:val="TableContents"/>
              <w:bidi w:val="0"/>
              <w:spacing w:before="0" w:after="283"/>
              <w:jc w:val="right"/>
              <w:rPr/>
            </w:pPr>
            <w:r>
              <w:rPr/>
              <w:t>138</w:t>
            </w:r>
          </w:p>
        </w:tc>
        <w:tc>
          <w:tcPr>
            <w:tcW w:w="83" w:type="dxa"/>
            <w:tcBorders/>
            <w:shd w:fill="CCEEFF" w:val="clear"/>
            <w:vAlign w:val="center"/>
          </w:tcPr>
          <w:p>
            <w:pPr>
              <w:pStyle w:val="TableContents"/>
              <w:bidi w:val="0"/>
              <w:spacing w:before="0" w:after="283"/>
              <w:jc w:val="left"/>
              <w:rPr/>
            </w:pPr>
            <w:r>
              <w:rPr/>
              <w:t> </w:t>
            </w:r>
          </w:p>
        </w:tc>
        <w:tc>
          <w:tcPr>
            <w:tcW w:w="83" w:type="dxa"/>
            <w:tcBorders/>
            <w:shd w:fill="CCEEFF" w:val="clear"/>
            <w:vAlign w:val="center"/>
          </w:tcPr>
          <w:p>
            <w:pPr>
              <w:pStyle w:val="TableContents"/>
              <w:bidi w:val="0"/>
              <w:spacing w:before="0" w:after="283"/>
              <w:jc w:val="left"/>
              <w:rPr/>
            </w:pPr>
            <w:r>
              <w:rPr/>
              <w:t> </w:t>
            </w:r>
          </w:p>
        </w:tc>
        <w:tc>
          <w:tcPr>
            <w:tcW w:w="680"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265" w:type="dxa"/>
            <w:tcBorders>
              <w:bottom w:val="double" w:sz="10" w:space="0" w:color="000000"/>
            </w:tcBorders>
            <w:shd w:fill="CCEEFF" w:val="clear"/>
            <w:tcMar>
              <w:bottom w:w="28" w:type="dxa"/>
            </w:tcMar>
            <w:vAlign w:val="center"/>
          </w:tcPr>
          <w:p>
            <w:pPr>
              <w:pStyle w:val="TableContents"/>
              <w:bidi w:val="0"/>
              <w:spacing w:before="0" w:after="283"/>
              <w:jc w:val="right"/>
              <w:rPr/>
            </w:pPr>
            <w:r>
              <w:rPr/>
              <w:t>26</w:t>
            </w:r>
          </w:p>
        </w:tc>
        <w:tc>
          <w:tcPr>
            <w:tcW w:w="83" w:type="dxa"/>
            <w:tcBorders/>
            <w:shd w:fill="CCEEFF" w:val="clear"/>
            <w:vAlign w:val="center"/>
          </w:tcPr>
          <w:p>
            <w:pPr>
              <w:pStyle w:val="TableContents"/>
              <w:bidi w:val="0"/>
              <w:spacing w:before="0" w:after="283"/>
              <w:jc w:val="left"/>
              <w:rPr/>
            </w:pPr>
            <w:r>
              <w:rPr/>
              <w:t> </w:t>
            </w:r>
          </w:p>
        </w:tc>
        <w:tc>
          <w:tcPr>
            <w:tcW w:w="83" w:type="dxa"/>
            <w:tcBorders/>
            <w:shd w:fill="CCEEFF" w:val="clear"/>
            <w:vAlign w:val="center"/>
          </w:tcPr>
          <w:p>
            <w:pPr>
              <w:pStyle w:val="TableContents"/>
              <w:bidi w:val="0"/>
              <w:spacing w:before="0" w:after="283"/>
              <w:jc w:val="left"/>
              <w:rPr/>
            </w:pPr>
            <w:r>
              <w:rPr/>
              <w:t> </w:t>
            </w:r>
          </w:p>
        </w:tc>
        <w:tc>
          <w:tcPr>
            <w:tcW w:w="212"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528" w:type="dxa"/>
            <w:tcBorders>
              <w:bottom w:val="double" w:sz="10" w:space="0" w:color="000000"/>
            </w:tcBorders>
            <w:shd w:fill="CCEEFF" w:val="clear"/>
            <w:tcMar>
              <w:bottom w:w="28" w:type="dxa"/>
            </w:tcMar>
            <w:vAlign w:val="center"/>
          </w:tcPr>
          <w:p>
            <w:pPr>
              <w:pStyle w:val="TableContents"/>
              <w:bidi w:val="0"/>
              <w:spacing w:before="0" w:after="283"/>
              <w:jc w:val="right"/>
              <w:rPr/>
            </w:pPr>
            <w:r>
              <w:rPr/>
              <w:t>305</w:t>
            </w:r>
          </w:p>
        </w:tc>
        <w:tc>
          <w:tcPr>
            <w:tcW w:w="84"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5</w:t>
      </w:r>
      <w:r>
        <w:rPr>
          <w:rFonts w:ascii="Times New Roman;Times;Serif" w:hAnsi="Times New Roman;Times;Serif"/>
          <w:b/>
          <w:i/>
          <w:caps w:val="false"/>
          <w:smallCaps w:val="false"/>
          <w:sz w:val="20"/>
        </w:rPr>
        <w:t>. PREPAID EXPENSES AND OTHER CURRENT ASSETS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Amounts comprising prepaid expenses and other current assets are as follows</w:t>
      </w:r>
      <w:r>
        <w:rPr>
          <w:rFonts w:ascii="Times New Roman;Times;Serif" w:hAnsi="Times New Roman;Times;Serif"/>
          <w:b w:val="false"/>
          <w:i/>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tbl>
      <w:tblPr>
        <w:tblW w:w="6480" w:type="dxa"/>
        <w:jc w:val="left"/>
        <w:tblInd w:w="0" w:type="dxa"/>
        <w:tblLayout w:type="fixed"/>
        <w:tblCellMar>
          <w:top w:w="0" w:type="dxa"/>
          <w:left w:w="0" w:type="dxa"/>
          <w:bottom w:w="0" w:type="dxa"/>
          <w:right w:w="0" w:type="dxa"/>
        </w:tblCellMar>
      </w:tblPr>
      <w:tblGrid>
        <w:gridCol w:w="3935"/>
        <w:gridCol w:w="60"/>
        <w:gridCol w:w="175"/>
        <w:gridCol w:w="700"/>
        <w:gridCol w:w="60"/>
        <w:gridCol w:w="60"/>
        <w:gridCol w:w="241"/>
        <w:gridCol w:w="1174"/>
        <w:gridCol w:w="75"/>
      </w:tblGrid>
      <w:tr>
        <w:trPr/>
        <w:tc>
          <w:tcPr>
            <w:tcW w:w="3935"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p>
        </w:tc>
        <w:tc>
          <w:tcPr>
            <w:tcW w:w="2410"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As of</w:t>
            </w:r>
          </w:p>
        </w:tc>
        <w:tc>
          <w:tcPr>
            <w:tcW w:w="75" w:type="dxa"/>
            <w:tcBorders/>
            <w:vAlign w:val="center"/>
          </w:tcPr>
          <w:p>
            <w:pPr>
              <w:pStyle w:val="TableContents"/>
              <w:bidi w:val="0"/>
              <w:spacing w:before="0" w:after="283"/>
              <w:jc w:val="left"/>
              <w:rPr/>
            </w:pPr>
            <w:r>
              <w:rPr/>
              <w:t> </w:t>
            </w:r>
          </w:p>
        </w:tc>
      </w:tr>
      <w:tr>
        <w:trPr/>
        <w:tc>
          <w:tcPr>
            <w:tcW w:w="3935"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p>
        </w:tc>
        <w:tc>
          <w:tcPr>
            <w:tcW w:w="87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June 30,</w:t>
              <w:br/>
              <w:t>2025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1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December 31,</w:t>
              <w:br/>
              <w:t>2024</w:t>
            </w:r>
          </w:p>
        </w:tc>
        <w:tc>
          <w:tcPr>
            <w:tcW w:w="75" w:type="dxa"/>
            <w:tcBorders/>
            <w:vAlign w:val="center"/>
          </w:tcPr>
          <w:p>
            <w:pPr>
              <w:pStyle w:val="TableContents"/>
              <w:bidi w:val="0"/>
              <w:spacing w:before="0" w:after="283"/>
              <w:jc w:val="left"/>
              <w:rPr/>
            </w:pPr>
            <w:r>
              <w:rPr/>
              <w:t> </w:t>
            </w:r>
          </w:p>
        </w:tc>
      </w:tr>
      <w:tr>
        <w:trPr/>
        <w:tc>
          <w:tcPr>
            <w:tcW w:w="3935" w:type="dxa"/>
            <w:tcBorders/>
            <w:shd w:fill="CCEEFF" w:val="clear"/>
            <w:vAlign w:val="center"/>
          </w:tcPr>
          <w:p>
            <w:pPr>
              <w:pStyle w:val="TableContents"/>
              <w:bidi w:val="0"/>
              <w:spacing w:before="0" w:after="283"/>
              <w:jc w:val="both"/>
              <w:rPr/>
            </w:pPr>
            <w:r>
              <w:rPr/>
              <w:t>Deferred commissions</w:t>
            </w:r>
          </w:p>
        </w:tc>
        <w:tc>
          <w:tcPr>
            <w:tcW w:w="60" w:type="dxa"/>
            <w:tcBorders/>
            <w:shd w:fill="CCEEFF" w:val="clear"/>
            <w:vAlign w:val="center"/>
          </w:tcPr>
          <w:p>
            <w:pPr>
              <w:pStyle w:val="TableContents"/>
              <w:bidi w:val="0"/>
              <w:spacing w:before="0" w:after="283"/>
              <w:jc w:val="left"/>
              <w:rPr/>
            </w:pPr>
            <w:r>
              <w:rPr/>
              <w:t> </w:t>
            </w:r>
          </w:p>
        </w:tc>
        <w:tc>
          <w:tcPr>
            <w:tcW w:w="175" w:type="dxa"/>
            <w:tcBorders/>
            <w:shd w:fill="CCEEFF" w:val="clear"/>
            <w:vAlign w:val="center"/>
          </w:tcPr>
          <w:p>
            <w:pPr>
              <w:pStyle w:val="TableContents"/>
              <w:bidi w:val="0"/>
              <w:spacing w:before="0" w:after="283"/>
              <w:jc w:val="left"/>
              <w:rPr/>
            </w:pPr>
            <w:r>
              <w:rPr/>
              <w:t>$</w:t>
            </w:r>
          </w:p>
        </w:tc>
        <w:tc>
          <w:tcPr>
            <w:tcW w:w="700" w:type="dxa"/>
            <w:tcBorders/>
            <w:shd w:fill="CCEEFF" w:val="clear"/>
            <w:vAlign w:val="center"/>
          </w:tcPr>
          <w:p>
            <w:pPr>
              <w:pStyle w:val="TableContents"/>
              <w:bidi w:val="0"/>
              <w:spacing w:before="0" w:after="283"/>
              <w:jc w:val="right"/>
              <w:rPr/>
            </w:pPr>
            <w:r>
              <w:rPr/>
              <w:t>9,609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1" w:type="dxa"/>
            <w:tcBorders/>
            <w:shd w:fill="CCEEFF" w:val="clear"/>
            <w:vAlign w:val="center"/>
          </w:tcPr>
          <w:p>
            <w:pPr>
              <w:pStyle w:val="TableContents"/>
              <w:bidi w:val="0"/>
              <w:spacing w:before="0" w:after="283"/>
              <w:jc w:val="left"/>
              <w:rPr/>
            </w:pPr>
            <w:r>
              <w:rPr/>
              <w:t>$</w:t>
            </w:r>
          </w:p>
        </w:tc>
        <w:tc>
          <w:tcPr>
            <w:tcW w:w="1174" w:type="dxa"/>
            <w:tcBorders/>
            <w:shd w:fill="CCEEFF" w:val="clear"/>
            <w:vAlign w:val="center"/>
          </w:tcPr>
          <w:p>
            <w:pPr>
              <w:pStyle w:val="TableContents"/>
              <w:bidi w:val="0"/>
              <w:spacing w:before="0" w:after="283"/>
              <w:jc w:val="right"/>
              <w:rPr/>
            </w:pPr>
            <w:r>
              <w:rPr/>
              <w:t>12,840</w:t>
            </w:r>
          </w:p>
        </w:tc>
        <w:tc>
          <w:tcPr>
            <w:tcW w:w="75" w:type="dxa"/>
            <w:tcBorders/>
            <w:shd w:fill="CCEEFF" w:val="clear"/>
            <w:vAlign w:val="center"/>
          </w:tcPr>
          <w:p>
            <w:pPr>
              <w:pStyle w:val="TableContents"/>
              <w:bidi w:val="0"/>
              <w:spacing w:before="0" w:after="283"/>
              <w:jc w:val="left"/>
              <w:rPr/>
            </w:pPr>
            <w:r>
              <w:rPr/>
              <w:t> </w:t>
            </w:r>
          </w:p>
        </w:tc>
      </w:tr>
      <w:tr>
        <w:trPr/>
        <w:tc>
          <w:tcPr>
            <w:tcW w:w="3935" w:type="dxa"/>
            <w:tcBorders/>
            <w:shd w:fill="FFFFFF" w:val="clear"/>
            <w:vAlign w:val="center"/>
          </w:tcPr>
          <w:p>
            <w:pPr>
              <w:pStyle w:val="TableContents"/>
              <w:bidi w:val="0"/>
              <w:spacing w:before="0" w:after="283"/>
              <w:jc w:val="both"/>
              <w:rPr/>
            </w:pPr>
            <w:r>
              <w:rPr/>
              <w:t>Bonus install commitment</w:t>
            </w:r>
          </w:p>
        </w:tc>
        <w:tc>
          <w:tcPr>
            <w:tcW w:w="60" w:type="dxa"/>
            <w:tcBorders/>
            <w:shd w:fill="FFFFFF" w:val="clear"/>
            <w:vAlign w:val="center"/>
          </w:tcPr>
          <w:p>
            <w:pPr>
              <w:pStyle w:val="TableContents"/>
              <w:bidi w:val="0"/>
              <w:spacing w:before="0" w:after="283"/>
              <w:jc w:val="left"/>
              <w:rPr/>
            </w:pPr>
            <w:r>
              <w:rPr/>
              <w:t> </w:t>
            </w:r>
          </w:p>
        </w:tc>
        <w:tc>
          <w:tcPr>
            <w:tcW w:w="175" w:type="dxa"/>
            <w:tcBorders/>
            <w:shd w:fill="FFFFFF" w:val="clear"/>
            <w:vAlign w:val="center"/>
          </w:tcPr>
          <w:p>
            <w:pPr>
              <w:pStyle w:val="TableContents"/>
              <w:bidi w:val="0"/>
              <w:spacing w:before="0" w:after="283"/>
              <w:jc w:val="left"/>
              <w:rPr/>
            </w:pPr>
            <w:r>
              <w:rPr/>
              <w:t> </w:t>
            </w:r>
          </w:p>
        </w:tc>
        <w:tc>
          <w:tcPr>
            <w:tcW w:w="700" w:type="dxa"/>
            <w:tcBorders/>
            <w:shd w:fill="FFFFFF" w:val="clear"/>
            <w:vAlign w:val="center"/>
          </w:tcPr>
          <w:p>
            <w:pPr>
              <w:pStyle w:val="TableContents"/>
              <w:bidi w:val="0"/>
              <w:spacing w:before="0" w:after="283"/>
              <w:jc w:val="right"/>
              <w:rPr/>
            </w:pPr>
            <w:r>
              <w:rPr/>
              <w:t>208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41" w:type="dxa"/>
            <w:tcBorders/>
            <w:shd w:fill="FFFFFF" w:val="clear"/>
            <w:vAlign w:val="center"/>
          </w:tcPr>
          <w:p>
            <w:pPr>
              <w:pStyle w:val="TableContents"/>
              <w:bidi w:val="0"/>
              <w:spacing w:before="0" w:after="283"/>
              <w:jc w:val="left"/>
              <w:rPr/>
            </w:pPr>
            <w:r>
              <w:rPr/>
              <w:t> </w:t>
            </w:r>
          </w:p>
        </w:tc>
        <w:tc>
          <w:tcPr>
            <w:tcW w:w="1174" w:type="dxa"/>
            <w:tcBorders/>
            <w:shd w:fill="FFFFFF" w:val="clear"/>
            <w:vAlign w:val="center"/>
          </w:tcPr>
          <w:p>
            <w:pPr>
              <w:pStyle w:val="TableContents"/>
              <w:bidi w:val="0"/>
              <w:spacing w:before="0" w:after="283"/>
              <w:jc w:val="right"/>
              <w:rPr/>
            </w:pPr>
            <w:r>
              <w:rPr/>
              <w:t>435</w:t>
            </w:r>
          </w:p>
        </w:tc>
        <w:tc>
          <w:tcPr>
            <w:tcW w:w="75" w:type="dxa"/>
            <w:tcBorders/>
            <w:shd w:fill="FFFFFF" w:val="clear"/>
            <w:vAlign w:val="center"/>
          </w:tcPr>
          <w:p>
            <w:pPr>
              <w:pStyle w:val="TableContents"/>
              <w:bidi w:val="0"/>
              <w:spacing w:before="0" w:after="283"/>
              <w:jc w:val="left"/>
              <w:rPr/>
            </w:pPr>
            <w:r>
              <w:rPr/>
              <w:t> </w:t>
            </w:r>
          </w:p>
        </w:tc>
      </w:tr>
      <w:tr>
        <w:trPr/>
        <w:tc>
          <w:tcPr>
            <w:tcW w:w="3935" w:type="dxa"/>
            <w:tcBorders/>
            <w:shd w:fill="CCEEFF" w:val="clear"/>
            <w:vAlign w:val="center"/>
          </w:tcPr>
          <w:p>
            <w:pPr>
              <w:pStyle w:val="TableContents"/>
              <w:bidi w:val="0"/>
              <w:spacing w:before="0" w:after="283"/>
              <w:jc w:val="both"/>
              <w:rPr/>
            </w:pPr>
            <w:r>
              <w:rPr/>
              <w:t>Other</w:t>
            </w:r>
          </w:p>
        </w:tc>
        <w:tc>
          <w:tcPr>
            <w:tcW w:w="60" w:type="dxa"/>
            <w:tcBorders/>
            <w:shd w:fill="CCEEFF" w:val="clear"/>
            <w:vAlign w:val="center"/>
          </w:tcPr>
          <w:p>
            <w:pPr>
              <w:pStyle w:val="TableContents"/>
              <w:bidi w:val="0"/>
              <w:spacing w:before="0" w:after="283"/>
              <w:jc w:val="left"/>
              <w:rPr/>
            </w:pPr>
            <w:r>
              <w:rPr/>
              <w:t> </w:t>
            </w:r>
          </w:p>
        </w:tc>
        <w:tc>
          <w:tcPr>
            <w:tcW w:w="175"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700" w:type="dxa"/>
            <w:tcBorders>
              <w:bottom w:val="single" w:sz="12" w:space="0" w:color="000000"/>
            </w:tcBorders>
            <w:shd w:fill="CCEEFF" w:val="clear"/>
            <w:tcMar>
              <w:bottom w:w="28" w:type="dxa"/>
            </w:tcMar>
            <w:vAlign w:val="center"/>
          </w:tcPr>
          <w:p>
            <w:pPr>
              <w:pStyle w:val="TableContents"/>
              <w:bidi w:val="0"/>
              <w:spacing w:before="0" w:after="283"/>
              <w:jc w:val="right"/>
              <w:rPr/>
            </w:pPr>
            <w:r>
              <w:rPr/>
              <w:t>13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1"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74" w:type="dxa"/>
            <w:tcBorders>
              <w:bottom w:val="single" w:sz="12" w:space="0" w:color="000000"/>
            </w:tcBorders>
            <w:shd w:fill="CCEEFF" w:val="clear"/>
            <w:tcMar>
              <w:bottom w:w="28" w:type="dxa"/>
            </w:tcMar>
            <w:vAlign w:val="center"/>
          </w:tcPr>
          <w:p>
            <w:pPr>
              <w:pStyle w:val="TableContents"/>
              <w:bidi w:val="0"/>
              <w:spacing w:before="0" w:after="283"/>
              <w:jc w:val="right"/>
              <w:rPr/>
            </w:pPr>
            <w:r>
              <w:rPr/>
              <w:t>233</w:t>
            </w:r>
          </w:p>
        </w:tc>
        <w:tc>
          <w:tcPr>
            <w:tcW w:w="75" w:type="dxa"/>
            <w:tcBorders/>
            <w:shd w:fill="CCEEFF" w:val="clear"/>
            <w:vAlign w:val="center"/>
          </w:tcPr>
          <w:p>
            <w:pPr>
              <w:pStyle w:val="TableContents"/>
              <w:bidi w:val="0"/>
              <w:spacing w:before="0" w:after="283"/>
              <w:jc w:val="left"/>
              <w:rPr/>
            </w:pPr>
            <w:r>
              <w:rPr/>
              <w:t> </w:t>
            </w:r>
          </w:p>
        </w:tc>
      </w:tr>
      <w:tr>
        <w:trPr/>
        <w:tc>
          <w:tcPr>
            <w:tcW w:w="3935" w:type="dxa"/>
            <w:tcBorders/>
            <w:shd w:fill="FFFFFF" w:val="clear"/>
            <w:vAlign w:val="center"/>
          </w:tcPr>
          <w:p>
            <w:pPr>
              <w:pStyle w:val="TableContents"/>
              <w:bidi w:val="0"/>
              <w:spacing w:before="0" w:after="283"/>
              <w:jc w:val="both"/>
              <w:rPr/>
            </w:pPr>
            <w:r>
              <w:rPr/>
              <w:t>Prepaid expenses and other current assets</w:t>
            </w:r>
          </w:p>
        </w:tc>
        <w:tc>
          <w:tcPr>
            <w:tcW w:w="60" w:type="dxa"/>
            <w:tcBorders/>
            <w:shd w:fill="FFFFFF" w:val="clear"/>
            <w:vAlign w:val="center"/>
          </w:tcPr>
          <w:p>
            <w:pPr>
              <w:pStyle w:val="TableContents"/>
              <w:bidi w:val="0"/>
              <w:spacing w:before="0" w:after="283"/>
              <w:jc w:val="left"/>
              <w:rPr/>
            </w:pPr>
            <w:r>
              <w:rPr/>
              <w:t> </w:t>
            </w:r>
          </w:p>
        </w:tc>
        <w:tc>
          <w:tcPr>
            <w:tcW w:w="175" w:type="dxa"/>
            <w:tcBorders>
              <w:bottom w:val="double" w:sz="10" w:space="0" w:color="000000"/>
            </w:tcBorders>
            <w:shd w:fill="FFFFFF" w:val="clear"/>
            <w:tcMar>
              <w:bottom w:w="28" w:type="dxa"/>
            </w:tcMar>
            <w:vAlign w:val="center"/>
          </w:tcPr>
          <w:p>
            <w:pPr>
              <w:pStyle w:val="TableContents"/>
              <w:bidi w:val="0"/>
              <w:spacing w:before="0" w:after="283"/>
              <w:jc w:val="left"/>
              <w:rPr/>
            </w:pPr>
            <w:r>
              <w:rPr/>
              <w:t>$</w:t>
            </w:r>
          </w:p>
        </w:tc>
        <w:tc>
          <w:tcPr>
            <w:tcW w:w="700" w:type="dxa"/>
            <w:tcBorders>
              <w:bottom w:val="double" w:sz="10" w:space="0" w:color="000000"/>
            </w:tcBorders>
            <w:shd w:fill="FFFFFF" w:val="clear"/>
            <w:tcMar>
              <w:bottom w:w="28" w:type="dxa"/>
            </w:tcMar>
            <w:vAlign w:val="center"/>
          </w:tcPr>
          <w:p>
            <w:pPr>
              <w:pStyle w:val="TableContents"/>
              <w:bidi w:val="0"/>
              <w:spacing w:before="0" w:after="283"/>
              <w:jc w:val="right"/>
              <w:rPr/>
            </w:pPr>
            <w:r>
              <w:rPr/>
              <w:t>9,830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41" w:type="dxa"/>
            <w:tcBorders>
              <w:bottom w:val="double" w:sz="10" w:space="0" w:color="000000"/>
            </w:tcBorders>
            <w:shd w:fill="FFFFFF" w:val="clear"/>
            <w:tcMar>
              <w:bottom w:w="28" w:type="dxa"/>
            </w:tcMar>
            <w:vAlign w:val="center"/>
          </w:tcPr>
          <w:p>
            <w:pPr>
              <w:pStyle w:val="TableContents"/>
              <w:bidi w:val="0"/>
              <w:spacing w:before="0" w:after="283"/>
              <w:jc w:val="left"/>
              <w:rPr/>
            </w:pPr>
            <w:r>
              <w:rPr/>
              <w:t>$</w:t>
            </w:r>
          </w:p>
        </w:tc>
        <w:tc>
          <w:tcPr>
            <w:tcW w:w="1174" w:type="dxa"/>
            <w:tcBorders>
              <w:bottom w:val="double" w:sz="10" w:space="0" w:color="000000"/>
            </w:tcBorders>
            <w:shd w:fill="FFFFFF" w:val="clear"/>
            <w:tcMar>
              <w:bottom w:w="28" w:type="dxa"/>
            </w:tcMar>
            <w:vAlign w:val="center"/>
          </w:tcPr>
          <w:p>
            <w:pPr>
              <w:pStyle w:val="TableContents"/>
              <w:bidi w:val="0"/>
              <w:spacing w:before="0" w:after="283"/>
              <w:jc w:val="right"/>
              <w:rPr/>
            </w:pPr>
            <w:r>
              <w:rPr/>
              <w:t>13,508</w:t>
            </w:r>
          </w:p>
        </w:tc>
        <w:tc>
          <w:tcPr>
            <w:tcW w:w="75"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recognized $10,527 of commission expense in the six months ended June 30, 2025, that was included in the deferred commission balance at the beginning of the period.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sz w:val="20"/>
          <w:bdr w:val="single" w:sz="12" w:space="1" w:color="000000"/>
        </w:rPr>
      </w:pPr>
      <w:r>
        <w:rPr>
          <w:sz w:val="20"/>
          <w:bdr w:val="single" w:sz="12" w:space="1" w:color="000000"/>
        </w:rPr>
        <w:t>F-141</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6</w:t>
      </w:r>
      <w:r>
        <w:rPr>
          <w:rFonts w:ascii="Times New Roman;Times;Serif" w:hAnsi="Times New Roman;Times;Serif"/>
          <w:b/>
          <w:i/>
          <w:caps w:val="false"/>
          <w:smallCaps w:val="false"/>
          <w:sz w:val="20"/>
        </w:rPr>
        <w:t>. PROPERTY AND EQUIPMENT, NET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Property and equipment consists of the following:</w:t>
      </w:r>
    </w:p>
    <w:p>
      <w:pPr>
        <w:pStyle w:val="TextBody"/>
        <w:bidi w:val="0"/>
        <w:spacing w:before="0" w:after="0"/>
        <w:ind w:left="0" w:right="0" w:hanging="0"/>
        <w:jc w:val="both"/>
        <w:rPr>
          <w:caps w:val="false"/>
          <w:smallCaps w:val="false"/>
        </w:rPr>
      </w:pPr>
      <w:r>
        <w:rPr>
          <w:caps w:val="false"/>
          <w:smallCaps w:val="false"/>
        </w:rPr>
        <w:t> </w:t>
      </w:r>
    </w:p>
    <w:tbl>
      <w:tblPr>
        <w:tblW w:w="7238" w:type="dxa"/>
        <w:jc w:val="left"/>
        <w:tblInd w:w="0" w:type="dxa"/>
        <w:tblLayout w:type="fixed"/>
        <w:tblCellMar>
          <w:top w:w="0" w:type="dxa"/>
          <w:left w:w="0" w:type="dxa"/>
          <w:bottom w:w="0" w:type="dxa"/>
          <w:right w:w="0" w:type="dxa"/>
        </w:tblCellMar>
      </w:tblPr>
      <w:tblGrid>
        <w:gridCol w:w="4625"/>
        <w:gridCol w:w="60"/>
        <w:gridCol w:w="205"/>
        <w:gridCol w:w="669"/>
        <w:gridCol w:w="95"/>
        <w:gridCol w:w="60"/>
        <w:gridCol w:w="332"/>
        <w:gridCol w:w="1082"/>
        <w:gridCol w:w="110"/>
      </w:tblGrid>
      <w:tr>
        <w:trPr/>
        <w:tc>
          <w:tcPr>
            <w:tcW w:w="4625"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p>
        </w:tc>
        <w:tc>
          <w:tcPr>
            <w:tcW w:w="2443"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As of</w:t>
            </w:r>
          </w:p>
        </w:tc>
        <w:tc>
          <w:tcPr>
            <w:tcW w:w="110" w:type="dxa"/>
            <w:tcBorders/>
            <w:vAlign w:val="center"/>
          </w:tcPr>
          <w:p>
            <w:pPr>
              <w:pStyle w:val="TableContents"/>
              <w:bidi w:val="0"/>
              <w:spacing w:before="0" w:after="283"/>
              <w:jc w:val="left"/>
              <w:rPr/>
            </w:pPr>
            <w:r>
              <w:rPr/>
              <w:t> </w:t>
            </w:r>
          </w:p>
        </w:tc>
      </w:tr>
      <w:tr>
        <w:trPr/>
        <w:tc>
          <w:tcPr>
            <w:tcW w:w="4625"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p>
        </w:tc>
        <w:tc>
          <w:tcPr>
            <w:tcW w:w="874" w:type="dxa"/>
            <w:gridSpan w:val="2"/>
            <w:tcBorders/>
            <w:vAlign w:val="center"/>
          </w:tcPr>
          <w:p>
            <w:pPr>
              <w:pStyle w:val="TableContents"/>
              <w:bidi w:val="0"/>
              <w:spacing w:before="0" w:after="283"/>
              <w:jc w:val="center"/>
              <w:rPr>
                <w:b/>
              </w:rPr>
            </w:pPr>
            <w:r>
              <w:rPr>
                <w:b/>
              </w:rPr>
              <w:t>June 30,</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14" w:type="dxa"/>
            <w:gridSpan w:val="2"/>
            <w:tcBorders/>
            <w:vAlign w:val="center"/>
          </w:tcPr>
          <w:p>
            <w:pPr>
              <w:pStyle w:val="TableContents"/>
              <w:bidi w:val="0"/>
              <w:spacing w:before="0" w:after="283"/>
              <w:jc w:val="center"/>
              <w:rPr>
                <w:b/>
              </w:rPr>
            </w:pPr>
            <w:r>
              <w:rPr>
                <w:b/>
              </w:rPr>
              <w:t>December 31,</w:t>
            </w:r>
          </w:p>
        </w:tc>
        <w:tc>
          <w:tcPr>
            <w:tcW w:w="110" w:type="dxa"/>
            <w:tcBorders/>
            <w:vAlign w:val="center"/>
          </w:tcPr>
          <w:p>
            <w:pPr>
              <w:pStyle w:val="TableContents"/>
              <w:bidi w:val="0"/>
              <w:spacing w:before="0" w:after="283"/>
              <w:jc w:val="left"/>
              <w:rPr/>
            </w:pPr>
            <w:r>
              <w:rPr/>
              <w:t> </w:t>
            </w:r>
          </w:p>
        </w:tc>
      </w:tr>
      <w:tr>
        <w:trPr/>
        <w:tc>
          <w:tcPr>
            <w:tcW w:w="4625"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p>
        </w:tc>
        <w:tc>
          <w:tcPr>
            <w:tcW w:w="874"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2025</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14"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2024</w:t>
            </w:r>
          </w:p>
        </w:tc>
        <w:tc>
          <w:tcPr>
            <w:tcW w:w="110" w:type="dxa"/>
            <w:tcBorders/>
            <w:vAlign w:val="center"/>
          </w:tcPr>
          <w:p>
            <w:pPr>
              <w:pStyle w:val="TableContents"/>
              <w:bidi w:val="0"/>
              <w:spacing w:before="0" w:after="283"/>
              <w:jc w:val="left"/>
              <w:rPr/>
            </w:pPr>
            <w:r>
              <w:rPr/>
              <w:t> </w:t>
            </w:r>
          </w:p>
        </w:tc>
      </w:tr>
      <w:tr>
        <w:trPr/>
        <w:tc>
          <w:tcPr>
            <w:tcW w:w="4625" w:type="dxa"/>
            <w:tcBorders/>
            <w:shd w:fill="CCEEFF" w:val="clear"/>
            <w:vAlign w:val="center"/>
          </w:tcPr>
          <w:p>
            <w:pPr>
              <w:pStyle w:val="TableContents"/>
              <w:bidi w:val="0"/>
              <w:spacing w:before="0" w:after="283"/>
              <w:jc w:val="both"/>
              <w:rPr/>
            </w:pPr>
            <w:r>
              <w:rPr/>
              <w:t>Leasehold improvements</w:t>
            </w:r>
          </w:p>
        </w:tc>
        <w:tc>
          <w:tcPr>
            <w:tcW w:w="60" w:type="dxa"/>
            <w:tcBorders/>
            <w:shd w:fill="CCEEFF" w:val="clear"/>
            <w:vAlign w:val="center"/>
          </w:tcPr>
          <w:p>
            <w:pPr>
              <w:pStyle w:val="TableContents"/>
              <w:bidi w:val="0"/>
              <w:spacing w:before="0" w:after="283"/>
              <w:jc w:val="left"/>
              <w:rPr/>
            </w:pPr>
            <w:r>
              <w:rPr/>
              <w:t> </w:t>
            </w:r>
          </w:p>
        </w:tc>
        <w:tc>
          <w:tcPr>
            <w:tcW w:w="205" w:type="dxa"/>
            <w:tcBorders/>
            <w:shd w:fill="CCEEFF" w:val="clear"/>
            <w:vAlign w:val="center"/>
          </w:tcPr>
          <w:p>
            <w:pPr>
              <w:pStyle w:val="TableContents"/>
              <w:bidi w:val="0"/>
              <w:spacing w:before="0" w:after="283"/>
              <w:jc w:val="left"/>
              <w:rPr/>
            </w:pPr>
            <w:r>
              <w:rPr/>
              <w:t>$</w:t>
            </w:r>
          </w:p>
        </w:tc>
        <w:tc>
          <w:tcPr>
            <w:tcW w:w="669" w:type="dxa"/>
            <w:tcBorders/>
            <w:shd w:fill="CCEEFF" w:val="clear"/>
            <w:vAlign w:val="center"/>
          </w:tcPr>
          <w:p>
            <w:pPr>
              <w:pStyle w:val="TableContents"/>
              <w:bidi w:val="0"/>
              <w:spacing w:before="0" w:after="283"/>
              <w:jc w:val="right"/>
              <w:rPr/>
            </w:pPr>
            <w:r>
              <w:rPr/>
              <w:t>202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32" w:type="dxa"/>
            <w:tcBorders/>
            <w:shd w:fill="CCEEFF" w:val="clear"/>
            <w:vAlign w:val="center"/>
          </w:tcPr>
          <w:p>
            <w:pPr>
              <w:pStyle w:val="TableContents"/>
              <w:bidi w:val="0"/>
              <w:spacing w:before="0" w:after="283"/>
              <w:jc w:val="left"/>
              <w:rPr/>
            </w:pPr>
            <w:r>
              <w:rPr/>
              <w:t>$</w:t>
            </w:r>
          </w:p>
        </w:tc>
        <w:tc>
          <w:tcPr>
            <w:tcW w:w="1082" w:type="dxa"/>
            <w:tcBorders/>
            <w:shd w:fill="CCEEFF" w:val="clear"/>
            <w:vAlign w:val="center"/>
          </w:tcPr>
          <w:p>
            <w:pPr>
              <w:pStyle w:val="TableContents"/>
              <w:bidi w:val="0"/>
              <w:spacing w:before="0" w:after="283"/>
              <w:jc w:val="right"/>
              <w:rPr/>
            </w:pPr>
            <w:r>
              <w:rPr/>
              <w:t>202</w:t>
            </w:r>
          </w:p>
        </w:tc>
        <w:tc>
          <w:tcPr>
            <w:tcW w:w="110" w:type="dxa"/>
            <w:tcBorders/>
            <w:shd w:fill="CCEEFF" w:val="clear"/>
            <w:vAlign w:val="center"/>
          </w:tcPr>
          <w:p>
            <w:pPr>
              <w:pStyle w:val="TableContents"/>
              <w:bidi w:val="0"/>
              <w:spacing w:before="0" w:after="283"/>
              <w:jc w:val="left"/>
              <w:rPr/>
            </w:pPr>
            <w:r>
              <w:rPr/>
              <w:t> </w:t>
            </w:r>
          </w:p>
        </w:tc>
      </w:tr>
      <w:tr>
        <w:trPr/>
        <w:tc>
          <w:tcPr>
            <w:tcW w:w="4625" w:type="dxa"/>
            <w:tcBorders/>
            <w:shd w:fill="FFFFFF" w:val="clear"/>
            <w:vAlign w:val="center"/>
          </w:tcPr>
          <w:p>
            <w:pPr>
              <w:pStyle w:val="TableContents"/>
              <w:bidi w:val="0"/>
              <w:spacing w:before="0" w:after="283"/>
              <w:jc w:val="both"/>
              <w:rPr/>
            </w:pPr>
            <w:r>
              <w:rPr/>
              <w:t>Furniture and fixtures</w:t>
            </w:r>
          </w:p>
        </w:tc>
        <w:tc>
          <w:tcPr>
            <w:tcW w:w="60" w:type="dxa"/>
            <w:tcBorders/>
            <w:shd w:fill="FFFFFF" w:val="clear"/>
            <w:vAlign w:val="center"/>
          </w:tcPr>
          <w:p>
            <w:pPr>
              <w:pStyle w:val="TableContents"/>
              <w:bidi w:val="0"/>
              <w:spacing w:before="0" w:after="283"/>
              <w:jc w:val="left"/>
              <w:rPr/>
            </w:pPr>
            <w:r>
              <w:rPr/>
              <w:t> </w:t>
            </w:r>
          </w:p>
        </w:tc>
        <w:tc>
          <w:tcPr>
            <w:tcW w:w="205" w:type="dxa"/>
            <w:tcBorders/>
            <w:shd w:fill="FFFFFF" w:val="clear"/>
            <w:vAlign w:val="center"/>
          </w:tcPr>
          <w:p>
            <w:pPr>
              <w:pStyle w:val="TableContents"/>
              <w:bidi w:val="0"/>
              <w:spacing w:before="0" w:after="283"/>
              <w:jc w:val="left"/>
              <w:rPr/>
            </w:pPr>
            <w:r>
              <w:rPr/>
              <w:t> </w:t>
            </w:r>
          </w:p>
        </w:tc>
        <w:tc>
          <w:tcPr>
            <w:tcW w:w="669" w:type="dxa"/>
            <w:tcBorders/>
            <w:shd w:fill="FFFFFF" w:val="clear"/>
            <w:vAlign w:val="center"/>
          </w:tcPr>
          <w:p>
            <w:pPr>
              <w:pStyle w:val="TableContents"/>
              <w:bidi w:val="0"/>
              <w:spacing w:before="0" w:after="283"/>
              <w:jc w:val="right"/>
              <w:rPr/>
            </w:pPr>
            <w:r>
              <w:rPr/>
              <w:t>188</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32" w:type="dxa"/>
            <w:tcBorders/>
            <w:shd w:fill="FFFFFF" w:val="clear"/>
            <w:vAlign w:val="center"/>
          </w:tcPr>
          <w:p>
            <w:pPr>
              <w:pStyle w:val="TableContents"/>
              <w:bidi w:val="0"/>
              <w:spacing w:before="0" w:after="283"/>
              <w:jc w:val="left"/>
              <w:rPr/>
            </w:pPr>
            <w:r>
              <w:rPr/>
              <w:t> </w:t>
            </w:r>
          </w:p>
        </w:tc>
        <w:tc>
          <w:tcPr>
            <w:tcW w:w="1082" w:type="dxa"/>
            <w:tcBorders/>
            <w:shd w:fill="FFFFFF" w:val="clear"/>
            <w:vAlign w:val="center"/>
          </w:tcPr>
          <w:p>
            <w:pPr>
              <w:pStyle w:val="TableContents"/>
              <w:bidi w:val="0"/>
              <w:spacing w:before="0" w:after="283"/>
              <w:jc w:val="right"/>
              <w:rPr/>
            </w:pPr>
            <w:r>
              <w:rPr/>
              <w:t>188</w:t>
            </w:r>
          </w:p>
        </w:tc>
        <w:tc>
          <w:tcPr>
            <w:tcW w:w="110" w:type="dxa"/>
            <w:tcBorders/>
            <w:shd w:fill="FFFFFF" w:val="clear"/>
            <w:vAlign w:val="center"/>
          </w:tcPr>
          <w:p>
            <w:pPr>
              <w:pStyle w:val="TableContents"/>
              <w:bidi w:val="0"/>
              <w:spacing w:before="0" w:after="283"/>
              <w:jc w:val="left"/>
              <w:rPr/>
            </w:pPr>
            <w:r>
              <w:rPr/>
              <w:t> </w:t>
            </w:r>
          </w:p>
        </w:tc>
      </w:tr>
      <w:tr>
        <w:trPr/>
        <w:tc>
          <w:tcPr>
            <w:tcW w:w="4625" w:type="dxa"/>
            <w:tcBorders/>
            <w:shd w:fill="CCEEFF" w:val="clear"/>
            <w:vAlign w:val="center"/>
          </w:tcPr>
          <w:p>
            <w:pPr>
              <w:pStyle w:val="TableContents"/>
              <w:bidi w:val="0"/>
              <w:spacing w:before="0" w:after="283"/>
              <w:jc w:val="both"/>
              <w:rPr/>
            </w:pPr>
            <w:r>
              <w:rPr/>
              <w:t>Computer equipment</w:t>
            </w:r>
          </w:p>
        </w:tc>
        <w:tc>
          <w:tcPr>
            <w:tcW w:w="60" w:type="dxa"/>
            <w:tcBorders/>
            <w:shd w:fill="CCEEFF" w:val="clear"/>
            <w:vAlign w:val="center"/>
          </w:tcPr>
          <w:p>
            <w:pPr>
              <w:pStyle w:val="TableContents"/>
              <w:bidi w:val="0"/>
              <w:spacing w:before="0" w:after="283"/>
              <w:jc w:val="left"/>
              <w:rPr/>
            </w:pPr>
            <w:r>
              <w:rPr/>
              <w:t> </w:t>
            </w:r>
          </w:p>
        </w:tc>
        <w:tc>
          <w:tcPr>
            <w:tcW w:w="205"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669" w:type="dxa"/>
            <w:tcBorders>
              <w:bottom w:val="single" w:sz="12" w:space="0" w:color="000000"/>
            </w:tcBorders>
            <w:shd w:fill="CCEEFF" w:val="clear"/>
            <w:tcMar>
              <w:bottom w:w="28" w:type="dxa"/>
            </w:tcMar>
            <w:vAlign w:val="center"/>
          </w:tcPr>
          <w:p>
            <w:pPr>
              <w:pStyle w:val="TableContents"/>
              <w:bidi w:val="0"/>
              <w:spacing w:before="0" w:after="283"/>
              <w:jc w:val="right"/>
              <w:rPr/>
            </w:pPr>
            <w:r>
              <w:rPr/>
              <w:t>75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32"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82" w:type="dxa"/>
            <w:tcBorders>
              <w:bottom w:val="single" w:sz="12" w:space="0" w:color="000000"/>
            </w:tcBorders>
            <w:shd w:fill="CCEEFF" w:val="clear"/>
            <w:tcMar>
              <w:bottom w:w="28" w:type="dxa"/>
            </w:tcMar>
            <w:vAlign w:val="center"/>
          </w:tcPr>
          <w:p>
            <w:pPr>
              <w:pStyle w:val="TableContents"/>
              <w:bidi w:val="0"/>
              <w:spacing w:before="0" w:after="283"/>
              <w:jc w:val="right"/>
              <w:rPr/>
            </w:pPr>
            <w:r>
              <w:rPr/>
              <w:t>73</w:t>
            </w:r>
          </w:p>
        </w:tc>
        <w:tc>
          <w:tcPr>
            <w:tcW w:w="110" w:type="dxa"/>
            <w:tcBorders/>
            <w:shd w:fill="CCEEFF" w:val="clear"/>
            <w:vAlign w:val="center"/>
          </w:tcPr>
          <w:p>
            <w:pPr>
              <w:pStyle w:val="TableContents"/>
              <w:bidi w:val="0"/>
              <w:spacing w:before="0" w:after="283"/>
              <w:jc w:val="left"/>
              <w:rPr/>
            </w:pPr>
            <w:r>
              <w:rPr/>
              <w:t> </w:t>
            </w:r>
          </w:p>
        </w:tc>
      </w:tr>
      <w:tr>
        <w:trPr/>
        <w:tc>
          <w:tcPr>
            <w:tcW w:w="4625" w:type="dxa"/>
            <w:tcBorders/>
            <w:shd w:fill="FFFFFF" w:val="clear"/>
            <w:vAlign w:val="center"/>
          </w:tcPr>
          <w:p>
            <w:pPr>
              <w:pStyle w:val="TableContents"/>
              <w:bidi w:val="0"/>
              <w:spacing w:before="0" w:after="283"/>
              <w:jc w:val="both"/>
              <w:rPr/>
            </w:pPr>
            <w:r>
              <w:rPr/>
              <w:t>Total cost</w:t>
            </w:r>
          </w:p>
        </w:tc>
        <w:tc>
          <w:tcPr>
            <w:tcW w:w="60" w:type="dxa"/>
            <w:tcBorders/>
            <w:shd w:fill="FFFFFF" w:val="clear"/>
            <w:vAlign w:val="center"/>
          </w:tcPr>
          <w:p>
            <w:pPr>
              <w:pStyle w:val="TableContents"/>
              <w:bidi w:val="0"/>
              <w:spacing w:before="0" w:after="283"/>
              <w:jc w:val="left"/>
              <w:rPr/>
            </w:pPr>
            <w:r>
              <w:rPr/>
              <w:t> </w:t>
            </w:r>
          </w:p>
        </w:tc>
        <w:tc>
          <w:tcPr>
            <w:tcW w:w="205"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669" w:type="dxa"/>
            <w:tcBorders>
              <w:bottom w:val="single" w:sz="12" w:space="0" w:color="000000"/>
            </w:tcBorders>
            <w:shd w:fill="FFFFFF" w:val="clear"/>
            <w:tcMar>
              <w:bottom w:w="28" w:type="dxa"/>
            </w:tcMar>
            <w:vAlign w:val="center"/>
          </w:tcPr>
          <w:p>
            <w:pPr>
              <w:pStyle w:val="TableContents"/>
              <w:bidi w:val="0"/>
              <w:spacing w:before="0" w:after="283"/>
              <w:jc w:val="right"/>
              <w:rPr/>
            </w:pPr>
            <w:r>
              <w:rPr/>
              <w:t>465</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32"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082" w:type="dxa"/>
            <w:tcBorders>
              <w:bottom w:val="single" w:sz="12" w:space="0" w:color="000000"/>
            </w:tcBorders>
            <w:shd w:fill="FFFFFF" w:val="clear"/>
            <w:tcMar>
              <w:bottom w:w="28" w:type="dxa"/>
            </w:tcMar>
            <w:vAlign w:val="center"/>
          </w:tcPr>
          <w:p>
            <w:pPr>
              <w:pStyle w:val="TableContents"/>
              <w:bidi w:val="0"/>
              <w:spacing w:before="0" w:after="283"/>
              <w:jc w:val="right"/>
              <w:rPr/>
            </w:pPr>
            <w:r>
              <w:rPr/>
              <w:t>463</w:t>
            </w:r>
          </w:p>
        </w:tc>
        <w:tc>
          <w:tcPr>
            <w:tcW w:w="110" w:type="dxa"/>
            <w:tcBorders/>
            <w:shd w:fill="FFFFFF" w:val="clear"/>
            <w:vAlign w:val="center"/>
          </w:tcPr>
          <w:p>
            <w:pPr>
              <w:pStyle w:val="TableContents"/>
              <w:bidi w:val="0"/>
              <w:spacing w:before="0" w:after="283"/>
              <w:jc w:val="left"/>
              <w:rPr/>
            </w:pPr>
            <w:r>
              <w:rPr/>
              <w:t> </w:t>
            </w:r>
          </w:p>
        </w:tc>
      </w:tr>
      <w:tr>
        <w:trPr/>
        <w:tc>
          <w:tcPr>
            <w:tcW w:w="4625" w:type="dxa"/>
            <w:tcBorders/>
            <w:shd w:fill="CCEEFF" w:val="clear"/>
            <w:vAlign w:val="center"/>
          </w:tcPr>
          <w:p>
            <w:pPr>
              <w:pStyle w:val="TableContents"/>
              <w:bidi w:val="0"/>
              <w:spacing w:before="0" w:after="283"/>
              <w:jc w:val="both"/>
              <w:rPr/>
            </w:pPr>
            <w:r>
              <w:rPr/>
              <w:t>Less: accumulated depreciation and amortization</w:t>
            </w:r>
          </w:p>
        </w:tc>
        <w:tc>
          <w:tcPr>
            <w:tcW w:w="60" w:type="dxa"/>
            <w:tcBorders/>
            <w:shd w:fill="CCEEFF" w:val="clear"/>
            <w:vAlign w:val="center"/>
          </w:tcPr>
          <w:p>
            <w:pPr>
              <w:pStyle w:val="TableContents"/>
              <w:bidi w:val="0"/>
              <w:spacing w:before="0" w:after="283"/>
              <w:jc w:val="left"/>
              <w:rPr/>
            </w:pPr>
            <w:r>
              <w:rPr/>
              <w:t> </w:t>
            </w:r>
          </w:p>
        </w:tc>
        <w:tc>
          <w:tcPr>
            <w:tcW w:w="205"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669" w:type="dxa"/>
            <w:tcBorders>
              <w:bottom w:val="single" w:sz="12" w:space="0" w:color="000000"/>
            </w:tcBorders>
            <w:shd w:fill="CCEEFF" w:val="clear"/>
            <w:tcMar>
              <w:bottom w:w="28" w:type="dxa"/>
            </w:tcMar>
            <w:vAlign w:val="center"/>
          </w:tcPr>
          <w:p>
            <w:pPr>
              <w:pStyle w:val="TableContents"/>
              <w:bidi w:val="0"/>
              <w:spacing w:before="0" w:after="283"/>
              <w:jc w:val="right"/>
              <w:rPr/>
            </w:pPr>
            <w:r>
              <w:rPr/>
              <w:t>(205</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332"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82" w:type="dxa"/>
            <w:tcBorders>
              <w:bottom w:val="single" w:sz="12" w:space="0" w:color="000000"/>
            </w:tcBorders>
            <w:shd w:fill="CCEEFF" w:val="clear"/>
            <w:tcMar>
              <w:bottom w:w="28" w:type="dxa"/>
            </w:tcMar>
            <w:vAlign w:val="center"/>
          </w:tcPr>
          <w:p>
            <w:pPr>
              <w:pStyle w:val="TableContents"/>
              <w:bidi w:val="0"/>
              <w:spacing w:before="0" w:after="283"/>
              <w:jc w:val="right"/>
              <w:rPr/>
            </w:pPr>
            <w:r>
              <w:rPr/>
              <w:t>(165</w:t>
            </w:r>
          </w:p>
        </w:tc>
        <w:tc>
          <w:tcPr>
            <w:tcW w:w="110" w:type="dxa"/>
            <w:tcBorders/>
            <w:shd w:fill="CCEEFF" w:val="clear"/>
            <w:vAlign w:val="center"/>
          </w:tcPr>
          <w:p>
            <w:pPr>
              <w:pStyle w:val="TableContents"/>
              <w:bidi w:val="0"/>
              <w:spacing w:before="0" w:after="283"/>
              <w:jc w:val="left"/>
              <w:rPr/>
            </w:pPr>
            <w:r>
              <w:rPr/>
              <w:t>)</w:t>
            </w:r>
          </w:p>
        </w:tc>
      </w:tr>
      <w:tr>
        <w:trPr/>
        <w:tc>
          <w:tcPr>
            <w:tcW w:w="4625" w:type="dxa"/>
            <w:tcBorders/>
            <w:shd w:fill="FFFFFF" w:val="clear"/>
            <w:vAlign w:val="center"/>
          </w:tcPr>
          <w:p>
            <w:pPr>
              <w:pStyle w:val="TableContents"/>
              <w:bidi w:val="0"/>
              <w:spacing w:before="0" w:after="283"/>
              <w:jc w:val="both"/>
              <w:rPr/>
            </w:pPr>
            <w:r>
              <w:rPr/>
              <w:t>Property and equipment, net</w:t>
            </w:r>
          </w:p>
        </w:tc>
        <w:tc>
          <w:tcPr>
            <w:tcW w:w="60" w:type="dxa"/>
            <w:tcBorders/>
            <w:shd w:fill="FFFFFF" w:val="clear"/>
            <w:vAlign w:val="center"/>
          </w:tcPr>
          <w:p>
            <w:pPr>
              <w:pStyle w:val="TableContents"/>
              <w:bidi w:val="0"/>
              <w:spacing w:before="0" w:after="283"/>
              <w:jc w:val="left"/>
              <w:rPr/>
            </w:pPr>
            <w:r>
              <w:rPr/>
              <w:t> </w:t>
            </w:r>
          </w:p>
        </w:tc>
        <w:tc>
          <w:tcPr>
            <w:tcW w:w="205" w:type="dxa"/>
            <w:tcBorders>
              <w:bottom w:val="double" w:sz="10" w:space="0" w:color="000000"/>
            </w:tcBorders>
            <w:shd w:fill="FFFFFF" w:val="clear"/>
            <w:tcMar>
              <w:bottom w:w="28" w:type="dxa"/>
            </w:tcMar>
            <w:vAlign w:val="center"/>
          </w:tcPr>
          <w:p>
            <w:pPr>
              <w:pStyle w:val="TableContents"/>
              <w:bidi w:val="0"/>
              <w:spacing w:before="0" w:after="283"/>
              <w:jc w:val="left"/>
              <w:rPr/>
            </w:pPr>
            <w:r>
              <w:rPr/>
              <w:t>$</w:t>
            </w:r>
          </w:p>
        </w:tc>
        <w:tc>
          <w:tcPr>
            <w:tcW w:w="669" w:type="dxa"/>
            <w:tcBorders>
              <w:bottom w:val="double" w:sz="10" w:space="0" w:color="000000"/>
            </w:tcBorders>
            <w:shd w:fill="FFFFFF" w:val="clear"/>
            <w:tcMar>
              <w:bottom w:w="28" w:type="dxa"/>
            </w:tcMar>
            <w:vAlign w:val="center"/>
          </w:tcPr>
          <w:p>
            <w:pPr>
              <w:pStyle w:val="TableContents"/>
              <w:bidi w:val="0"/>
              <w:spacing w:before="0" w:after="283"/>
              <w:jc w:val="right"/>
              <w:rPr/>
            </w:pPr>
            <w:r>
              <w:rPr/>
              <w:t>260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32" w:type="dxa"/>
            <w:tcBorders>
              <w:bottom w:val="double" w:sz="10" w:space="0" w:color="000000"/>
            </w:tcBorders>
            <w:shd w:fill="FFFFFF" w:val="clear"/>
            <w:tcMar>
              <w:bottom w:w="28" w:type="dxa"/>
            </w:tcMar>
            <w:vAlign w:val="center"/>
          </w:tcPr>
          <w:p>
            <w:pPr>
              <w:pStyle w:val="TableContents"/>
              <w:bidi w:val="0"/>
              <w:spacing w:before="0" w:after="283"/>
              <w:jc w:val="left"/>
              <w:rPr/>
            </w:pPr>
            <w:r>
              <w:rPr/>
              <w:t>$</w:t>
            </w:r>
          </w:p>
        </w:tc>
        <w:tc>
          <w:tcPr>
            <w:tcW w:w="1082" w:type="dxa"/>
            <w:tcBorders>
              <w:bottom w:val="double" w:sz="10" w:space="0" w:color="000000"/>
            </w:tcBorders>
            <w:shd w:fill="FFFFFF" w:val="clear"/>
            <w:tcMar>
              <w:bottom w:w="28" w:type="dxa"/>
            </w:tcMar>
            <w:vAlign w:val="center"/>
          </w:tcPr>
          <w:p>
            <w:pPr>
              <w:pStyle w:val="TableContents"/>
              <w:bidi w:val="0"/>
              <w:spacing w:before="0" w:after="283"/>
              <w:jc w:val="right"/>
              <w:rPr/>
            </w:pPr>
            <w:r>
              <w:rPr/>
              <w:t>298</w:t>
            </w:r>
          </w:p>
        </w:tc>
        <w:tc>
          <w:tcPr>
            <w:tcW w:w="11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Depreciation expense for the six months ended June 30, 2025 and 2024 was $40 and $39, respectively</w:t>
      </w:r>
      <w:r>
        <w:rPr>
          <w:rFonts w:ascii="Times New Roman;Times;Serif" w:hAnsi="Times New Roman;Times;Serif"/>
          <w:b/>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Note 7. </w:t>
      </w:r>
      <w:r>
        <w:rPr>
          <w:rFonts w:ascii="Times New Roman;Times;Serif" w:hAnsi="Times New Roman;Times;Serif"/>
          <w:b/>
          <w:i/>
          <w:caps w:val="false"/>
          <w:smallCaps w:val="false"/>
          <w:sz w:val="20"/>
        </w:rPr>
        <w:t>ACCRUED EXPENSES AND OTHER CURRENT LIABILITIES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Accrued expenses are as follows:</w:t>
      </w:r>
    </w:p>
    <w:p>
      <w:pPr>
        <w:pStyle w:val="TextBody"/>
        <w:bidi w:val="0"/>
        <w:spacing w:before="0" w:after="0"/>
        <w:ind w:left="0" w:right="0" w:hanging="0"/>
        <w:jc w:val="both"/>
        <w:rPr>
          <w:caps w:val="false"/>
          <w:smallCaps w:val="false"/>
        </w:rPr>
      </w:pPr>
      <w:r>
        <w:rPr>
          <w:caps w:val="false"/>
          <w:smallCaps w:val="false"/>
        </w:rPr>
        <w:t> </w:t>
      </w:r>
    </w:p>
    <w:tbl>
      <w:tblPr>
        <w:tblW w:w="7349" w:type="dxa"/>
        <w:jc w:val="left"/>
        <w:tblInd w:w="0" w:type="dxa"/>
        <w:tblLayout w:type="fixed"/>
        <w:tblCellMar>
          <w:top w:w="0" w:type="dxa"/>
          <w:left w:w="0" w:type="dxa"/>
          <w:bottom w:w="0" w:type="dxa"/>
          <w:right w:w="0" w:type="dxa"/>
        </w:tblCellMar>
      </w:tblPr>
      <w:tblGrid>
        <w:gridCol w:w="4805"/>
        <w:gridCol w:w="60"/>
        <w:gridCol w:w="149"/>
        <w:gridCol w:w="725"/>
        <w:gridCol w:w="60"/>
        <w:gridCol w:w="60"/>
        <w:gridCol w:w="283"/>
        <w:gridCol w:w="1132"/>
        <w:gridCol w:w="75"/>
      </w:tblGrid>
      <w:tr>
        <w:trPr/>
        <w:tc>
          <w:tcPr>
            <w:tcW w:w="4805"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p>
        </w:tc>
        <w:tc>
          <w:tcPr>
            <w:tcW w:w="2409"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As of</w:t>
            </w:r>
          </w:p>
        </w:tc>
        <w:tc>
          <w:tcPr>
            <w:tcW w:w="75" w:type="dxa"/>
            <w:tcBorders/>
            <w:vAlign w:val="center"/>
          </w:tcPr>
          <w:p>
            <w:pPr>
              <w:pStyle w:val="TableContents"/>
              <w:bidi w:val="0"/>
              <w:spacing w:before="0" w:after="283"/>
              <w:jc w:val="left"/>
              <w:rPr/>
            </w:pPr>
            <w:r>
              <w:rPr/>
              <w:t> </w:t>
            </w:r>
          </w:p>
        </w:tc>
      </w:tr>
      <w:tr>
        <w:trPr/>
        <w:tc>
          <w:tcPr>
            <w:tcW w:w="4805"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p>
        </w:tc>
        <w:tc>
          <w:tcPr>
            <w:tcW w:w="874" w:type="dxa"/>
            <w:gridSpan w:val="2"/>
            <w:tcBorders/>
            <w:vAlign w:val="center"/>
          </w:tcPr>
          <w:p>
            <w:pPr>
              <w:pStyle w:val="TableContents"/>
              <w:bidi w:val="0"/>
              <w:spacing w:before="0" w:after="283"/>
              <w:jc w:val="center"/>
              <w:rPr>
                <w:b/>
              </w:rPr>
            </w:pPr>
            <w:r>
              <w:rPr>
                <w:b/>
              </w:rPr>
              <w:t>June 30,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15" w:type="dxa"/>
            <w:gridSpan w:val="2"/>
            <w:tcBorders/>
            <w:vAlign w:val="center"/>
          </w:tcPr>
          <w:p>
            <w:pPr>
              <w:pStyle w:val="TableContents"/>
              <w:bidi w:val="0"/>
              <w:spacing w:before="0" w:after="283"/>
              <w:jc w:val="center"/>
              <w:rPr>
                <w:b/>
              </w:rPr>
            </w:pPr>
            <w:r>
              <w:rPr>
                <w:b/>
              </w:rPr>
              <w:t>December 31,</w:t>
            </w:r>
          </w:p>
        </w:tc>
        <w:tc>
          <w:tcPr>
            <w:tcW w:w="75" w:type="dxa"/>
            <w:tcBorders/>
            <w:vAlign w:val="center"/>
          </w:tcPr>
          <w:p>
            <w:pPr>
              <w:pStyle w:val="TableContents"/>
              <w:bidi w:val="0"/>
              <w:spacing w:before="0" w:after="283"/>
              <w:jc w:val="left"/>
              <w:rPr/>
            </w:pPr>
            <w:r>
              <w:rPr/>
              <w:t> </w:t>
            </w:r>
          </w:p>
        </w:tc>
      </w:tr>
      <w:tr>
        <w:trPr/>
        <w:tc>
          <w:tcPr>
            <w:tcW w:w="4805"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p>
        </w:tc>
        <w:tc>
          <w:tcPr>
            <w:tcW w:w="874"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1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2024</w:t>
            </w:r>
          </w:p>
        </w:tc>
        <w:tc>
          <w:tcPr>
            <w:tcW w:w="75" w:type="dxa"/>
            <w:tcBorders/>
            <w:vAlign w:val="center"/>
          </w:tcPr>
          <w:p>
            <w:pPr>
              <w:pStyle w:val="TableContents"/>
              <w:bidi w:val="0"/>
              <w:spacing w:before="0" w:after="283"/>
              <w:jc w:val="left"/>
              <w:rPr/>
            </w:pPr>
            <w:r>
              <w:rPr/>
              <w:t> </w:t>
            </w:r>
          </w:p>
        </w:tc>
      </w:tr>
      <w:tr>
        <w:trPr/>
        <w:tc>
          <w:tcPr>
            <w:tcW w:w="4805" w:type="dxa"/>
            <w:tcBorders/>
            <w:shd w:fill="CCEEFF" w:val="clear"/>
            <w:vAlign w:val="center"/>
          </w:tcPr>
          <w:p>
            <w:pPr>
              <w:pStyle w:val="TableContents"/>
              <w:bidi w:val="0"/>
              <w:spacing w:before="0" w:after="283"/>
              <w:jc w:val="both"/>
              <w:rPr/>
            </w:pPr>
            <w:r>
              <w:rPr/>
              <w:t>Accrued salaries, wages and related expenses</w:t>
            </w:r>
          </w:p>
        </w:tc>
        <w:tc>
          <w:tcPr>
            <w:tcW w:w="60" w:type="dxa"/>
            <w:tcBorders/>
            <w:shd w:fill="CCEEFF" w:val="clear"/>
            <w:vAlign w:val="center"/>
          </w:tcPr>
          <w:p>
            <w:pPr>
              <w:pStyle w:val="TableContents"/>
              <w:bidi w:val="0"/>
              <w:spacing w:before="0" w:after="283"/>
              <w:jc w:val="left"/>
              <w:rPr/>
            </w:pPr>
            <w:r>
              <w:rPr/>
              <w:t> </w:t>
            </w:r>
          </w:p>
        </w:tc>
        <w:tc>
          <w:tcPr>
            <w:tcW w:w="149" w:type="dxa"/>
            <w:tcBorders/>
            <w:shd w:fill="CCEEFF" w:val="clear"/>
            <w:vAlign w:val="center"/>
          </w:tcPr>
          <w:p>
            <w:pPr>
              <w:pStyle w:val="TableContents"/>
              <w:bidi w:val="0"/>
              <w:spacing w:before="0" w:after="283"/>
              <w:jc w:val="left"/>
              <w:rPr/>
            </w:pPr>
            <w:r>
              <w:rPr/>
              <w:t>$</w:t>
            </w:r>
          </w:p>
        </w:tc>
        <w:tc>
          <w:tcPr>
            <w:tcW w:w="725" w:type="dxa"/>
            <w:tcBorders/>
            <w:shd w:fill="CCEEFF" w:val="clear"/>
            <w:vAlign w:val="center"/>
          </w:tcPr>
          <w:p>
            <w:pPr>
              <w:pStyle w:val="TableContents"/>
              <w:bidi w:val="0"/>
              <w:spacing w:before="0" w:after="283"/>
              <w:jc w:val="right"/>
              <w:rPr/>
            </w:pPr>
            <w:r>
              <w:rPr/>
              <w:t>86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83" w:type="dxa"/>
            <w:tcBorders/>
            <w:shd w:fill="CCEEFF" w:val="clear"/>
            <w:vAlign w:val="center"/>
          </w:tcPr>
          <w:p>
            <w:pPr>
              <w:pStyle w:val="TableContents"/>
              <w:bidi w:val="0"/>
              <w:spacing w:before="0" w:after="283"/>
              <w:jc w:val="left"/>
              <w:rPr/>
            </w:pPr>
            <w:r>
              <w:rPr/>
              <w:t>$</w:t>
            </w:r>
          </w:p>
        </w:tc>
        <w:tc>
          <w:tcPr>
            <w:tcW w:w="1132" w:type="dxa"/>
            <w:tcBorders/>
            <w:shd w:fill="CCEEFF" w:val="clear"/>
            <w:vAlign w:val="center"/>
          </w:tcPr>
          <w:p>
            <w:pPr>
              <w:pStyle w:val="TableContents"/>
              <w:bidi w:val="0"/>
              <w:spacing w:before="0" w:after="283"/>
              <w:jc w:val="right"/>
              <w:rPr/>
            </w:pPr>
            <w:r>
              <w:rPr/>
              <w:t>120</w:t>
            </w:r>
          </w:p>
        </w:tc>
        <w:tc>
          <w:tcPr>
            <w:tcW w:w="75" w:type="dxa"/>
            <w:tcBorders/>
            <w:shd w:fill="CCEEFF" w:val="clear"/>
            <w:vAlign w:val="center"/>
          </w:tcPr>
          <w:p>
            <w:pPr>
              <w:pStyle w:val="TableContents"/>
              <w:bidi w:val="0"/>
              <w:spacing w:before="0" w:after="283"/>
              <w:jc w:val="left"/>
              <w:rPr/>
            </w:pPr>
            <w:r>
              <w:rPr/>
              <w:t> </w:t>
            </w:r>
          </w:p>
        </w:tc>
      </w:tr>
      <w:tr>
        <w:trPr/>
        <w:tc>
          <w:tcPr>
            <w:tcW w:w="4805" w:type="dxa"/>
            <w:tcBorders/>
            <w:shd w:fill="FFFFFF" w:val="clear"/>
            <w:vAlign w:val="center"/>
          </w:tcPr>
          <w:p>
            <w:pPr>
              <w:pStyle w:val="TableContents"/>
              <w:bidi w:val="0"/>
              <w:spacing w:before="0" w:after="283"/>
              <w:jc w:val="both"/>
              <w:rPr/>
            </w:pPr>
            <w:r>
              <w:rPr/>
              <w:t>Commissions payable</w:t>
            </w:r>
          </w:p>
        </w:tc>
        <w:tc>
          <w:tcPr>
            <w:tcW w:w="60" w:type="dxa"/>
            <w:tcBorders/>
            <w:shd w:fill="FFFFFF" w:val="clear"/>
            <w:vAlign w:val="center"/>
          </w:tcPr>
          <w:p>
            <w:pPr>
              <w:pStyle w:val="TableContents"/>
              <w:bidi w:val="0"/>
              <w:spacing w:before="0" w:after="283"/>
              <w:jc w:val="left"/>
              <w:rPr/>
            </w:pPr>
            <w:r>
              <w:rPr/>
              <w:t> </w:t>
            </w:r>
          </w:p>
        </w:tc>
        <w:tc>
          <w:tcPr>
            <w:tcW w:w="149" w:type="dxa"/>
            <w:tcBorders/>
            <w:shd w:fill="FFFFFF" w:val="clear"/>
            <w:vAlign w:val="center"/>
          </w:tcPr>
          <w:p>
            <w:pPr>
              <w:pStyle w:val="TableContents"/>
              <w:bidi w:val="0"/>
              <w:spacing w:before="0" w:after="283"/>
              <w:jc w:val="left"/>
              <w:rPr/>
            </w:pPr>
            <w:r>
              <w:rPr/>
              <w:t> </w:t>
            </w:r>
          </w:p>
        </w:tc>
        <w:tc>
          <w:tcPr>
            <w:tcW w:w="725" w:type="dxa"/>
            <w:tcBorders/>
            <w:shd w:fill="FFFFFF" w:val="clear"/>
            <w:vAlign w:val="center"/>
          </w:tcPr>
          <w:p>
            <w:pPr>
              <w:pStyle w:val="TableContents"/>
              <w:bidi w:val="0"/>
              <w:spacing w:before="0" w:after="283"/>
              <w:jc w:val="right"/>
              <w:rPr/>
            </w:pPr>
            <w:r>
              <w:rPr/>
              <w:t>3,177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83" w:type="dxa"/>
            <w:tcBorders/>
            <w:shd w:fill="FFFFFF" w:val="clear"/>
            <w:vAlign w:val="center"/>
          </w:tcPr>
          <w:p>
            <w:pPr>
              <w:pStyle w:val="TableContents"/>
              <w:bidi w:val="0"/>
              <w:spacing w:before="0" w:after="283"/>
              <w:jc w:val="left"/>
              <w:rPr/>
            </w:pPr>
            <w:r>
              <w:rPr/>
              <w:t> </w:t>
            </w:r>
          </w:p>
        </w:tc>
        <w:tc>
          <w:tcPr>
            <w:tcW w:w="1132" w:type="dxa"/>
            <w:tcBorders/>
            <w:shd w:fill="FFFFFF" w:val="clear"/>
            <w:vAlign w:val="center"/>
          </w:tcPr>
          <w:p>
            <w:pPr>
              <w:pStyle w:val="TableContents"/>
              <w:bidi w:val="0"/>
              <w:spacing w:before="0" w:after="283"/>
              <w:jc w:val="right"/>
              <w:rPr/>
            </w:pPr>
            <w:r>
              <w:rPr/>
              <w:t>1,814</w:t>
            </w:r>
          </w:p>
        </w:tc>
        <w:tc>
          <w:tcPr>
            <w:tcW w:w="75" w:type="dxa"/>
            <w:tcBorders/>
            <w:shd w:fill="FFFFFF" w:val="clear"/>
            <w:vAlign w:val="center"/>
          </w:tcPr>
          <w:p>
            <w:pPr>
              <w:pStyle w:val="TableContents"/>
              <w:bidi w:val="0"/>
              <w:spacing w:before="0" w:after="283"/>
              <w:jc w:val="left"/>
              <w:rPr/>
            </w:pPr>
            <w:r>
              <w:rPr/>
              <w:t> </w:t>
            </w:r>
          </w:p>
        </w:tc>
      </w:tr>
      <w:tr>
        <w:trPr/>
        <w:tc>
          <w:tcPr>
            <w:tcW w:w="4805" w:type="dxa"/>
            <w:tcBorders/>
            <w:shd w:fill="CCEEFF" w:val="clear"/>
            <w:vAlign w:val="center"/>
          </w:tcPr>
          <w:p>
            <w:pPr>
              <w:pStyle w:val="TableContents"/>
              <w:bidi w:val="0"/>
              <w:spacing w:before="0" w:after="283"/>
              <w:jc w:val="both"/>
              <w:rPr/>
            </w:pPr>
            <w:r>
              <w:rPr/>
              <w:t>Legal fees payable</w:t>
            </w:r>
          </w:p>
        </w:tc>
        <w:tc>
          <w:tcPr>
            <w:tcW w:w="60" w:type="dxa"/>
            <w:tcBorders/>
            <w:shd w:fill="CCEEFF" w:val="clear"/>
            <w:vAlign w:val="center"/>
          </w:tcPr>
          <w:p>
            <w:pPr>
              <w:pStyle w:val="TableContents"/>
              <w:bidi w:val="0"/>
              <w:spacing w:before="0" w:after="283"/>
              <w:jc w:val="left"/>
              <w:rPr/>
            </w:pPr>
            <w:r>
              <w:rPr/>
              <w:t> </w:t>
            </w:r>
          </w:p>
        </w:tc>
        <w:tc>
          <w:tcPr>
            <w:tcW w:w="149" w:type="dxa"/>
            <w:tcBorders/>
            <w:shd w:fill="CCEEFF" w:val="clear"/>
            <w:vAlign w:val="center"/>
          </w:tcPr>
          <w:p>
            <w:pPr>
              <w:pStyle w:val="TableContents"/>
              <w:bidi w:val="0"/>
              <w:spacing w:before="0" w:after="283"/>
              <w:jc w:val="left"/>
              <w:rPr/>
            </w:pPr>
            <w:r>
              <w:rPr/>
              <w:t> </w:t>
            </w:r>
          </w:p>
        </w:tc>
        <w:tc>
          <w:tcPr>
            <w:tcW w:w="725" w:type="dxa"/>
            <w:tcBorders/>
            <w:shd w:fill="CCEEFF" w:val="clear"/>
            <w:vAlign w:val="center"/>
          </w:tcPr>
          <w:p>
            <w:pPr>
              <w:pStyle w:val="TableContents"/>
              <w:bidi w:val="0"/>
              <w:spacing w:before="0" w:after="283"/>
              <w:jc w:val="right"/>
              <w:rPr/>
            </w:pPr>
            <w:r>
              <w:rPr/>
              <w:t>8,195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83" w:type="dxa"/>
            <w:tcBorders/>
            <w:shd w:fill="CCEEFF" w:val="clear"/>
            <w:vAlign w:val="center"/>
          </w:tcPr>
          <w:p>
            <w:pPr>
              <w:pStyle w:val="TableContents"/>
              <w:bidi w:val="0"/>
              <w:spacing w:before="0" w:after="283"/>
              <w:jc w:val="left"/>
              <w:rPr/>
            </w:pPr>
            <w:r>
              <w:rPr/>
              <w:t> </w:t>
            </w:r>
          </w:p>
        </w:tc>
        <w:tc>
          <w:tcPr>
            <w:tcW w:w="1132" w:type="dxa"/>
            <w:tcBorders/>
            <w:shd w:fill="CCEEFF" w:val="clear"/>
            <w:vAlign w:val="center"/>
          </w:tcPr>
          <w:p>
            <w:pPr>
              <w:pStyle w:val="TableContents"/>
              <w:bidi w:val="0"/>
              <w:spacing w:before="0" w:after="283"/>
              <w:jc w:val="right"/>
              <w:rPr/>
            </w:pPr>
            <w:r>
              <w:rPr/>
              <w:t>4,136</w:t>
            </w:r>
          </w:p>
        </w:tc>
        <w:tc>
          <w:tcPr>
            <w:tcW w:w="75" w:type="dxa"/>
            <w:tcBorders/>
            <w:shd w:fill="CCEEFF" w:val="clear"/>
            <w:vAlign w:val="center"/>
          </w:tcPr>
          <w:p>
            <w:pPr>
              <w:pStyle w:val="TableContents"/>
              <w:bidi w:val="0"/>
              <w:spacing w:before="0" w:after="283"/>
              <w:jc w:val="left"/>
              <w:rPr/>
            </w:pPr>
            <w:r>
              <w:rPr/>
              <w:t> </w:t>
            </w:r>
          </w:p>
        </w:tc>
      </w:tr>
      <w:tr>
        <w:trPr/>
        <w:tc>
          <w:tcPr>
            <w:tcW w:w="4805" w:type="dxa"/>
            <w:tcBorders/>
            <w:shd w:fill="FFFFFF" w:val="clear"/>
            <w:vAlign w:val="center"/>
          </w:tcPr>
          <w:p>
            <w:pPr>
              <w:pStyle w:val="TableContents"/>
              <w:bidi w:val="0"/>
              <w:spacing w:before="0" w:after="283"/>
              <w:jc w:val="both"/>
              <w:rPr/>
            </w:pPr>
            <w:r>
              <w:rPr/>
              <w:t>Accrued interest payable</w:t>
            </w:r>
          </w:p>
        </w:tc>
        <w:tc>
          <w:tcPr>
            <w:tcW w:w="60" w:type="dxa"/>
            <w:tcBorders/>
            <w:shd w:fill="FFFFFF" w:val="clear"/>
            <w:vAlign w:val="center"/>
          </w:tcPr>
          <w:p>
            <w:pPr>
              <w:pStyle w:val="TableContents"/>
              <w:bidi w:val="0"/>
              <w:spacing w:before="0" w:after="283"/>
              <w:jc w:val="left"/>
              <w:rPr/>
            </w:pPr>
            <w:r>
              <w:rPr/>
              <w:t> </w:t>
            </w:r>
          </w:p>
        </w:tc>
        <w:tc>
          <w:tcPr>
            <w:tcW w:w="149" w:type="dxa"/>
            <w:tcBorders/>
            <w:shd w:fill="FFFFFF" w:val="clear"/>
            <w:vAlign w:val="center"/>
          </w:tcPr>
          <w:p>
            <w:pPr>
              <w:pStyle w:val="TableContents"/>
              <w:bidi w:val="0"/>
              <w:spacing w:before="0" w:after="283"/>
              <w:jc w:val="left"/>
              <w:rPr/>
            </w:pPr>
            <w:r>
              <w:rPr/>
              <w:t> </w:t>
            </w:r>
          </w:p>
        </w:tc>
        <w:tc>
          <w:tcPr>
            <w:tcW w:w="725" w:type="dxa"/>
            <w:tcBorders/>
            <w:shd w:fill="FFFFFF" w:val="clear"/>
            <w:vAlign w:val="center"/>
          </w:tcPr>
          <w:p>
            <w:pPr>
              <w:pStyle w:val="TableContents"/>
              <w:bidi w:val="0"/>
              <w:spacing w:before="0" w:after="283"/>
              <w:jc w:val="right"/>
              <w:rPr/>
            </w:pPr>
            <w:r>
              <w:rPr/>
              <w:t>84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83" w:type="dxa"/>
            <w:tcBorders/>
            <w:shd w:fill="FFFFFF" w:val="clear"/>
            <w:vAlign w:val="center"/>
          </w:tcPr>
          <w:p>
            <w:pPr>
              <w:pStyle w:val="TableContents"/>
              <w:bidi w:val="0"/>
              <w:spacing w:before="0" w:after="283"/>
              <w:jc w:val="left"/>
              <w:rPr/>
            </w:pPr>
            <w:r>
              <w:rPr/>
              <w:t> </w:t>
            </w:r>
          </w:p>
        </w:tc>
        <w:tc>
          <w:tcPr>
            <w:tcW w:w="1132" w:type="dxa"/>
            <w:tcBorders/>
            <w:shd w:fill="FFFFFF" w:val="clear"/>
            <w:vAlign w:val="center"/>
          </w:tcPr>
          <w:p>
            <w:pPr>
              <w:pStyle w:val="TableContents"/>
              <w:bidi w:val="0"/>
              <w:spacing w:before="0" w:after="283"/>
              <w:jc w:val="right"/>
              <w:rPr/>
            </w:pPr>
            <w:r>
              <w:rPr/>
              <w:t>47</w:t>
            </w:r>
          </w:p>
        </w:tc>
        <w:tc>
          <w:tcPr>
            <w:tcW w:w="75" w:type="dxa"/>
            <w:tcBorders/>
            <w:shd w:fill="FFFFFF" w:val="clear"/>
            <w:vAlign w:val="center"/>
          </w:tcPr>
          <w:p>
            <w:pPr>
              <w:pStyle w:val="TableContents"/>
              <w:bidi w:val="0"/>
              <w:spacing w:before="0" w:after="283"/>
              <w:jc w:val="left"/>
              <w:rPr/>
            </w:pPr>
            <w:r>
              <w:rPr/>
              <w:t> </w:t>
            </w:r>
          </w:p>
        </w:tc>
      </w:tr>
      <w:tr>
        <w:trPr/>
        <w:tc>
          <w:tcPr>
            <w:tcW w:w="4805" w:type="dxa"/>
            <w:tcBorders/>
            <w:shd w:fill="CCEEFF" w:val="clear"/>
            <w:vAlign w:val="center"/>
          </w:tcPr>
          <w:p>
            <w:pPr>
              <w:pStyle w:val="TableContents"/>
              <w:bidi w:val="0"/>
              <w:spacing w:before="0" w:after="283"/>
              <w:jc w:val="both"/>
              <w:rPr/>
            </w:pPr>
            <w:r>
              <w:rPr/>
              <w:t>Credit card obligation</w:t>
            </w:r>
          </w:p>
        </w:tc>
        <w:tc>
          <w:tcPr>
            <w:tcW w:w="60" w:type="dxa"/>
            <w:tcBorders/>
            <w:shd w:fill="CCEEFF" w:val="clear"/>
            <w:vAlign w:val="center"/>
          </w:tcPr>
          <w:p>
            <w:pPr>
              <w:pStyle w:val="TableContents"/>
              <w:bidi w:val="0"/>
              <w:spacing w:before="0" w:after="283"/>
              <w:jc w:val="left"/>
              <w:rPr/>
            </w:pPr>
            <w:r>
              <w:rPr/>
              <w:t> </w:t>
            </w:r>
          </w:p>
        </w:tc>
        <w:tc>
          <w:tcPr>
            <w:tcW w:w="149" w:type="dxa"/>
            <w:tcBorders/>
            <w:shd w:fill="CCEEFF" w:val="clear"/>
            <w:vAlign w:val="center"/>
          </w:tcPr>
          <w:p>
            <w:pPr>
              <w:pStyle w:val="TableContents"/>
              <w:bidi w:val="0"/>
              <w:spacing w:before="0" w:after="283"/>
              <w:jc w:val="left"/>
              <w:rPr/>
            </w:pPr>
            <w:r>
              <w:rPr/>
              <w:t> </w:t>
            </w:r>
          </w:p>
        </w:tc>
        <w:tc>
          <w:tcPr>
            <w:tcW w:w="725" w:type="dxa"/>
            <w:tcBorders/>
            <w:shd w:fill="CCEEFF" w:val="clear"/>
            <w:vAlign w:val="center"/>
          </w:tcPr>
          <w:p>
            <w:pPr>
              <w:pStyle w:val="TableContents"/>
              <w:bidi w:val="0"/>
              <w:spacing w:before="0" w:after="283"/>
              <w:jc w:val="right"/>
              <w:rPr/>
            </w:pPr>
            <w:r>
              <w:rPr/>
              <w:t>22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83" w:type="dxa"/>
            <w:tcBorders/>
            <w:shd w:fill="CCEEFF" w:val="clear"/>
            <w:vAlign w:val="center"/>
          </w:tcPr>
          <w:p>
            <w:pPr>
              <w:pStyle w:val="TableContents"/>
              <w:bidi w:val="0"/>
              <w:spacing w:before="0" w:after="283"/>
              <w:jc w:val="left"/>
              <w:rPr/>
            </w:pPr>
            <w:r>
              <w:rPr/>
              <w:t> </w:t>
            </w:r>
          </w:p>
        </w:tc>
        <w:tc>
          <w:tcPr>
            <w:tcW w:w="1132" w:type="dxa"/>
            <w:tcBorders/>
            <w:shd w:fill="CCEEFF" w:val="clear"/>
            <w:vAlign w:val="center"/>
          </w:tcPr>
          <w:p>
            <w:pPr>
              <w:pStyle w:val="TableContents"/>
              <w:bidi w:val="0"/>
              <w:spacing w:before="0" w:after="283"/>
              <w:jc w:val="right"/>
              <w:rPr/>
            </w:pPr>
            <w:r>
              <w:rPr/>
              <w:t>101</w:t>
            </w:r>
          </w:p>
        </w:tc>
        <w:tc>
          <w:tcPr>
            <w:tcW w:w="75" w:type="dxa"/>
            <w:tcBorders/>
            <w:shd w:fill="CCEEFF" w:val="clear"/>
            <w:vAlign w:val="center"/>
          </w:tcPr>
          <w:p>
            <w:pPr>
              <w:pStyle w:val="TableContents"/>
              <w:bidi w:val="0"/>
              <w:spacing w:before="0" w:after="283"/>
              <w:jc w:val="left"/>
              <w:rPr/>
            </w:pPr>
            <w:r>
              <w:rPr/>
              <w:t> </w:t>
            </w:r>
          </w:p>
        </w:tc>
      </w:tr>
      <w:tr>
        <w:trPr/>
        <w:tc>
          <w:tcPr>
            <w:tcW w:w="4805" w:type="dxa"/>
            <w:tcBorders/>
            <w:shd w:fill="FFFFFF" w:val="clear"/>
            <w:vAlign w:val="center"/>
          </w:tcPr>
          <w:p>
            <w:pPr>
              <w:pStyle w:val="TableContents"/>
              <w:bidi w:val="0"/>
              <w:spacing w:before="0" w:after="283"/>
              <w:jc w:val="both"/>
              <w:rPr/>
            </w:pPr>
            <w:r>
              <w:rPr/>
              <w:t>Other</w:t>
            </w:r>
          </w:p>
        </w:tc>
        <w:tc>
          <w:tcPr>
            <w:tcW w:w="60" w:type="dxa"/>
            <w:tcBorders/>
            <w:shd w:fill="FFFFFF" w:val="clear"/>
            <w:vAlign w:val="center"/>
          </w:tcPr>
          <w:p>
            <w:pPr>
              <w:pStyle w:val="TableContents"/>
              <w:bidi w:val="0"/>
              <w:spacing w:before="0" w:after="283"/>
              <w:jc w:val="left"/>
              <w:rPr/>
            </w:pPr>
            <w:r>
              <w:rPr/>
              <w:t> </w:t>
            </w:r>
          </w:p>
        </w:tc>
        <w:tc>
          <w:tcPr>
            <w:tcW w:w="149"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725" w:type="dxa"/>
            <w:tcBorders>
              <w:bottom w:val="single" w:sz="12" w:space="0" w:color="000000"/>
            </w:tcBorders>
            <w:shd w:fill="FFFFFF" w:val="clear"/>
            <w:tcMar>
              <w:bottom w:w="28" w:type="dxa"/>
            </w:tcMar>
            <w:vAlign w:val="center"/>
          </w:tcPr>
          <w:p>
            <w:pPr>
              <w:pStyle w:val="TableContents"/>
              <w:bidi w:val="0"/>
              <w:spacing w:before="0" w:after="283"/>
              <w:jc w:val="right"/>
              <w:rPr/>
            </w:pPr>
            <w:r>
              <w:rPr/>
              <w:t>317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83"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32" w:type="dxa"/>
            <w:tcBorders>
              <w:bottom w:val="single" w:sz="12" w:space="0" w:color="000000"/>
            </w:tcBorders>
            <w:shd w:fill="FFFFFF" w:val="clear"/>
            <w:tcMar>
              <w:bottom w:w="28" w:type="dxa"/>
            </w:tcMar>
            <w:vAlign w:val="center"/>
          </w:tcPr>
          <w:p>
            <w:pPr>
              <w:pStyle w:val="TableContents"/>
              <w:bidi w:val="0"/>
              <w:spacing w:before="0" w:after="283"/>
              <w:jc w:val="right"/>
              <w:rPr/>
            </w:pPr>
            <w:r>
              <w:rPr/>
              <w:t>293</w:t>
            </w:r>
          </w:p>
        </w:tc>
        <w:tc>
          <w:tcPr>
            <w:tcW w:w="75" w:type="dxa"/>
            <w:tcBorders/>
            <w:shd w:fill="FFFFFF" w:val="clear"/>
            <w:vAlign w:val="center"/>
          </w:tcPr>
          <w:p>
            <w:pPr>
              <w:pStyle w:val="TableContents"/>
              <w:bidi w:val="0"/>
              <w:spacing w:before="0" w:after="283"/>
              <w:jc w:val="left"/>
              <w:rPr/>
            </w:pPr>
            <w:r>
              <w:rPr/>
              <w:t> </w:t>
            </w:r>
          </w:p>
        </w:tc>
      </w:tr>
      <w:tr>
        <w:trPr/>
        <w:tc>
          <w:tcPr>
            <w:tcW w:w="4805" w:type="dxa"/>
            <w:tcBorders/>
            <w:shd w:fill="CCEEFF" w:val="clear"/>
            <w:vAlign w:val="center"/>
          </w:tcPr>
          <w:p>
            <w:pPr>
              <w:pStyle w:val="TableContents"/>
              <w:bidi w:val="0"/>
              <w:spacing w:before="0" w:after="283"/>
              <w:jc w:val="both"/>
              <w:rPr/>
            </w:pPr>
            <w:r>
              <w:rPr/>
              <w:t>Total accrued expenses and other current liabilities</w:t>
            </w:r>
          </w:p>
        </w:tc>
        <w:tc>
          <w:tcPr>
            <w:tcW w:w="60" w:type="dxa"/>
            <w:tcBorders/>
            <w:shd w:fill="CCEEFF" w:val="clear"/>
            <w:vAlign w:val="center"/>
          </w:tcPr>
          <w:p>
            <w:pPr>
              <w:pStyle w:val="TableContents"/>
              <w:bidi w:val="0"/>
              <w:spacing w:before="0" w:after="283"/>
              <w:jc w:val="left"/>
              <w:rPr/>
            </w:pPr>
            <w:r>
              <w:rPr/>
              <w:t> </w:t>
            </w:r>
          </w:p>
        </w:tc>
        <w:tc>
          <w:tcPr>
            <w:tcW w:w="149"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725" w:type="dxa"/>
            <w:tcBorders>
              <w:bottom w:val="double" w:sz="10" w:space="0" w:color="000000"/>
            </w:tcBorders>
            <w:shd w:fill="CCEEFF" w:val="clear"/>
            <w:tcMar>
              <w:bottom w:w="28" w:type="dxa"/>
            </w:tcMar>
            <w:vAlign w:val="center"/>
          </w:tcPr>
          <w:p>
            <w:pPr>
              <w:pStyle w:val="TableContents"/>
              <w:bidi w:val="0"/>
              <w:spacing w:before="0" w:after="283"/>
              <w:jc w:val="right"/>
              <w:rPr/>
            </w:pPr>
            <w:r>
              <w:rPr/>
              <w:t>11,881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83"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132" w:type="dxa"/>
            <w:tcBorders>
              <w:bottom w:val="double" w:sz="10" w:space="0" w:color="000000"/>
            </w:tcBorders>
            <w:shd w:fill="CCEEFF" w:val="clear"/>
            <w:tcMar>
              <w:bottom w:w="28" w:type="dxa"/>
            </w:tcMar>
            <w:vAlign w:val="center"/>
          </w:tcPr>
          <w:p>
            <w:pPr>
              <w:pStyle w:val="TableContents"/>
              <w:bidi w:val="0"/>
              <w:spacing w:before="0" w:after="283"/>
              <w:jc w:val="right"/>
              <w:rPr/>
            </w:pPr>
            <w:r>
              <w:rPr/>
              <w:t>6,511</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Note 8. </w:t>
      </w:r>
      <w:r>
        <w:rPr>
          <w:rFonts w:ascii="Times New Roman;Times;Serif" w:hAnsi="Times New Roman;Times;Serif"/>
          <w:b/>
          <w:i/>
          <w:caps w:val="false"/>
          <w:smallCaps w:val="false"/>
          <w:sz w:val="20"/>
        </w:rPr>
        <w:t>LINE OF CREDIT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During the year ended December 31, 2023, the Company entered into an unsecured line of credit (“LOC”) agreement with a borrowing limit of $3,000. The LOC had a fixed interest rate of 7.5% and was scheduled to mature on June 30, 2025. The outstanding balance on the line was $2,250 as of June 30, 2025 and December 31, 2024. The LOC was repaid in September 2025 in connection with the sale of the membership interest in the Company. Refer to Note 2 – </w:t>
      </w:r>
      <w:r>
        <w:rPr>
          <w:rFonts w:ascii="Times New Roman;Times;Serif" w:hAnsi="Times New Roman;Times;Serif"/>
          <w:b w:val="false"/>
          <w:i/>
          <w:caps w:val="false"/>
          <w:smallCaps w:val="false"/>
          <w:sz w:val="20"/>
        </w:rPr>
        <w:t>Liquidity Considerations and Sale of Company</w:t>
      </w:r>
      <w:r>
        <w:rPr>
          <w:rFonts w:ascii="Times New Roman;Times;Serif" w:hAnsi="Times New Roman;Times;Serif"/>
          <w:b w:val="false"/>
          <w:i w:val="false"/>
          <w:caps w:val="false"/>
          <w:smallCaps w:val="false"/>
          <w:sz w:val="20"/>
        </w:rPr>
        <w:t xml:space="preserve"> for discussion of the sale of the Company.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Note 9. </w:t>
      </w:r>
      <w:r>
        <w:rPr>
          <w:rFonts w:ascii="Times New Roman;Times;Serif" w:hAnsi="Times New Roman;Times;Serif"/>
          <w:b/>
          <w:i/>
          <w:caps w:val="false"/>
          <w:smallCaps w:val="false"/>
          <w:sz w:val="20"/>
        </w:rPr>
        <w:t>LITIGATION FINANCING AND SETTLEMENT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December 31, 2023, the Company filed suit against the former exclusive installation company, Freedom Forever, LLC (“Freedom Forever”) for breach of contract. Freedom Forever filed a counter suit based on a similar claim. The parties completed discovery, and a hearing commenced on May 5, 2025.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During the six months ended June 30, 2024, the Company filed a claim for, and received, $800 in insurance proceeds for loss of key employees and for business litigation in connection with the dispute with Freedom Forever. Of this amount $500 was received from the Company’s insurance captive, a related party. Refer to Note 11 – </w:t>
      </w:r>
      <w:r>
        <w:rPr>
          <w:rFonts w:ascii="Times New Roman;Times;Serif" w:hAnsi="Times New Roman;Times;Serif"/>
          <w:b w:val="false"/>
          <w:i/>
          <w:caps w:val="false"/>
          <w:smallCaps w:val="false"/>
          <w:sz w:val="20"/>
        </w:rPr>
        <w:t>Related Party Transactions</w:t>
      </w:r>
      <w:r>
        <w:rPr>
          <w:rFonts w:ascii="Times New Roman;Times;Serif" w:hAnsi="Times New Roman;Times;Serif"/>
          <w:b w:val="false"/>
          <w:i w:val="false"/>
          <w:caps w:val="false"/>
          <w:smallCaps w:val="false"/>
          <w:sz w:val="20"/>
        </w:rPr>
        <w:t xml:space="preserve"> for detail. These proceeds are presented within Other income, net on the statement of operations and member’s deficit.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sz w:val="20"/>
          <w:bdr w:val="single" w:sz="12" w:space="1" w:color="000000"/>
        </w:rPr>
      </w:pPr>
      <w:r>
        <w:rPr>
          <w:sz w:val="20"/>
          <w:bdr w:val="single" w:sz="12" w:space="1" w:color="000000"/>
        </w:rPr>
        <w:t>F-142</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 October 2024, the Company obtained litigation funding of $3,400 via a funding and investment agreement from a third party. The investment will be repaid upon settlement of the associated Freedom Forever lawsuit. If the outcome is in favor of the Company, then the investor will be repaid the full investment amount plus a multiple of the investment, dependent on timing between the closing date and the date of repayment. If the lawsuit is mutually settled or is in favor of the defendant, the Company may be liable to pay up to $2,000 to the investor and a portion of proceeds up to the original investment amount. The investor has a security interest in the proceeds of the lawsuit, and the Company may not encumber or pledge the proceeds to any other party. The repayment of the funding received is contingent upon future events which does not meet the criteria under ASC 470 – </w:t>
      </w:r>
      <w:r>
        <w:rPr>
          <w:rFonts w:ascii="Times New Roman;Times;Serif" w:hAnsi="Times New Roman;Times;Serif"/>
          <w:b w:val="false"/>
          <w:i/>
          <w:caps w:val="false"/>
          <w:smallCaps w:val="false"/>
          <w:sz w:val="20"/>
        </w:rPr>
        <w:t>Debt</w:t>
      </w:r>
      <w:r>
        <w:rPr>
          <w:rFonts w:ascii="Times New Roman;Times;Serif" w:hAnsi="Times New Roman;Times;Serif"/>
          <w:b w:val="false"/>
          <w:i w:val="false"/>
          <w:caps w:val="false"/>
          <w:smallCaps w:val="false"/>
          <w:sz w:val="20"/>
        </w:rPr>
        <w:t xml:space="preserve"> (“ASC 470”), to be accounted for as debt. Accordingly, the Company concluded that while the litigation funding did not meet the criteria to be accounted for as debt under ASC 470, it may be accounted for as a contingent obligation under ASC 450 – </w:t>
      </w:r>
      <w:r>
        <w:rPr>
          <w:rFonts w:ascii="Times New Roman;Times;Serif" w:hAnsi="Times New Roman;Times;Serif"/>
          <w:b w:val="false"/>
          <w:i/>
          <w:caps w:val="false"/>
          <w:smallCaps w:val="false"/>
          <w:sz w:val="20"/>
        </w:rPr>
        <w:t>Contingencies,</w:t>
      </w:r>
      <w:r>
        <w:rPr>
          <w:rFonts w:ascii="Times New Roman;Times;Serif" w:hAnsi="Times New Roman;Times;Serif"/>
          <w:b w:val="false"/>
          <w:i w:val="false"/>
          <w:caps w:val="false"/>
          <w:smallCaps w:val="false"/>
          <w:sz w:val="20"/>
        </w:rPr>
        <w:t xml:space="preserve"> with no balance sheet recognition as of the reporting date. The cash received via the funding and investment agreement has been recorded as other income on the Statement of Operations for the fiscal year December 31, 2024.</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July 15, 2025, the arbitrator issued a final and binding award in the Company’s arbitration proceeding against Freedom Forever. The Company was awarded $6,772 in net damages inclusive of interest of 10%. The decision fully resolves all claims between the parties as it relates to this matter and provides a clear and enforceable outcome in the Company’s favor. The Company is required to pay these proceeds to the investor that provided litigation funding. On September 22, 2025, the Company entered into a settlement agreement (“Settlement Agreement”) with Freedom Forever with respect to the Company’s outstanding litigation matters with Freedom Forever. The Settlement Agreement became a global settlement to include further resolution on the amount owed by Freedom Forever as a result of the arbitration decision. In full settlement of all pending matters, the Company subsequently agreed to a modification of the damage award from $6,772 to a $4,000 settlement with Freedom Forever. Freedom Forever agreed to pay the Company in four installments of $1,000 on or about October 6, 2025, November 5, 2025, December 5, 2025 and January 4, 2026. Management worked with the litigation finance investor and agreed that the Company would pay any of the $4,000 received from Freedom Forever to the litigation finance investor, plus an additional $250. The Company remitted the $250 on September 24, 2025. To date, none of the installment payments has been received from Freedom Forever and no amounts have been recognized in the financial statements related to the Settlement Agreement or payment of the litigation funding investment. The Company’s obligation to pay the litigation finance investor is only required when Freedom Forever makes a payment to the Company.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10</w:t>
      </w:r>
      <w:r>
        <w:rPr>
          <w:rFonts w:ascii="Times New Roman;Times;Serif" w:hAnsi="Times New Roman;Times;Serif"/>
          <w:b/>
          <w:i/>
          <w:caps w:val="false"/>
          <w:smallCaps w:val="false"/>
          <w:sz w:val="20"/>
        </w:rPr>
        <w:t>. LEASES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leases certain office space through a non-cancelable operating lease. The Company assesses whether an arrangement qualifies as a lease (i.e., conveys the right to control the use of an identified asset for a period of time in exchange for consideration) at inception and only reassesses its determination if the terms and conditions of the arrangement are changed. Leases may include one or more options to renew. The exercise of any lease renewal option is at the Company’s sole discretion.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presents the operating lease components recorded in the Company’s balance sheets as of June 30, 2025 and December 31, 2024</w:t>
      </w:r>
      <w:r>
        <w:rPr>
          <w:rFonts w:ascii="Times New Roman;Times;Serif" w:hAnsi="Times New Roman;Times;Serif"/>
          <w:b w:val="false"/>
          <w:i/>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tbl>
      <w:tblPr>
        <w:tblW w:w="6883" w:type="dxa"/>
        <w:jc w:val="left"/>
        <w:tblInd w:w="0" w:type="dxa"/>
        <w:tblLayout w:type="fixed"/>
        <w:tblCellMar>
          <w:top w:w="0" w:type="dxa"/>
          <w:left w:w="0" w:type="dxa"/>
          <w:bottom w:w="0" w:type="dxa"/>
          <w:right w:w="0" w:type="dxa"/>
        </w:tblCellMar>
      </w:tblPr>
      <w:tblGrid>
        <w:gridCol w:w="4340"/>
        <w:gridCol w:w="60"/>
        <w:gridCol w:w="235"/>
        <w:gridCol w:w="639"/>
        <w:gridCol w:w="60"/>
        <w:gridCol w:w="60"/>
        <w:gridCol w:w="380"/>
        <w:gridCol w:w="1034"/>
        <w:gridCol w:w="75"/>
      </w:tblGrid>
      <w:tr>
        <w:trPr/>
        <w:tc>
          <w:tcPr>
            <w:tcW w:w="4340"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p>
        </w:tc>
        <w:tc>
          <w:tcPr>
            <w:tcW w:w="2408"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As of</w:t>
            </w:r>
          </w:p>
        </w:tc>
        <w:tc>
          <w:tcPr>
            <w:tcW w:w="75" w:type="dxa"/>
            <w:tcBorders/>
            <w:vAlign w:val="center"/>
          </w:tcPr>
          <w:p>
            <w:pPr>
              <w:pStyle w:val="TableContents"/>
              <w:bidi w:val="0"/>
              <w:spacing w:before="0" w:after="283"/>
              <w:jc w:val="left"/>
              <w:rPr/>
            </w:pPr>
            <w:r>
              <w:rPr/>
              <w:t> </w:t>
            </w:r>
          </w:p>
        </w:tc>
      </w:tr>
      <w:tr>
        <w:trPr/>
        <w:tc>
          <w:tcPr>
            <w:tcW w:w="4340"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p>
        </w:tc>
        <w:tc>
          <w:tcPr>
            <w:tcW w:w="874" w:type="dxa"/>
            <w:gridSpan w:val="2"/>
            <w:tcBorders/>
            <w:vAlign w:val="center"/>
          </w:tcPr>
          <w:p>
            <w:pPr>
              <w:pStyle w:val="TableContents"/>
              <w:bidi w:val="0"/>
              <w:spacing w:before="0" w:after="283"/>
              <w:jc w:val="center"/>
              <w:rPr>
                <w:b/>
              </w:rPr>
            </w:pPr>
            <w:r>
              <w:rPr>
                <w:b/>
              </w:rPr>
              <w:t>June 30,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14" w:type="dxa"/>
            <w:gridSpan w:val="2"/>
            <w:tcBorders/>
            <w:vAlign w:val="center"/>
          </w:tcPr>
          <w:p>
            <w:pPr>
              <w:pStyle w:val="TableContents"/>
              <w:bidi w:val="0"/>
              <w:spacing w:before="0" w:after="283"/>
              <w:jc w:val="center"/>
              <w:rPr>
                <w:b/>
              </w:rPr>
            </w:pPr>
            <w:r>
              <w:rPr>
                <w:b/>
              </w:rPr>
              <w:t>December 31,</w:t>
            </w:r>
          </w:p>
        </w:tc>
        <w:tc>
          <w:tcPr>
            <w:tcW w:w="75" w:type="dxa"/>
            <w:tcBorders/>
            <w:vAlign w:val="center"/>
          </w:tcPr>
          <w:p>
            <w:pPr>
              <w:pStyle w:val="TableContents"/>
              <w:bidi w:val="0"/>
              <w:spacing w:before="0" w:after="283"/>
              <w:jc w:val="left"/>
              <w:rPr/>
            </w:pPr>
            <w:r>
              <w:rPr/>
              <w:t> </w:t>
            </w:r>
          </w:p>
        </w:tc>
      </w:tr>
      <w:tr>
        <w:trPr/>
        <w:tc>
          <w:tcPr>
            <w:tcW w:w="4340"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p>
        </w:tc>
        <w:tc>
          <w:tcPr>
            <w:tcW w:w="874"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14"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2024</w:t>
            </w:r>
          </w:p>
        </w:tc>
        <w:tc>
          <w:tcPr>
            <w:tcW w:w="75" w:type="dxa"/>
            <w:tcBorders/>
            <w:vAlign w:val="center"/>
          </w:tcPr>
          <w:p>
            <w:pPr>
              <w:pStyle w:val="TableContents"/>
              <w:bidi w:val="0"/>
              <w:spacing w:before="0" w:after="283"/>
              <w:jc w:val="left"/>
              <w:rPr/>
            </w:pPr>
            <w:r>
              <w:rPr/>
              <w:t> </w:t>
            </w:r>
          </w:p>
        </w:tc>
      </w:tr>
      <w:tr>
        <w:trPr/>
        <w:tc>
          <w:tcPr>
            <w:tcW w:w="4340" w:type="dxa"/>
            <w:tcBorders/>
            <w:shd w:fill="CCEEFF" w:val="clear"/>
            <w:vAlign w:val="center"/>
          </w:tcPr>
          <w:p>
            <w:pPr>
              <w:pStyle w:val="TableContents"/>
              <w:bidi w:val="0"/>
              <w:spacing w:before="0" w:after="283"/>
              <w:jc w:val="both"/>
              <w:rPr/>
            </w:pPr>
            <w:r>
              <w:rPr/>
              <w:t>Operating lease right-of-use asset, net</w:t>
            </w:r>
          </w:p>
        </w:tc>
        <w:tc>
          <w:tcPr>
            <w:tcW w:w="60" w:type="dxa"/>
            <w:tcBorders/>
            <w:shd w:fill="CCEEFF" w:val="clear"/>
            <w:vAlign w:val="center"/>
          </w:tcPr>
          <w:p>
            <w:pPr>
              <w:pStyle w:val="TableContents"/>
              <w:bidi w:val="0"/>
              <w:spacing w:before="0" w:after="283"/>
              <w:jc w:val="left"/>
              <w:rPr/>
            </w:pPr>
            <w:r>
              <w:rPr/>
              <w:t> </w:t>
            </w:r>
          </w:p>
        </w:tc>
        <w:tc>
          <w:tcPr>
            <w:tcW w:w="235"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639" w:type="dxa"/>
            <w:tcBorders>
              <w:bottom w:val="double" w:sz="10" w:space="0" w:color="000000"/>
            </w:tcBorders>
            <w:shd w:fill="CCEEFF" w:val="clear"/>
            <w:tcMar>
              <w:bottom w:w="28" w:type="dxa"/>
            </w:tcMar>
            <w:vAlign w:val="center"/>
          </w:tcPr>
          <w:p>
            <w:pPr>
              <w:pStyle w:val="TableContents"/>
              <w:bidi w:val="0"/>
              <w:spacing w:before="0" w:after="283"/>
              <w:jc w:val="right"/>
              <w:rPr/>
            </w:pPr>
            <w:r>
              <w:rPr/>
              <w:t>340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80"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034" w:type="dxa"/>
            <w:tcBorders>
              <w:bottom w:val="double" w:sz="10" w:space="0" w:color="000000"/>
            </w:tcBorders>
            <w:shd w:fill="CCEEFF" w:val="clear"/>
            <w:tcMar>
              <w:bottom w:w="28" w:type="dxa"/>
            </w:tcMar>
            <w:vAlign w:val="center"/>
          </w:tcPr>
          <w:p>
            <w:pPr>
              <w:pStyle w:val="TableContents"/>
              <w:bidi w:val="0"/>
              <w:spacing w:before="0" w:after="283"/>
              <w:jc w:val="right"/>
              <w:rPr/>
            </w:pPr>
            <w:r>
              <w:rPr/>
              <w:t>397</w:t>
            </w:r>
          </w:p>
        </w:tc>
        <w:tc>
          <w:tcPr>
            <w:tcW w:w="75" w:type="dxa"/>
            <w:tcBorders/>
            <w:shd w:fill="CCEEFF" w:val="clear"/>
            <w:vAlign w:val="center"/>
          </w:tcPr>
          <w:p>
            <w:pPr>
              <w:pStyle w:val="TableContents"/>
              <w:bidi w:val="0"/>
              <w:spacing w:before="0" w:after="283"/>
              <w:jc w:val="left"/>
              <w:rPr/>
            </w:pPr>
            <w:r>
              <w:rPr/>
              <w:t> </w:t>
            </w:r>
          </w:p>
        </w:tc>
      </w:tr>
      <w:tr>
        <w:trPr/>
        <w:tc>
          <w:tcPr>
            <w:tcW w:w="434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5" w:type="dxa"/>
            <w:tcBorders/>
            <w:shd w:fill="FFFFFF" w:val="clear"/>
            <w:vAlign w:val="center"/>
          </w:tcPr>
          <w:p>
            <w:pPr>
              <w:pStyle w:val="TableContents"/>
              <w:bidi w:val="0"/>
              <w:spacing w:before="0" w:after="283"/>
              <w:jc w:val="left"/>
              <w:rPr/>
            </w:pPr>
            <w:r>
              <w:rPr/>
              <w:t> </w:t>
            </w:r>
          </w:p>
        </w:tc>
        <w:tc>
          <w:tcPr>
            <w:tcW w:w="639"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80" w:type="dxa"/>
            <w:tcBorders/>
            <w:shd w:fill="FFFFFF" w:val="clear"/>
            <w:vAlign w:val="center"/>
          </w:tcPr>
          <w:p>
            <w:pPr>
              <w:pStyle w:val="TableContents"/>
              <w:bidi w:val="0"/>
              <w:spacing w:before="0" w:after="283"/>
              <w:jc w:val="left"/>
              <w:rPr/>
            </w:pPr>
            <w:r>
              <w:rPr/>
              <w:t> </w:t>
            </w:r>
          </w:p>
        </w:tc>
        <w:tc>
          <w:tcPr>
            <w:tcW w:w="1034" w:type="dxa"/>
            <w:tcBorders/>
            <w:shd w:fill="FFFFFF" w:val="clear"/>
            <w:vAlign w:val="center"/>
          </w:tcPr>
          <w:p>
            <w:pPr>
              <w:pStyle w:val="TableContents"/>
              <w:bidi w:val="0"/>
              <w:spacing w:before="0" w:after="283"/>
              <w:jc w:val="right"/>
              <w:rPr/>
            </w:pPr>
            <w:r>
              <w:rPr/>
              <w:t> </w:t>
            </w:r>
          </w:p>
        </w:tc>
        <w:tc>
          <w:tcPr>
            <w:tcW w:w="75" w:type="dxa"/>
            <w:tcBorders/>
            <w:shd w:fill="FFFFFF" w:val="clear"/>
            <w:vAlign w:val="center"/>
          </w:tcPr>
          <w:p>
            <w:pPr>
              <w:pStyle w:val="TableContents"/>
              <w:bidi w:val="0"/>
              <w:spacing w:before="0" w:after="283"/>
              <w:jc w:val="left"/>
              <w:rPr/>
            </w:pPr>
            <w:r>
              <w:rPr/>
              <w:t> </w:t>
            </w:r>
          </w:p>
        </w:tc>
      </w:tr>
      <w:tr>
        <w:trPr/>
        <w:tc>
          <w:tcPr>
            <w:tcW w:w="4340" w:type="dxa"/>
            <w:tcBorders/>
            <w:shd w:fill="CCEEFF" w:val="clear"/>
            <w:vAlign w:val="center"/>
          </w:tcPr>
          <w:p>
            <w:pPr>
              <w:pStyle w:val="TableContents"/>
              <w:bidi w:val="0"/>
              <w:spacing w:before="0" w:after="283"/>
              <w:jc w:val="both"/>
              <w:rPr/>
            </w:pPr>
            <w:r>
              <w:rPr/>
              <w:t>Current portion of operating lease liability</w:t>
            </w:r>
          </w:p>
        </w:tc>
        <w:tc>
          <w:tcPr>
            <w:tcW w:w="60" w:type="dxa"/>
            <w:tcBorders/>
            <w:shd w:fill="CCEEFF" w:val="clear"/>
            <w:vAlign w:val="center"/>
          </w:tcPr>
          <w:p>
            <w:pPr>
              <w:pStyle w:val="TableContents"/>
              <w:bidi w:val="0"/>
              <w:spacing w:before="0" w:after="283"/>
              <w:jc w:val="left"/>
              <w:rPr/>
            </w:pPr>
            <w:r>
              <w:rPr/>
              <w:t> </w:t>
            </w:r>
          </w:p>
        </w:tc>
        <w:tc>
          <w:tcPr>
            <w:tcW w:w="235" w:type="dxa"/>
            <w:tcBorders/>
            <w:shd w:fill="CCEEFF" w:val="clear"/>
            <w:vAlign w:val="center"/>
          </w:tcPr>
          <w:p>
            <w:pPr>
              <w:pStyle w:val="TableContents"/>
              <w:bidi w:val="0"/>
              <w:spacing w:before="0" w:after="283"/>
              <w:jc w:val="left"/>
              <w:rPr/>
            </w:pPr>
            <w:r>
              <w:rPr/>
              <w:t>$</w:t>
            </w:r>
          </w:p>
        </w:tc>
        <w:tc>
          <w:tcPr>
            <w:tcW w:w="639" w:type="dxa"/>
            <w:tcBorders/>
            <w:shd w:fill="CCEEFF" w:val="clear"/>
            <w:vAlign w:val="center"/>
          </w:tcPr>
          <w:p>
            <w:pPr>
              <w:pStyle w:val="TableContents"/>
              <w:bidi w:val="0"/>
              <w:spacing w:before="0" w:after="283"/>
              <w:jc w:val="right"/>
              <w:rPr/>
            </w:pPr>
            <w:r>
              <w:rPr/>
              <w:t>125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80" w:type="dxa"/>
            <w:tcBorders/>
            <w:shd w:fill="CCEEFF" w:val="clear"/>
            <w:vAlign w:val="center"/>
          </w:tcPr>
          <w:p>
            <w:pPr>
              <w:pStyle w:val="TableContents"/>
              <w:bidi w:val="0"/>
              <w:spacing w:before="0" w:after="283"/>
              <w:jc w:val="left"/>
              <w:rPr/>
            </w:pPr>
            <w:r>
              <w:rPr/>
              <w:t>$</w:t>
            </w:r>
          </w:p>
        </w:tc>
        <w:tc>
          <w:tcPr>
            <w:tcW w:w="1034" w:type="dxa"/>
            <w:tcBorders/>
            <w:shd w:fill="CCEEFF" w:val="clear"/>
            <w:vAlign w:val="center"/>
          </w:tcPr>
          <w:p>
            <w:pPr>
              <w:pStyle w:val="TableContents"/>
              <w:bidi w:val="0"/>
              <w:spacing w:before="0" w:after="283"/>
              <w:jc w:val="right"/>
              <w:rPr/>
            </w:pPr>
            <w:r>
              <w:rPr/>
              <w:t>119</w:t>
            </w:r>
          </w:p>
        </w:tc>
        <w:tc>
          <w:tcPr>
            <w:tcW w:w="75" w:type="dxa"/>
            <w:tcBorders/>
            <w:shd w:fill="CCEEFF" w:val="clear"/>
            <w:vAlign w:val="center"/>
          </w:tcPr>
          <w:p>
            <w:pPr>
              <w:pStyle w:val="TableContents"/>
              <w:bidi w:val="0"/>
              <w:spacing w:before="0" w:after="283"/>
              <w:jc w:val="left"/>
              <w:rPr/>
            </w:pPr>
            <w:r>
              <w:rPr/>
              <w:t> </w:t>
            </w:r>
          </w:p>
        </w:tc>
      </w:tr>
      <w:tr>
        <w:trPr/>
        <w:tc>
          <w:tcPr>
            <w:tcW w:w="4340" w:type="dxa"/>
            <w:tcBorders/>
            <w:shd w:fill="FFFFFF" w:val="clear"/>
            <w:vAlign w:val="center"/>
          </w:tcPr>
          <w:p>
            <w:pPr>
              <w:pStyle w:val="TableContents"/>
              <w:bidi w:val="0"/>
              <w:spacing w:before="0" w:after="283"/>
              <w:jc w:val="both"/>
              <w:rPr/>
            </w:pPr>
            <w:r>
              <w:rPr/>
              <w:t>Noncurrent portion of operating lease liability</w:t>
            </w:r>
          </w:p>
        </w:tc>
        <w:tc>
          <w:tcPr>
            <w:tcW w:w="60" w:type="dxa"/>
            <w:tcBorders/>
            <w:shd w:fill="FFFFFF" w:val="clear"/>
            <w:vAlign w:val="center"/>
          </w:tcPr>
          <w:p>
            <w:pPr>
              <w:pStyle w:val="TableContents"/>
              <w:bidi w:val="0"/>
              <w:spacing w:before="0" w:after="283"/>
              <w:jc w:val="left"/>
              <w:rPr/>
            </w:pPr>
            <w:r>
              <w:rPr/>
              <w:t> </w:t>
            </w:r>
          </w:p>
        </w:tc>
        <w:tc>
          <w:tcPr>
            <w:tcW w:w="235"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639" w:type="dxa"/>
            <w:tcBorders>
              <w:bottom w:val="single" w:sz="12" w:space="0" w:color="000000"/>
            </w:tcBorders>
            <w:shd w:fill="FFFFFF" w:val="clear"/>
            <w:tcMar>
              <w:bottom w:w="28" w:type="dxa"/>
            </w:tcMar>
            <w:vAlign w:val="center"/>
          </w:tcPr>
          <w:p>
            <w:pPr>
              <w:pStyle w:val="TableContents"/>
              <w:bidi w:val="0"/>
              <w:spacing w:before="0" w:after="283"/>
              <w:jc w:val="right"/>
              <w:rPr/>
            </w:pPr>
            <w:r>
              <w:rPr/>
              <w:t>237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8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034" w:type="dxa"/>
            <w:tcBorders>
              <w:bottom w:val="single" w:sz="12" w:space="0" w:color="000000"/>
            </w:tcBorders>
            <w:shd w:fill="FFFFFF" w:val="clear"/>
            <w:tcMar>
              <w:bottom w:w="28" w:type="dxa"/>
            </w:tcMar>
            <w:vAlign w:val="center"/>
          </w:tcPr>
          <w:p>
            <w:pPr>
              <w:pStyle w:val="TableContents"/>
              <w:bidi w:val="0"/>
              <w:spacing w:before="0" w:after="283"/>
              <w:jc w:val="right"/>
              <w:rPr/>
            </w:pPr>
            <w:r>
              <w:rPr/>
              <w:t>302</w:t>
            </w:r>
          </w:p>
        </w:tc>
        <w:tc>
          <w:tcPr>
            <w:tcW w:w="75" w:type="dxa"/>
            <w:tcBorders/>
            <w:shd w:fill="FFFFFF" w:val="clear"/>
            <w:vAlign w:val="center"/>
          </w:tcPr>
          <w:p>
            <w:pPr>
              <w:pStyle w:val="TableContents"/>
              <w:bidi w:val="0"/>
              <w:spacing w:before="0" w:after="283"/>
              <w:jc w:val="left"/>
              <w:rPr/>
            </w:pPr>
            <w:r>
              <w:rPr/>
              <w:t> </w:t>
            </w:r>
          </w:p>
        </w:tc>
      </w:tr>
      <w:tr>
        <w:trPr/>
        <w:tc>
          <w:tcPr>
            <w:tcW w:w="4340" w:type="dxa"/>
            <w:tcBorders/>
            <w:shd w:fill="CCEEFF" w:val="clear"/>
            <w:vAlign w:val="center"/>
          </w:tcPr>
          <w:p>
            <w:pPr>
              <w:pStyle w:val="TableContents"/>
              <w:bidi w:val="0"/>
              <w:spacing w:before="0" w:after="283"/>
              <w:jc w:val="both"/>
              <w:rPr/>
            </w:pPr>
            <w:r>
              <w:rPr/>
              <w:t>Total operating lease liability</w:t>
            </w:r>
          </w:p>
        </w:tc>
        <w:tc>
          <w:tcPr>
            <w:tcW w:w="60" w:type="dxa"/>
            <w:tcBorders/>
            <w:shd w:fill="CCEEFF" w:val="clear"/>
            <w:vAlign w:val="center"/>
          </w:tcPr>
          <w:p>
            <w:pPr>
              <w:pStyle w:val="TableContents"/>
              <w:bidi w:val="0"/>
              <w:spacing w:before="0" w:after="283"/>
              <w:jc w:val="left"/>
              <w:rPr/>
            </w:pPr>
            <w:r>
              <w:rPr/>
              <w:t> </w:t>
            </w:r>
          </w:p>
        </w:tc>
        <w:tc>
          <w:tcPr>
            <w:tcW w:w="235"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639" w:type="dxa"/>
            <w:tcBorders>
              <w:bottom w:val="double" w:sz="10" w:space="0" w:color="000000"/>
            </w:tcBorders>
            <w:shd w:fill="CCEEFF" w:val="clear"/>
            <w:tcMar>
              <w:bottom w:w="28" w:type="dxa"/>
            </w:tcMar>
            <w:vAlign w:val="center"/>
          </w:tcPr>
          <w:p>
            <w:pPr>
              <w:pStyle w:val="TableContents"/>
              <w:bidi w:val="0"/>
              <w:spacing w:before="0" w:after="283"/>
              <w:jc w:val="right"/>
              <w:rPr/>
            </w:pPr>
            <w:r>
              <w:rPr/>
              <w:t>362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80"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034" w:type="dxa"/>
            <w:tcBorders>
              <w:bottom w:val="double" w:sz="10" w:space="0" w:color="000000"/>
            </w:tcBorders>
            <w:shd w:fill="CCEEFF" w:val="clear"/>
            <w:tcMar>
              <w:bottom w:w="28" w:type="dxa"/>
            </w:tcMar>
            <w:vAlign w:val="center"/>
          </w:tcPr>
          <w:p>
            <w:pPr>
              <w:pStyle w:val="TableContents"/>
              <w:bidi w:val="0"/>
              <w:spacing w:before="0" w:after="283"/>
              <w:jc w:val="right"/>
              <w:rPr/>
            </w:pPr>
            <w:r>
              <w:rPr/>
              <w:t>421</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Cash paid for amounts included in the measurement of operating lease liabilities totaled $58 and $53 for the six months ended June 30, 2025 and 2024, respectively.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sz w:val="20"/>
          <w:bdr w:val="single" w:sz="12" w:space="1" w:color="000000"/>
        </w:rPr>
      </w:pPr>
      <w:r>
        <w:rPr>
          <w:sz w:val="20"/>
          <w:bdr w:val="single" w:sz="12" w:space="1" w:color="000000"/>
        </w:rPr>
        <w:t>F-143</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Because the Company generally does not have access to the rate implicit in a lease, the Company uses its incremental borrowing rate to determine the present value of its leases.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summarizes the weighted average remaining lease term and discount rates for the Company’s operating leases:</w:t>
      </w:r>
    </w:p>
    <w:p>
      <w:pPr>
        <w:pStyle w:val="TextBody"/>
        <w:bidi w:val="0"/>
        <w:spacing w:before="0" w:after="0"/>
        <w:ind w:left="0" w:right="0" w:hanging="0"/>
        <w:jc w:val="both"/>
        <w:rPr>
          <w:caps w:val="false"/>
          <w:smallCaps w:val="false"/>
        </w:rPr>
      </w:pPr>
      <w:r>
        <w:rPr>
          <w:caps w:val="false"/>
          <w:smallCaps w:val="false"/>
        </w:rPr>
        <w:t> </w:t>
      </w:r>
    </w:p>
    <w:tbl>
      <w:tblPr>
        <w:tblW w:w="6639" w:type="dxa"/>
        <w:jc w:val="left"/>
        <w:tblInd w:w="0" w:type="dxa"/>
        <w:tblLayout w:type="fixed"/>
        <w:tblCellMar>
          <w:top w:w="0" w:type="dxa"/>
          <w:left w:w="0" w:type="dxa"/>
          <w:bottom w:w="0" w:type="dxa"/>
          <w:right w:w="0" w:type="dxa"/>
        </w:tblCellMar>
      </w:tblPr>
      <w:tblGrid>
        <w:gridCol w:w="3755"/>
        <w:gridCol w:w="60"/>
        <w:gridCol w:w="60"/>
        <w:gridCol w:w="845"/>
        <w:gridCol w:w="215"/>
        <w:gridCol w:w="60"/>
        <w:gridCol w:w="169"/>
        <w:gridCol w:w="1245"/>
        <w:gridCol w:w="230"/>
      </w:tblGrid>
      <w:tr>
        <w:trPr/>
        <w:tc>
          <w:tcPr>
            <w:tcW w:w="3755"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p>
        </w:tc>
        <w:tc>
          <w:tcPr>
            <w:tcW w:w="2594"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As of</w:t>
            </w:r>
          </w:p>
        </w:tc>
        <w:tc>
          <w:tcPr>
            <w:tcW w:w="230" w:type="dxa"/>
            <w:tcBorders/>
            <w:vAlign w:val="center"/>
          </w:tcPr>
          <w:p>
            <w:pPr>
              <w:pStyle w:val="TableContents"/>
              <w:bidi w:val="0"/>
              <w:spacing w:before="0" w:after="283"/>
              <w:jc w:val="left"/>
              <w:rPr/>
            </w:pPr>
            <w:r>
              <w:rPr/>
              <w:t> </w:t>
            </w:r>
          </w:p>
        </w:tc>
      </w:tr>
      <w:tr>
        <w:trPr/>
        <w:tc>
          <w:tcPr>
            <w:tcW w:w="3755"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p>
        </w:tc>
        <w:tc>
          <w:tcPr>
            <w:tcW w:w="905" w:type="dxa"/>
            <w:gridSpan w:val="2"/>
            <w:tcBorders/>
            <w:vAlign w:val="center"/>
          </w:tcPr>
          <w:p>
            <w:pPr>
              <w:pStyle w:val="TableContents"/>
              <w:bidi w:val="0"/>
              <w:spacing w:before="0" w:after="283"/>
              <w:jc w:val="center"/>
              <w:rPr>
                <w:b/>
              </w:rPr>
            </w:pPr>
            <w:r>
              <w:rPr>
                <w:b/>
              </w:rPr>
              <w:t>June 30,</w:t>
            </w:r>
          </w:p>
        </w:tc>
        <w:tc>
          <w:tcPr>
            <w:tcW w:w="2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14" w:type="dxa"/>
            <w:gridSpan w:val="2"/>
            <w:tcBorders/>
            <w:vAlign w:val="center"/>
          </w:tcPr>
          <w:p>
            <w:pPr>
              <w:pStyle w:val="TableContents"/>
              <w:bidi w:val="0"/>
              <w:spacing w:before="0" w:after="283"/>
              <w:jc w:val="center"/>
              <w:rPr>
                <w:b/>
              </w:rPr>
            </w:pPr>
            <w:r>
              <w:rPr>
                <w:b/>
              </w:rPr>
              <w:t>December 31,</w:t>
            </w:r>
          </w:p>
        </w:tc>
        <w:tc>
          <w:tcPr>
            <w:tcW w:w="230" w:type="dxa"/>
            <w:tcBorders/>
            <w:vAlign w:val="center"/>
          </w:tcPr>
          <w:p>
            <w:pPr>
              <w:pStyle w:val="TableContents"/>
              <w:bidi w:val="0"/>
              <w:spacing w:before="0" w:after="283"/>
              <w:jc w:val="left"/>
              <w:rPr/>
            </w:pPr>
            <w:r>
              <w:rPr/>
              <w:t> </w:t>
            </w:r>
          </w:p>
        </w:tc>
      </w:tr>
      <w:tr>
        <w:trPr/>
        <w:tc>
          <w:tcPr>
            <w:tcW w:w="3755"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p>
        </w:tc>
        <w:tc>
          <w:tcPr>
            <w:tcW w:w="90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2025</w:t>
            </w:r>
          </w:p>
        </w:tc>
        <w:tc>
          <w:tcPr>
            <w:tcW w:w="2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14"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2024</w:t>
            </w:r>
          </w:p>
        </w:tc>
        <w:tc>
          <w:tcPr>
            <w:tcW w:w="230" w:type="dxa"/>
            <w:tcBorders/>
            <w:vAlign w:val="center"/>
          </w:tcPr>
          <w:p>
            <w:pPr>
              <w:pStyle w:val="TableContents"/>
              <w:bidi w:val="0"/>
              <w:spacing w:before="0" w:after="283"/>
              <w:jc w:val="left"/>
              <w:rPr/>
            </w:pPr>
            <w:r>
              <w:rPr/>
              <w:t> </w:t>
            </w:r>
          </w:p>
        </w:tc>
      </w:tr>
      <w:tr>
        <w:trPr/>
        <w:tc>
          <w:tcPr>
            <w:tcW w:w="3755" w:type="dxa"/>
            <w:tcBorders/>
            <w:shd w:fill="CCEEFF" w:val="clear"/>
            <w:vAlign w:val="center"/>
          </w:tcPr>
          <w:p>
            <w:pPr>
              <w:pStyle w:val="TableContents"/>
              <w:bidi w:val="0"/>
              <w:spacing w:before="0" w:after="283"/>
              <w:jc w:val="both"/>
              <w:rPr/>
            </w:pPr>
            <w:r>
              <w:rPr/>
              <w:t>Weighted average remaining lease term</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4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2.67 years</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9" w:type="dxa"/>
            <w:tcBorders/>
            <w:shd w:fill="CCEEFF" w:val="clear"/>
            <w:vAlign w:val="center"/>
          </w:tcPr>
          <w:p>
            <w:pPr>
              <w:pStyle w:val="TableContents"/>
              <w:bidi w:val="0"/>
              <w:spacing w:before="0" w:after="283"/>
              <w:jc w:val="left"/>
              <w:rPr/>
            </w:pPr>
            <w:r>
              <w:rPr/>
              <w:t> </w:t>
            </w:r>
          </w:p>
        </w:tc>
        <w:tc>
          <w:tcPr>
            <w:tcW w:w="124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3.17 years</w:t>
            </w:r>
          </w:p>
        </w:tc>
        <w:tc>
          <w:tcPr>
            <w:tcW w:w="230" w:type="dxa"/>
            <w:tcBorders/>
            <w:shd w:fill="CCEEFF" w:val="clear"/>
            <w:vAlign w:val="center"/>
          </w:tcPr>
          <w:p>
            <w:pPr>
              <w:pStyle w:val="TableContents"/>
              <w:bidi w:val="0"/>
              <w:spacing w:before="0" w:after="283"/>
              <w:jc w:val="left"/>
              <w:rPr/>
            </w:pPr>
            <w:r>
              <w:rPr/>
              <w:t> </w:t>
            </w:r>
          </w:p>
        </w:tc>
      </w:tr>
      <w:tr>
        <w:trPr/>
        <w:tc>
          <w:tcPr>
            <w:tcW w:w="3755" w:type="dxa"/>
            <w:tcBorders/>
            <w:shd w:fill="FFFFFF" w:val="clear"/>
            <w:vAlign w:val="center"/>
          </w:tcPr>
          <w:p>
            <w:pPr>
              <w:pStyle w:val="TableContents"/>
              <w:bidi w:val="0"/>
              <w:spacing w:before="0" w:after="283"/>
              <w:jc w:val="both"/>
              <w:rPr/>
            </w:pPr>
            <w:r>
              <w:rPr/>
              <w:t>Weighted average discount rate</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45" w:type="dxa"/>
            <w:tcBorders/>
            <w:shd w:fill="FFFFFF" w:val="clear"/>
            <w:vAlign w:val="center"/>
          </w:tcPr>
          <w:p>
            <w:pPr>
              <w:pStyle w:val="TableContents"/>
              <w:bidi w:val="0"/>
              <w:spacing w:before="0" w:after="283"/>
              <w:jc w:val="right"/>
              <w:rPr/>
            </w:pPr>
            <w:r>
              <w:rPr/>
              <w:t>6.5</w:t>
            </w:r>
          </w:p>
        </w:tc>
        <w:tc>
          <w:tcPr>
            <w:tcW w:w="21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69" w:type="dxa"/>
            <w:tcBorders/>
            <w:shd w:fill="FFFFFF" w:val="clear"/>
            <w:vAlign w:val="center"/>
          </w:tcPr>
          <w:p>
            <w:pPr>
              <w:pStyle w:val="TableContents"/>
              <w:bidi w:val="0"/>
              <w:spacing w:before="0" w:after="283"/>
              <w:jc w:val="left"/>
              <w:rPr/>
            </w:pPr>
            <w:r>
              <w:rPr/>
              <w:t> </w:t>
            </w:r>
          </w:p>
        </w:tc>
        <w:tc>
          <w:tcPr>
            <w:tcW w:w="1245" w:type="dxa"/>
            <w:tcBorders/>
            <w:shd w:fill="FFFFFF" w:val="clear"/>
            <w:vAlign w:val="center"/>
          </w:tcPr>
          <w:p>
            <w:pPr>
              <w:pStyle w:val="TableContents"/>
              <w:bidi w:val="0"/>
              <w:spacing w:before="0" w:after="283"/>
              <w:jc w:val="right"/>
              <w:rPr/>
            </w:pPr>
            <w:r>
              <w:rPr/>
              <w:t>6.5</w:t>
            </w:r>
          </w:p>
        </w:tc>
        <w:tc>
          <w:tcPr>
            <w:tcW w:w="230" w:type="dxa"/>
            <w:tcBorders/>
            <w:shd w:fill="FFFFFF" w:val="clear"/>
            <w:vAlign w:val="center"/>
          </w:tcPr>
          <w:p>
            <w:pPr>
              <w:pStyle w:val="TableContents"/>
              <w:bidi w:val="0"/>
              <w:spacing w:before="0" w:after="283"/>
              <w:jc w:val="left"/>
              <w:rPr/>
            </w:pPr>
            <w:r>
              <w:rPr/>
              <w: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future maturities of the operating lease liabilities as of June 30, 2025, were as follows</w:t>
      </w:r>
      <w:r>
        <w:rPr>
          <w:rFonts w:ascii="Times New Roman;Times;Serif" w:hAnsi="Times New Roman;Times;Serif"/>
          <w:b w:val="false"/>
          <w:i/>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tbl>
      <w:tblPr>
        <w:tblW w:w="2780" w:type="dxa"/>
        <w:jc w:val="left"/>
        <w:tblInd w:w="0" w:type="dxa"/>
        <w:tblLayout w:type="fixed"/>
        <w:tblCellMar>
          <w:top w:w="0" w:type="dxa"/>
          <w:left w:w="0" w:type="dxa"/>
          <w:bottom w:w="0" w:type="dxa"/>
          <w:right w:w="0" w:type="dxa"/>
        </w:tblCellMar>
      </w:tblPr>
      <w:tblGrid>
        <w:gridCol w:w="2090"/>
        <w:gridCol w:w="60"/>
        <w:gridCol w:w="140"/>
        <w:gridCol w:w="380"/>
        <w:gridCol w:w="110"/>
      </w:tblGrid>
      <w:tr>
        <w:trPr/>
        <w:tc>
          <w:tcPr>
            <w:tcW w:w="2090" w:type="dxa"/>
            <w:tcBorders/>
            <w:vAlign w:val="center"/>
          </w:tcPr>
          <w:p>
            <w:pPr>
              <w:pStyle w:val="TableContents"/>
              <w:bidi w:val="0"/>
              <w:spacing w:before="0" w:after="283"/>
              <w:jc w:val="both"/>
              <w:rPr/>
            </w:pPr>
            <w:r>
              <w:rPr/>
              <w:t>Years ending:</w:t>
            </w:r>
          </w:p>
        </w:tc>
        <w:tc>
          <w:tcPr>
            <w:tcW w:w="60" w:type="dxa"/>
            <w:tcBorders/>
            <w:vAlign w:val="center"/>
          </w:tcPr>
          <w:p>
            <w:pPr>
              <w:pStyle w:val="TableContents"/>
              <w:bidi w:val="0"/>
              <w:spacing w:before="0" w:after="283"/>
              <w:jc w:val="left"/>
              <w:rPr/>
            </w:pPr>
            <w:r>
              <w:rPr/>
              <w:t> </w:t>
            </w:r>
          </w:p>
        </w:tc>
        <w:tc>
          <w:tcPr>
            <w:tcW w:w="520" w:type="dxa"/>
            <w:gridSpan w:val="2"/>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 </w:t>
            </w:r>
          </w:p>
        </w:tc>
      </w:tr>
      <w:tr>
        <w:trPr/>
        <w:tc>
          <w:tcPr>
            <w:tcW w:w="2090" w:type="dxa"/>
            <w:tcBorders/>
            <w:shd w:fill="CCEEFF" w:val="clear"/>
            <w:vAlign w:val="center"/>
          </w:tcPr>
          <w:p>
            <w:pPr>
              <w:pStyle w:val="TableContents"/>
              <w:bidi w:val="0"/>
              <w:spacing w:before="0" w:after="283"/>
              <w:jc w:val="both"/>
              <w:rPr/>
            </w:pPr>
            <w:r>
              <w:rPr/>
              <w:t>Remainder of 2025</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380" w:type="dxa"/>
            <w:tcBorders/>
            <w:shd w:fill="CCEEFF" w:val="clear"/>
            <w:vAlign w:val="center"/>
          </w:tcPr>
          <w:p>
            <w:pPr>
              <w:pStyle w:val="TableContents"/>
              <w:bidi w:val="0"/>
              <w:spacing w:before="0" w:after="283"/>
              <w:jc w:val="right"/>
              <w:rPr/>
            </w:pPr>
            <w:r>
              <w:rPr/>
              <w:t>71</w:t>
            </w:r>
          </w:p>
        </w:tc>
        <w:tc>
          <w:tcPr>
            <w:tcW w:w="110" w:type="dxa"/>
            <w:tcBorders/>
            <w:shd w:fill="CCEEFF" w:val="clear"/>
            <w:vAlign w:val="center"/>
          </w:tcPr>
          <w:p>
            <w:pPr>
              <w:pStyle w:val="TableContents"/>
              <w:bidi w:val="0"/>
              <w:spacing w:before="0" w:after="283"/>
              <w:jc w:val="left"/>
              <w:rPr/>
            </w:pPr>
            <w:r>
              <w:rPr/>
              <w:t> </w:t>
            </w:r>
          </w:p>
        </w:tc>
      </w:tr>
      <w:tr>
        <w:trPr/>
        <w:tc>
          <w:tcPr>
            <w:tcW w:w="2090" w:type="dxa"/>
            <w:tcBorders/>
            <w:shd w:fill="FFFFFF" w:val="clear"/>
            <w:vAlign w:val="center"/>
          </w:tcPr>
          <w:p>
            <w:pPr>
              <w:pStyle w:val="TableContents"/>
              <w:bidi w:val="0"/>
              <w:spacing w:before="0" w:after="283"/>
              <w:jc w:val="both"/>
              <w:rPr/>
            </w:pPr>
            <w:r>
              <w:rPr/>
              <w:t>2026</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380" w:type="dxa"/>
            <w:tcBorders/>
            <w:shd w:fill="FFFFFF" w:val="clear"/>
            <w:vAlign w:val="center"/>
          </w:tcPr>
          <w:p>
            <w:pPr>
              <w:pStyle w:val="TableContents"/>
              <w:bidi w:val="0"/>
              <w:spacing w:before="0" w:after="283"/>
              <w:jc w:val="right"/>
              <w:rPr/>
            </w:pPr>
            <w:r>
              <w:rPr/>
              <w:t>147</w:t>
            </w:r>
          </w:p>
        </w:tc>
        <w:tc>
          <w:tcPr>
            <w:tcW w:w="110" w:type="dxa"/>
            <w:tcBorders/>
            <w:shd w:fill="FFFFFF" w:val="clear"/>
            <w:vAlign w:val="center"/>
          </w:tcPr>
          <w:p>
            <w:pPr>
              <w:pStyle w:val="TableContents"/>
              <w:bidi w:val="0"/>
              <w:spacing w:before="0" w:after="283"/>
              <w:jc w:val="left"/>
              <w:rPr/>
            </w:pPr>
            <w:r>
              <w:rPr/>
              <w:t> </w:t>
            </w:r>
          </w:p>
        </w:tc>
      </w:tr>
      <w:tr>
        <w:trPr/>
        <w:tc>
          <w:tcPr>
            <w:tcW w:w="2090" w:type="dxa"/>
            <w:tcBorders/>
            <w:shd w:fill="CCEEFF" w:val="clear"/>
            <w:vAlign w:val="center"/>
          </w:tcPr>
          <w:p>
            <w:pPr>
              <w:pStyle w:val="TableContents"/>
              <w:bidi w:val="0"/>
              <w:spacing w:before="0" w:after="283"/>
              <w:jc w:val="both"/>
              <w:rPr/>
            </w:pPr>
            <w:r>
              <w:rPr/>
              <w:t>2027</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380" w:type="dxa"/>
            <w:tcBorders/>
            <w:shd w:fill="CCEEFF" w:val="clear"/>
            <w:vAlign w:val="center"/>
          </w:tcPr>
          <w:p>
            <w:pPr>
              <w:pStyle w:val="TableContents"/>
              <w:bidi w:val="0"/>
              <w:spacing w:before="0" w:after="283"/>
              <w:jc w:val="right"/>
              <w:rPr/>
            </w:pPr>
            <w:r>
              <w:rPr/>
              <w:t>151</w:t>
            </w:r>
          </w:p>
        </w:tc>
        <w:tc>
          <w:tcPr>
            <w:tcW w:w="110" w:type="dxa"/>
            <w:tcBorders/>
            <w:shd w:fill="CCEEFF" w:val="clear"/>
            <w:vAlign w:val="center"/>
          </w:tcPr>
          <w:p>
            <w:pPr>
              <w:pStyle w:val="TableContents"/>
              <w:bidi w:val="0"/>
              <w:spacing w:before="0" w:after="283"/>
              <w:jc w:val="left"/>
              <w:rPr/>
            </w:pPr>
            <w:r>
              <w:rPr/>
              <w:t> </w:t>
            </w:r>
          </w:p>
        </w:tc>
      </w:tr>
      <w:tr>
        <w:trPr/>
        <w:tc>
          <w:tcPr>
            <w:tcW w:w="2090" w:type="dxa"/>
            <w:tcBorders/>
            <w:shd w:fill="FFFFFF" w:val="clear"/>
            <w:vAlign w:val="center"/>
          </w:tcPr>
          <w:p>
            <w:pPr>
              <w:pStyle w:val="TableContents"/>
              <w:bidi w:val="0"/>
              <w:spacing w:before="0" w:after="283"/>
              <w:jc w:val="both"/>
              <w:rPr/>
            </w:pPr>
            <w:r>
              <w:rPr/>
              <w:t>2028</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380" w:type="dxa"/>
            <w:tcBorders>
              <w:bottom w:val="single" w:sz="12" w:space="0" w:color="000000"/>
            </w:tcBorders>
            <w:shd w:fill="FFFFFF" w:val="clear"/>
            <w:tcMar>
              <w:bottom w:w="28" w:type="dxa"/>
            </w:tcMar>
            <w:vAlign w:val="center"/>
          </w:tcPr>
          <w:p>
            <w:pPr>
              <w:pStyle w:val="TableContents"/>
              <w:bidi w:val="0"/>
              <w:spacing w:before="0" w:after="283"/>
              <w:jc w:val="right"/>
              <w:rPr/>
            </w:pPr>
            <w:r>
              <w:rPr/>
              <w:t>25</w:t>
            </w:r>
          </w:p>
        </w:tc>
        <w:tc>
          <w:tcPr>
            <w:tcW w:w="110" w:type="dxa"/>
            <w:tcBorders/>
            <w:shd w:fill="FFFFFF" w:val="clear"/>
            <w:vAlign w:val="center"/>
          </w:tcPr>
          <w:p>
            <w:pPr>
              <w:pStyle w:val="TableContents"/>
              <w:bidi w:val="0"/>
              <w:spacing w:before="0" w:after="283"/>
              <w:jc w:val="left"/>
              <w:rPr/>
            </w:pPr>
            <w:r>
              <w:rPr/>
              <w:t> </w:t>
            </w:r>
          </w:p>
        </w:tc>
      </w:tr>
      <w:tr>
        <w:trPr/>
        <w:tc>
          <w:tcPr>
            <w:tcW w:w="2090" w:type="dxa"/>
            <w:tcBorders/>
            <w:shd w:fill="CCEEFF" w:val="clear"/>
            <w:vAlign w:val="center"/>
          </w:tcPr>
          <w:p>
            <w:pPr>
              <w:pStyle w:val="TableContents"/>
              <w:bidi w:val="0"/>
              <w:spacing w:before="0" w:after="283"/>
              <w:jc w:val="both"/>
              <w:rPr/>
            </w:pPr>
            <w:r>
              <w:rPr/>
              <w:t>Total lease payments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380" w:type="dxa"/>
            <w:tcBorders>
              <w:bottom w:val="single" w:sz="12" w:space="0" w:color="000000"/>
            </w:tcBorders>
            <w:shd w:fill="CCEEFF" w:val="clear"/>
            <w:tcMar>
              <w:bottom w:w="28" w:type="dxa"/>
            </w:tcMar>
            <w:vAlign w:val="center"/>
          </w:tcPr>
          <w:p>
            <w:pPr>
              <w:pStyle w:val="TableContents"/>
              <w:bidi w:val="0"/>
              <w:spacing w:before="0" w:after="283"/>
              <w:jc w:val="right"/>
              <w:rPr/>
            </w:pPr>
            <w:r>
              <w:rPr/>
              <w:t>394</w:t>
            </w:r>
          </w:p>
        </w:tc>
        <w:tc>
          <w:tcPr>
            <w:tcW w:w="110" w:type="dxa"/>
            <w:tcBorders/>
            <w:shd w:fill="CCEEFF" w:val="clear"/>
            <w:vAlign w:val="center"/>
          </w:tcPr>
          <w:p>
            <w:pPr>
              <w:pStyle w:val="TableContents"/>
              <w:bidi w:val="0"/>
              <w:spacing w:before="0" w:after="283"/>
              <w:jc w:val="left"/>
              <w:rPr/>
            </w:pPr>
            <w:r>
              <w:rPr/>
              <w:t> </w:t>
            </w:r>
          </w:p>
        </w:tc>
      </w:tr>
      <w:tr>
        <w:trPr/>
        <w:tc>
          <w:tcPr>
            <w:tcW w:w="2090" w:type="dxa"/>
            <w:tcBorders/>
            <w:shd w:fill="FFFFFF" w:val="clear"/>
            <w:vAlign w:val="center"/>
          </w:tcPr>
          <w:p>
            <w:pPr>
              <w:pStyle w:val="TableContents"/>
              <w:bidi w:val="0"/>
              <w:spacing w:before="0" w:after="283"/>
              <w:jc w:val="both"/>
              <w:rPr/>
            </w:pPr>
            <w:r>
              <w:rPr/>
              <w:t>Less: imputed interest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380" w:type="dxa"/>
            <w:tcBorders>
              <w:bottom w:val="single" w:sz="12" w:space="0" w:color="000000"/>
            </w:tcBorders>
            <w:shd w:fill="FFFFFF" w:val="clear"/>
            <w:tcMar>
              <w:bottom w:w="28" w:type="dxa"/>
            </w:tcMar>
            <w:vAlign w:val="center"/>
          </w:tcPr>
          <w:p>
            <w:pPr>
              <w:pStyle w:val="TableContents"/>
              <w:bidi w:val="0"/>
              <w:spacing w:before="0" w:after="283"/>
              <w:jc w:val="right"/>
              <w:rPr/>
            </w:pPr>
            <w:r>
              <w:rPr/>
              <w:t>(32</w:t>
            </w:r>
          </w:p>
        </w:tc>
        <w:tc>
          <w:tcPr>
            <w:tcW w:w="110" w:type="dxa"/>
            <w:tcBorders/>
            <w:shd w:fill="FFFFFF" w:val="clear"/>
            <w:vAlign w:val="center"/>
          </w:tcPr>
          <w:p>
            <w:pPr>
              <w:pStyle w:val="TableContents"/>
              <w:bidi w:val="0"/>
              <w:spacing w:before="0" w:after="283"/>
              <w:jc w:val="left"/>
              <w:rPr/>
            </w:pPr>
            <w:r>
              <w:rPr/>
              <w:t>)</w:t>
            </w:r>
          </w:p>
        </w:tc>
      </w:tr>
      <w:tr>
        <w:trPr/>
        <w:tc>
          <w:tcPr>
            <w:tcW w:w="2090" w:type="dxa"/>
            <w:tcBorders/>
            <w:shd w:fill="CCEEFF" w:val="clear"/>
            <w:vAlign w:val="center"/>
          </w:tcPr>
          <w:p>
            <w:pPr>
              <w:pStyle w:val="TableContents"/>
              <w:bidi w:val="0"/>
              <w:spacing w:before="0" w:after="283"/>
              <w:jc w:val="both"/>
              <w:rPr/>
            </w:pPr>
            <w:r>
              <w:rPr/>
              <w:t>Total</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380" w:type="dxa"/>
            <w:tcBorders>
              <w:bottom w:val="double" w:sz="10" w:space="0" w:color="000000"/>
            </w:tcBorders>
            <w:shd w:fill="CCEEFF" w:val="clear"/>
            <w:tcMar>
              <w:bottom w:w="28" w:type="dxa"/>
            </w:tcMar>
            <w:vAlign w:val="center"/>
          </w:tcPr>
          <w:p>
            <w:pPr>
              <w:pStyle w:val="TableContents"/>
              <w:bidi w:val="0"/>
              <w:spacing w:before="0" w:after="283"/>
              <w:jc w:val="right"/>
              <w:rPr/>
            </w:pPr>
            <w:r>
              <w:rPr/>
              <w:t>362</w:t>
            </w:r>
          </w:p>
        </w:tc>
        <w:tc>
          <w:tcPr>
            <w:tcW w:w="11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Lease expense is presented as rent under operating expenses on the statements of operations and member’s deficit.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Note 11. </w:t>
      </w:r>
      <w:r>
        <w:rPr>
          <w:rFonts w:ascii="Times New Roman;Times;Serif" w:hAnsi="Times New Roman;Times;Serif"/>
          <w:b/>
          <w:i/>
          <w:caps w:val="false"/>
          <w:smallCaps w:val="false"/>
          <w:sz w:val="20"/>
        </w:rPr>
        <w:t>RELATED PARTY TRANSACTIONS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Enzy Technologies LLC (Enzy) is an entity related to the Company by common ownership. On April 1, 2024, the Company entered into a 41-month subscription agreement with Enzy for use of Enzy’s proprietary SaaS platform, for which monthly subscription fees were incurred. Furthermore, as Enzy was formerly part of the Company, the two entities continue to work closely together. The Company collected revenues for Enzy and paid certain shared expenses for Enzy’s benefit. Collections for Enzy and services received from Enzy totaled $50 and $536 for the six months ended June 30, 2025 and 2024, respectively. Expenses incurred for Enzy and fees charged to Enzy totaled $Nil and $924 for the six months ended June 30, 2025 and 2024, respectively. The Company has balances due from Enzy of $Nil and $559 as of June 30, 2025 and December 31, 2024, respectively. This balance is presented as due from related party on the Company’s balance sheets.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Company had obtained a number of insurance policies to help protect the Company from potential losses through a captive insurance company related by common ownership. As discussed in Note 9 – </w:t>
      </w:r>
      <w:r>
        <w:rPr>
          <w:rFonts w:ascii="Times New Roman;Times;Serif" w:hAnsi="Times New Roman;Times;Serif"/>
          <w:b w:val="false"/>
          <w:i/>
          <w:caps w:val="false"/>
          <w:smallCaps w:val="false"/>
          <w:sz w:val="20"/>
        </w:rPr>
        <w:t>Litigation Financing and Settlement</w:t>
      </w:r>
      <w:r>
        <w:rPr>
          <w:rFonts w:ascii="Times New Roman;Times;Serif" w:hAnsi="Times New Roman;Times;Serif"/>
          <w:b w:val="false"/>
          <w:i w:val="false"/>
          <w:caps w:val="false"/>
          <w:smallCaps w:val="false"/>
          <w:sz w:val="20"/>
        </w:rPr>
        <w:t>, the Company received $500 in the year ended December 31, 2024, from this insurance captive in connection with a claim related to loss of key employees and business litigation related to its dispute with Freedom Forever.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paid certain beneficial owners of the Company $17 per week, plus bonus compensation, in exchange for services provided as independent contractors. These payments are recorded within general and administrative expenses in the accompanying statements of operations and member’s equity deficit. The Company recognized expenses of $486 and $442 for the six months ended June 30, 2025 and 2024, respectively, related to these arrangements.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sz w:val="20"/>
          <w:bdr w:val="single" w:sz="12" w:space="1" w:color="000000"/>
        </w:rPr>
      </w:pPr>
      <w:r>
        <w:rPr>
          <w:sz w:val="20"/>
          <w:bdr w:val="single" w:sz="12" w:space="1" w:color="000000"/>
        </w:rPr>
        <w:t>F-144</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2025, the Company’s CEO directly paid $1,000 to certain legal firms for services provided to the Company. The Company’s CEO and the Sole Member entered into an arrangement on or around March 19, 2025 that resulted in the Sole Member and the Company recognizing this payment on behalf of the Company as a capital contribution to the Company.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Note 12. </w:t>
      </w:r>
      <w:r>
        <w:rPr>
          <w:rFonts w:ascii="Times New Roman;Times;Serif" w:hAnsi="Times New Roman;Times;Serif"/>
          <w:b/>
          <w:i/>
          <w:caps w:val="false"/>
          <w:smallCaps w:val="false"/>
          <w:sz w:val="20"/>
        </w:rPr>
        <w:t>COMMITMENTS AND CONTINGENCIES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may be involved in legal proceedings arising in the normal course of business. Management has concluded that no material legal reserves are required to be recorded as of June 30, 2025 and December 31, 2024.</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2019, LGCY Power, LLC filed suit against the Company and certain of its officers alleging the violation of Utah Uniform Trade Secrets Act, intentional interference with existing and prospective economic relations, violation of the Lanham Act (15 U.S.C. § 1125), common law unfair competition, violation of state deceptive trade practices laws, violation of the Utah Computer Abuse and Data Recovery Act (Utah Code § 63D-3-101), and civil conspiracy. The plaintiff seeks damages of over $16,000. The Company disputes these claims and is vigorously defending this action. There is no trial date set. Losses associated with this litigation cannot be estimated.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Note 13. </w:t>
      </w:r>
      <w:r>
        <w:rPr>
          <w:rFonts w:ascii="Times New Roman;Times;Serif" w:hAnsi="Times New Roman;Times;Serif"/>
          <w:b/>
          <w:i/>
          <w:caps w:val="false"/>
          <w:smallCaps w:val="false"/>
          <w:sz w:val="20"/>
        </w:rPr>
        <w:t>STOCK BASED COMPENSATION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Incentive Stock Units (“Incentive Units”)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Parent granted Incentive Units to certain employees of the Company commencing after October 2023 onwards pursuant to the Limited Liability Agreement of Chicken Parm Pizza LLC (the “Agreement”). The Incentive Units granted represent a right to participate in the future appreciation above a predetermined “hurdle amount”. The awards are subject to forfeiture and Company purchase rights based on the terms of the Incentive grant award. The Incentive Units are classified as equity-based awards due to the legal form and participation features of the awards. Any Incentive Units granted by the Company prior to October 2023 were all assigned over to the Parent as Units in the Parent. In respect of the Incentive Units issued by the Parent subsequent to October 2023, the related expense was pushed down to the Company.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was no activity in the Incentive Units during the six months ended June 30, 2025. The number of outstanding Incentive Units was 46,574 at each of June 30, 2025, and December 31, 2024.</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Incentive Units were estimated to have $0 value at the time of the grant due to the high hurdle amount associated with these units and other factors relevant to valuation relating to the Company’s future growth and industry prospects. As such, the Company did not recognize any stock-based compensation relating to these Incentive Units for the six months ended June 30, 2025 and 2024. As of June 30, 2025 and December 31, 2024, unrecognized compensation cost related to unvested Incentive Units was $0.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Compensation Award (“Compensation Award”)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Compensation Award provides for a percentage ownership in the Company. These awards entitle the holder to receive a payment from the Company with respect to each vested award held by the holder upon the closing of a Company transaction event (liquidity event) or distribution event, provided such holder is in continuous service with the Company upon the liquidity event or distribution event or was terminated during the thirty (30) calendar days prior to the closing of a Company transaction event as a result of his or her death or permanent disability. The Compensation Award and the liquidity-based bonus plan are liability-classified awards as the settlement at the time of a liquidity event will be in the same form of consideration as received, making the Compensation Award considered to have a cash settlement feature. A liquidity event is defined as including a sale of substantially all of the Company’s assets or more than 90% of outstanding securities of the Company, merger or a consolidation or a similar transaction.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sz w:val="20"/>
          <w:bdr w:val="single" w:sz="12" w:space="1" w:color="000000"/>
        </w:rPr>
      </w:pPr>
      <w:r>
        <w:rPr>
          <w:sz w:val="20"/>
          <w:bdr w:val="single" w:sz="12" w:space="1" w:color="000000"/>
        </w:rPr>
        <w:t>F-145</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summary of the Compensation Award activity for the six months ended June 30, 2025 is presented below:</w:t>
      </w:r>
    </w:p>
    <w:p>
      <w:pPr>
        <w:pStyle w:val="TextBody"/>
        <w:bidi w:val="0"/>
        <w:spacing w:before="0" w:after="0"/>
        <w:ind w:left="0" w:right="0" w:hanging="0"/>
        <w:jc w:val="both"/>
        <w:rPr>
          <w:caps w:val="false"/>
          <w:smallCaps w:val="false"/>
        </w:rPr>
      </w:pPr>
      <w:r>
        <w:rPr>
          <w:caps w:val="false"/>
          <w:smallCaps w:val="false"/>
        </w:rPr>
        <w:t> </w:t>
      </w:r>
    </w:p>
    <w:tbl>
      <w:tblPr>
        <w:tblW w:w="7754" w:type="dxa"/>
        <w:jc w:val="left"/>
        <w:tblInd w:w="0" w:type="dxa"/>
        <w:tblLayout w:type="fixed"/>
        <w:tblCellMar>
          <w:top w:w="0" w:type="dxa"/>
          <w:left w:w="0" w:type="dxa"/>
          <w:bottom w:w="0" w:type="dxa"/>
          <w:right w:w="0" w:type="dxa"/>
        </w:tblCellMar>
      </w:tblPr>
      <w:tblGrid>
        <w:gridCol w:w="5195"/>
        <w:gridCol w:w="60"/>
        <w:gridCol w:w="424"/>
        <w:gridCol w:w="1845"/>
        <w:gridCol w:w="230"/>
      </w:tblGrid>
      <w:tr>
        <w:trPr/>
        <w:tc>
          <w:tcPr>
            <w:tcW w:w="5195"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p>
        </w:tc>
        <w:tc>
          <w:tcPr>
            <w:tcW w:w="2269"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Percentage ownership</w:t>
            </w:r>
          </w:p>
        </w:tc>
        <w:tc>
          <w:tcPr>
            <w:tcW w:w="230" w:type="dxa"/>
            <w:tcBorders/>
            <w:vAlign w:val="center"/>
          </w:tcPr>
          <w:p>
            <w:pPr>
              <w:pStyle w:val="TableContents"/>
              <w:bidi w:val="0"/>
              <w:spacing w:before="0" w:after="283"/>
              <w:jc w:val="left"/>
              <w:rPr/>
            </w:pPr>
            <w:r>
              <w:rPr/>
              <w:t> </w:t>
            </w:r>
          </w:p>
        </w:tc>
      </w:tr>
      <w:tr>
        <w:trPr/>
        <w:tc>
          <w:tcPr>
            <w:tcW w:w="5195" w:type="dxa"/>
            <w:tcBorders/>
            <w:shd w:fill="CCEEFF" w:val="clear"/>
            <w:vAlign w:val="center"/>
          </w:tcPr>
          <w:p>
            <w:pPr>
              <w:pStyle w:val="TableContents"/>
              <w:bidi w:val="0"/>
              <w:spacing w:before="0" w:after="283"/>
              <w:jc w:val="both"/>
              <w:rPr/>
            </w:pPr>
            <w:r>
              <w:rPr/>
              <w:t>Compensation award outstanding, December 31, 2024</w:t>
            </w:r>
          </w:p>
        </w:tc>
        <w:tc>
          <w:tcPr>
            <w:tcW w:w="60" w:type="dxa"/>
            <w:tcBorders/>
            <w:shd w:fill="CCEEFF" w:val="clear"/>
            <w:vAlign w:val="center"/>
          </w:tcPr>
          <w:p>
            <w:pPr>
              <w:pStyle w:val="TableContents"/>
              <w:bidi w:val="0"/>
              <w:spacing w:before="0" w:after="283"/>
              <w:jc w:val="left"/>
              <w:rPr/>
            </w:pPr>
            <w:r>
              <w:rPr/>
              <w:t> </w:t>
            </w:r>
          </w:p>
        </w:tc>
        <w:tc>
          <w:tcPr>
            <w:tcW w:w="424" w:type="dxa"/>
            <w:tcBorders/>
            <w:shd w:fill="CCEEFF" w:val="clear"/>
            <w:vAlign w:val="center"/>
          </w:tcPr>
          <w:p>
            <w:pPr>
              <w:pStyle w:val="TableContents"/>
              <w:bidi w:val="0"/>
              <w:spacing w:before="0" w:after="283"/>
              <w:jc w:val="left"/>
              <w:rPr/>
            </w:pPr>
            <w:r>
              <w:rPr/>
              <w:t> </w:t>
            </w:r>
          </w:p>
        </w:tc>
        <w:tc>
          <w:tcPr>
            <w:tcW w:w="1845" w:type="dxa"/>
            <w:tcBorders/>
            <w:shd w:fill="CCEEFF" w:val="clear"/>
            <w:vAlign w:val="center"/>
          </w:tcPr>
          <w:p>
            <w:pPr>
              <w:pStyle w:val="TableContents"/>
              <w:bidi w:val="0"/>
              <w:spacing w:before="0" w:after="283"/>
              <w:jc w:val="right"/>
              <w:rPr/>
            </w:pPr>
            <w:r>
              <w:rPr/>
              <w:t>10</w:t>
            </w:r>
          </w:p>
        </w:tc>
        <w:tc>
          <w:tcPr>
            <w:tcW w:w="230" w:type="dxa"/>
            <w:tcBorders/>
            <w:shd w:fill="CCEEFF" w:val="clear"/>
            <w:vAlign w:val="center"/>
          </w:tcPr>
          <w:p>
            <w:pPr>
              <w:pStyle w:val="TableContents"/>
              <w:bidi w:val="0"/>
              <w:spacing w:before="0" w:after="283"/>
              <w:jc w:val="left"/>
              <w:rPr/>
            </w:pPr>
            <w:r>
              <w:rPr/>
              <w:t>%</w:t>
            </w:r>
          </w:p>
        </w:tc>
      </w:tr>
      <w:tr>
        <w:trPr/>
        <w:tc>
          <w:tcPr>
            <w:tcW w:w="5195" w:type="dxa"/>
            <w:tcBorders/>
            <w:shd w:fill="FFFFFF" w:val="clear"/>
            <w:vAlign w:val="center"/>
          </w:tcPr>
          <w:p>
            <w:pPr>
              <w:pStyle w:val="TableContents"/>
              <w:bidi w:val="0"/>
              <w:spacing w:before="0" w:after="283"/>
              <w:jc w:val="both"/>
              <w:rPr/>
            </w:pPr>
            <w:r>
              <w:rPr/>
              <w:t>Granted</w:t>
            </w:r>
          </w:p>
        </w:tc>
        <w:tc>
          <w:tcPr>
            <w:tcW w:w="60" w:type="dxa"/>
            <w:tcBorders/>
            <w:shd w:fill="FFFFFF" w:val="clear"/>
            <w:vAlign w:val="center"/>
          </w:tcPr>
          <w:p>
            <w:pPr>
              <w:pStyle w:val="TableContents"/>
              <w:bidi w:val="0"/>
              <w:spacing w:before="0" w:after="283"/>
              <w:jc w:val="left"/>
              <w:rPr/>
            </w:pPr>
            <w:r>
              <w:rPr/>
              <w:t> </w:t>
            </w:r>
          </w:p>
        </w:tc>
        <w:tc>
          <w:tcPr>
            <w:tcW w:w="424" w:type="dxa"/>
            <w:tcBorders/>
            <w:shd w:fill="FFFFFF" w:val="clear"/>
            <w:vAlign w:val="center"/>
          </w:tcPr>
          <w:p>
            <w:pPr>
              <w:pStyle w:val="TableContents"/>
              <w:bidi w:val="0"/>
              <w:spacing w:before="0" w:after="283"/>
              <w:jc w:val="left"/>
              <w:rPr/>
            </w:pPr>
            <w:r>
              <w:rPr/>
              <w:t> </w:t>
            </w:r>
          </w:p>
        </w:tc>
        <w:tc>
          <w:tcPr>
            <w:tcW w:w="1845" w:type="dxa"/>
            <w:tcBorders/>
            <w:shd w:fill="FFFFFF" w:val="clear"/>
            <w:vAlign w:val="center"/>
          </w:tcPr>
          <w:p>
            <w:pPr>
              <w:pStyle w:val="TableContents"/>
              <w:bidi w:val="0"/>
              <w:spacing w:before="0" w:after="283"/>
              <w:jc w:val="right"/>
              <w:rPr/>
            </w:pPr>
            <w:r>
              <w:rPr/>
              <w:t>0</w:t>
            </w:r>
          </w:p>
        </w:tc>
        <w:tc>
          <w:tcPr>
            <w:tcW w:w="230" w:type="dxa"/>
            <w:tcBorders/>
            <w:shd w:fill="FFFFFF" w:val="clear"/>
            <w:vAlign w:val="center"/>
          </w:tcPr>
          <w:p>
            <w:pPr>
              <w:pStyle w:val="TableContents"/>
              <w:bidi w:val="0"/>
              <w:spacing w:before="0" w:after="283"/>
              <w:jc w:val="left"/>
              <w:rPr/>
            </w:pPr>
            <w:r>
              <w:rPr/>
              <w:t> </w:t>
            </w:r>
          </w:p>
        </w:tc>
      </w:tr>
      <w:tr>
        <w:trPr/>
        <w:tc>
          <w:tcPr>
            <w:tcW w:w="5195" w:type="dxa"/>
            <w:tcBorders/>
            <w:shd w:fill="CCEEFF" w:val="clear"/>
            <w:vAlign w:val="center"/>
          </w:tcPr>
          <w:p>
            <w:pPr>
              <w:pStyle w:val="TableContents"/>
              <w:bidi w:val="0"/>
              <w:spacing w:before="0" w:after="283"/>
              <w:jc w:val="both"/>
              <w:rPr/>
            </w:pPr>
            <w:r>
              <w:rPr/>
              <w:t>Forfeitures</w:t>
            </w:r>
          </w:p>
        </w:tc>
        <w:tc>
          <w:tcPr>
            <w:tcW w:w="60" w:type="dxa"/>
            <w:tcBorders/>
            <w:shd w:fill="CCEEFF" w:val="clear"/>
            <w:vAlign w:val="center"/>
          </w:tcPr>
          <w:p>
            <w:pPr>
              <w:pStyle w:val="TableContents"/>
              <w:bidi w:val="0"/>
              <w:spacing w:before="0" w:after="283"/>
              <w:jc w:val="left"/>
              <w:rPr/>
            </w:pPr>
            <w:r>
              <w:rPr/>
              <w:t> </w:t>
            </w:r>
          </w:p>
        </w:tc>
        <w:tc>
          <w:tcPr>
            <w:tcW w:w="424"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845" w:type="dxa"/>
            <w:tcBorders>
              <w:bottom w:val="single" w:sz="12" w:space="0" w:color="000000"/>
            </w:tcBorders>
            <w:shd w:fill="CCEEFF" w:val="clear"/>
            <w:tcMar>
              <w:bottom w:w="28" w:type="dxa"/>
            </w:tcMar>
            <w:vAlign w:val="center"/>
          </w:tcPr>
          <w:p>
            <w:pPr>
              <w:pStyle w:val="TableContents"/>
              <w:bidi w:val="0"/>
              <w:spacing w:before="0" w:after="283"/>
              <w:jc w:val="right"/>
              <w:rPr/>
            </w:pPr>
            <w:r>
              <w:rPr/>
              <w:t>(1</w:t>
            </w:r>
          </w:p>
        </w:tc>
        <w:tc>
          <w:tcPr>
            <w:tcW w:w="230" w:type="dxa"/>
            <w:tcBorders/>
            <w:shd w:fill="CCEEFF" w:val="clear"/>
            <w:vAlign w:val="center"/>
          </w:tcPr>
          <w:p>
            <w:pPr>
              <w:pStyle w:val="TableContents"/>
              <w:bidi w:val="0"/>
              <w:spacing w:before="0" w:after="283"/>
              <w:jc w:val="left"/>
              <w:rPr/>
            </w:pPr>
            <w:r>
              <w:rPr/>
              <w:t>)</w:t>
            </w:r>
          </w:p>
        </w:tc>
      </w:tr>
      <w:tr>
        <w:trPr/>
        <w:tc>
          <w:tcPr>
            <w:tcW w:w="5195" w:type="dxa"/>
            <w:tcBorders/>
            <w:shd w:fill="FFFFFF" w:val="clear"/>
            <w:vAlign w:val="center"/>
          </w:tcPr>
          <w:p>
            <w:pPr>
              <w:pStyle w:val="TableContents"/>
              <w:bidi w:val="0"/>
              <w:spacing w:before="0" w:after="283"/>
              <w:jc w:val="both"/>
              <w:rPr/>
            </w:pPr>
            <w:r>
              <w:rPr/>
              <w:t>Compensation award outstanding, June 30, 2025</w:t>
            </w:r>
          </w:p>
        </w:tc>
        <w:tc>
          <w:tcPr>
            <w:tcW w:w="60" w:type="dxa"/>
            <w:tcBorders/>
            <w:shd w:fill="FFFFFF" w:val="clear"/>
            <w:vAlign w:val="center"/>
          </w:tcPr>
          <w:p>
            <w:pPr>
              <w:pStyle w:val="TableContents"/>
              <w:bidi w:val="0"/>
              <w:spacing w:before="0" w:after="283"/>
              <w:jc w:val="left"/>
              <w:rPr/>
            </w:pPr>
            <w:r>
              <w:rPr/>
              <w:t> </w:t>
            </w:r>
          </w:p>
        </w:tc>
        <w:tc>
          <w:tcPr>
            <w:tcW w:w="424" w:type="dxa"/>
            <w:tcBorders>
              <w:bottom w:val="double" w:sz="10" w:space="0" w:color="000000"/>
            </w:tcBorders>
            <w:shd w:fill="FFFFFF" w:val="clear"/>
            <w:tcMar>
              <w:bottom w:w="28" w:type="dxa"/>
            </w:tcMar>
            <w:vAlign w:val="center"/>
          </w:tcPr>
          <w:p>
            <w:pPr>
              <w:pStyle w:val="TableContents"/>
              <w:bidi w:val="0"/>
              <w:spacing w:before="0" w:after="283"/>
              <w:jc w:val="left"/>
              <w:rPr/>
            </w:pPr>
            <w:r>
              <w:rPr/>
              <w:t> </w:t>
            </w:r>
          </w:p>
        </w:tc>
        <w:tc>
          <w:tcPr>
            <w:tcW w:w="1845" w:type="dxa"/>
            <w:tcBorders>
              <w:bottom w:val="double" w:sz="10" w:space="0" w:color="000000"/>
            </w:tcBorders>
            <w:shd w:fill="FFFFFF" w:val="clear"/>
            <w:tcMar>
              <w:bottom w:w="28" w:type="dxa"/>
            </w:tcMar>
            <w:vAlign w:val="center"/>
          </w:tcPr>
          <w:p>
            <w:pPr>
              <w:pStyle w:val="TableContents"/>
              <w:bidi w:val="0"/>
              <w:spacing w:before="0" w:after="283"/>
              <w:jc w:val="right"/>
              <w:rPr/>
            </w:pPr>
            <w:r>
              <w:rPr/>
              <w:t>9</w:t>
            </w:r>
          </w:p>
        </w:tc>
        <w:tc>
          <w:tcPr>
            <w:tcW w:w="230" w:type="dxa"/>
            <w:tcBorders/>
            <w:shd w:fill="FFFFFF" w:val="clear"/>
            <w:vAlign w:val="center"/>
          </w:tcPr>
          <w:p>
            <w:pPr>
              <w:pStyle w:val="TableContents"/>
              <w:bidi w:val="0"/>
              <w:spacing w:before="0" w:after="283"/>
              <w:jc w:val="left"/>
              <w:rPr/>
            </w:pPr>
            <w:r>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fair value of these awards at the grant date were estimated based on a number of factors including enterprise value, state of the industry and other relevant business conditions. The Company determined that the performance condition as it related to a liquidity event, was not probable, as such, no compensation cost was recognized for these Compensation Awards for the six months ended June 30, 2025 and 2024.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Liquidity Based Bonus Plan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liquidity-based bonus plan requires a liquidity event for any payout to happen. The payment will be calculated based on a percentage of Incentive Units held by the employee at the time of the liquidity event multiplied by the amount of net proceeds from an equity sale or an asset sale, in either case capped to the hurdle amount per the Incentive Unit agreement with the employee. The liquidity-based bonus plan requires a liquidity event in order for any payout to happen. A liquidity event is defined as including a sale of substantially all of the Company’s assets or more than 90% of outstanding securities of the Company, merger or a consolidation or a similar transaction. The Company determined that the performance condition as it related to a liquidity event was not probable, as such, no compensation cost was recognized for the bonus plan in either of the six months ended June 30, 2025 and 2024.</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Note 14. </w:t>
      </w:r>
      <w:r>
        <w:rPr>
          <w:rFonts w:ascii="Times New Roman;Times;Serif" w:hAnsi="Times New Roman;Times;Serif"/>
          <w:b/>
          <w:i/>
          <w:caps w:val="false"/>
          <w:smallCaps w:val="false"/>
          <w:sz w:val="20"/>
        </w:rPr>
        <w:t>SUBSEQUENT EVENTS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Management of the Company has evaluated subsequent events through January 9, 2026, which is also the date the financial statements were available to be issued. Except as noted in Note 2 – </w:t>
      </w:r>
      <w:r>
        <w:rPr>
          <w:rFonts w:ascii="Times New Roman;Times;Serif" w:hAnsi="Times New Roman;Times;Serif"/>
          <w:b w:val="false"/>
          <w:i/>
          <w:caps w:val="false"/>
          <w:smallCaps w:val="false"/>
          <w:sz w:val="20"/>
        </w:rPr>
        <w:t xml:space="preserve">Liquidity Considerations and Sale of Company, </w:t>
      </w:r>
      <w:r>
        <w:rPr>
          <w:rFonts w:ascii="Times New Roman;Times;Serif" w:hAnsi="Times New Roman;Times;Serif"/>
          <w:b w:val="false"/>
          <w:i w:val="false"/>
          <w:caps w:val="false"/>
          <w:smallCaps w:val="false"/>
          <w:sz w:val="20"/>
        </w:rPr>
        <w:t xml:space="preserve">Note 8 – </w:t>
      </w:r>
      <w:r>
        <w:rPr>
          <w:rFonts w:ascii="Times New Roman;Times;Serif" w:hAnsi="Times New Roman;Times;Serif"/>
          <w:b w:val="false"/>
          <w:i/>
          <w:caps w:val="false"/>
          <w:smallCaps w:val="false"/>
          <w:sz w:val="20"/>
        </w:rPr>
        <w:t xml:space="preserve">Line of Credit, </w:t>
      </w:r>
      <w:r>
        <w:rPr>
          <w:rFonts w:ascii="Times New Roman;Times;Serif" w:hAnsi="Times New Roman;Times;Serif"/>
          <w:b w:val="false"/>
          <w:i w:val="false"/>
          <w:caps w:val="false"/>
          <w:smallCaps w:val="false"/>
          <w:sz w:val="20"/>
        </w:rPr>
        <w:t xml:space="preserve">Note 9 – </w:t>
      </w:r>
      <w:r>
        <w:rPr>
          <w:rFonts w:ascii="Times New Roman;Times;Serif" w:hAnsi="Times New Roman;Times;Serif"/>
          <w:b w:val="false"/>
          <w:i/>
          <w:caps w:val="false"/>
          <w:smallCaps w:val="false"/>
          <w:sz w:val="20"/>
        </w:rPr>
        <w:t xml:space="preserve">Litigation Financing and Settlement </w:t>
      </w:r>
      <w:r>
        <w:rPr>
          <w:rFonts w:ascii="Times New Roman;Times;Serif" w:hAnsi="Times New Roman;Times;Serif"/>
          <w:b w:val="false"/>
          <w:i w:val="false"/>
          <w:caps w:val="false"/>
          <w:smallCaps w:val="false"/>
          <w:sz w:val="20"/>
        </w:rPr>
        <w:t>and below, no other subsequent events were noted during this evaluation that require recognition or disclosure in these financial statements.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September 24, 2025 (“Closing”), the Member completed the sale of all assets and assumption of all liabilities of its Membership Interests in Sunder to Complete Solaria for aggregate consideration of $57,800. Per the terms of the MIPA, the Member sold all of the outstanding membership interest of Sunder for (1) $20,700 in cash, subject to certain working capital and other adjustments; (2) a promissory note to the Sole Member in the principal amount of $20,000; (3) and 10,000,000 shares of Complete Solaria’s common stock (valued at the closing share price on September 24, 2025, of $1.71 per share), consisting of (i) 3,333,334 shares of Complete Solaria’s common stock and (ii) subject to approval of such issuances by the Complete Solaria’s stockholders, (x) an additional 3,333,333 shares of the Complete Solaria’s common stock to be issued on the 12-month anniversary of the Closing and (y) a further 3,333,333 shares of Complete Solaria’s common stock to be issued on the 18-month anniversary of the Closing.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sz w:val="20"/>
          <w:bdr w:val="single" w:sz="12" w:space="1" w:color="000000"/>
        </w:rPr>
      </w:pPr>
      <w:r>
        <w:rPr>
          <w:sz w:val="20"/>
          <w:bdr w:val="single" w:sz="12" w:space="1" w:color="000000"/>
        </w:rPr>
        <w:t>F-146</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drawing>
          <wp:inline distT="0" distB="0" distL="0" distR="0">
            <wp:extent cx="7724775" cy="1000125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7724775" cy="10001250"/>
                    </a:xfrm>
                    <a:prstGeom prst="rect">
                      <a:avLst/>
                    </a:prstGeom>
                  </pic:spPr>
                </pic:pic>
              </a:graphicData>
            </a:graphic>
          </wp:inline>
        </w:drawing>
      </w:r>
      <w:r>
        <w:rPr>
          <w:caps w:val="false"/>
          <w:smallCaps w:val="false"/>
        </w:rPr>
        <w:t> </w:t>
      </w:r>
    </w:p>
    <w:p>
      <w:pPr>
        <w:pStyle w:val="TextBody"/>
        <w:bidi w:val="0"/>
        <w:spacing w:before="0" w:after="0"/>
        <w:ind w:left="0" w:right="0" w:hanging="0"/>
        <w:jc w:val="center"/>
        <w:rPr>
          <w:sz w:val="20"/>
          <w:bdr w:val="single" w:sz="12" w:space="1" w:color="000000"/>
        </w:rPr>
      </w:pPr>
      <w:r>
        <w:rPr>
          <w:sz w:val="20"/>
          <w:bdr w:val="single" w:sz="12" w:space="1" w:color="000000"/>
        </w:rPr>
        <w:t>F-147</w:t>
      </w:r>
    </w:p>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drawing>
          <wp:inline distT="0" distB="0" distL="0" distR="0">
            <wp:extent cx="1638300" cy="6762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1638300" cy="676275"/>
                    </a:xfrm>
                    <a:prstGeom prst="rect">
                      <a:avLst/>
                    </a:prstGeom>
                  </pic:spPr>
                </pic:pic>
              </a:graphicData>
            </a:graphic>
          </wp:inline>
        </w:drawing>
      </w:r>
    </w:p>
    <w:p>
      <w:pPr>
        <w:pStyle w:val="TextBody"/>
        <w:bidi w:val="0"/>
        <w:spacing w:before="0" w:after="0"/>
        <w:ind w:left="0" w:right="0" w:hanging="0"/>
        <w:jc w:val="left"/>
        <w:rPr>
          <w:caps w:val="false"/>
          <w:smallCaps w:val="false"/>
        </w:rPr>
      </w:pPr>
      <w:r>
        <w:rPr>
          <w:caps w:val="false"/>
          <w:smallCaps w:val="false"/>
        </w:rPr>
        <w:drawing>
          <wp:inline distT="0" distB="0" distL="0" distR="0">
            <wp:extent cx="7143750" cy="57150"/>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4"/>
                    <a:stretch>
                      <a:fillRect/>
                    </a:stretch>
                  </pic:blipFill>
                  <pic:spPr bwMode="auto">
                    <a:xfrm>
                      <a:off x="0" y="0"/>
                      <a:ext cx="7143750" cy="57150"/>
                    </a:xfrm>
                    <a:prstGeom prst="rect">
                      <a:avLst/>
                    </a:prstGeom>
                  </pic:spPr>
                </pic:pic>
              </a:graphicData>
            </a:graphic>
          </wp:inline>
        </w:drawing>
      </w:r>
    </w:p>
    <w:p>
      <w:pPr>
        <w:pStyle w:val="TextBody"/>
        <w:bidi w:val="0"/>
        <w:spacing w:before="0" w:after="0"/>
        <w:ind w:left="0" w:right="0" w:hanging="0"/>
        <w:jc w:val="left"/>
        <w:rPr>
          <w:caps w:val="false"/>
          <w:smallCaps w:val="false"/>
        </w:rPr>
      </w:pPr>
      <w:r>
        <w:rPr>
          <w:caps w:val="false"/>
          <w:smallCaps w:val="false"/>
        </w:rPr>
        <w:drawing>
          <wp:inline distT="0" distB="0" distL="0" distR="0">
            <wp:extent cx="3048000" cy="20002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5"/>
                    <a:stretch>
                      <a:fillRect/>
                    </a:stretch>
                  </pic:blipFill>
                  <pic:spPr bwMode="auto">
                    <a:xfrm>
                      <a:off x="0" y="0"/>
                      <a:ext cx="3048000" cy="200025"/>
                    </a:xfrm>
                    <a:prstGeom prst="rect">
                      <a:avLst/>
                    </a:prstGeom>
                  </pic:spPr>
                </pic:pic>
              </a:graphicData>
            </a:graphic>
          </wp:inline>
        </w:drawing>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44" w:name="G_001"/>
      <w:bookmarkEnd w:id="44"/>
      <w:r>
        <w:rPr>
          <w:rFonts w:ascii="Times New Roman;Times;Serif" w:hAnsi="Times New Roman;Times;Serif"/>
          <w:b/>
          <w:i w:val="false"/>
          <w:caps w:val="false"/>
          <w:smallCaps w:val="false"/>
          <w:sz w:val="20"/>
        </w:rPr>
        <w:t>To the Members of</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Ambia Energy, LLC</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Opinion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audited the accompanying financial statements of Ambia Energy, LLC (the Company), which comprise the balance sheet as of December 31, 2024, and the related statement of operations and member’s deficit , and cash flows for the year then ended, and the related notes to financial statements.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our opinion, the financial statements referred to above present fairly, in all material respects, the financial position of the Company as of December 31, 2024 and the results of its operations and its cash flows for the year then ended in accordance with accounting principles generally accepted in the United States of America (US GAAP).</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Basis for Opinion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We conducted our audit in accordance with auditing standards generally accepted in the United States of America (US GAAS). Our responsibilities under those standards are further described in the </w:t>
      </w:r>
      <w:r>
        <w:rPr>
          <w:rFonts w:ascii="Times New Roman;Times;Serif" w:hAnsi="Times New Roman;Times;Serif"/>
          <w:b w:val="false"/>
          <w:i/>
          <w:caps w:val="false"/>
          <w:smallCaps w:val="false"/>
          <w:sz w:val="20"/>
        </w:rPr>
        <w:t>Auditors’ Responsibilities for the Audit of the Financial Statements</w:t>
      </w:r>
      <w:r>
        <w:rPr>
          <w:rFonts w:ascii="Times New Roman;Times;Serif" w:hAnsi="Times New Roman;Times;Serif"/>
          <w:b w:val="false"/>
          <w:i w:val="false"/>
          <w:caps w:val="false"/>
          <w:smallCaps w:val="false"/>
          <w:sz w:val="20"/>
        </w:rPr>
        <w:t xml:space="preserve"> section of our report. We are required to be independent of the Company and to meet our other ethical responsibilities in accordance with the relevant ethical requirements relating to our audit. We believe that the audit evidence we have obtained is sufficient and appropriate to provide a basis for our audit opinion.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Responsibilities of Management for the Financial Statements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Management is responsible for the preparation and fair presentation of the financial statements in accordance with US GAAP, and for the design, implementation, and maintenance of internal control relevant to the preparation and fair presentation of financial statements that are free from material misstatement, whether due to fraud or error.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preparing the financial statements, management is required to evaluate whether there are conditions or events, considered in the aggregate, that raise substantial doubt about the Company’s ability to continue as a going concern within one year after the date that the financial statements are available to be issued.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Auditors’ Responsibilities for the Audit of the Financial Statements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objectives are to obtain reasonable assurance about whether the financial statements as a whole are free from material misstatement, whether due to fraud or error, and to issue an auditors’ report that includes our opinion. Reasonable assurance is a high level of assurance but is not absolute assurance and therefore is not a guarantee that an audit conducted in accordance with generally accepted auditing standards will always detect a material misstatement when it exists. The risk of not detecting a material misstatement resulting from fraud is higher than for one resulting from error, as fraud may involve collusion, forgery, intentional omissions, misrepresentations, or the override of internal control. Misstatements are considered material if there is a substantial likelihood that, individually or in the aggregate, they would influence the judgment made by a reasonable user based on the financial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3300 N. Triumph Blvd., Suite 410, Lehi, UT 84043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12" w:space="1" w:color="000000"/>
        </w:rPr>
      </w:pPr>
      <w:r>
        <w:rPr>
          <w:sz w:val="20"/>
          <w:bdr w:val="single" w:sz="12" w:space="1" w:color="000000"/>
        </w:rPr>
        <w:t>F-148</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drawing>
          <wp:inline distT="0" distB="0" distL="0" distR="0">
            <wp:extent cx="7143750" cy="57150"/>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embed="rId6"/>
                    <a:stretch>
                      <a:fillRect/>
                    </a:stretch>
                  </pic:blipFill>
                  <pic:spPr bwMode="auto">
                    <a:xfrm>
                      <a:off x="0" y="0"/>
                      <a:ext cx="7143750" cy="57150"/>
                    </a:xfrm>
                    <a:prstGeom prst="rect">
                      <a:avLst/>
                    </a:prstGeom>
                  </pic:spPr>
                </pic:pic>
              </a:graphicData>
            </a:graphic>
          </wp:inline>
        </w:drawing>
      </w: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performing an audit in accordance with generally accepted auditing standards, we:</w:t>
      </w:r>
    </w:p>
    <w:p>
      <w:pPr>
        <w:pStyle w:val="TextBody"/>
        <w:bidi w:val="0"/>
        <w:spacing w:before="0" w:after="0"/>
        <w:ind w:left="0" w:right="0" w:hanging="0"/>
        <w:jc w:val="both"/>
        <w:rPr>
          <w:caps w:val="false"/>
          <w:smallCaps w:val="false"/>
        </w:rPr>
      </w:pPr>
      <w:r>
        <w:rPr>
          <w:caps w:val="false"/>
          <w:smallCaps w:val="false"/>
        </w:rPr>
        <w:t> </w:t>
      </w:r>
    </w:p>
    <w:tbl>
      <w:tblPr>
        <w:tblW w:w="8808" w:type="dxa"/>
        <w:jc w:val="left"/>
        <w:tblInd w:w="0" w:type="dxa"/>
        <w:tblLayout w:type="fixed"/>
        <w:tblCellMar>
          <w:top w:w="0" w:type="dxa"/>
          <w:left w:w="0" w:type="dxa"/>
          <w:bottom w:w="0" w:type="dxa"/>
          <w:right w:w="0" w:type="dxa"/>
        </w:tblCellMar>
      </w:tblPr>
      <w:tblGrid>
        <w:gridCol w:w="38"/>
        <w:gridCol w:w="170"/>
        <w:gridCol w:w="860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8600" w:type="dxa"/>
            <w:tcBorders/>
            <w:vAlign w:val="center"/>
          </w:tcPr>
          <w:p>
            <w:pPr>
              <w:pStyle w:val="TableContents"/>
              <w:bidi w:val="0"/>
              <w:spacing w:before="0" w:after="283"/>
              <w:jc w:val="both"/>
              <w:rPr/>
            </w:pPr>
            <w:r>
              <w:rPr/>
              <w:t xml:space="preserve">Exercise professional judgment and maintain professional skepticism throughout the audit. </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Identify and assess the risks of material misstatement of the financial statements, whether due to fraud or error, and design and perform audit procedures responsive to those risks. Such procedures include examining, on a test basis, evidence regarding the amounts and disclosures in the financial statements.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Obtain an understanding of internal control relevant to the audit in order to design audit procedures that are appropriate in the circumstances, but not for the purpose of expressing an opinion on the effectiveness of the Company’s internal control. Accordingly, no such opinion is expressed.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Evaluate the appropriateness of accounting policies used and the reasonableness of significant accounting estimates made by management, as well as evaluate the overall presentation of the financial statements.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Conclude whether, in our judgment, there are conditions or events, considered in the aggregate, that raise substantial doubt about the Company’s ability to continue as a going concern for a reasonable period of time.</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required to communicate with those charged with governance regarding, among other matters, the planned scope and timing of the audit, significant audit findings, and certain internal control related matters that we identified during the audit.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Tanner LLP</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December 22, 2025</w:t>
      </w:r>
    </w:p>
    <w:p>
      <w:pPr>
        <w:pStyle w:val="TextBody"/>
        <w:bidi w:val="0"/>
        <w:spacing w:before="0" w:after="0"/>
        <w:ind w:left="0" w:right="0" w:hanging="0"/>
        <w:jc w:val="righ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3300 N. Triumph Blvd., Suite 410, Lehi, UT 84043</w:t>
      </w:r>
    </w:p>
    <w:p>
      <w:pPr>
        <w:pStyle w:val="TextBody"/>
        <w:bidi w:val="0"/>
        <w:spacing w:before="0" w:after="0"/>
        <w:ind w:left="0" w:right="0" w:hanging="0"/>
        <w:jc w:val="right"/>
        <w:rPr>
          <w:caps w:val="false"/>
          <w:smallCaps w:val="false"/>
        </w:rPr>
      </w:pPr>
      <w:r>
        <w:rPr>
          <w:caps w:val="false"/>
          <w:smallCaps w:val="false"/>
        </w:rPr>
        <w:t> </w:t>
      </w:r>
    </w:p>
    <w:p>
      <w:pPr>
        <w:pStyle w:val="TextBody"/>
        <w:bidi w:val="0"/>
        <w:spacing w:before="0" w:after="0"/>
        <w:ind w:left="0" w:right="0" w:hanging="0"/>
        <w:jc w:val="center"/>
        <w:rPr>
          <w:sz w:val="20"/>
          <w:bdr w:val="single" w:sz="12" w:space="1" w:color="000000"/>
        </w:rPr>
      </w:pPr>
      <w:r>
        <w:rPr>
          <w:sz w:val="20"/>
          <w:bdr w:val="single" w:sz="12" w:space="1" w:color="000000"/>
        </w:rPr>
        <w:t>F-149</w:t>
      </w:r>
    </w:p>
    <w:p>
      <w:pPr>
        <w:pStyle w:val="TextBody"/>
        <w:bidi w:val="0"/>
        <w:spacing w:before="0" w:after="0"/>
        <w:ind w:left="0" w:right="0" w:hanging="0"/>
        <w:jc w:val="left"/>
        <w:rPr/>
      </w:pPr>
      <w:r>
        <w:rPr/>
        <w:t> </w:t>
      </w:r>
    </w:p>
    <w:p>
      <w:pPr>
        <w:pStyle w:val="TextBody"/>
        <w:bidi w:val="0"/>
        <w:spacing w:before="0" w:after="0"/>
        <w:ind w:left="0" w:right="0" w:hanging="0"/>
        <w:jc w:val="righ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bookmarkStart w:id="45" w:name="G_002"/>
      <w:bookmarkEnd w:id="45"/>
      <w:r>
        <w:rPr>
          <w:rFonts w:ascii="Times New Roman;Times;Serif" w:hAnsi="Times New Roman;Times;Serif"/>
          <w:b/>
          <w:i/>
          <w:caps w:val="false"/>
          <w:smallCaps w:val="false"/>
          <w:sz w:val="20"/>
        </w:rPr>
        <w:t>Balance Sheet</w:t>
      </w:r>
    </w:p>
    <w:p>
      <w:pPr>
        <w:pStyle w:val="TextBody"/>
        <w:bidi w:val="0"/>
        <w:spacing w:before="0" w:after="0"/>
        <w:ind w:left="0" w:right="0" w:hanging="0"/>
        <w:jc w:val="left"/>
        <w:rPr>
          <w:caps w:val="false"/>
          <w:smallCaps w:val="false"/>
        </w:rPr>
      </w:pPr>
      <w:r>
        <w:rPr>
          <w:caps w:val="false"/>
          <w:smallCaps w:val="false"/>
        </w:rPr>
        <w:drawing>
          <wp:inline distT="0" distB="0" distL="0" distR="0">
            <wp:extent cx="7143750" cy="57150"/>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embed="rId7"/>
                    <a:stretch>
                      <a:fillRect/>
                    </a:stretch>
                  </pic:blipFill>
                  <pic:spPr bwMode="auto">
                    <a:xfrm>
                      <a:off x="0" y="0"/>
                      <a:ext cx="7143750" cy="57150"/>
                    </a:xfrm>
                    <a:prstGeom prst="rect">
                      <a:avLst/>
                    </a:prstGeom>
                  </pic:spPr>
                </pic:pic>
              </a:graphicData>
            </a:graphic>
          </wp:inline>
        </w:drawing>
      </w:r>
    </w:p>
    <w:p>
      <w:pPr>
        <w:pStyle w:val="TextBody"/>
        <w:bidi w:val="0"/>
        <w:spacing w:before="0" w:after="0"/>
        <w:ind w:left="0" w:right="0" w:hanging="0"/>
        <w:jc w:val="left"/>
        <w:rPr>
          <w:caps w:val="false"/>
          <w:smallCaps w:val="false"/>
        </w:rPr>
      </w:pPr>
      <w:r>
        <w:rPr>
          <w:caps w:val="false"/>
          <w:smallCaps w:val="false"/>
        </w:rPr>
        <w:t> </w:t>
      </w:r>
    </w:p>
    <w:tbl>
      <w:tblPr>
        <w:tblW w:w="8459" w:type="dxa"/>
        <w:jc w:val="left"/>
        <w:tblInd w:w="0" w:type="dxa"/>
        <w:tblLayout w:type="fixed"/>
        <w:tblCellMar>
          <w:top w:w="0" w:type="dxa"/>
          <w:left w:w="0" w:type="dxa"/>
          <w:bottom w:w="0" w:type="dxa"/>
          <w:right w:w="0" w:type="dxa"/>
        </w:tblCellMar>
      </w:tblPr>
      <w:tblGrid>
        <w:gridCol w:w="6380"/>
        <w:gridCol w:w="60"/>
        <w:gridCol w:w="214"/>
        <w:gridCol w:w="1695"/>
        <w:gridCol w:w="110"/>
      </w:tblGrid>
      <w:tr>
        <w:trPr/>
        <w:tc>
          <w:tcPr>
            <w:tcW w:w="63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909" w:type="dxa"/>
            <w:gridSpan w:val="2"/>
            <w:tcBorders/>
            <w:vAlign w:val="center"/>
          </w:tcPr>
          <w:p>
            <w:pPr>
              <w:pStyle w:val="TableContents"/>
              <w:bidi w:val="0"/>
              <w:spacing w:before="0" w:after="283"/>
              <w:jc w:val="center"/>
              <w:rPr>
                <w:rFonts w:ascii="Times New Roman;Times;Serif" w:hAnsi="Times New Roman;Times;Serif"/>
                <w:i/>
              </w:rPr>
            </w:pPr>
            <w:r>
              <w:rPr>
                <w:rFonts w:ascii="Times New Roman;Times;Serif" w:hAnsi="Times New Roman;Times;Serif"/>
                <w:i/>
              </w:rPr>
              <w:t>As of December 31,</w:t>
            </w:r>
          </w:p>
        </w:tc>
        <w:tc>
          <w:tcPr>
            <w:tcW w:w="110" w:type="dxa"/>
            <w:tcBorders/>
            <w:vAlign w:val="center"/>
          </w:tcPr>
          <w:p>
            <w:pPr>
              <w:pStyle w:val="TableContents"/>
              <w:bidi w:val="0"/>
              <w:spacing w:before="0" w:after="283"/>
              <w:jc w:val="left"/>
              <w:rPr/>
            </w:pPr>
            <w:r>
              <w:rPr/>
              <w:t> </w:t>
            </w:r>
          </w:p>
        </w:tc>
      </w:tr>
      <w:tr>
        <w:trPr/>
        <w:tc>
          <w:tcPr>
            <w:tcW w:w="63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909"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2024</w:t>
            </w:r>
          </w:p>
        </w:tc>
        <w:tc>
          <w:tcPr>
            <w:tcW w:w="110" w:type="dxa"/>
            <w:tcBorders/>
            <w:vAlign w:val="center"/>
          </w:tcPr>
          <w:p>
            <w:pPr>
              <w:pStyle w:val="TableContents"/>
              <w:bidi w:val="0"/>
              <w:spacing w:before="0" w:after="283"/>
              <w:jc w:val="left"/>
              <w:rPr/>
            </w:pPr>
            <w:r>
              <w:rPr/>
              <w:t> </w:t>
            </w:r>
          </w:p>
        </w:tc>
      </w:tr>
      <w:tr>
        <w:trPr/>
        <w:tc>
          <w:tcPr>
            <w:tcW w:w="6380" w:type="dxa"/>
            <w:tcBorders/>
            <w:vAlign w:val="center"/>
          </w:tcPr>
          <w:p>
            <w:pPr>
              <w:pStyle w:val="TableContents"/>
              <w:bidi w:val="0"/>
              <w:spacing w:before="0" w:after="283"/>
              <w:jc w:val="left"/>
              <w:rPr>
                <w:rFonts w:ascii="Times New Roman;Times;Serif" w:hAnsi="Times New Roman;Times;Serif"/>
                <w:b/>
                <w:u w:val="single"/>
              </w:rPr>
            </w:pPr>
            <w:r>
              <w:rPr>
                <w:rFonts w:ascii="Times New Roman;Times;Serif" w:hAnsi="Times New Roman;Times;Serif"/>
                <w:b/>
                <w:u w:val="single"/>
              </w:rPr>
              <w:t>Assets</w:t>
            </w:r>
          </w:p>
        </w:tc>
        <w:tc>
          <w:tcPr>
            <w:tcW w:w="60" w:type="dxa"/>
            <w:tcBorders/>
            <w:vAlign w:val="center"/>
          </w:tcPr>
          <w:p>
            <w:pPr>
              <w:pStyle w:val="TableContents"/>
              <w:bidi w:val="0"/>
              <w:spacing w:before="0" w:after="283"/>
              <w:jc w:val="left"/>
              <w:rPr/>
            </w:pPr>
            <w:r>
              <w:rPr/>
              <w:t> </w:t>
            </w:r>
          </w:p>
        </w:tc>
        <w:tc>
          <w:tcPr>
            <w:tcW w:w="1909" w:type="dxa"/>
            <w:gridSpan w:val="2"/>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 </w:t>
            </w:r>
          </w:p>
        </w:tc>
      </w:tr>
      <w:tr>
        <w:trPr/>
        <w:tc>
          <w:tcPr>
            <w:tcW w:w="638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Current assets:</w:t>
            </w:r>
          </w:p>
        </w:tc>
        <w:tc>
          <w:tcPr>
            <w:tcW w:w="60" w:type="dxa"/>
            <w:tcBorders/>
            <w:vAlign w:val="center"/>
          </w:tcPr>
          <w:p>
            <w:pPr>
              <w:pStyle w:val="TableContents"/>
              <w:bidi w:val="0"/>
              <w:spacing w:before="0" w:after="283"/>
              <w:jc w:val="left"/>
              <w:rPr/>
            </w:pPr>
            <w:r>
              <w:rPr/>
              <w:t> </w:t>
            </w:r>
          </w:p>
        </w:tc>
        <w:tc>
          <w:tcPr>
            <w:tcW w:w="1909" w:type="dxa"/>
            <w:gridSpan w:val="2"/>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 </w:t>
            </w:r>
          </w:p>
        </w:tc>
      </w:tr>
      <w:tr>
        <w:trPr/>
        <w:tc>
          <w:tcPr>
            <w:tcW w:w="638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Cash</w:t>
            </w:r>
          </w:p>
        </w:tc>
        <w:tc>
          <w:tcPr>
            <w:tcW w:w="60" w:type="dxa"/>
            <w:tcBorders/>
            <w:shd w:fill="CCEEFF" w:val="clear"/>
            <w:vAlign w:val="center"/>
          </w:tcPr>
          <w:p>
            <w:pPr>
              <w:pStyle w:val="TableContents"/>
              <w:bidi w:val="0"/>
              <w:spacing w:before="0" w:after="283"/>
              <w:jc w:val="left"/>
              <w:rPr/>
            </w:pPr>
            <w:r>
              <w:rPr/>
              <w:t> </w:t>
            </w:r>
          </w:p>
        </w:tc>
        <w:tc>
          <w:tcPr>
            <w:tcW w:w="214"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69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1,043,269</w:t>
            </w:r>
          </w:p>
        </w:tc>
        <w:tc>
          <w:tcPr>
            <w:tcW w:w="110" w:type="dxa"/>
            <w:tcBorders/>
            <w:shd w:fill="CCEEFF" w:val="clear"/>
            <w:vAlign w:val="center"/>
          </w:tcPr>
          <w:p>
            <w:pPr>
              <w:pStyle w:val="TableContents"/>
              <w:bidi w:val="0"/>
              <w:spacing w:before="0" w:after="283"/>
              <w:jc w:val="left"/>
              <w:rPr/>
            </w:pPr>
            <w:r>
              <w:rPr/>
              <w:t> </w:t>
            </w:r>
          </w:p>
        </w:tc>
      </w:tr>
      <w:tr>
        <w:trPr/>
        <w:tc>
          <w:tcPr>
            <w:tcW w:w="638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Accounts receivable, net of allowance for credit losses of $123,000</w:t>
            </w:r>
          </w:p>
        </w:tc>
        <w:tc>
          <w:tcPr>
            <w:tcW w:w="60" w:type="dxa"/>
            <w:tcBorders/>
            <w:shd w:fill="FFFFFF" w:val="clear"/>
            <w:vAlign w:val="center"/>
          </w:tcPr>
          <w:p>
            <w:pPr>
              <w:pStyle w:val="TableContents"/>
              <w:bidi w:val="0"/>
              <w:spacing w:before="0" w:after="283"/>
              <w:jc w:val="left"/>
              <w:rPr/>
            </w:pPr>
            <w:r>
              <w:rPr/>
              <w:t> </w:t>
            </w:r>
          </w:p>
        </w:tc>
        <w:tc>
          <w:tcPr>
            <w:tcW w:w="214" w:type="dxa"/>
            <w:tcBorders/>
            <w:shd w:fill="FFFFFF" w:val="clear"/>
            <w:vAlign w:val="center"/>
          </w:tcPr>
          <w:p>
            <w:pPr>
              <w:pStyle w:val="TableContents"/>
              <w:bidi w:val="0"/>
              <w:spacing w:before="0" w:after="283"/>
              <w:jc w:val="left"/>
              <w:rPr/>
            </w:pPr>
            <w:r>
              <w:rPr/>
              <w:t> </w:t>
            </w:r>
          </w:p>
        </w:tc>
        <w:tc>
          <w:tcPr>
            <w:tcW w:w="169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1,010,295</w:t>
            </w:r>
          </w:p>
        </w:tc>
        <w:tc>
          <w:tcPr>
            <w:tcW w:w="110" w:type="dxa"/>
            <w:tcBorders/>
            <w:shd w:fill="FFFFFF" w:val="clear"/>
            <w:vAlign w:val="center"/>
          </w:tcPr>
          <w:p>
            <w:pPr>
              <w:pStyle w:val="TableContents"/>
              <w:bidi w:val="0"/>
              <w:spacing w:before="0" w:after="283"/>
              <w:jc w:val="left"/>
              <w:rPr/>
            </w:pPr>
            <w:r>
              <w:rPr/>
              <w:t> </w:t>
            </w:r>
          </w:p>
        </w:tc>
      </w:tr>
      <w:tr>
        <w:trPr/>
        <w:tc>
          <w:tcPr>
            <w:tcW w:w="638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Contract assets - unbilled revenues</w:t>
            </w:r>
          </w:p>
        </w:tc>
        <w:tc>
          <w:tcPr>
            <w:tcW w:w="60" w:type="dxa"/>
            <w:tcBorders/>
            <w:shd w:fill="CCEEFF" w:val="clear"/>
            <w:vAlign w:val="center"/>
          </w:tcPr>
          <w:p>
            <w:pPr>
              <w:pStyle w:val="TableContents"/>
              <w:bidi w:val="0"/>
              <w:spacing w:before="0" w:after="283"/>
              <w:jc w:val="left"/>
              <w:rPr/>
            </w:pPr>
            <w:r>
              <w:rPr/>
              <w:t> </w:t>
            </w:r>
          </w:p>
        </w:tc>
        <w:tc>
          <w:tcPr>
            <w:tcW w:w="214" w:type="dxa"/>
            <w:tcBorders/>
            <w:shd w:fill="CCEEFF" w:val="clear"/>
            <w:vAlign w:val="center"/>
          </w:tcPr>
          <w:p>
            <w:pPr>
              <w:pStyle w:val="TableContents"/>
              <w:bidi w:val="0"/>
              <w:spacing w:before="0" w:after="283"/>
              <w:jc w:val="left"/>
              <w:rPr/>
            </w:pPr>
            <w:r>
              <w:rPr/>
              <w:t> </w:t>
            </w:r>
          </w:p>
        </w:tc>
        <w:tc>
          <w:tcPr>
            <w:tcW w:w="169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4,601,890</w:t>
            </w:r>
          </w:p>
        </w:tc>
        <w:tc>
          <w:tcPr>
            <w:tcW w:w="110" w:type="dxa"/>
            <w:tcBorders/>
            <w:shd w:fill="CCEEFF" w:val="clear"/>
            <w:vAlign w:val="center"/>
          </w:tcPr>
          <w:p>
            <w:pPr>
              <w:pStyle w:val="TableContents"/>
              <w:bidi w:val="0"/>
              <w:spacing w:before="0" w:after="283"/>
              <w:jc w:val="left"/>
              <w:rPr/>
            </w:pPr>
            <w:r>
              <w:rPr/>
              <w:t> </w:t>
            </w:r>
          </w:p>
        </w:tc>
      </w:tr>
      <w:tr>
        <w:trPr/>
        <w:tc>
          <w:tcPr>
            <w:tcW w:w="638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Other receivables</w:t>
            </w:r>
          </w:p>
        </w:tc>
        <w:tc>
          <w:tcPr>
            <w:tcW w:w="60" w:type="dxa"/>
            <w:tcBorders/>
            <w:shd w:fill="FFFFFF" w:val="clear"/>
            <w:vAlign w:val="center"/>
          </w:tcPr>
          <w:p>
            <w:pPr>
              <w:pStyle w:val="TableContents"/>
              <w:bidi w:val="0"/>
              <w:spacing w:before="0" w:after="283"/>
              <w:jc w:val="left"/>
              <w:rPr/>
            </w:pPr>
            <w:r>
              <w:rPr/>
              <w:t> </w:t>
            </w:r>
          </w:p>
        </w:tc>
        <w:tc>
          <w:tcPr>
            <w:tcW w:w="214" w:type="dxa"/>
            <w:tcBorders/>
            <w:shd w:fill="FFFFFF" w:val="clear"/>
            <w:vAlign w:val="center"/>
          </w:tcPr>
          <w:p>
            <w:pPr>
              <w:pStyle w:val="TableContents"/>
              <w:bidi w:val="0"/>
              <w:spacing w:before="0" w:after="283"/>
              <w:jc w:val="left"/>
              <w:rPr/>
            </w:pPr>
            <w:r>
              <w:rPr/>
              <w:t> </w:t>
            </w:r>
          </w:p>
        </w:tc>
        <w:tc>
          <w:tcPr>
            <w:tcW w:w="169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366,027</w:t>
            </w:r>
          </w:p>
        </w:tc>
        <w:tc>
          <w:tcPr>
            <w:tcW w:w="110" w:type="dxa"/>
            <w:tcBorders/>
            <w:shd w:fill="FFFFFF" w:val="clear"/>
            <w:vAlign w:val="center"/>
          </w:tcPr>
          <w:p>
            <w:pPr>
              <w:pStyle w:val="TableContents"/>
              <w:bidi w:val="0"/>
              <w:spacing w:before="0" w:after="283"/>
              <w:jc w:val="left"/>
              <w:rPr/>
            </w:pPr>
            <w:r>
              <w:rPr/>
              <w:t> </w:t>
            </w:r>
          </w:p>
        </w:tc>
      </w:tr>
      <w:tr>
        <w:trPr/>
        <w:tc>
          <w:tcPr>
            <w:tcW w:w="638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Sales commissions receivable</w:t>
            </w:r>
          </w:p>
        </w:tc>
        <w:tc>
          <w:tcPr>
            <w:tcW w:w="60" w:type="dxa"/>
            <w:tcBorders/>
            <w:shd w:fill="CCEEFF" w:val="clear"/>
            <w:vAlign w:val="center"/>
          </w:tcPr>
          <w:p>
            <w:pPr>
              <w:pStyle w:val="TableContents"/>
              <w:bidi w:val="0"/>
              <w:spacing w:before="0" w:after="283"/>
              <w:jc w:val="left"/>
              <w:rPr/>
            </w:pPr>
            <w:r>
              <w:rPr/>
              <w:t> </w:t>
            </w:r>
          </w:p>
        </w:tc>
        <w:tc>
          <w:tcPr>
            <w:tcW w:w="214" w:type="dxa"/>
            <w:tcBorders/>
            <w:shd w:fill="CCEEFF" w:val="clear"/>
            <w:vAlign w:val="center"/>
          </w:tcPr>
          <w:p>
            <w:pPr>
              <w:pStyle w:val="TableContents"/>
              <w:bidi w:val="0"/>
              <w:spacing w:before="0" w:after="283"/>
              <w:jc w:val="left"/>
              <w:rPr/>
            </w:pPr>
            <w:r>
              <w:rPr/>
              <w:t> </w:t>
            </w:r>
          </w:p>
        </w:tc>
        <w:tc>
          <w:tcPr>
            <w:tcW w:w="169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423,719</w:t>
            </w:r>
          </w:p>
        </w:tc>
        <w:tc>
          <w:tcPr>
            <w:tcW w:w="110" w:type="dxa"/>
            <w:tcBorders/>
            <w:shd w:fill="CCEEFF" w:val="clear"/>
            <w:vAlign w:val="center"/>
          </w:tcPr>
          <w:p>
            <w:pPr>
              <w:pStyle w:val="TableContents"/>
              <w:bidi w:val="0"/>
              <w:spacing w:before="0" w:after="283"/>
              <w:jc w:val="left"/>
              <w:rPr/>
            </w:pPr>
            <w:r>
              <w:rPr/>
              <w:t> </w:t>
            </w:r>
          </w:p>
        </w:tc>
      </w:tr>
      <w:tr>
        <w:trPr/>
        <w:tc>
          <w:tcPr>
            <w:tcW w:w="638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Deferred commissions</w:t>
            </w:r>
          </w:p>
        </w:tc>
        <w:tc>
          <w:tcPr>
            <w:tcW w:w="60" w:type="dxa"/>
            <w:tcBorders/>
            <w:shd w:fill="FFFFFF" w:val="clear"/>
            <w:vAlign w:val="center"/>
          </w:tcPr>
          <w:p>
            <w:pPr>
              <w:pStyle w:val="TableContents"/>
              <w:bidi w:val="0"/>
              <w:spacing w:before="0" w:after="283"/>
              <w:jc w:val="left"/>
              <w:rPr/>
            </w:pPr>
            <w:r>
              <w:rPr/>
              <w:t> </w:t>
            </w:r>
          </w:p>
        </w:tc>
        <w:tc>
          <w:tcPr>
            <w:tcW w:w="214" w:type="dxa"/>
            <w:tcBorders/>
            <w:shd w:fill="FFFFFF" w:val="clear"/>
            <w:vAlign w:val="center"/>
          </w:tcPr>
          <w:p>
            <w:pPr>
              <w:pStyle w:val="TableContents"/>
              <w:bidi w:val="0"/>
              <w:spacing w:before="0" w:after="283"/>
              <w:jc w:val="left"/>
              <w:rPr/>
            </w:pPr>
            <w:r>
              <w:rPr/>
              <w:t> </w:t>
            </w:r>
          </w:p>
        </w:tc>
        <w:tc>
          <w:tcPr>
            <w:tcW w:w="169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3,511,328</w:t>
            </w:r>
          </w:p>
        </w:tc>
        <w:tc>
          <w:tcPr>
            <w:tcW w:w="110" w:type="dxa"/>
            <w:tcBorders/>
            <w:shd w:fill="FFFFFF" w:val="clear"/>
            <w:vAlign w:val="center"/>
          </w:tcPr>
          <w:p>
            <w:pPr>
              <w:pStyle w:val="TableContents"/>
              <w:bidi w:val="0"/>
              <w:spacing w:before="0" w:after="283"/>
              <w:jc w:val="left"/>
              <w:rPr/>
            </w:pPr>
            <w:r>
              <w:rPr/>
              <w:t> </w:t>
            </w:r>
          </w:p>
        </w:tc>
      </w:tr>
      <w:tr>
        <w:trPr/>
        <w:tc>
          <w:tcPr>
            <w:tcW w:w="638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Deferred costs</w:t>
            </w:r>
          </w:p>
        </w:tc>
        <w:tc>
          <w:tcPr>
            <w:tcW w:w="60" w:type="dxa"/>
            <w:tcBorders/>
            <w:shd w:fill="CCEEFF" w:val="clear"/>
            <w:vAlign w:val="center"/>
          </w:tcPr>
          <w:p>
            <w:pPr>
              <w:pStyle w:val="TableContents"/>
              <w:bidi w:val="0"/>
              <w:spacing w:before="0" w:after="283"/>
              <w:jc w:val="left"/>
              <w:rPr/>
            </w:pPr>
            <w:r>
              <w:rPr/>
              <w:t> </w:t>
            </w:r>
          </w:p>
        </w:tc>
        <w:tc>
          <w:tcPr>
            <w:tcW w:w="214" w:type="dxa"/>
            <w:tcBorders/>
            <w:shd w:fill="CCEEFF" w:val="clear"/>
            <w:vAlign w:val="center"/>
          </w:tcPr>
          <w:p>
            <w:pPr>
              <w:pStyle w:val="TableContents"/>
              <w:bidi w:val="0"/>
              <w:spacing w:before="0" w:after="283"/>
              <w:jc w:val="left"/>
              <w:rPr/>
            </w:pPr>
            <w:r>
              <w:rPr/>
              <w:t> </w:t>
            </w:r>
          </w:p>
        </w:tc>
        <w:tc>
          <w:tcPr>
            <w:tcW w:w="169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6,137,615</w:t>
            </w:r>
          </w:p>
        </w:tc>
        <w:tc>
          <w:tcPr>
            <w:tcW w:w="110" w:type="dxa"/>
            <w:tcBorders/>
            <w:shd w:fill="CCEEFF" w:val="clear"/>
            <w:vAlign w:val="center"/>
          </w:tcPr>
          <w:p>
            <w:pPr>
              <w:pStyle w:val="TableContents"/>
              <w:bidi w:val="0"/>
              <w:spacing w:before="0" w:after="283"/>
              <w:jc w:val="left"/>
              <w:rPr/>
            </w:pPr>
            <w:r>
              <w:rPr/>
              <w:t> </w:t>
            </w:r>
          </w:p>
        </w:tc>
      </w:tr>
      <w:tr>
        <w:trPr/>
        <w:tc>
          <w:tcPr>
            <w:tcW w:w="638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Prepaid expenses and other current assets</w:t>
            </w:r>
          </w:p>
        </w:tc>
        <w:tc>
          <w:tcPr>
            <w:tcW w:w="60" w:type="dxa"/>
            <w:tcBorders/>
            <w:shd w:fill="FFFFFF" w:val="clear"/>
            <w:vAlign w:val="center"/>
          </w:tcPr>
          <w:p>
            <w:pPr>
              <w:pStyle w:val="TableContents"/>
              <w:bidi w:val="0"/>
              <w:spacing w:before="0" w:after="283"/>
              <w:jc w:val="left"/>
              <w:rPr/>
            </w:pPr>
            <w:r>
              <w:rPr/>
              <w:t> </w:t>
            </w:r>
          </w:p>
        </w:tc>
        <w:tc>
          <w:tcPr>
            <w:tcW w:w="214"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695"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531,238</w:t>
            </w:r>
          </w:p>
        </w:tc>
        <w:tc>
          <w:tcPr>
            <w:tcW w:w="110" w:type="dxa"/>
            <w:tcBorders/>
            <w:shd w:fill="FFFFFF" w:val="clear"/>
            <w:vAlign w:val="center"/>
          </w:tcPr>
          <w:p>
            <w:pPr>
              <w:pStyle w:val="TableContents"/>
              <w:bidi w:val="0"/>
              <w:spacing w:before="0" w:after="283"/>
              <w:jc w:val="left"/>
              <w:rPr/>
            </w:pPr>
            <w:r>
              <w:rPr/>
              <w:t> </w:t>
            </w:r>
          </w:p>
        </w:tc>
      </w:tr>
      <w:tr>
        <w:trPr/>
        <w:tc>
          <w:tcPr>
            <w:tcW w:w="638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Total current assets</w:t>
            </w:r>
          </w:p>
        </w:tc>
        <w:tc>
          <w:tcPr>
            <w:tcW w:w="60" w:type="dxa"/>
            <w:tcBorders/>
            <w:shd w:fill="CCEEFF" w:val="clear"/>
            <w:vAlign w:val="center"/>
          </w:tcPr>
          <w:p>
            <w:pPr>
              <w:pStyle w:val="TableContents"/>
              <w:bidi w:val="0"/>
              <w:spacing w:before="0" w:after="283"/>
              <w:jc w:val="left"/>
              <w:rPr/>
            </w:pPr>
            <w:r>
              <w:rPr/>
              <w:t> </w:t>
            </w:r>
          </w:p>
        </w:tc>
        <w:tc>
          <w:tcPr>
            <w:tcW w:w="214" w:type="dxa"/>
            <w:tcBorders/>
            <w:shd w:fill="CCEEFF" w:val="clear"/>
            <w:vAlign w:val="center"/>
          </w:tcPr>
          <w:p>
            <w:pPr>
              <w:pStyle w:val="TableContents"/>
              <w:bidi w:val="0"/>
              <w:spacing w:before="0" w:after="283"/>
              <w:jc w:val="left"/>
              <w:rPr/>
            </w:pPr>
            <w:r>
              <w:rPr/>
              <w:t> </w:t>
            </w:r>
          </w:p>
        </w:tc>
        <w:tc>
          <w:tcPr>
            <w:tcW w:w="169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17,625,381</w:t>
            </w:r>
          </w:p>
        </w:tc>
        <w:tc>
          <w:tcPr>
            <w:tcW w:w="110" w:type="dxa"/>
            <w:tcBorders/>
            <w:shd w:fill="CCEEFF" w:val="clear"/>
            <w:vAlign w:val="center"/>
          </w:tcPr>
          <w:p>
            <w:pPr>
              <w:pStyle w:val="TableContents"/>
              <w:bidi w:val="0"/>
              <w:spacing w:before="0" w:after="283"/>
              <w:jc w:val="left"/>
              <w:rPr/>
            </w:pPr>
            <w:r>
              <w:rPr/>
              <w:t> </w:t>
            </w:r>
          </w:p>
        </w:tc>
      </w:tr>
      <w:tr>
        <w:trPr/>
        <w:tc>
          <w:tcPr>
            <w:tcW w:w="638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Property and equipment, net</w:t>
            </w:r>
          </w:p>
        </w:tc>
        <w:tc>
          <w:tcPr>
            <w:tcW w:w="60" w:type="dxa"/>
            <w:tcBorders/>
            <w:shd w:fill="FFFFFF" w:val="clear"/>
            <w:vAlign w:val="center"/>
          </w:tcPr>
          <w:p>
            <w:pPr>
              <w:pStyle w:val="TableContents"/>
              <w:bidi w:val="0"/>
              <w:spacing w:before="0" w:after="283"/>
              <w:jc w:val="left"/>
              <w:rPr/>
            </w:pPr>
            <w:r>
              <w:rPr/>
              <w:t> </w:t>
            </w:r>
          </w:p>
        </w:tc>
        <w:tc>
          <w:tcPr>
            <w:tcW w:w="214" w:type="dxa"/>
            <w:tcBorders/>
            <w:shd w:fill="FFFFFF" w:val="clear"/>
            <w:vAlign w:val="center"/>
          </w:tcPr>
          <w:p>
            <w:pPr>
              <w:pStyle w:val="TableContents"/>
              <w:bidi w:val="0"/>
              <w:spacing w:before="0" w:after="283"/>
              <w:jc w:val="left"/>
              <w:rPr/>
            </w:pPr>
            <w:r>
              <w:rPr/>
              <w:t> </w:t>
            </w:r>
          </w:p>
        </w:tc>
        <w:tc>
          <w:tcPr>
            <w:tcW w:w="169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385,192</w:t>
            </w:r>
          </w:p>
        </w:tc>
        <w:tc>
          <w:tcPr>
            <w:tcW w:w="110" w:type="dxa"/>
            <w:tcBorders/>
            <w:shd w:fill="FFFFFF" w:val="clear"/>
            <w:vAlign w:val="center"/>
          </w:tcPr>
          <w:p>
            <w:pPr>
              <w:pStyle w:val="TableContents"/>
              <w:bidi w:val="0"/>
              <w:spacing w:before="0" w:after="283"/>
              <w:jc w:val="left"/>
              <w:rPr/>
            </w:pPr>
            <w:r>
              <w:rPr/>
              <w:t> </w:t>
            </w:r>
          </w:p>
        </w:tc>
      </w:tr>
      <w:tr>
        <w:trPr/>
        <w:tc>
          <w:tcPr>
            <w:tcW w:w="638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Operating lease right-of-use assets</w:t>
            </w:r>
          </w:p>
        </w:tc>
        <w:tc>
          <w:tcPr>
            <w:tcW w:w="60" w:type="dxa"/>
            <w:tcBorders/>
            <w:shd w:fill="CCEEFF" w:val="clear"/>
            <w:vAlign w:val="center"/>
          </w:tcPr>
          <w:p>
            <w:pPr>
              <w:pStyle w:val="TableContents"/>
              <w:bidi w:val="0"/>
              <w:spacing w:before="0" w:after="283"/>
              <w:jc w:val="left"/>
              <w:rPr/>
            </w:pPr>
            <w:r>
              <w:rPr/>
              <w:t> </w:t>
            </w:r>
          </w:p>
        </w:tc>
        <w:tc>
          <w:tcPr>
            <w:tcW w:w="214" w:type="dxa"/>
            <w:tcBorders/>
            <w:shd w:fill="CCEEFF" w:val="clear"/>
            <w:vAlign w:val="center"/>
          </w:tcPr>
          <w:p>
            <w:pPr>
              <w:pStyle w:val="TableContents"/>
              <w:bidi w:val="0"/>
              <w:spacing w:before="0" w:after="283"/>
              <w:jc w:val="left"/>
              <w:rPr/>
            </w:pPr>
            <w:r>
              <w:rPr/>
              <w:t> </w:t>
            </w:r>
          </w:p>
        </w:tc>
        <w:tc>
          <w:tcPr>
            <w:tcW w:w="169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740,654</w:t>
            </w:r>
          </w:p>
        </w:tc>
        <w:tc>
          <w:tcPr>
            <w:tcW w:w="110" w:type="dxa"/>
            <w:tcBorders/>
            <w:shd w:fill="CCEEFF" w:val="clear"/>
            <w:vAlign w:val="center"/>
          </w:tcPr>
          <w:p>
            <w:pPr>
              <w:pStyle w:val="TableContents"/>
              <w:bidi w:val="0"/>
              <w:spacing w:before="0" w:after="283"/>
              <w:jc w:val="left"/>
              <w:rPr/>
            </w:pPr>
            <w:r>
              <w:rPr/>
              <w:t> </w:t>
            </w:r>
          </w:p>
        </w:tc>
      </w:tr>
      <w:tr>
        <w:trPr/>
        <w:tc>
          <w:tcPr>
            <w:tcW w:w="638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Finance lease right-of-use assets</w:t>
            </w:r>
          </w:p>
        </w:tc>
        <w:tc>
          <w:tcPr>
            <w:tcW w:w="60" w:type="dxa"/>
            <w:tcBorders/>
            <w:shd w:fill="FFFFFF" w:val="clear"/>
            <w:vAlign w:val="center"/>
          </w:tcPr>
          <w:p>
            <w:pPr>
              <w:pStyle w:val="TableContents"/>
              <w:bidi w:val="0"/>
              <w:spacing w:before="0" w:after="283"/>
              <w:jc w:val="left"/>
              <w:rPr/>
            </w:pPr>
            <w:r>
              <w:rPr/>
              <w:t> </w:t>
            </w:r>
          </w:p>
        </w:tc>
        <w:tc>
          <w:tcPr>
            <w:tcW w:w="214" w:type="dxa"/>
            <w:tcBorders/>
            <w:shd w:fill="FFFFFF" w:val="clear"/>
            <w:vAlign w:val="center"/>
          </w:tcPr>
          <w:p>
            <w:pPr>
              <w:pStyle w:val="TableContents"/>
              <w:bidi w:val="0"/>
              <w:spacing w:before="0" w:after="283"/>
              <w:jc w:val="left"/>
              <w:rPr/>
            </w:pPr>
            <w:r>
              <w:rPr/>
              <w:t> </w:t>
            </w:r>
          </w:p>
        </w:tc>
        <w:tc>
          <w:tcPr>
            <w:tcW w:w="169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1,971,170</w:t>
            </w:r>
          </w:p>
        </w:tc>
        <w:tc>
          <w:tcPr>
            <w:tcW w:w="110" w:type="dxa"/>
            <w:tcBorders/>
            <w:shd w:fill="FFFFFF" w:val="clear"/>
            <w:vAlign w:val="center"/>
          </w:tcPr>
          <w:p>
            <w:pPr>
              <w:pStyle w:val="TableContents"/>
              <w:bidi w:val="0"/>
              <w:spacing w:before="0" w:after="283"/>
              <w:jc w:val="left"/>
              <w:rPr/>
            </w:pPr>
            <w:r>
              <w:rPr/>
              <w:t> </w:t>
            </w:r>
          </w:p>
        </w:tc>
      </w:tr>
      <w:tr>
        <w:trPr/>
        <w:tc>
          <w:tcPr>
            <w:tcW w:w="638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Deposits</w:t>
            </w:r>
          </w:p>
        </w:tc>
        <w:tc>
          <w:tcPr>
            <w:tcW w:w="60" w:type="dxa"/>
            <w:tcBorders/>
            <w:shd w:fill="CCEEFF" w:val="clear"/>
            <w:vAlign w:val="center"/>
          </w:tcPr>
          <w:p>
            <w:pPr>
              <w:pStyle w:val="TableContents"/>
              <w:bidi w:val="0"/>
              <w:spacing w:before="0" w:after="283"/>
              <w:jc w:val="left"/>
              <w:rPr/>
            </w:pPr>
            <w:r>
              <w:rPr/>
              <w:t> </w:t>
            </w:r>
          </w:p>
        </w:tc>
        <w:tc>
          <w:tcPr>
            <w:tcW w:w="214"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695"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116,819</w:t>
            </w:r>
          </w:p>
        </w:tc>
        <w:tc>
          <w:tcPr>
            <w:tcW w:w="110" w:type="dxa"/>
            <w:tcBorders/>
            <w:shd w:fill="CCEEFF" w:val="clear"/>
            <w:vAlign w:val="center"/>
          </w:tcPr>
          <w:p>
            <w:pPr>
              <w:pStyle w:val="TableContents"/>
              <w:bidi w:val="0"/>
              <w:spacing w:before="0" w:after="283"/>
              <w:jc w:val="left"/>
              <w:rPr/>
            </w:pPr>
            <w:r>
              <w:rPr/>
              <w:t> </w:t>
            </w:r>
          </w:p>
        </w:tc>
      </w:tr>
      <w:tr>
        <w:trPr/>
        <w:tc>
          <w:tcPr>
            <w:tcW w:w="638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Total assets</w:t>
            </w:r>
          </w:p>
        </w:tc>
        <w:tc>
          <w:tcPr>
            <w:tcW w:w="60" w:type="dxa"/>
            <w:tcBorders/>
            <w:shd w:fill="FFFFFF" w:val="clear"/>
            <w:vAlign w:val="center"/>
          </w:tcPr>
          <w:p>
            <w:pPr>
              <w:pStyle w:val="TableContents"/>
              <w:bidi w:val="0"/>
              <w:spacing w:before="0" w:after="283"/>
              <w:jc w:val="left"/>
              <w:rPr/>
            </w:pPr>
            <w:r>
              <w:rPr/>
              <w:t> </w:t>
            </w:r>
          </w:p>
        </w:tc>
        <w:tc>
          <w:tcPr>
            <w:tcW w:w="214" w:type="dxa"/>
            <w:tcBorders>
              <w:bottom w:val="double" w:sz="10"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695" w:type="dxa"/>
            <w:tcBorders>
              <w:bottom w:val="double" w:sz="10"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20,839,216</w:t>
            </w:r>
          </w:p>
        </w:tc>
        <w:tc>
          <w:tcPr>
            <w:tcW w:w="110" w:type="dxa"/>
            <w:tcBorders/>
            <w:shd w:fill="FFFFFF" w:val="clear"/>
            <w:vAlign w:val="center"/>
          </w:tcPr>
          <w:p>
            <w:pPr>
              <w:pStyle w:val="TableContents"/>
              <w:bidi w:val="0"/>
              <w:spacing w:before="0" w:after="283"/>
              <w:jc w:val="left"/>
              <w:rPr/>
            </w:pPr>
            <w:r>
              <w:rPr/>
              <w:t> </w:t>
            </w:r>
          </w:p>
        </w:tc>
      </w:tr>
      <w:tr>
        <w:trPr/>
        <w:tc>
          <w:tcPr>
            <w:tcW w:w="6380" w:type="dxa"/>
            <w:tcBorders/>
            <w:shd w:fill="CCEEFF" w:val="clear"/>
            <w:vAlign w:val="center"/>
          </w:tcPr>
          <w:p>
            <w:pPr>
              <w:pStyle w:val="TableContents"/>
              <w:bidi w:val="0"/>
              <w:spacing w:before="0" w:after="283"/>
              <w:jc w:val="left"/>
              <w:rPr>
                <w:rFonts w:ascii="Times New Roman;Times;Serif" w:hAnsi="Times New Roman;Times;Serif"/>
                <w:b/>
                <w:u w:val="single"/>
              </w:rPr>
            </w:pPr>
            <w:r>
              <w:rPr>
                <w:rFonts w:ascii="Times New Roman;Times;Serif" w:hAnsi="Times New Roman;Times;Serif"/>
                <w:b/>
                <w:u w:val="single"/>
              </w:rPr>
              <w:t>Liabilities and Member’s Deficit</w:t>
            </w:r>
          </w:p>
        </w:tc>
        <w:tc>
          <w:tcPr>
            <w:tcW w:w="60" w:type="dxa"/>
            <w:tcBorders/>
            <w:shd w:fill="CCEEFF" w:val="clear"/>
            <w:vAlign w:val="center"/>
          </w:tcPr>
          <w:p>
            <w:pPr>
              <w:pStyle w:val="TableContents"/>
              <w:bidi w:val="0"/>
              <w:spacing w:before="0" w:after="283"/>
              <w:jc w:val="left"/>
              <w:rPr/>
            </w:pPr>
            <w:r>
              <w:rPr/>
              <w:t> </w:t>
            </w:r>
          </w:p>
        </w:tc>
        <w:tc>
          <w:tcPr>
            <w:tcW w:w="214" w:type="dxa"/>
            <w:tcBorders/>
            <w:shd w:fill="CCEEFF" w:val="clear"/>
            <w:vAlign w:val="center"/>
          </w:tcPr>
          <w:p>
            <w:pPr>
              <w:pStyle w:val="TableContents"/>
              <w:bidi w:val="0"/>
              <w:spacing w:before="0" w:after="283"/>
              <w:jc w:val="left"/>
              <w:rPr/>
            </w:pPr>
            <w:r>
              <w:rPr/>
              <w:t> </w:t>
            </w:r>
          </w:p>
        </w:tc>
        <w:tc>
          <w:tcPr>
            <w:tcW w:w="1695"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638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Current liabilities:</w:t>
            </w:r>
          </w:p>
        </w:tc>
        <w:tc>
          <w:tcPr>
            <w:tcW w:w="60" w:type="dxa"/>
            <w:tcBorders/>
            <w:shd w:fill="FFFFFF" w:val="clear"/>
            <w:vAlign w:val="center"/>
          </w:tcPr>
          <w:p>
            <w:pPr>
              <w:pStyle w:val="TableContents"/>
              <w:bidi w:val="0"/>
              <w:spacing w:before="0" w:after="283"/>
              <w:jc w:val="left"/>
              <w:rPr/>
            </w:pPr>
            <w:r>
              <w:rPr/>
              <w:t> </w:t>
            </w:r>
          </w:p>
        </w:tc>
        <w:tc>
          <w:tcPr>
            <w:tcW w:w="214" w:type="dxa"/>
            <w:tcBorders/>
            <w:shd w:fill="FFFFFF" w:val="clear"/>
            <w:vAlign w:val="center"/>
          </w:tcPr>
          <w:p>
            <w:pPr>
              <w:pStyle w:val="TableContents"/>
              <w:bidi w:val="0"/>
              <w:spacing w:before="0" w:after="283"/>
              <w:jc w:val="left"/>
              <w:rPr/>
            </w:pPr>
            <w:r>
              <w:rPr/>
              <w:t> </w:t>
            </w:r>
          </w:p>
        </w:tc>
        <w:tc>
          <w:tcPr>
            <w:tcW w:w="1695"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638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Accounts payable</w:t>
            </w:r>
          </w:p>
        </w:tc>
        <w:tc>
          <w:tcPr>
            <w:tcW w:w="60" w:type="dxa"/>
            <w:tcBorders/>
            <w:shd w:fill="CCEEFF" w:val="clear"/>
            <w:vAlign w:val="center"/>
          </w:tcPr>
          <w:p>
            <w:pPr>
              <w:pStyle w:val="TableContents"/>
              <w:bidi w:val="0"/>
              <w:spacing w:before="0" w:after="283"/>
              <w:jc w:val="left"/>
              <w:rPr/>
            </w:pPr>
            <w:r>
              <w:rPr/>
              <w:t> </w:t>
            </w:r>
          </w:p>
        </w:tc>
        <w:tc>
          <w:tcPr>
            <w:tcW w:w="214"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69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2,168,566</w:t>
            </w:r>
          </w:p>
        </w:tc>
        <w:tc>
          <w:tcPr>
            <w:tcW w:w="110" w:type="dxa"/>
            <w:tcBorders/>
            <w:shd w:fill="CCEEFF" w:val="clear"/>
            <w:vAlign w:val="center"/>
          </w:tcPr>
          <w:p>
            <w:pPr>
              <w:pStyle w:val="TableContents"/>
              <w:bidi w:val="0"/>
              <w:spacing w:before="0" w:after="283"/>
              <w:jc w:val="left"/>
              <w:rPr/>
            </w:pPr>
            <w:r>
              <w:rPr/>
              <w:t> </w:t>
            </w:r>
          </w:p>
        </w:tc>
      </w:tr>
      <w:tr>
        <w:trPr/>
        <w:tc>
          <w:tcPr>
            <w:tcW w:w="638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Accrued expenses</w:t>
            </w:r>
          </w:p>
        </w:tc>
        <w:tc>
          <w:tcPr>
            <w:tcW w:w="60" w:type="dxa"/>
            <w:tcBorders/>
            <w:shd w:fill="FFFFFF" w:val="clear"/>
            <w:vAlign w:val="center"/>
          </w:tcPr>
          <w:p>
            <w:pPr>
              <w:pStyle w:val="TableContents"/>
              <w:bidi w:val="0"/>
              <w:spacing w:before="0" w:after="283"/>
              <w:jc w:val="left"/>
              <w:rPr/>
            </w:pPr>
            <w:r>
              <w:rPr/>
              <w:t> </w:t>
            </w:r>
          </w:p>
        </w:tc>
        <w:tc>
          <w:tcPr>
            <w:tcW w:w="214" w:type="dxa"/>
            <w:tcBorders/>
            <w:shd w:fill="FFFFFF" w:val="clear"/>
            <w:vAlign w:val="center"/>
          </w:tcPr>
          <w:p>
            <w:pPr>
              <w:pStyle w:val="TableContents"/>
              <w:bidi w:val="0"/>
              <w:spacing w:before="0" w:after="283"/>
              <w:jc w:val="left"/>
              <w:rPr/>
            </w:pPr>
            <w:r>
              <w:rPr/>
              <w:t> </w:t>
            </w:r>
          </w:p>
        </w:tc>
        <w:tc>
          <w:tcPr>
            <w:tcW w:w="169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2,799,860</w:t>
            </w:r>
          </w:p>
        </w:tc>
        <w:tc>
          <w:tcPr>
            <w:tcW w:w="110" w:type="dxa"/>
            <w:tcBorders/>
            <w:shd w:fill="FFFFFF" w:val="clear"/>
            <w:vAlign w:val="center"/>
          </w:tcPr>
          <w:p>
            <w:pPr>
              <w:pStyle w:val="TableContents"/>
              <w:bidi w:val="0"/>
              <w:spacing w:before="0" w:after="283"/>
              <w:jc w:val="left"/>
              <w:rPr/>
            </w:pPr>
            <w:r>
              <w:rPr/>
              <w:t> </w:t>
            </w:r>
          </w:p>
        </w:tc>
      </w:tr>
      <w:tr>
        <w:trPr/>
        <w:tc>
          <w:tcPr>
            <w:tcW w:w="638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Accrued commissions</w:t>
            </w:r>
          </w:p>
        </w:tc>
        <w:tc>
          <w:tcPr>
            <w:tcW w:w="60" w:type="dxa"/>
            <w:tcBorders/>
            <w:shd w:fill="CCEEFF" w:val="clear"/>
            <w:vAlign w:val="center"/>
          </w:tcPr>
          <w:p>
            <w:pPr>
              <w:pStyle w:val="TableContents"/>
              <w:bidi w:val="0"/>
              <w:spacing w:before="0" w:after="283"/>
              <w:jc w:val="left"/>
              <w:rPr/>
            </w:pPr>
            <w:r>
              <w:rPr/>
              <w:t> </w:t>
            </w:r>
          </w:p>
        </w:tc>
        <w:tc>
          <w:tcPr>
            <w:tcW w:w="214" w:type="dxa"/>
            <w:tcBorders/>
            <w:shd w:fill="CCEEFF" w:val="clear"/>
            <w:vAlign w:val="center"/>
          </w:tcPr>
          <w:p>
            <w:pPr>
              <w:pStyle w:val="TableContents"/>
              <w:bidi w:val="0"/>
              <w:spacing w:before="0" w:after="283"/>
              <w:jc w:val="left"/>
              <w:rPr/>
            </w:pPr>
            <w:r>
              <w:rPr/>
              <w:t> </w:t>
            </w:r>
          </w:p>
        </w:tc>
        <w:tc>
          <w:tcPr>
            <w:tcW w:w="169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180,114</w:t>
            </w:r>
          </w:p>
        </w:tc>
        <w:tc>
          <w:tcPr>
            <w:tcW w:w="110" w:type="dxa"/>
            <w:tcBorders/>
            <w:shd w:fill="CCEEFF" w:val="clear"/>
            <w:vAlign w:val="center"/>
          </w:tcPr>
          <w:p>
            <w:pPr>
              <w:pStyle w:val="TableContents"/>
              <w:bidi w:val="0"/>
              <w:spacing w:before="0" w:after="283"/>
              <w:jc w:val="left"/>
              <w:rPr/>
            </w:pPr>
            <w:r>
              <w:rPr/>
              <w:t> </w:t>
            </w:r>
          </w:p>
        </w:tc>
      </w:tr>
      <w:tr>
        <w:trPr/>
        <w:tc>
          <w:tcPr>
            <w:tcW w:w="638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Related-party accounts payable</w:t>
            </w:r>
          </w:p>
        </w:tc>
        <w:tc>
          <w:tcPr>
            <w:tcW w:w="60" w:type="dxa"/>
            <w:tcBorders/>
            <w:shd w:fill="FFFFFF" w:val="clear"/>
            <w:vAlign w:val="center"/>
          </w:tcPr>
          <w:p>
            <w:pPr>
              <w:pStyle w:val="TableContents"/>
              <w:bidi w:val="0"/>
              <w:spacing w:before="0" w:after="283"/>
              <w:jc w:val="left"/>
              <w:rPr/>
            </w:pPr>
            <w:r>
              <w:rPr/>
              <w:t> </w:t>
            </w:r>
          </w:p>
        </w:tc>
        <w:tc>
          <w:tcPr>
            <w:tcW w:w="214" w:type="dxa"/>
            <w:tcBorders/>
            <w:shd w:fill="FFFFFF" w:val="clear"/>
            <w:vAlign w:val="center"/>
          </w:tcPr>
          <w:p>
            <w:pPr>
              <w:pStyle w:val="TableContents"/>
              <w:bidi w:val="0"/>
              <w:spacing w:before="0" w:after="283"/>
              <w:jc w:val="left"/>
              <w:rPr/>
            </w:pPr>
            <w:r>
              <w:rPr/>
              <w:t> </w:t>
            </w:r>
          </w:p>
        </w:tc>
        <w:tc>
          <w:tcPr>
            <w:tcW w:w="169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509,649</w:t>
            </w:r>
          </w:p>
        </w:tc>
        <w:tc>
          <w:tcPr>
            <w:tcW w:w="110" w:type="dxa"/>
            <w:tcBorders/>
            <w:shd w:fill="FFFFFF" w:val="clear"/>
            <w:vAlign w:val="center"/>
          </w:tcPr>
          <w:p>
            <w:pPr>
              <w:pStyle w:val="TableContents"/>
              <w:bidi w:val="0"/>
              <w:spacing w:before="0" w:after="283"/>
              <w:jc w:val="left"/>
              <w:rPr/>
            </w:pPr>
            <w:r>
              <w:rPr/>
              <w:t> </w:t>
            </w:r>
          </w:p>
        </w:tc>
      </w:tr>
      <w:tr>
        <w:trPr/>
        <w:tc>
          <w:tcPr>
            <w:tcW w:w="638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Deferred revenue</w:t>
            </w:r>
          </w:p>
        </w:tc>
        <w:tc>
          <w:tcPr>
            <w:tcW w:w="60" w:type="dxa"/>
            <w:tcBorders/>
            <w:shd w:fill="CCEEFF" w:val="clear"/>
            <w:vAlign w:val="center"/>
          </w:tcPr>
          <w:p>
            <w:pPr>
              <w:pStyle w:val="TableContents"/>
              <w:bidi w:val="0"/>
              <w:spacing w:before="0" w:after="283"/>
              <w:jc w:val="left"/>
              <w:rPr/>
            </w:pPr>
            <w:r>
              <w:rPr/>
              <w:t> </w:t>
            </w:r>
          </w:p>
        </w:tc>
        <w:tc>
          <w:tcPr>
            <w:tcW w:w="214" w:type="dxa"/>
            <w:tcBorders/>
            <w:shd w:fill="CCEEFF" w:val="clear"/>
            <w:vAlign w:val="center"/>
          </w:tcPr>
          <w:p>
            <w:pPr>
              <w:pStyle w:val="TableContents"/>
              <w:bidi w:val="0"/>
              <w:spacing w:before="0" w:after="283"/>
              <w:jc w:val="left"/>
              <w:rPr/>
            </w:pPr>
            <w:r>
              <w:rPr/>
              <w:t> </w:t>
            </w:r>
          </w:p>
        </w:tc>
        <w:tc>
          <w:tcPr>
            <w:tcW w:w="169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10,585,293</w:t>
            </w:r>
          </w:p>
        </w:tc>
        <w:tc>
          <w:tcPr>
            <w:tcW w:w="110" w:type="dxa"/>
            <w:tcBorders/>
            <w:shd w:fill="CCEEFF" w:val="clear"/>
            <w:vAlign w:val="center"/>
          </w:tcPr>
          <w:p>
            <w:pPr>
              <w:pStyle w:val="TableContents"/>
              <w:bidi w:val="0"/>
              <w:spacing w:before="0" w:after="283"/>
              <w:jc w:val="left"/>
              <w:rPr/>
            </w:pPr>
            <w:r>
              <w:rPr/>
              <w:t> </w:t>
            </w:r>
          </w:p>
        </w:tc>
      </w:tr>
      <w:tr>
        <w:trPr/>
        <w:tc>
          <w:tcPr>
            <w:tcW w:w="638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Current portion of operating lease liabilities</w:t>
            </w:r>
          </w:p>
        </w:tc>
        <w:tc>
          <w:tcPr>
            <w:tcW w:w="60" w:type="dxa"/>
            <w:tcBorders/>
            <w:shd w:fill="FFFFFF" w:val="clear"/>
            <w:vAlign w:val="center"/>
          </w:tcPr>
          <w:p>
            <w:pPr>
              <w:pStyle w:val="TableContents"/>
              <w:bidi w:val="0"/>
              <w:spacing w:before="0" w:after="283"/>
              <w:jc w:val="left"/>
              <w:rPr/>
            </w:pPr>
            <w:r>
              <w:rPr/>
              <w:t> </w:t>
            </w:r>
          </w:p>
        </w:tc>
        <w:tc>
          <w:tcPr>
            <w:tcW w:w="214" w:type="dxa"/>
            <w:tcBorders/>
            <w:shd w:fill="FFFFFF" w:val="clear"/>
            <w:vAlign w:val="center"/>
          </w:tcPr>
          <w:p>
            <w:pPr>
              <w:pStyle w:val="TableContents"/>
              <w:bidi w:val="0"/>
              <w:spacing w:before="0" w:after="283"/>
              <w:jc w:val="left"/>
              <w:rPr/>
            </w:pPr>
            <w:r>
              <w:rPr/>
              <w:t> </w:t>
            </w:r>
          </w:p>
        </w:tc>
        <w:tc>
          <w:tcPr>
            <w:tcW w:w="169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401,456</w:t>
            </w:r>
          </w:p>
        </w:tc>
        <w:tc>
          <w:tcPr>
            <w:tcW w:w="110" w:type="dxa"/>
            <w:tcBorders/>
            <w:shd w:fill="FFFFFF" w:val="clear"/>
            <w:vAlign w:val="center"/>
          </w:tcPr>
          <w:p>
            <w:pPr>
              <w:pStyle w:val="TableContents"/>
              <w:bidi w:val="0"/>
              <w:spacing w:before="0" w:after="283"/>
              <w:jc w:val="left"/>
              <w:rPr/>
            </w:pPr>
            <w:r>
              <w:rPr/>
              <w:t> </w:t>
            </w:r>
          </w:p>
        </w:tc>
      </w:tr>
      <w:tr>
        <w:trPr/>
        <w:tc>
          <w:tcPr>
            <w:tcW w:w="638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Current portion of finance lease liabilities</w:t>
            </w:r>
          </w:p>
        </w:tc>
        <w:tc>
          <w:tcPr>
            <w:tcW w:w="60" w:type="dxa"/>
            <w:tcBorders/>
            <w:shd w:fill="CCEEFF" w:val="clear"/>
            <w:vAlign w:val="center"/>
          </w:tcPr>
          <w:p>
            <w:pPr>
              <w:pStyle w:val="TableContents"/>
              <w:bidi w:val="0"/>
              <w:spacing w:before="0" w:after="283"/>
              <w:jc w:val="left"/>
              <w:rPr/>
            </w:pPr>
            <w:r>
              <w:rPr/>
              <w:t> </w:t>
            </w:r>
          </w:p>
        </w:tc>
        <w:tc>
          <w:tcPr>
            <w:tcW w:w="214"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695"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315,541</w:t>
            </w:r>
          </w:p>
        </w:tc>
        <w:tc>
          <w:tcPr>
            <w:tcW w:w="110" w:type="dxa"/>
            <w:tcBorders/>
            <w:shd w:fill="CCEEFF" w:val="clear"/>
            <w:vAlign w:val="center"/>
          </w:tcPr>
          <w:p>
            <w:pPr>
              <w:pStyle w:val="TableContents"/>
              <w:bidi w:val="0"/>
              <w:spacing w:before="0" w:after="283"/>
              <w:jc w:val="left"/>
              <w:rPr/>
            </w:pPr>
            <w:r>
              <w:rPr/>
              <w:t> </w:t>
            </w:r>
          </w:p>
        </w:tc>
      </w:tr>
      <w:tr>
        <w:trPr/>
        <w:tc>
          <w:tcPr>
            <w:tcW w:w="638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Total current liabilities</w:t>
            </w:r>
          </w:p>
        </w:tc>
        <w:tc>
          <w:tcPr>
            <w:tcW w:w="60" w:type="dxa"/>
            <w:tcBorders/>
            <w:shd w:fill="FFFFFF" w:val="clear"/>
            <w:vAlign w:val="center"/>
          </w:tcPr>
          <w:p>
            <w:pPr>
              <w:pStyle w:val="TableContents"/>
              <w:bidi w:val="0"/>
              <w:spacing w:before="0" w:after="283"/>
              <w:jc w:val="left"/>
              <w:rPr/>
            </w:pPr>
            <w:r>
              <w:rPr/>
              <w:t> </w:t>
            </w:r>
          </w:p>
        </w:tc>
        <w:tc>
          <w:tcPr>
            <w:tcW w:w="214" w:type="dxa"/>
            <w:tcBorders/>
            <w:shd w:fill="FFFFFF" w:val="clear"/>
            <w:vAlign w:val="center"/>
          </w:tcPr>
          <w:p>
            <w:pPr>
              <w:pStyle w:val="TableContents"/>
              <w:bidi w:val="0"/>
              <w:spacing w:before="0" w:after="283"/>
              <w:jc w:val="left"/>
              <w:rPr/>
            </w:pPr>
            <w:r>
              <w:rPr/>
              <w:t> </w:t>
            </w:r>
          </w:p>
        </w:tc>
        <w:tc>
          <w:tcPr>
            <w:tcW w:w="169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16,960,479</w:t>
            </w:r>
          </w:p>
        </w:tc>
        <w:tc>
          <w:tcPr>
            <w:tcW w:w="110" w:type="dxa"/>
            <w:tcBorders/>
            <w:shd w:fill="FFFFFF" w:val="clear"/>
            <w:vAlign w:val="center"/>
          </w:tcPr>
          <w:p>
            <w:pPr>
              <w:pStyle w:val="TableContents"/>
              <w:bidi w:val="0"/>
              <w:spacing w:before="0" w:after="283"/>
              <w:jc w:val="left"/>
              <w:rPr/>
            </w:pPr>
            <w:r>
              <w:rPr/>
              <w:t> </w:t>
            </w:r>
          </w:p>
        </w:tc>
      </w:tr>
      <w:tr>
        <w:trPr/>
        <w:tc>
          <w:tcPr>
            <w:tcW w:w="638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Operating lease liabilities, net of current portion</w:t>
            </w:r>
          </w:p>
        </w:tc>
        <w:tc>
          <w:tcPr>
            <w:tcW w:w="60" w:type="dxa"/>
            <w:tcBorders/>
            <w:shd w:fill="CCEEFF" w:val="clear"/>
            <w:vAlign w:val="center"/>
          </w:tcPr>
          <w:p>
            <w:pPr>
              <w:pStyle w:val="TableContents"/>
              <w:bidi w:val="0"/>
              <w:spacing w:before="0" w:after="283"/>
              <w:jc w:val="left"/>
              <w:rPr/>
            </w:pPr>
            <w:r>
              <w:rPr/>
              <w:t> </w:t>
            </w:r>
          </w:p>
        </w:tc>
        <w:tc>
          <w:tcPr>
            <w:tcW w:w="214" w:type="dxa"/>
            <w:tcBorders/>
            <w:shd w:fill="CCEEFF" w:val="clear"/>
            <w:vAlign w:val="center"/>
          </w:tcPr>
          <w:p>
            <w:pPr>
              <w:pStyle w:val="TableContents"/>
              <w:bidi w:val="0"/>
              <w:spacing w:before="0" w:after="283"/>
              <w:jc w:val="left"/>
              <w:rPr/>
            </w:pPr>
            <w:r>
              <w:rPr/>
              <w:t> </w:t>
            </w:r>
          </w:p>
        </w:tc>
        <w:tc>
          <w:tcPr>
            <w:tcW w:w="169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367,346</w:t>
            </w:r>
          </w:p>
        </w:tc>
        <w:tc>
          <w:tcPr>
            <w:tcW w:w="110" w:type="dxa"/>
            <w:tcBorders/>
            <w:shd w:fill="CCEEFF" w:val="clear"/>
            <w:vAlign w:val="center"/>
          </w:tcPr>
          <w:p>
            <w:pPr>
              <w:pStyle w:val="TableContents"/>
              <w:bidi w:val="0"/>
              <w:spacing w:before="0" w:after="283"/>
              <w:jc w:val="left"/>
              <w:rPr/>
            </w:pPr>
            <w:r>
              <w:rPr/>
              <w:t> </w:t>
            </w:r>
          </w:p>
        </w:tc>
      </w:tr>
      <w:tr>
        <w:trPr/>
        <w:tc>
          <w:tcPr>
            <w:tcW w:w="638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Finance lease liabilities, net of current portion</w:t>
            </w:r>
          </w:p>
        </w:tc>
        <w:tc>
          <w:tcPr>
            <w:tcW w:w="60" w:type="dxa"/>
            <w:tcBorders/>
            <w:shd w:fill="FFFFFF" w:val="clear"/>
            <w:vAlign w:val="center"/>
          </w:tcPr>
          <w:p>
            <w:pPr>
              <w:pStyle w:val="TableContents"/>
              <w:bidi w:val="0"/>
              <w:spacing w:before="0" w:after="283"/>
              <w:jc w:val="left"/>
              <w:rPr/>
            </w:pPr>
            <w:r>
              <w:rPr/>
              <w:t> </w:t>
            </w:r>
          </w:p>
        </w:tc>
        <w:tc>
          <w:tcPr>
            <w:tcW w:w="214" w:type="dxa"/>
            <w:tcBorders/>
            <w:shd w:fill="FFFFFF" w:val="clear"/>
            <w:vAlign w:val="center"/>
          </w:tcPr>
          <w:p>
            <w:pPr>
              <w:pStyle w:val="TableContents"/>
              <w:bidi w:val="0"/>
              <w:spacing w:before="0" w:after="283"/>
              <w:jc w:val="left"/>
              <w:rPr/>
            </w:pPr>
            <w:r>
              <w:rPr/>
              <w:t> </w:t>
            </w:r>
          </w:p>
        </w:tc>
        <w:tc>
          <w:tcPr>
            <w:tcW w:w="169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1,228,546</w:t>
            </w:r>
          </w:p>
        </w:tc>
        <w:tc>
          <w:tcPr>
            <w:tcW w:w="110" w:type="dxa"/>
            <w:tcBorders/>
            <w:shd w:fill="FFFFFF" w:val="clear"/>
            <w:vAlign w:val="center"/>
          </w:tcPr>
          <w:p>
            <w:pPr>
              <w:pStyle w:val="TableContents"/>
              <w:bidi w:val="0"/>
              <w:spacing w:before="0" w:after="283"/>
              <w:jc w:val="left"/>
              <w:rPr/>
            </w:pPr>
            <w:r>
              <w:rPr/>
              <w:t> </w:t>
            </w:r>
          </w:p>
        </w:tc>
      </w:tr>
      <w:tr>
        <w:trPr/>
        <w:tc>
          <w:tcPr>
            <w:tcW w:w="638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Related-party lines of credit</w:t>
            </w:r>
          </w:p>
        </w:tc>
        <w:tc>
          <w:tcPr>
            <w:tcW w:w="60" w:type="dxa"/>
            <w:tcBorders/>
            <w:shd w:fill="CCEEFF" w:val="clear"/>
            <w:vAlign w:val="center"/>
          </w:tcPr>
          <w:p>
            <w:pPr>
              <w:pStyle w:val="TableContents"/>
              <w:bidi w:val="0"/>
              <w:spacing w:before="0" w:after="283"/>
              <w:jc w:val="left"/>
              <w:rPr/>
            </w:pPr>
            <w:r>
              <w:rPr/>
              <w:t> </w:t>
            </w:r>
          </w:p>
        </w:tc>
        <w:tc>
          <w:tcPr>
            <w:tcW w:w="214" w:type="dxa"/>
            <w:tcBorders/>
            <w:shd w:fill="CCEEFF" w:val="clear"/>
            <w:vAlign w:val="center"/>
          </w:tcPr>
          <w:p>
            <w:pPr>
              <w:pStyle w:val="TableContents"/>
              <w:bidi w:val="0"/>
              <w:spacing w:before="0" w:after="283"/>
              <w:jc w:val="left"/>
              <w:rPr/>
            </w:pPr>
            <w:r>
              <w:rPr/>
              <w:t> </w:t>
            </w:r>
          </w:p>
        </w:tc>
        <w:tc>
          <w:tcPr>
            <w:tcW w:w="169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2,175,000</w:t>
            </w:r>
          </w:p>
        </w:tc>
        <w:tc>
          <w:tcPr>
            <w:tcW w:w="110" w:type="dxa"/>
            <w:tcBorders/>
            <w:shd w:fill="CCEEFF" w:val="clear"/>
            <w:vAlign w:val="center"/>
          </w:tcPr>
          <w:p>
            <w:pPr>
              <w:pStyle w:val="TableContents"/>
              <w:bidi w:val="0"/>
              <w:spacing w:before="0" w:after="283"/>
              <w:jc w:val="left"/>
              <w:rPr/>
            </w:pPr>
            <w:r>
              <w:rPr/>
              <w:t> </w:t>
            </w:r>
          </w:p>
        </w:tc>
      </w:tr>
      <w:tr>
        <w:trPr/>
        <w:tc>
          <w:tcPr>
            <w:tcW w:w="638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Related-party notes payable</w:t>
            </w:r>
          </w:p>
        </w:tc>
        <w:tc>
          <w:tcPr>
            <w:tcW w:w="60" w:type="dxa"/>
            <w:tcBorders/>
            <w:shd w:fill="FFFFFF" w:val="clear"/>
            <w:vAlign w:val="center"/>
          </w:tcPr>
          <w:p>
            <w:pPr>
              <w:pStyle w:val="TableContents"/>
              <w:bidi w:val="0"/>
              <w:spacing w:before="0" w:after="283"/>
              <w:jc w:val="left"/>
              <w:rPr/>
            </w:pPr>
            <w:r>
              <w:rPr/>
              <w:t> </w:t>
            </w:r>
          </w:p>
        </w:tc>
        <w:tc>
          <w:tcPr>
            <w:tcW w:w="214"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695"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7,140,109</w:t>
            </w:r>
          </w:p>
        </w:tc>
        <w:tc>
          <w:tcPr>
            <w:tcW w:w="110" w:type="dxa"/>
            <w:tcBorders/>
            <w:shd w:fill="FFFFFF" w:val="clear"/>
            <w:vAlign w:val="center"/>
          </w:tcPr>
          <w:p>
            <w:pPr>
              <w:pStyle w:val="TableContents"/>
              <w:bidi w:val="0"/>
              <w:spacing w:before="0" w:after="283"/>
              <w:jc w:val="left"/>
              <w:rPr/>
            </w:pPr>
            <w:r>
              <w:rPr/>
              <w:t> </w:t>
            </w:r>
          </w:p>
        </w:tc>
      </w:tr>
      <w:tr>
        <w:trPr/>
        <w:tc>
          <w:tcPr>
            <w:tcW w:w="638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Total liabilities</w:t>
            </w:r>
          </w:p>
        </w:tc>
        <w:tc>
          <w:tcPr>
            <w:tcW w:w="60" w:type="dxa"/>
            <w:tcBorders/>
            <w:shd w:fill="CCEEFF" w:val="clear"/>
            <w:vAlign w:val="center"/>
          </w:tcPr>
          <w:p>
            <w:pPr>
              <w:pStyle w:val="TableContents"/>
              <w:bidi w:val="0"/>
              <w:spacing w:before="0" w:after="283"/>
              <w:jc w:val="left"/>
              <w:rPr/>
            </w:pPr>
            <w:r>
              <w:rPr/>
              <w:t> </w:t>
            </w:r>
          </w:p>
        </w:tc>
        <w:tc>
          <w:tcPr>
            <w:tcW w:w="214"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695"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27,871,480</w:t>
            </w:r>
          </w:p>
        </w:tc>
        <w:tc>
          <w:tcPr>
            <w:tcW w:w="110" w:type="dxa"/>
            <w:tcBorders/>
            <w:shd w:fill="CCEEFF" w:val="clear"/>
            <w:vAlign w:val="center"/>
          </w:tcPr>
          <w:p>
            <w:pPr>
              <w:pStyle w:val="TableContents"/>
              <w:bidi w:val="0"/>
              <w:spacing w:before="0" w:after="283"/>
              <w:jc w:val="left"/>
              <w:rPr/>
            </w:pPr>
            <w:r>
              <w:rPr/>
              <w:t> </w:t>
            </w:r>
          </w:p>
        </w:tc>
      </w:tr>
      <w:tr>
        <w:trPr/>
        <w:tc>
          <w:tcPr>
            <w:tcW w:w="638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Commitments and contingencies</w:t>
            </w:r>
          </w:p>
        </w:tc>
        <w:tc>
          <w:tcPr>
            <w:tcW w:w="60" w:type="dxa"/>
            <w:tcBorders/>
            <w:shd w:fill="FFFFFF" w:val="clear"/>
            <w:vAlign w:val="center"/>
          </w:tcPr>
          <w:p>
            <w:pPr>
              <w:pStyle w:val="TableContents"/>
              <w:bidi w:val="0"/>
              <w:spacing w:before="0" w:after="283"/>
              <w:jc w:val="left"/>
              <w:rPr/>
            </w:pPr>
            <w:r>
              <w:rPr/>
              <w:t> </w:t>
            </w:r>
          </w:p>
        </w:tc>
        <w:tc>
          <w:tcPr>
            <w:tcW w:w="214" w:type="dxa"/>
            <w:tcBorders/>
            <w:shd w:fill="FFFFFF" w:val="clear"/>
            <w:vAlign w:val="center"/>
          </w:tcPr>
          <w:p>
            <w:pPr>
              <w:pStyle w:val="TableContents"/>
              <w:bidi w:val="0"/>
              <w:spacing w:before="0" w:after="283"/>
              <w:jc w:val="left"/>
              <w:rPr/>
            </w:pPr>
            <w:r>
              <w:rPr/>
              <w:t> </w:t>
            </w:r>
          </w:p>
        </w:tc>
        <w:tc>
          <w:tcPr>
            <w:tcW w:w="1695"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638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Member’s deficit</w:t>
            </w:r>
          </w:p>
        </w:tc>
        <w:tc>
          <w:tcPr>
            <w:tcW w:w="60" w:type="dxa"/>
            <w:tcBorders/>
            <w:shd w:fill="CCEEFF" w:val="clear"/>
            <w:vAlign w:val="center"/>
          </w:tcPr>
          <w:p>
            <w:pPr>
              <w:pStyle w:val="TableContents"/>
              <w:bidi w:val="0"/>
              <w:spacing w:before="0" w:after="283"/>
              <w:jc w:val="left"/>
              <w:rPr/>
            </w:pPr>
            <w:r>
              <w:rPr/>
              <w:t> </w:t>
            </w:r>
          </w:p>
        </w:tc>
        <w:tc>
          <w:tcPr>
            <w:tcW w:w="214"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695"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(7,032,264</w:t>
            </w:r>
          </w:p>
        </w:tc>
        <w:tc>
          <w:tcPr>
            <w:tcW w:w="11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638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Total liabilities and member’s deficit</w:t>
            </w:r>
          </w:p>
        </w:tc>
        <w:tc>
          <w:tcPr>
            <w:tcW w:w="60" w:type="dxa"/>
            <w:tcBorders/>
            <w:shd w:fill="FFFFFF" w:val="clear"/>
            <w:vAlign w:val="center"/>
          </w:tcPr>
          <w:p>
            <w:pPr>
              <w:pStyle w:val="TableContents"/>
              <w:bidi w:val="0"/>
              <w:spacing w:before="0" w:after="283"/>
              <w:jc w:val="left"/>
              <w:rPr/>
            </w:pPr>
            <w:r>
              <w:rPr/>
              <w:t> </w:t>
            </w:r>
          </w:p>
        </w:tc>
        <w:tc>
          <w:tcPr>
            <w:tcW w:w="214" w:type="dxa"/>
            <w:tcBorders>
              <w:bottom w:val="double" w:sz="10"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695" w:type="dxa"/>
            <w:tcBorders>
              <w:bottom w:val="double" w:sz="10"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20,839,216</w:t>
            </w:r>
          </w:p>
        </w:tc>
        <w:tc>
          <w:tcPr>
            <w:tcW w:w="11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See accompanying notes to financial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12" w:space="1" w:color="000000"/>
        </w:rPr>
      </w:pPr>
      <w:r>
        <w:rPr>
          <w:sz w:val="20"/>
          <w:bdr w:val="single" w:sz="12" w:space="1" w:color="000000"/>
        </w:rPr>
        <w:t>F-150</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bookmarkStart w:id="46" w:name="G_003"/>
      <w:bookmarkEnd w:id="46"/>
      <w:r>
        <w:rPr>
          <w:rFonts w:ascii="Times New Roman;Times;Serif" w:hAnsi="Times New Roman;Times;Serif"/>
          <w:b/>
          <w:i/>
          <w:caps w:val="false"/>
          <w:smallCaps w:val="false"/>
          <w:sz w:val="20"/>
        </w:rPr>
        <w:t>Statement of Operations and Member’s Deficit</w:t>
      </w:r>
    </w:p>
    <w:p>
      <w:pPr>
        <w:pStyle w:val="TextBody"/>
        <w:bidi w:val="0"/>
        <w:spacing w:before="0" w:after="0"/>
        <w:ind w:left="0" w:right="0" w:hanging="0"/>
        <w:jc w:val="both"/>
        <w:rPr>
          <w:caps w:val="false"/>
          <w:smallCaps w:val="false"/>
        </w:rPr>
      </w:pPr>
      <w:r>
        <w:rPr>
          <w:caps w:val="false"/>
          <w:smallCaps w:val="false"/>
        </w:rPr>
        <w:drawing>
          <wp:inline distT="0" distB="0" distL="0" distR="0">
            <wp:extent cx="7143750" cy="57150"/>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embed="rId8"/>
                    <a:stretch>
                      <a:fillRect/>
                    </a:stretch>
                  </pic:blipFill>
                  <pic:spPr bwMode="auto">
                    <a:xfrm>
                      <a:off x="0" y="0"/>
                      <a:ext cx="7143750" cy="57150"/>
                    </a:xfrm>
                    <a:prstGeom prst="rect">
                      <a:avLst/>
                    </a:prstGeom>
                  </pic:spPr>
                </pic:pic>
              </a:graphicData>
            </a:graphic>
          </wp:inline>
        </w:drawing>
      </w: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tbl>
      <w:tblPr>
        <w:tblW w:w="5849" w:type="dxa"/>
        <w:jc w:val="left"/>
        <w:tblInd w:w="0" w:type="dxa"/>
        <w:tblLayout w:type="fixed"/>
        <w:tblCellMar>
          <w:top w:w="0" w:type="dxa"/>
          <w:left w:w="0" w:type="dxa"/>
          <w:bottom w:w="0" w:type="dxa"/>
          <w:right w:w="0" w:type="dxa"/>
        </w:tblCellMar>
      </w:tblPr>
      <w:tblGrid>
        <w:gridCol w:w="3770"/>
        <w:gridCol w:w="60"/>
        <w:gridCol w:w="215"/>
        <w:gridCol w:w="1694"/>
        <w:gridCol w:w="110"/>
      </w:tblGrid>
      <w:tr>
        <w:trPr/>
        <w:tc>
          <w:tcPr>
            <w:tcW w:w="377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909" w:type="dxa"/>
            <w:gridSpan w:val="2"/>
            <w:tcBorders/>
            <w:vAlign w:val="center"/>
          </w:tcPr>
          <w:p>
            <w:pPr>
              <w:pStyle w:val="TableContents"/>
              <w:bidi w:val="0"/>
              <w:spacing w:before="0" w:after="283"/>
              <w:jc w:val="center"/>
              <w:rPr>
                <w:i/>
              </w:rPr>
            </w:pPr>
            <w:r>
              <w:rPr>
                <w:i/>
              </w:rPr>
              <w:t>For the Year Ended</w:t>
            </w:r>
          </w:p>
        </w:tc>
        <w:tc>
          <w:tcPr>
            <w:tcW w:w="110" w:type="dxa"/>
            <w:tcBorders/>
            <w:vAlign w:val="center"/>
          </w:tcPr>
          <w:p>
            <w:pPr>
              <w:pStyle w:val="TableContents"/>
              <w:bidi w:val="0"/>
              <w:spacing w:before="0" w:after="283"/>
              <w:jc w:val="left"/>
              <w:rPr/>
            </w:pPr>
            <w:r>
              <w:rPr/>
              <w:t> </w:t>
            </w:r>
          </w:p>
        </w:tc>
      </w:tr>
      <w:tr>
        <w:trPr/>
        <w:tc>
          <w:tcPr>
            <w:tcW w:w="377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909"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2024</w:t>
            </w:r>
          </w:p>
        </w:tc>
        <w:tc>
          <w:tcPr>
            <w:tcW w:w="110" w:type="dxa"/>
            <w:tcBorders/>
            <w:vAlign w:val="center"/>
          </w:tcPr>
          <w:p>
            <w:pPr>
              <w:pStyle w:val="TableContents"/>
              <w:bidi w:val="0"/>
              <w:spacing w:before="0" w:after="283"/>
              <w:jc w:val="left"/>
              <w:rPr/>
            </w:pPr>
            <w:r>
              <w:rPr/>
              <w:t> </w:t>
            </w:r>
          </w:p>
        </w:tc>
      </w:tr>
      <w:tr>
        <w:trPr/>
        <w:tc>
          <w:tcPr>
            <w:tcW w:w="3770" w:type="dxa"/>
            <w:tcBorders/>
            <w:shd w:fill="CCEEFF" w:val="clear"/>
            <w:vAlign w:val="center"/>
          </w:tcPr>
          <w:p>
            <w:pPr>
              <w:pStyle w:val="TableContents"/>
              <w:bidi w:val="0"/>
              <w:spacing w:before="0" w:after="283"/>
              <w:jc w:val="left"/>
              <w:rPr/>
            </w:pPr>
            <w:r>
              <w:rPr/>
              <w:t>Revenues</w:t>
            </w:r>
          </w:p>
        </w:tc>
        <w:tc>
          <w:tcPr>
            <w:tcW w:w="60" w:type="dxa"/>
            <w:tcBorders/>
            <w:shd w:fill="CCEEFF" w:val="clear"/>
            <w:vAlign w:val="center"/>
          </w:tcPr>
          <w:p>
            <w:pPr>
              <w:pStyle w:val="TableContents"/>
              <w:bidi w:val="0"/>
              <w:spacing w:before="0" w:after="283"/>
              <w:jc w:val="left"/>
              <w:rPr/>
            </w:pPr>
            <w:r>
              <w:rPr/>
              <w:t> </w:t>
            </w:r>
          </w:p>
        </w:tc>
        <w:tc>
          <w:tcPr>
            <w:tcW w:w="215" w:type="dxa"/>
            <w:tcBorders/>
            <w:shd w:fill="CCEEFF" w:val="clear"/>
            <w:vAlign w:val="center"/>
          </w:tcPr>
          <w:p>
            <w:pPr>
              <w:pStyle w:val="TableContents"/>
              <w:bidi w:val="0"/>
              <w:spacing w:before="0" w:after="283"/>
              <w:jc w:val="left"/>
              <w:rPr/>
            </w:pPr>
            <w:r>
              <w:rPr/>
              <w:t>$</w:t>
            </w:r>
          </w:p>
        </w:tc>
        <w:tc>
          <w:tcPr>
            <w:tcW w:w="1694" w:type="dxa"/>
            <w:tcBorders/>
            <w:shd w:fill="CCEEFF" w:val="clear"/>
            <w:vAlign w:val="center"/>
          </w:tcPr>
          <w:p>
            <w:pPr>
              <w:pStyle w:val="TableContents"/>
              <w:bidi w:val="0"/>
              <w:spacing w:before="0" w:after="283"/>
              <w:jc w:val="right"/>
              <w:rPr/>
            </w:pPr>
            <w:r>
              <w:rPr/>
              <w:t>54,273,721</w:t>
            </w:r>
          </w:p>
        </w:tc>
        <w:tc>
          <w:tcPr>
            <w:tcW w:w="110" w:type="dxa"/>
            <w:tcBorders/>
            <w:shd w:fill="CCEEFF" w:val="clear"/>
            <w:vAlign w:val="center"/>
          </w:tcPr>
          <w:p>
            <w:pPr>
              <w:pStyle w:val="TableContents"/>
              <w:bidi w:val="0"/>
              <w:spacing w:before="0" w:after="283"/>
              <w:jc w:val="left"/>
              <w:rPr/>
            </w:pPr>
            <w:r>
              <w:rPr/>
              <w:t> </w:t>
            </w:r>
          </w:p>
        </w:tc>
      </w:tr>
      <w:tr>
        <w:trPr/>
        <w:tc>
          <w:tcPr>
            <w:tcW w:w="3770" w:type="dxa"/>
            <w:tcBorders/>
            <w:shd w:fill="FFFFFF" w:val="clear"/>
            <w:vAlign w:val="center"/>
          </w:tcPr>
          <w:p>
            <w:pPr>
              <w:pStyle w:val="TableContents"/>
              <w:bidi w:val="0"/>
              <w:spacing w:before="0" w:after="283"/>
              <w:jc w:val="left"/>
              <w:rPr/>
            </w:pPr>
            <w:r>
              <w:rPr/>
              <w:t>Cost of revenues</w:t>
            </w:r>
          </w:p>
        </w:tc>
        <w:tc>
          <w:tcPr>
            <w:tcW w:w="60" w:type="dxa"/>
            <w:tcBorders/>
            <w:shd w:fill="FFFFFF" w:val="clear"/>
            <w:vAlign w:val="center"/>
          </w:tcPr>
          <w:p>
            <w:pPr>
              <w:pStyle w:val="TableContents"/>
              <w:bidi w:val="0"/>
              <w:spacing w:before="0" w:after="283"/>
              <w:jc w:val="left"/>
              <w:rPr/>
            </w:pPr>
            <w:r>
              <w:rPr/>
              <w:t> </w:t>
            </w:r>
          </w:p>
        </w:tc>
        <w:tc>
          <w:tcPr>
            <w:tcW w:w="215"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694" w:type="dxa"/>
            <w:tcBorders>
              <w:bottom w:val="single" w:sz="12" w:space="0" w:color="000000"/>
            </w:tcBorders>
            <w:shd w:fill="FFFFFF" w:val="clear"/>
            <w:tcMar>
              <w:bottom w:w="28" w:type="dxa"/>
            </w:tcMar>
            <w:vAlign w:val="center"/>
          </w:tcPr>
          <w:p>
            <w:pPr>
              <w:pStyle w:val="TableContents"/>
              <w:bidi w:val="0"/>
              <w:spacing w:before="0" w:after="283"/>
              <w:jc w:val="right"/>
              <w:rPr/>
            </w:pPr>
            <w:r>
              <w:rPr/>
              <w:t>31,932,462</w:t>
            </w:r>
          </w:p>
        </w:tc>
        <w:tc>
          <w:tcPr>
            <w:tcW w:w="110" w:type="dxa"/>
            <w:tcBorders/>
            <w:shd w:fill="FFFFFF" w:val="clear"/>
            <w:vAlign w:val="center"/>
          </w:tcPr>
          <w:p>
            <w:pPr>
              <w:pStyle w:val="TableContents"/>
              <w:bidi w:val="0"/>
              <w:spacing w:before="0" w:after="283"/>
              <w:jc w:val="left"/>
              <w:rPr/>
            </w:pPr>
            <w:r>
              <w:rPr/>
              <w:t> </w:t>
            </w:r>
          </w:p>
        </w:tc>
      </w:tr>
      <w:tr>
        <w:trPr/>
        <w:tc>
          <w:tcPr>
            <w:tcW w:w="3770" w:type="dxa"/>
            <w:tcBorders/>
            <w:shd w:fill="CCEEFF" w:val="clear"/>
            <w:vAlign w:val="center"/>
          </w:tcPr>
          <w:p>
            <w:pPr>
              <w:pStyle w:val="TableContents"/>
              <w:bidi w:val="0"/>
              <w:spacing w:before="0" w:after="283"/>
              <w:jc w:val="left"/>
              <w:rPr/>
            </w:pPr>
            <w:r>
              <w:rPr/>
              <w:t>Gross profit</w:t>
            </w:r>
          </w:p>
        </w:tc>
        <w:tc>
          <w:tcPr>
            <w:tcW w:w="60" w:type="dxa"/>
            <w:tcBorders/>
            <w:shd w:fill="CCEEFF" w:val="clear"/>
            <w:vAlign w:val="center"/>
          </w:tcPr>
          <w:p>
            <w:pPr>
              <w:pStyle w:val="TableContents"/>
              <w:bidi w:val="0"/>
              <w:spacing w:before="0" w:after="283"/>
              <w:jc w:val="left"/>
              <w:rPr/>
            </w:pPr>
            <w:r>
              <w:rPr/>
              <w:t> </w:t>
            </w:r>
          </w:p>
        </w:tc>
        <w:tc>
          <w:tcPr>
            <w:tcW w:w="215"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694" w:type="dxa"/>
            <w:tcBorders>
              <w:bottom w:val="single" w:sz="12" w:space="0" w:color="000000"/>
            </w:tcBorders>
            <w:shd w:fill="CCEEFF" w:val="clear"/>
            <w:tcMar>
              <w:bottom w:w="28" w:type="dxa"/>
            </w:tcMar>
            <w:vAlign w:val="center"/>
          </w:tcPr>
          <w:p>
            <w:pPr>
              <w:pStyle w:val="TableContents"/>
              <w:bidi w:val="0"/>
              <w:spacing w:before="0" w:after="283"/>
              <w:jc w:val="right"/>
              <w:rPr/>
            </w:pPr>
            <w:r>
              <w:rPr/>
              <w:t>22,341,259</w:t>
            </w:r>
          </w:p>
        </w:tc>
        <w:tc>
          <w:tcPr>
            <w:tcW w:w="110" w:type="dxa"/>
            <w:tcBorders/>
            <w:shd w:fill="CCEEFF" w:val="clear"/>
            <w:vAlign w:val="center"/>
          </w:tcPr>
          <w:p>
            <w:pPr>
              <w:pStyle w:val="TableContents"/>
              <w:bidi w:val="0"/>
              <w:spacing w:before="0" w:after="283"/>
              <w:jc w:val="left"/>
              <w:rPr/>
            </w:pPr>
            <w:r>
              <w:rPr/>
              <w:t> </w:t>
            </w:r>
          </w:p>
        </w:tc>
      </w:tr>
      <w:tr>
        <w:trPr/>
        <w:tc>
          <w:tcPr>
            <w:tcW w:w="3770" w:type="dxa"/>
            <w:tcBorders/>
            <w:shd w:fill="FFFFFF" w:val="clear"/>
            <w:vAlign w:val="center"/>
          </w:tcPr>
          <w:p>
            <w:pPr>
              <w:pStyle w:val="TableContents"/>
              <w:bidi w:val="0"/>
              <w:spacing w:before="0" w:after="283"/>
              <w:jc w:val="left"/>
              <w:rPr/>
            </w:pPr>
            <w:r>
              <w:rPr/>
              <w:t>Operating expenses:</w:t>
            </w:r>
          </w:p>
        </w:tc>
        <w:tc>
          <w:tcPr>
            <w:tcW w:w="60" w:type="dxa"/>
            <w:tcBorders/>
            <w:shd w:fill="FFFFFF" w:val="clear"/>
            <w:vAlign w:val="center"/>
          </w:tcPr>
          <w:p>
            <w:pPr>
              <w:pStyle w:val="TableContents"/>
              <w:bidi w:val="0"/>
              <w:spacing w:before="0" w:after="283"/>
              <w:jc w:val="left"/>
              <w:rPr/>
            </w:pPr>
            <w:r>
              <w:rPr/>
              <w:t> </w:t>
            </w:r>
          </w:p>
        </w:tc>
        <w:tc>
          <w:tcPr>
            <w:tcW w:w="215" w:type="dxa"/>
            <w:tcBorders/>
            <w:shd w:fill="FFFFFF" w:val="clear"/>
            <w:vAlign w:val="center"/>
          </w:tcPr>
          <w:p>
            <w:pPr>
              <w:pStyle w:val="TableContents"/>
              <w:bidi w:val="0"/>
              <w:spacing w:before="0" w:after="283"/>
              <w:jc w:val="left"/>
              <w:rPr/>
            </w:pPr>
            <w:r>
              <w:rPr/>
              <w:t> </w:t>
            </w:r>
          </w:p>
        </w:tc>
        <w:tc>
          <w:tcPr>
            <w:tcW w:w="1694"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3770" w:type="dxa"/>
            <w:tcBorders/>
            <w:shd w:fill="CCEEFF" w:val="clear"/>
            <w:vAlign w:val="center"/>
          </w:tcPr>
          <w:p>
            <w:pPr>
              <w:pStyle w:val="TableContents"/>
              <w:bidi w:val="0"/>
              <w:spacing w:before="0" w:after="283"/>
              <w:jc w:val="left"/>
              <w:rPr/>
            </w:pPr>
            <w:r>
              <w:rPr/>
              <w:t>General and administrative</w:t>
            </w:r>
          </w:p>
        </w:tc>
        <w:tc>
          <w:tcPr>
            <w:tcW w:w="60" w:type="dxa"/>
            <w:tcBorders/>
            <w:shd w:fill="CCEEFF" w:val="clear"/>
            <w:vAlign w:val="center"/>
          </w:tcPr>
          <w:p>
            <w:pPr>
              <w:pStyle w:val="TableContents"/>
              <w:bidi w:val="0"/>
              <w:spacing w:before="0" w:after="283"/>
              <w:jc w:val="left"/>
              <w:rPr/>
            </w:pPr>
            <w:r>
              <w:rPr/>
              <w:t> </w:t>
            </w:r>
          </w:p>
        </w:tc>
        <w:tc>
          <w:tcPr>
            <w:tcW w:w="215" w:type="dxa"/>
            <w:tcBorders/>
            <w:shd w:fill="CCEEFF" w:val="clear"/>
            <w:vAlign w:val="center"/>
          </w:tcPr>
          <w:p>
            <w:pPr>
              <w:pStyle w:val="TableContents"/>
              <w:bidi w:val="0"/>
              <w:spacing w:before="0" w:after="283"/>
              <w:jc w:val="left"/>
              <w:rPr/>
            </w:pPr>
            <w:r>
              <w:rPr/>
              <w:t> </w:t>
            </w:r>
          </w:p>
        </w:tc>
        <w:tc>
          <w:tcPr>
            <w:tcW w:w="1694" w:type="dxa"/>
            <w:tcBorders/>
            <w:shd w:fill="CCEEFF" w:val="clear"/>
            <w:vAlign w:val="center"/>
          </w:tcPr>
          <w:p>
            <w:pPr>
              <w:pStyle w:val="TableContents"/>
              <w:bidi w:val="0"/>
              <w:spacing w:before="0" w:after="283"/>
              <w:jc w:val="right"/>
              <w:rPr/>
            </w:pPr>
            <w:r>
              <w:rPr/>
              <w:t>11,156,319</w:t>
            </w:r>
          </w:p>
        </w:tc>
        <w:tc>
          <w:tcPr>
            <w:tcW w:w="110" w:type="dxa"/>
            <w:tcBorders/>
            <w:shd w:fill="CCEEFF" w:val="clear"/>
            <w:vAlign w:val="center"/>
          </w:tcPr>
          <w:p>
            <w:pPr>
              <w:pStyle w:val="TableContents"/>
              <w:bidi w:val="0"/>
              <w:spacing w:before="0" w:after="283"/>
              <w:jc w:val="left"/>
              <w:rPr/>
            </w:pPr>
            <w:r>
              <w:rPr/>
              <w:t> </w:t>
            </w:r>
          </w:p>
        </w:tc>
      </w:tr>
      <w:tr>
        <w:trPr/>
        <w:tc>
          <w:tcPr>
            <w:tcW w:w="3770" w:type="dxa"/>
            <w:tcBorders/>
            <w:shd w:fill="FFFFFF" w:val="clear"/>
            <w:vAlign w:val="center"/>
          </w:tcPr>
          <w:p>
            <w:pPr>
              <w:pStyle w:val="TableContents"/>
              <w:bidi w:val="0"/>
              <w:spacing w:before="0" w:after="283"/>
              <w:jc w:val="left"/>
              <w:rPr/>
            </w:pPr>
            <w:r>
              <w:rPr/>
              <w:t>Commissions</w:t>
            </w:r>
          </w:p>
        </w:tc>
        <w:tc>
          <w:tcPr>
            <w:tcW w:w="60" w:type="dxa"/>
            <w:tcBorders/>
            <w:shd w:fill="FFFFFF" w:val="clear"/>
            <w:vAlign w:val="center"/>
          </w:tcPr>
          <w:p>
            <w:pPr>
              <w:pStyle w:val="TableContents"/>
              <w:bidi w:val="0"/>
              <w:spacing w:before="0" w:after="283"/>
              <w:jc w:val="left"/>
              <w:rPr/>
            </w:pPr>
            <w:r>
              <w:rPr/>
              <w:t> </w:t>
            </w:r>
          </w:p>
        </w:tc>
        <w:tc>
          <w:tcPr>
            <w:tcW w:w="215" w:type="dxa"/>
            <w:tcBorders/>
            <w:shd w:fill="FFFFFF" w:val="clear"/>
            <w:vAlign w:val="center"/>
          </w:tcPr>
          <w:p>
            <w:pPr>
              <w:pStyle w:val="TableContents"/>
              <w:bidi w:val="0"/>
              <w:spacing w:before="0" w:after="283"/>
              <w:jc w:val="left"/>
              <w:rPr/>
            </w:pPr>
            <w:r>
              <w:rPr/>
              <w:t> </w:t>
            </w:r>
          </w:p>
        </w:tc>
        <w:tc>
          <w:tcPr>
            <w:tcW w:w="1694" w:type="dxa"/>
            <w:tcBorders/>
            <w:shd w:fill="FFFFFF" w:val="clear"/>
            <w:vAlign w:val="center"/>
          </w:tcPr>
          <w:p>
            <w:pPr>
              <w:pStyle w:val="TableContents"/>
              <w:bidi w:val="0"/>
              <w:spacing w:before="0" w:after="283"/>
              <w:jc w:val="right"/>
              <w:rPr/>
            </w:pPr>
            <w:r>
              <w:rPr/>
              <w:t>14,399,701</w:t>
            </w:r>
          </w:p>
        </w:tc>
        <w:tc>
          <w:tcPr>
            <w:tcW w:w="110" w:type="dxa"/>
            <w:tcBorders/>
            <w:shd w:fill="FFFFFF" w:val="clear"/>
            <w:vAlign w:val="center"/>
          </w:tcPr>
          <w:p>
            <w:pPr>
              <w:pStyle w:val="TableContents"/>
              <w:bidi w:val="0"/>
              <w:spacing w:before="0" w:after="283"/>
              <w:jc w:val="left"/>
              <w:rPr/>
            </w:pPr>
            <w:r>
              <w:rPr/>
              <w:t> </w:t>
            </w:r>
          </w:p>
        </w:tc>
      </w:tr>
      <w:tr>
        <w:trPr/>
        <w:tc>
          <w:tcPr>
            <w:tcW w:w="3770" w:type="dxa"/>
            <w:tcBorders/>
            <w:shd w:fill="CCEEFF" w:val="clear"/>
            <w:vAlign w:val="center"/>
          </w:tcPr>
          <w:p>
            <w:pPr>
              <w:pStyle w:val="TableContents"/>
              <w:bidi w:val="0"/>
              <w:spacing w:before="0" w:after="283"/>
              <w:jc w:val="left"/>
              <w:rPr/>
            </w:pPr>
            <w:r>
              <w:rPr/>
              <w:t>Rent</w:t>
            </w:r>
          </w:p>
        </w:tc>
        <w:tc>
          <w:tcPr>
            <w:tcW w:w="60" w:type="dxa"/>
            <w:tcBorders/>
            <w:shd w:fill="CCEEFF" w:val="clear"/>
            <w:vAlign w:val="center"/>
          </w:tcPr>
          <w:p>
            <w:pPr>
              <w:pStyle w:val="TableContents"/>
              <w:bidi w:val="0"/>
              <w:spacing w:before="0" w:after="283"/>
              <w:jc w:val="left"/>
              <w:rPr/>
            </w:pPr>
            <w:r>
              <w:rPr/>
              <w:t> </w:t>
            </w:r>
          </w:p>
        </w:tc>
        <w:tc>
          <w:tcPr>
            <w:tcW w:w="215" w:type="dxa"/>
            <w:tcBorders/>
            <w:shd w:fill="CCEEFF" w:val="clear"/>
            <w:vAlign w:val="center"/>
          </w:tcPr>
          <w:p>
            <w:pPr>
              <w:pStyle w:val="TableContents"/>
              <w:bidi w:val="0"/>
              <w:spacing w:before="0" w:after="283"/>
              <w:jc w:val="left"/>
              <w:rPr/>
            </w:pPr>
            <w:r>
              <w:rPr/>
              <w:t> </w:t>
            </w:r>
          </w:p>
        </w:tc>
        <w:tc>
          <w:tcPr>
            <w:tcW w:w="1694" w:type="dxa"/>
            <w:tcBorders/>
            <w:shd w:fill="CCEEFF" w:val="clear"/>
            <w:vAlign w:val="center"/>
          </w:tcPr>
          <w:p>
            <w:pPr>
              <w:pStyle w:val="TableContents"/>
              <w:bidi w:val="0"/>
              <w:spacing w:before="0" w:after="283"/>
              <w:jc w:val="right"/>
              <w:rPr/>
            </w:pPr>
            <w:r>
              <w:rPr/>
              <w:t>1,198,814</w:t>
            </w:r>
          </w:p>
        </w:tc>
        <w:tc>
          <w:tcPr>
            <w:tcW w:w="110" w:type="dxa"/>
            <w:tcBorders/>
            <w:shd w:fill="CCEEFF" w:val="clear"/>
            <w:vAlign w:val="center"/>
          </w:tcPr>
          <w:p>
            <w:pPr>
              <w:pStyle w:val="TableContents"/>
              <w:bidi w:val="0"/>
              <w:spacing w:before="0" w:after="283"/>
              <w:jc w:val="left"/>
              <w:rPr/>
            </w:pPr>
            <w:r>
              <w:rPr/>
              <w:t> </w:t>
            </w:r>
          </w:p>
        </w:tc>
      </w:tr>
      <w:tr>
        <w:trPr/>
        <w:tc>
          <w:tcPr>
            <w:tcW w:w="3770" w:type="dxa"/>
            <w:tcBorders/>
            <w:shd w:fill="FFFFFF" w:val="clear"/>
            <w:vAlign w:val="center"/>
          </w:tcPr>
          <w:p>
            <w:pPr>
              <w:pStyle w:val="TableContents"/>
              <w:bidi w:val="0"/>
              <w:spacing w:before="0" w:after="283"/>
              <w:jc w:val="left"/>
              <w:rPr/>
            </w:pPr>
            <w:r>
              <w:rPr/>
              <w:t>Depreciation and amortization</w:t>
            </w:r>
          </w:p>
        </w:tc>
        <w:tc>
          <w:tcPr>
            <w:tcW w:w="60" w:type="dxa"/>
            <w:tcBorders/>
            <w:shd w:fill="FFFFFF" w:val="clear"/>
            <w:vAlign w:val="center"/>
          </w:tcPr>
          <w:p>
            <w:pPr>
              <w:pStyle w:val="TableContents"/>
              <w:bidi w:val="0"/>
              <w:spacing w:before="0" w:after="283"/>
              <w:jc w:val="left"/>
              <w:rPr/>
            </w:pPr>
            <w:r>
              <w:rPr/>
              <w:t> </w:t>
            </w:r>
          </w:p>
        </w:tc>
        <w:tc>
          <w:tcPr>
            <w:tcW w:w="215"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694" w:type="dxa"/>
            <w:tcBorders>
              <w:bottom w:val="single" w:sz="12" w:space="0" w:color="000000"/>
            </w:tcBorders>
            <w:shd w:fill="FFFFFF" w:val="clear"/>
            <w:tcMar>
              <w:bottom w:w="28" w:type="dxa"/>
            </w:tcMar>
            <w:vAlign w:val="center"/>
          </w:tcPr>
          <w:p>
            <w:pPr>
              <w:pStyle w:val="TableContents"/>
              <w:bidi w:val="0"/>
              <w:spacing w:before="0" w:after="283"/>
              <w:jc w:val="right"/>
              <w:rPr/>
            </w:pPr>
            <w:r>
              <w:rPr/>
              <w:t>401,665</w:t>
            </w:r>
          </w:p>
        </w:tc>
        <w:tc>
          <w:tcPr>
            <w:tcW w:w="110" w:type="dxa"/>
            <w:tcBorders/>
            <w:shd w:fill="FFFFFF" w:val="clear"/>
            <w:vAlign w:val="center"/>
          </w:tcPr>
          <w:p>
            <w:pPr>
              <w:pStyle w:val="TableContents"/>
              <w:bidi w:val="0"/>
              <w:spacing w:before="0" w:after="283"/>
              <w:jc w:val="left"/>
              <w:rPr/>
            </w:pPr>
            <w:r>
              <w:rPr/>
              <w:t> </w:t>
            </w:r>
          </w:p>
        </w:tc>
      </w:tr>
      <w:tr>
        <w:trPr/>
        <w:tc>
          <w:tcPr>
            <w:tcW w:w="3770" w:type="dxa"/>
            <w:tcBorders/>
            <w:shd w:fill="CCEEFF" w:val="clear"/>
            <w:vAlign w:val="center"/>
          </w:tcPr>
          <w:p>
            <w:pPr>
              <w:pStyle w:val="TableContents"/>
              <w:bidi w:val="0"/>
              <w:spacing w:before="0" w:after="283"/>
              <w:jc w:val="left"/>
              <w:rPr/>
            </w:pPr>
            <w:r>
              <w:rPr/>
              <w:t>Total operating expenses</w:t>
            </w:r>
          </w:p>
        </w:tc>
        <w:tc>
          <w:tcPr>
            <w:tcW w:w="60" w:type="dxa"/>
            <w:tcBorders/>
            <w:shd w:fill="CCEEFF" w:val="clear"/>
            <w:vAlign w:val="center"/>
          </w:tcPr>
          <w:p>
            <w:pPr>
              <w:pStyle w:val="TableContents"/>
              <w:bidi w:val="0"/>
              <w:spacing w:before="0" w:after="283"/>
              <w:jc w:val="left"/>
              <w:rPr/>
            </w:pPr>
            <w:r>
              <w:rPr/>
              <w:t> </w:t>
            </w:r>
          </w:p>
        </w:tc>
        <w:tc>
          <w:tcPr>
            <w:tcW w:w="215"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694" w:type="dxa"/>
            <w:tcBorders>
              <w:bottom w:val="single" w:sz="12" w:space="0" w:color="000000"/>
            </w:tcBorders>
            <w:shd w:fill="CCEEFF" w:val="clear"/>
            <w:tcMar>
              <w:bottom w:w="28" w:type="dxa"/>
            </w:tcMar>
            <w:vAlign w:val="center"/>
          </w:tcPr>
          <w:p>
            <w:pPr>
              <w:pStyle w:val="TableContents"/>
              <w:bidi w:val="0"/>
              <w:spacing w:before="0" w:after="283"/>
              <w:jc w:val="right"/>
              <w:rPr/>
            </w:pPr>
            <w:r>
              <w:rPr/>
              <w:t>27,156,499</w:t>
            </w:r>
          </w:p>
        </w:tc>
        <w:tc>
          <w:tcPr>
            <w:tcW w:w="110" w:type="dxa"/>
            <w:tcBorders/>
            <w:shd w:fill="CCEEFF" w:val="clear"/>
            <w:vAlign w:val="center"/>
          </w:tcPr>
          <w:p>
            <w:pPr>
              <w:pStyle w:val="TableContents"/>
              <w:bidi w:val="0"/>
              <w:spacing w:before="0" w:after="283"/>
              <w:jc w:val="left"/>
              <w:rPr/>
            </w:pPr>
            <w:r>
              <w:rPr/>
              <w:t> </w:t>
            </w:r>
          </w:p>
        </w:tc>
      </w:tr>
      <w:tr>
        <w:trPr/>
        <w:tc>
          <w:tcPr>
            <w:tcW w:w="3770" w:type="dxa"/>
            <w:tcBorders/>
            <w:shd w:fill="FFFFFF" w:val="clear"/>
            <w:vAlign w:val="center"/>
          </w:tcPr>
          <w:p>
            <w:pPr>
              <w:pStyle w:val="TableContents"/>
              <w:bidi w:val="0"/>
              <w:spacing w:before="0" w:after="283"/>
              <w:jc w:val="left"/>
              <w:rPr/>
            </w:pPr>
            <w:r>
              <w:rPr/>
              <w:t>Operating loss</w:t>
            </w:r>
          </w:p>
        </w:tc>
        <w:tc>
          <w:tcPr>
            <w:tcW w:w="60" w:type="dxa"/>
            <w:tcBorders/>
            <w:shd w:fill="FFFFFF" w:val="clear"/>
            <w:vAlign w:val="center"/>
          </w:tcPr>
          <w:p>
            <w:pPr>
              <w:pStyle w:val="TableContents"/>
              <w:bidi w:val="0"/>
              <w:spacing w:before="0" w:after="283"/>
              <w:jc w:val="left"/>
              <w:rPr/>
            </w:pPr>
            <w:r>
              <w:rPr/>
              <w:t> </w:t>
            </w:r>
          </w:p>
        </w:tc>
        <w:tc>
          <w:tcPr>
            <w:tcW w:w="215"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694" w:type="dxa"/>
            <w:tcBorders>
              <w:bottom w:val="single" w:sz="12" w:space="0" w:color="000000"/>
            </w:tcBorders>
            <w:shd w:fill="FFFFFF" w:val="clear"/>
            <w:tcMar>
              <w:bottom w:w="28" w:type="dxa"/>
            </w:tcMar>
            <w:vAlign w:val="center"/>
          </w:tcPr>
          <w:p>
            <w:pPr>
              <w:pStyle w:val="TableContents"/>
              <w:bidi w:val="0"/>
              <w:spacing w:before="0" w:after="283"/>
              <w:jc w:val="right"/>
              <w:rPr/>
            </w:pPr>
            <w:r>
              <w:rPr/>
              <w:t>(4,815,240</w:t>
            </w:r>
          </w:p>
        </w:tc>
        <w:tc>
          <w:tcPr>
            <w:tcW w:w="110" w:type="dxa"/>
            <w:tcBorders/>
            <w:shd w:fill="FFFFFF" w:val="clear"/>
            <w:vAlign w:val="center"/>
          </w:tcPr>
          <w:p>
            <w:pPr>
              <w:pStyle w:val="TableContents"/>
              <w:bidi w:val="0"/>
              <w:spacing w:before="0" w:after="283"/>
              <w:jc w:val="left"/>
              <w:rPr/>
            </w:pPr>
            <w:r>
              <w:rPr/>
              <w:t>)</w:t>
            </w:r>
          </w:p>
        </w:tc>
      </w:tr>
      <w:tr>
        <w:trPr/>
        <w:tc>
          <w:tcPr>
            <w:tcW w:w="3770" w:type="dxa"/>
            <w:tcBorders/>
            <w:shd w:fill="CCEEFF" w:val="clear"/>
            <w:vAlign w:val="center"/>
          </w:tcPr>
          <w:p>
            <w:pPr>
              <w:pStyle w:val="TableContents"/>
              <w:bidi w:val="0"/>
              <w:spacing w:before="0" w:after="283"/>
              <w:jc w:val="left"/>
              <w:rPr/>
            </w:pPr>
            <w:r>
              <w:rPr/>
              <w:t>Other expense:</w:t>
            </w:r>
          </w:p>
        </w:tc>
        <w:tc>
          <w:tcPr>
            <w:tcW w:w="60" w:type="dxa"/>
            <w:tcBorders/>
            <w:shd w:fill="CCEEFF" w:val="clear"/>
            <w:vAlign w:val="center"/>
          </w:tcPr>
          <w:p>
            <w:pPr>
              <w:pStyle w:val="TableContents"/>
              <w:bidi w:val="0"/>
              <w:spacing w:before="0" w:after="283"/>
              <w:jc w:val="left"/>
              <w:rPr/>
            </w:pPr>
            <w:r>
              <w:rPr/>
              <w:t> </w:t>
            </w:r>
          </w:p>
        </w:tc>
        <w:tc>
          <w:tcPr>
            <w:tcW w:w="215" w:type="dxa"/>
            <w:tcBorders/>
            <w:shd w:fill="CCEEFF" w:val="clear"/>
            <w:vAlign w:val="center"/>
          </w:tcPr>
          <w:p>
            <w:pPr>
              <w:pStyle w:val="TableContents"/>
              <w:bidi w:val="0"/>
              <w:spacing w:before="0" w:after="283"/>
              <w:jc w:val="left"/>
              <w:rPr/>
            </w:pPr>
            <w:r>
              <w:rPr/>
              <w:t> </w:t>
            </w:r>
          </w:p>
        </w:tc>
        <w:tc>
          <w:tcPr>
            <w:tcW w:w="1694"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3770" w:type="dxa"/>
            <w:tcBorders/>
            <w:shd w:fill="FFFFFF" w:val="clear"/>
            <w:vAlign w:val="center"/>
          </w:tcPr>
          <w:p>
            <w:pPr>
              <w:pStyle w:val="TableContents"/>
              <w:bidi w:val="0"/>
              <w:spacing w:before="0" w:after="283"/>
              <w:jc w:val="left"/>
              <w:rPr/>
            </w:pPr>
            <w:r>
              <w:rPr/>
              <w:t>Interest expense</w:t>
            </w:r>
          </w:p>
        </w:tc>
        <w:tc>
          <w:tcPr>
            <w:tcW w:w="60" w:type="dxa"/>
            <w:tcBorders/>
            <w:shd w:fill="FFFFFF" w:val="clear"/>
            <w:vAlign w:val="center"/>
          </w:tcPr>
          <w:p>
            <w:pPr>
              <w:pStyle w:val="TableContents"/>
              <w:bidi w:val="0"/>
              <w:spacing w:before="0" w:after="283"/>
              <w:jc w:val="left"/>
              <w:rPr/>
            </w:pPr>
            <w:r>
              <w:rPr/>
              <w:t> </w:t>
            </w:r>
          </w:p>
        </w:tc>
        <w:tc>
          <w:tcPr>
            <w:tcW w:w="215" w:type="dxa"/>
            <w:tcBorders/>
            <w:shd w:fill="FFFFFF" w:val="clear"/>
            <w:vAlign w:val="center"/>
          </w:tcPr>
          <w:p>
            <w:pPr>
              <w:pStyle w:val="TableContents"/>
              <w:bidi w:val="0"/>
              <w:spacing w:before="0" w:after="283"/>
              <w:jc w:val="left"/>
              <w:rPr/>
            </w:pPr>
            <w:r>
              <w:rPr/>
              <w:t> </w:t>
            </w:r>
          </w:p>
        </w:tc>
        <w:tc>
          <w:tcPr>
            <w:tcW w:w="1694" w:type="dxa"/>
            <w:tcBorders/>
            <w:shd w:fill="FFFFFF" w:val="clear"/>
            <w:vAlign w:val="center"/>
          </w:tcPr>
          <w:p>
            <w:pPr>
              <w:pStyle w:val="TableContents"/>
              <w:bidi w:val="0"/>
              <w:spacing w:before="0" w:after="283"/>
              <w:jc w:val="right"/>
              <w:rPr/>
            </w:pPr>
            <w:r>
              <w:rPr/>
              <w:t>(1,233,685</w:t>
            </w:r>
          </w:p>
        </w:tc>
        <w:tc>
          <w:tcPr>
            <w:tcW w:w="110" w:type="dxa"/>
            <w:tcBorders/>
            <w:shd w:fill="FFFFFF" w:val="clear"/>
            <w:vAlign w:val="center"/>
          </w:tcPr>
          <w:p>
            <w:pPr>
              <w:pStyle w:val="TableContents"/>
              <w:bidi w:val="0"/>
              <w:spacing w:before="0" w:after="283"/>
              <w:jc w:val="left"/>
              <w:rPr/>
            </w:pPr>
            <w:r>
              <w:rPr/>
              <w:t>)</w:t>
            </w:r>
          </w:p>
        </w:tc>
      </w:tr>
      <w:tr>
        <w:trPr/>
        <w:tc>
          <w:tcPr>
            <w:tcW w:w="3770" w:type="dxa"/>
            <w:tcBorders/>
            <w:shd w:fill="CCEEFF" w:val="clear"/>
            <w:vAlign w:val="center"/>
          </w:tcPr>
          <w:p>
            <w:pPr>
              <w:pStyle w:val="TableContents"/>
              <w:bidi w:val="0"/>
              <w:spacing w:before="0" w:after="283"/>
              <w:jc w:val="left"/>
              <w:rPr/>
            </w:pPr>
            <w:r>
              <w:rPr/>
              <w:t>Other expense</w:t>
            </w:r>
          </w:p>
        </w:tc>
        <w:tc>
          <w:tcPr>
            <w:tcW w:w="60" w:type="dxa"/>
            <w:tcBorders/>
            <w:shd w:fill="CCEEFF" w:val="clear"/>
            <w:vAlign w:val="center"/>
          </w:tcPr>
          <w:p>
            <w:pPr>
              <w:pStyle w:val="TableContents"/>
              <w:bidi w:val="0"/>
              <w:spacing w:before="0" w:after="283"/>
              <w:jc w:val="left"/>
              <w:rPr/>
            </w:pPr>
            <w:r>
              <w:rPr/>
              <w:t> </w:t>
            </w:r>
          </w:p>
        </w:tc>
        <w:tc>
          <w:tcPr>
            <w:tcW w:w="215"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694" w:type="dxa"/>
            <w:tcBorders>
              <w:bottom w:val="single" w:sz="12" w:space="0" w:color="000000"/>
            </w:tcBorders>
            <w:shd w:fill="CCEEFF" w:val="clear"/>
            <w:tcMar>
              <w:bottom w:w="28" w:type="dxa"/>
            </w:tcMar>
            <w:vAlign w:val="center"/>
          </w:tcPr>
          <w:p>
            <w:pPr>
              <w:pStyle w:val="TableContents"/>
              <w:bidi w:val="0"/>
              <w:spacing w:before="0" w:after="283"/>
              <w:jc w:val="right"/>
              <w:rPr/>
            </w:pPr>
            <w:r>
              <w:rPr/>
              <w:t>(204,126</w:t>
            </w:r>
          </w:p>
        </w:tc>
        <w:tc>
          <w:tcPr>
            <w:tcW w:w="110" w:type="dxa"/>
            <w:tcBorders/>
            <w:shd w:fill="CCEEFF" w:val="clear"/>
            <w:vAlign w:val="center"/>
          </w:tcPr>
          <w:p>
            <w:pPr>
              <w:pStyle w:val="TableContents"/>
              <w:bidi w:val="0"/>
              <w:spacing w:before="0" w:after="283"/>
              <w:jc w:val="left"/>
              <w:rPr/>
            </w:pPr>
            <w:r>
              <w:rPr/>
              <w:t>)</w:t>
            </w:r>
          </w:p>
        </w:tc>
      </w:tr>
      <w:tr>
        <w:trPr/>
        <w:tc>
          <w:tcPr>
            <w:tcW w:w="3770" w:type="dxa"/>
            <w:tcBorders/>
            <w:shd w:fill="FFFFFF" w:val="clear"/>
            <w:vAlign w:val="center"/>
          </w:tcPr>
          <w:p>
            <w:pPr>
              <w:pStyle w:val="TableContents"/>
              <w:bidi w:val="0"/>
              <w:spacing w:before="0" w:after="283"/>
              <w:jc w:val="left"/>
              <w:rPr/>
            </w:pPr>
            <w:r>
              <w:rPr/>
              <w:t>Total other expense</w:t>
            </w:r>
          </w:p>
        </w:tc>
        <w:tc>
          <w:tcPr>
            <w:tcW w:w="60" w:type="dxa"/>
            <w:tcBorders/>
            <w:shd w:fill="FFFFFF" w:val="clear"/>
            <w:vAlign w:val="center"/>
          </w:tcPr>
          <w:p>
            <w:pPr>
              <w:pStyle w:val="TableContents"/>
              <w:bidi w:val="0"/>
              <w:spacing w:before="0" w:after="283"/>
              <w:jc w:val="left"/>
              <w:rPr/>
            </w:pPr>
            <w:r>
              <w:rPr/>
              <w:t> </w:t>
            </w:r>
          </w:p>
        </w:tc>
        <w:tc>
          <w:tcPr>
            <w:tcW w:w="215"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694" w:type="dxa"/>
            <w:tcBorders>
              <w:bottom w:val="single" w:sz="12" w:space="0" w:color="000000"/>
            </w:tcBorders>
            <w:shd w:fill="FFFFFF" w:val="clear"/>
            <w:tcMar>
              <w:bottom w:w="28" w:type="dxa"/>
            </w:tcMar>
            <w:vAlign w:val="center"/>
          </w:tcPr>
          <w:p>
            <w:pPr>
              <w:pStyle w:val="TableContents"/>
              <w:bidi w:val="0"/>
              <w:spacing w:before="0" w:after="283"/>
              <w:jc w:val="right"/>
              <w:rPr/>
            </w:pPr>
            <w:r>
              <w:rPr/>
              <w:t>(1,437,811</w:t>
            </w:r>
          </w:p>
        </w:tc>
        <w:tc>
          <w:tcPr>
            <w:tcW w:w="110" w:type="dxa"/>
            <w:tcBorders/>
            <w:shd w:fill="FFFFFF" w:val="clear"/>
            <w:vAlign w:val="center"/>
          </w:tcPr>
          <w:p>
            <w:pPr>
              <w:pStyle w:val="TableContents"/>
              <w:bidi w:val="0"/>
              <w:spacing w:before="0" w:after="283"/>
              <w:jc w:val="left"/>
              <w:rPr/>
            </w:pPr>
            <w:r>
              <w:rPr/>
              <w:t>)</w:t>
            </w:r>
          </w:p>
        </w:tc>
      </w:tr>
      <w:tr>
        <w:trPr/>
        <w:tc>
          <w:tcPr>
            <w:tcW w:w="3770" w:type="dxa"/>
            <w:tcBorders/>
            <w:shd w:fill="CCEEFF" w:val="clear"/>
            <w:vAlign w:val="center"/>
          </w:tcPr>
          <w:p>
            <w:pPr>
              <w:pStyle w:val="TableContents"/>
              <w:bidi w:val="0"/>
              <w:spacing w:before="0" w:after="283"/>
              <w:jc w:val="left"/>
              <w:rPr/>
            </w:pPr>
            <w:r>
              <w:rPr/>
              <w:t>Net loss</w:t>
            </w:r>
          </w:p>
        </w:tc>
        <w:tc>
          <w:tcPr>
            <w:tcW w:w="60" w:type="dxa"/>
            <w:tcBorders/>
            <w:shd w:fill="CCEEFF" w:val="clear"/>
            <w:vAlign w:val="center"/>
          </w:tcPr>
          <w:p>
            <w:pPr>
              <w:pStyle w:val="TableContents"/>
              <w:bidi w:val="0"/>
              <w:spacing w:before="0" w:after="283"/>
              <w:jc w:val="left"/>
              <w:rPr/>
            </w:pPr>
            <w:r>
              <w:rPr/>
              <w:t> </w:t>
            </w:r>
          </w:p>
        </w:tc>
        <w:tc>
          <w:tcPr>
            <w:tcW w:w="215"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694" w:type="dxa"/>
            <w:tcBorders>
              <w:bottom w:val="double" w:sz="10" w:space="0" w:color="000000"/>
            </w:tcBorders>
            <w:shd w:fill="CCEEFF" w:val="clear"/>
            <w:tcMar>
              <w:bottom w:w="28" w:type="dxa"/>
            </w:tcMar>
            <w:vAlign w:val="center"/>
          </w:tcPr>
          <w:p>
            <w:pPr>
              <w:pStyle w:val="TableContents"/>
              <w:bidi w:val="0"/>
              <w:spacing w:before="0" w:after="283"/>
              <w:jc w:val="right"/>
              <w:rPr/>
            </w:pPr>
            <w:r>
              <w:rPr/>
              <w:t>(6,253,051</w:t>
            </w:r>
          </w:p>
        </w:tc>
        <w:tc>
          <w:tcPr>
            <w:tcW w:w="110" w:type="dxa"/>
            <w:tcBorders/>
            <w:shd w:fill="CCEEFF" w:val="clear"/>
            <w:vAlign w:val="center"/>
          </w:tcPr>
          <w:p>
            <w:pPr>
              <w:pStyle w:val="TableContents"/>
              <w:bidi w:val="0"/>
              <w:spacing w:before="0" w:after="283"/>
              <w:jc w:val="left"/>
              <w:rPr/>
            </w:pPr>
            <w:r>
              <w:rPr/>
              <w:t>)</w:t>
            </w:r>
          </w:p>
        </w:tc>
      </w:tr>
      <w:tr>
        <w:trPr/>
        <w:tc>
          <w:tcPr>
            <w:tcW w:w="3770" w:type="dxa"/>
            <w:tcBorders/>
            <w:shd w:fill="FFFFFF" w:val="clear"/>
            <w:vAlign w:val="center"/>
          </w:tcPr>
          <w:p>
            <w:pPr>
              <w:pStyle w:val="TableContents"/>
              <w:bidi w:val="0"/>
              <w:spacing w:before="0" w:after="283"/>
              <w:jc w:val="left"/>
              <w:rPr/>
            </w:pPr>
            <w:r>
              <w:rPr/>
              <w:t>Member’s deficit, beginning of the year</w:t>
            </w:r>
          </w:p>
        </w:tc>
        <w:tc>
          <w:tcPr>
            <w:tcW w:w="60" w:type="dxa"/>
            <w:tcBorders/>
            <w:shd w:fill="FFFFFF" w:val="clear"/>
            <w:vAlign w:val="center"/>
          </w:tcPr>
          <w:p>
            <w:pPr>
              <w:pStyle w:val="TableContents"/>
              <w:bidi w:val="0"/>
              <w:spacing w:before="0" w:after="283"/>
              <w:jc w:val="left"/>
              <w:rPr/>
            </w:pPr>
            <w:r>
              <w:rPr/>
              <w:t> </w:t>
            </w:r>
          </w:p>
        </w:tc>
        <w:tc>
          <w:tcPr>
            <w:tcW w:w="215" w:type="dxa"/>
            <w:tcBorders/>
            <w:shd w:fill="FFFFFF" w:val="clear"/>
            <w:vAlign w:val="center"/>
          </w:tcPr>
          <w:p>
            <w:pPr>
              <w:pStyle w:val="TableContents"/>
              <w:bidi w:val="0"/>
              <w:spacing w:before="0" w:after="283"/>
              <w:jc w:val="left"/>
              <w:rPr/>
            </w:pPr>
            <w:r>
              <w:rPr/>
              <w:t>$</w:t>
            </w:r>
          </w:p>
        </w:tc>
        <w:tc>
          <w:tcPr>
            <w:tcW w:w="1694" w:type="dxa"/>
            <w:tcBorders/>
            <w:shd w:fill="FFFFFF" w:val="clear"/>
            <w:vAlign w:val="center"/>
          </w:tcPr>
          <w:p>
            <w:pPr>
              <w:pStyle w:val="TableContents"/>
              <w:bidi w:val="0"/>
              <w:spacing w:before="0" w:after="283"/>
              <w:jc w:val="right"/>
              <w:rPr/>
            </w:pPr>
            <w:r>
              <w:rPr/>
              <w:t>(5,112,377</w:t>
            </w:r>
          </w:p>
        </w:tc>
        <w:tc>
          <w:tcPr>
            <w:tcW w:w="110" w:type="dxa"/>
            <w:tcBorders/>
            <w:shd w:fill="FFFFFF" w:val="clear"/>
            <w:vAlign w:val="center"/>
          </w:tcPr>
          <w:p>
            <w:pPr>
              <w:pStyle w:val="TableContents"/>
              <w:bidi w:val="0"/>
              <w:spacing w:before="0" w:after="283"/>
              <w:jc w:val="left"/>
              <w:rPr/>
            </w:pPr>
            <w:r>
              <w:rPr/>
              <w:t>)</w:t>
            </w:r>
          </w:p>
        </w:tc>
      </w:tr>
      <w:tr>
        <w:trPr/>
        <w:tc>
          <w:tcPr>
            <w:tcW w:w="3770" w:type="dxa"/>
            <w:tcBorders/>
            <w:shd w:fill="CCEEFF" w:val="clear"/>
            <w:vAlign w:val="center"/>
          </w:tcPr>
          <w:p>
            <w:pPr>
              <w:pStyle w:val="TableContents"/>
              <w:bidi w:val="0"/>
              <w:spacing w:before="0" w:after="283"/>
              <w:jc w:val="left"/>
              <w:rPr/>
            </w:pPr>
            <w:r>
              <w:rPr/>
              <w:t>Member’s contribution</w:t>
            </w:r>
          </w:p>
        </w:tc>
        <w:tc>
          <w:tcPr>
            <w:tcW w:w="60" w:type="dxa"/>
            <w:tcBorders/>
            <w:shd w:fill="CCEEFF" w:val="clear"/>
            <w:vAlign w:val="center"/>
          </w:tcPr>
          <w:p>
            <w:pPr>
              <w:pStyle w:val="TableContents"/>
              <w:bidi w:val="0"/>
              <w:spacing w:before="0" w:after="283"/>
              <w:jc w:val="left"/>
              <w:rPr/>
            </w:pPr>
            <w:r>
              <w:rPr/>
              <w:t> </w:t>
            </w:r>
          </w:p>
        </w:tc>
        <w:tc>
          <w:tcPr>
            <w:tcW w:w="215" w:type="dxa"/>
            <w:tcBorders/>
            <w:shd w:fill="CCEEFF" w:val="clear"/>
            <w:vAlign w:val="center"/>
          </w:tcPr>
          <w:p>
            <w:pPr>
              <w:pStyle w:val="TableContents"/>
              <w:bidi w:val="0"/>
              <w:spacing w:before="0" w:after="283"/>
              <w:jc w:val="left"/>
              <w:rPr/>
            </w:pPr>
            <w:r>
              <w:rPr/>
              <w:t> </w:t>
            </w:r>
          </w:p>
        </w:tc>
        <w:tc>
          <w:tcPr>
            <w:tcW w:w="1694" w:type="dxa"/>
            <w:tcBorders/>
            <w:shd w:fill="CCEEFF" w:val="clear"/>
            <w:vAlign w:val="center"/>
          </w:tcPr>
          <w:p>
            <w:pPr>
              <w:pStyle w:val="TableContents"/>
              <w:bidi w:val="0"/>
              <w:spacing w:before="0" w:after="283"/>
              <w:jc w:val="right"/>
              <w:rPr/>
            </w:pPr>
            <w:r>
              <w:rPr/>
              <w:t>4,333,164</w:t>
            </w:r>
          </w:p>
        </w:tc>
        <w:tc>
          <w:tcPr>
            <w:tcW w:w="110" w:type="dxa"/>
            <w:tcBorders/>
            <w:shd w:fill="CCEEFF" w:val="clear"/>
            <w:vAlign w:val="center"/>
          </w:tcPr>
          <w:p>
            <w:pPr>
              <w:pStyle w:val="TableContents"/>
              <w:bidi w:val="0"/>
              <w:spacing w:before="0" w:after="283"/>
              <w:jc w:val="left"/>
              <w:rPr/>
            </w:pPr>
            <w:r>
              <w:rPr/>
              <w:t> </w:t>
            </w:r>
          </w:p>
        </w:tc>
      </w:tr>
      <w:tr>
        <w:trPr/>
        <w:tc>
          <w:tcPr>
            <w:tcW w:w="3770" w:type="dxa"/>
            <w:tcBorders/>
            <w:shd w:fill="FFFFFF" w:val="clear"/>
            <w:vAlign w:val="center"/>
          </w:tcPr>
          <w:p>
            <w:pPr>
              <w:pStyle w:val="TableContents"/>
              <w:bidi w:val="0"/>
              <w:spacing w:before="0" w:after="283"/>
              <w:jc w:val="left"/>
              <w:rPr/>
            </w:pPr>
            <w:r>
              <w:rPr/>
              <w:t>Net loss</w:t>
            </w:r>
          </w:p>
        </w:tc>
        <w:tc>
          <w:tcPr>
            <w:tcW w:w="60" w:type="dxa"/>
            <w:tcBorders/>
            <w:shd w:fill="FFFFFF" w:val="clear"/>
            <w:vAlign w:val="center"/>
          </w:tcPr>
          <w:p>
            <w:pPr>
              <w:pStyle w:val="TableContents"/>
              <w:bidi w:val="0"/>
              <w:spacing w:before="0" w:after="283"/>
              <w:jc w:val="left"/>
              <w:rPr/>
            </w:pPr>
            <w:r>
              <w:rPr/>
              <w:t> </w:t>
            </w:r>
          </w:p>
        </w:tc>
        <w:tc>
          <w:tcPr>
            <w:tcW w:w="215"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694" w:type="dxa"/>
            <w:tcBorders>
              <w:bottom w:val="single" w:sz="12" w:space="0" w:color="000000"/>
            </w:tcBorders>
            <w:shd w:fill="FFFFFF" w:val="clear"/>
            <w:tcMar>
              <w:bottom w:w="28" w:type="dxa"/>
            </w:tcMar>
            <w:vAlign w:val="center"/>
          </w:tcPr>
          <w:p>
            <w:pPr>
              <w:pStyle w:val="TableContents"/>
              <w:bidi w:val="0"/>
              <w:spacing w:before="0" w:after="283"/>
              <w:jc w:val="right"/>
              <w:rPr/>
            </w:pPr>
            <w:r>
              <w:rPr/>
              <w:t>(6,253,051</w:t>
            </w:r>
          </w:p>
        </w:tc>
        <w:tc>
          <w:tcPr>
            <w:tcW w:w="110" w:type="dxa"/>
            <w:tcBorders/>
            <w:shd w:fill="FFFFFF" w:val="clear"/>
            <w:vAlign w:val="center"/>
          </w:tcPr>
          <w:p>
            <w:pPr>
              <w:pStyle w:val="TableContents"/>
              <w:bidi w:val="0"/>
              <w:spacing w:before="0" w:after="283"/>
              <w:jc w:val="left"/>
              <w:rPr/>
            </w:pPr>
            <w:r>
              <w:rPr/>
              <w:t>)</w:t>
            </w:r>
          </w:p>
        </w:tc>
      </w:tr>
      <w:tr>
        <w:trPr/>
        <w:tc>
          <w:tcPr>
            <w:tcW w:w="3770" w:type="dxa"/>
            <w:tcBorders/>
            <w:shd w:fill="CCEEFF" w:val="clear"/>
            <w:vAlign w:val="center"/>
          </w:tcPr>
          <w:p>
            <w:pPr>
              <w:pStyle w:val="TableContents"/>
              <w:bidi w:val="0"/>
              <w:spacing w:before="0" w:after="283"/>
              <w:jc w:val="left"/>
              <w:rPr/>
            </w:pPr>
            <w:r>
              <w:rPr/>
              <w:t>Member’s deficit, end of the year</w:t>
            </w:r>
          </w:p>
        </w:tc>
        <w:tc>
          <w:tcPr>
            <w:tcW w:w="60" w:type="dxa"/>
            <w:tcBorders/>
            <w:shd w:fill="CCEEFF" w:val="clear"/>
            <w:vAlign w:val="center"/>
          </w:tcPr>
          <w:p>
            <w:pPr>
              <w:pStyle w:val="TableContents"/>
              <w:bidi w:val="0"/>
              <w:spacing w:before="0" w:after="283"/>
              <w:jc w:val="left"/>
              <w:rPr/>
            </w:pPr>
            <w:r>
              <w:rPr/>
              <w:t> </w:t>
            </w:r>
          </w:p>
        </w:tc>
        <w:tc>
          <w:tcPr>
            <w:tcW w:w="215"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694" w:type="dxa"/>
            <w:tcBorders>
              <w:bottom w:val="double" w:sz="10" w:space="0" w:color="000000"/>
            </w:tcBorders>
            <w:shd w:fill="CCEEFF" w:val="clear"/>
            <w:tcMar>
              <w:bottom w:w="28" w:type="dxa"/>
            </w:tcMar>
            <w:vAlign w:val="center"/>
          </w:tcPr>
          <w:p>
            <w:pPr>
              <w:pStyle w:val="TableContents"/>
              <w:bidi w:val="0"/>
              <w:spacing w:before="0" w:after="283"/>
              <w:jc w:val="right"/>
              <w:rPr/>
            </w:pPr>
            <w:r>
              <w:rPr/>
              <w:t>(7,032,264</w:t>
            </w:r>
          </w:p>
        </w:tc>
        <w:tc>
          <w:tcPr>
            <w:tcW w:w="110" w:type="dxa"/>
            <w:tcBorders/>
            <w:shd w:fill="CCEEFF" w:val="clear"/>
            <w:vAlign w:val="center"/>
          </w:tcPr>
          <w:p>
            <w:pPr>
              <w:pStyle w:val="TableContents"/>
              <w:bidi w:val="0"/>
              <w:spacing w:before="0" w:after="283"/>
              <w:jc w:val="left"/>
              <w:rPr/>
            </w:pPr>
            <w:r>
              <w:rPr/>
              <w: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See accompanying notes to financial statements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sz w:val="20"/>
          <w:bdr w:val="single" w:sz="12" w:space="1" w:color="000000"/>
        </w:rPr>
      </w:pPr>
      <w:r>
        <w:rPr>
          <w:sz w:val="20"/>
          <w:bdr w:val="single" w:sz="12" w:space="1" w:color="000000"/>
        </w:rPr>
        <w:t>F-151</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bookmarkStart w:id="47" w:name="G_004"/>
      <w:bookmarkEnd w:id="47"/>
      <w:r>
        <w:rPr>
          <w:rFonts w:ascii="Times New Roman;Times;Serif" w:hAnsi="Times New Roman;Times;Serif"/>
          <w:b/>
          <w:i/>
          <w:caps w:val="false"/>
          <w:smallCaps w:val="false"/>
          <w:sz w:val="20"/>
        </w:rPr>
        <w:t>Statement of Cash Flows</w:t>
      </w:r>
    </w:p>
    <w:p>
      <w:pPr>
        <w:pStyle w:val="TextBody"/>
        <w:bidi w:val="0"/>
        <w:spacing w:before="0" w:after="0"/>
        <w:ind w:left="0" w:right="0" w:hanging="0"/>
        <w:jc w:val="both"/>
        <w:rPr>
          <w:caps w:val="false"/>
          <w:smallCaps w:val="false"/>
        </w:rPr>
      </w:pPr>
      <w:r>
        <w:rPr>
          <w:caps w:val="false"/>
          <w:smallCaps w:val="false"/>
        </w:rPr>
        <w:drawing>
          <wp:inline distT="0" distB="0" distL="0" distR="0">
            <wp:extent cx="7143750" cy="57150"/>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embed="rId9"/>
                    <a:stretch>
                      <a:fillRect/>
                    </a:stretch>
                  </pic:blipFill>
                  <pic:spPr bwMode="auto">
                    <a:xfrm>
                      <a:off x="0" y="0"/>
                      <a:ext cx="7143750" cy="57150"/>
                    </a:xfrm>
                    <a:prstGeom prst="rect">
                      <a:avLst/>
                    </a:prstGeom>
                  </pic:spPr>
                </pic:pic>
              </a:graphicData>
            </a:graphic>
          </wp:inline>
        </w:drawing>
      </w: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tbl>
      <w:tblPr>
        <w:tblW w:w="10109" w:type="dxa"/>
        <w:jc w:val="left"/>
        <w:tblInd w:w="0" w:type="dxa"/>
        <w:tblLayout w:type="fixed"/>
        <w:tblCellMar>
          <w:top w:w="0" w:type="dxa"/>
          <w:left w:w="0" w:type="dxa"/>
          <w:bottom w:w="0" w:type="dxa"/>
          <w:right w:w="0" w:type="dxa"/>
        </w:tblCellMar>
      </w:tblPr>
      <w:tblGrid>
        <w:gridCol w:w="8030"/>
        <w:gridCol w:w="60"/>
        <w:gridCol w:w="223"/>
        <w:gridCol w:w="1686"/>
        <w:gridCol w:w="110"/>
      </w:tblGrid>
      <w:tr>
        <w:trPr/>
        <w:tc>
          <w:tcPr>
            <w:tcW w:w="8030" w:type="dxa"/>
            <w:tcBorders/>
            <w:vAlign w:val="center"/>
          </w:tcPr>
          <w:p>
            <w:pPr>
              <w:pStyle w:val="TableContents"/>
              <w:bidi w:val="0"/>
              <w:spacing w:before="0" w:after="283"/>
              <w:ind w:left="0" w:right="0" w:hanging="180"/>
              <w:jc w:val="left"/>
              <w:rPr/>
            </w:pPr>
            <w:r>
              <w:rPr/>
              <w:t> </w:t>
            </w:r>
          </w:p>
        </w:tc>
        <w:tc>
          <w:tcPr>
            <w:tcW w:w="60" w:type="dxa"/>
            <w:tcBorders/>
            <w:vAlign w:val="center"/>
          </w:tcPr>
          <w:p>
            <w:pPr>
              <w:pStyle w:val="TableContents"/>
              <w:bidi w:val="0"/>
              <w:spacing w:before="0" w:after="283"/>
              <w:jc w:val="left"/>
              <w:rPr/>
            </w:pPr>
            <w:r>
              <w:rPr/>
              <w:t> </w:t>
            </w:r>
          </w:p>
        </w:tc>
        <w:tc>
          <w:tcPr>
            <w:tcW w:w="1909" w:type="dxa"/>
            <w:gridSpan w:val="2"/>
            <w:tcBorders/>
            <w:vAlign w:val="center"/>
          </w:tcPr>
          <w:p>
            <w:pPr>
              <w:pStyle w:val="TableContents"/>
              <w:bidi w:val="0"/>
              <w:spacing w:before="0" w:after="283"/>
              <w:jc w:val="center"/>
              <w:rPr>
                <w:i/>
              </w:rPr>
            </w:pPr>
            <w:r>
              <w:rPr>
                <w:i/>
              </w:rPr>
              <w:t>For the Year Ended</w:t>
              <w:br/>
              <w:t>December 31,</w:t>
            </w:r>
          </w:p>
        </w:tc>
        <w:tc>
          <w:tcPr>
            <w:tcW w:w="110" w:type="dxa"/>
            <w:tcBorders/>
            <w:vAlign w:val="center"/>
          </w:tcPr>
          <w:p>
            <w:pPr>
              <w:pStyle w:val="TableContents"/>
              <w:bidi w:val="0"/>
              <w:spacing w:before="0" w:after="283"/>
              <w:ind w:left="0" w:right="0" w:hanging="180"/>
              <w:jc w:val="left"/>
              <w:rPr/>
            </w:pPr>
            <w:r>
              <w:rPr/>
              <w:t> </w:t>
            </w:r>
          </w:p>
        </w:tc>
      </w:tr>
      <w:tr>
        <w:trPr/>
        <w:tc>
          <w:tcPr>
            <w:tcW w:w="803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909"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2024</w:t>
            </w:r>
          </w:p>
        </w:tc>
        <w:tc>
          <w:tcPr>
            <w:tcW w:w="110" w:type="dxa"/>
            <w:tcBorders/>
            <w:vAlign w:val="center"/>
          </w:tcPr>
          <w:p>
            <w:pPr>
              <w:pStyle w:val="TableContents"/>
              <w:bidi w:val="0"/>
              <w:spacing w:before="0" w:after="283"/>
              <w:ind w:left="0" w:right="0" w:hanging="180"/>
              <w:jc w:val="left"/>
              <w:rPr/>
            </w:pPr>
            <w:r>
              <w:rPr/>
              <w:t> </w:t>
            </w:r>
          </w:p>
        </w:tc>
      </w:tr>
      <w:tr>
        <w:trPr/>
        <w:tc>
          <w:tcPr>
            <w:tcW w:w="8030" w:type="dxa"/>
            <w:tcBorders/>
            <w:vAlign w:val="center"/>
          </w:tcPr>
          <w:p>
            <w:pPr>
              <w:pStyle w:val="TableContents"/>
              <w:bidi w:val="0"/>
              <w:spacing w:before="0" w:after="283"/>
              <w:jc w:val="left"/>
              <w:rPr>
                <w:b/>
              </w:rPr>
            </w:pPr>
            <w:r>
              <w:rPr>
                <w:b/>
              </w:rPr>
              <w:t>Cash flows from operating activities:</w:t>
            </w:r>
          </w:p>
        </w:tc>
        <w:tc>
          <w:tcPr>
            <w:tcW w:w="60" w:type="dxa"/>
            <w:tcBorders/>
            <w:vAlign w:val="center"/>
          </w:tcPr>
          <w:p>
            <w:pPr>
              <w:pStyle w:val="TableContents"/>
              <w:bidi w:val="0"/>
              <w:spacing w:before="0" w:after="283"/>
              <w:jc w:val="left"/>
              <w:rPr/>
            </w:pPr>
            <w:r>
              <w:rPr/>
              <w:t> </w:t>
            </w:r>
          </w:p>
        </w:tc>
        <w:tc>
          <w:tcPr>
            <w:tcW w:w="1909" w:type="dxa"/>
            <w:gridSpan w:val="2"/>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ind w:left="0" w:right="0" w:hanging="180"/>
              <w:jc w:val="left"/>
              <w:rPr/>
            </w:pPr>
            <w:r>
              <w:rPr/>
              <w:t> </w:t>
            </w:r>
          </w:p>
        </w:tc>
      </w:tr>
      <w:tr>
        <w:trPr/>
        <w:tc>
          <w:tcPr>
            <w:tcW w:w="8030" w:type="dxa"/>
            <w:tcBorders/>
            <w:shd w:fill="CCEEFF" w:val="clear"/>
            <w:vAlign w:val="center"/>
          </w:tcPr>
          <w:p>
            <w:pPr>
              <w:pStyle w:val="TableContents"/>
              <w:bidi w:val="0"/>
              <w:spacing w:before="0" w:after="283"/>
              <w:jc w:val="left"/>
              <w:rPr/>
            </w:pPr>
            <w:r>
              <w:rPr/>
              <w:t>Net loss</w:t>
            </w:r>
          </w:p>
        </w:tc>
        <w:tc>
          <w:tcPr>
            <w:tcW w:w="60" w:type="dxa"/>
            <w:tcBorders/>
            <w:shd w:fill="CCEEFF" w:val="clear"/>
            <w:vAlign w:val="center"/>
          </w:tcPr>
          <w:p>
            <w:pPr>
              <w:pStyle w:val="TableContents"/>
              <w:bidi w:val="0"/>
              <w:spacing w:before="0" w:after="283"/>
              <w:jc w:val="left"/>
              <w:rPr/>
            </w:pPr>
            <w:r>
              <w:rPr/>
              <w:t> </w:t>
            </w:r>
          </w:p>
        </w:tc>
        <w:tc>
          <w:tcPr>
            <w:tcW w:w="223" w:type="dxa"/>
            <w:tcBorders/>
            <w:shd w:fill="CCEEFF" w:val="clear"/>
            <w:vAlign w:val="center"/>
          </w:tcPr>
          <w:p>
            <w:pPr>
              <w:pStyle w:val="TableContents"/>
              <w:bidi w:val="0"/>
              <w:spacing w:before="0" w:after="283"/>
              <w:jc w:val="left"/>
              <w:rPr/>
            </w:pPr>
            <w:r>
              <w:rPr/>
              <w:t>$</w:t>
            </w:r>
          </w:p>
        </w:tc>
        <w:tc>
          <w:tcPr>
            <w:tcW w:w="1686" w:type="dxa"/>
            <w:tcBorders/>
            <w:shd w:fill="CCEEFF" w:val="clear"/>
            <w:vAlign w:val="center"/>
          </w:tcPr>
          <w:p>
            <w:pPr>
              <w:pStyle w:val="TableContents"/>
              <w:bidi w:val="0"/>
              <w:spacing w:before="0" w:after="283"/>
              <w:jc w:val="right"/>
              <w:rPr/>
            </w:pPr>
            <w:r>
              <w:rPr/>
              <w:t>(6,253,051</w:t>
            </w:r>
          </w:p>
        </w:tc>
        <w:tc>
          <w:tcPr>
            <w:tcW w:w="110" w:type="dxa"/>
            <w:tcBorders/>
            <w:shd w:fill="CCEEFF" w:val="clear"/>
            <w:vAlign w:val="center"/>
          </w:tcPr>
          <w:p>
            <w:pPr>
              <w:pStyle w:val="TableContents"/>
              <w:bidi w:val="0"/>
              <w:spacing w:before="0" w:after="283"/>
              <w:ind w:left="0" w:right="0" w:hanging="180"/>
              <w:jc w:val="left"/>
              <w:rPr/>
            </w:pPr>
            <w:r>
              <w:rPr/>
              <w:t>)</w:t>
            </w:r>
          </w:p>
        </w:tc>
      </w:tr>
      <w:tr>
        <w:trPr/>
        <w:tc>
          <w:tcPr>
            <w:tcW w:w="8030" w:type="dxa"/>
            <w:tcBorders/>
            <w:shd w:fill="FFFFFF" w:val="clear"/>
            <w:vAlign w:val="center"/>
          </w:tcPr>
          <w:p>
            <w:pPr>
              <w:pStyle w:val="TableContents"/>
              <w:bidi w:val="0"/>
              <w:spacing w:before="0" w:after="283"/>
              <w:jc w:val="left"/>
              <w:rPr/>
            </w:pPr>
            <w:r>
              <w:rPr/>
              <w:t>Adjustments to reconcile net loss to net cash used in operating activities:</w:t>
            </w:r>
          </w:p>
        </w:tc>
        <w:tc>
          <w:tcPr>
            <w:tcW w:w="60" w:type="dxa"/>
            <w:tcBorders/>
            <w:shd w:fill="FFFFFF" w:val="clear"/>
            <w:vAlign w:val="center"/>
          </w:tcPr>
          <w:p>
            <w:pPr>
              <w:pStyle w:val="TableContents"/>
              <w:bidi w:val="0"/>
              <w:spacing w:before="0" w:after="283"/>
              <w:jc w:val="left"/>
              <w:rPr/>
            </w:pPr>
            <w:r>
              <w:rPr/>
              <w:t> </w:t>
            </w:r>
          </w:p>
        </w:tc>
        <w:tc>
          <w:tcPr>
            <w:tcW w:w="223" w:type="dxa"/>
            <w:tcBorders/>
            <w:shd w:fill="FFFFFF" w:val="clear"/>
            <w:vAlign w:val="center"/>
          </w:tcPr>
          <w:p>
            <w:pPr>
              <w:pStyle w:val="TableContents"/>
              <w:bidi w:val="0"/>
              <w:spacing w:before="0" w:after="283"/>
              <w:jc w:val="left"/>
              <w:rPr/>
            </w:pPr>
            <w:r>
              <w:rPr/>
              <w:t> </w:t>
            </w:r>
          </w:p>
        </w:tc>
        <w:tc>
          <w:tcPr>
            <w:tcW w:w="1686"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ind w:left="0" w:right="0" w:hanging="180"/>
              <w:jc w:val="left"/>
              <w:rPr/>
            </w:pPr>
            <w:r>
              <w:rPr/>
              <w:t> </w:t>
            </w:r>
          </w:p>
        </w:tc>
      </w:tr>
      <w:tr>
        <w:trPr/>
        <w:tc>
          <w:tcPr>
            <w:tcW w:w="8030" w:type="dxa"/>
            <w:tcBorders/>
            <w:shd w:fill="CCEEFF" w:val="clear"/>
            <w:vAlign w:val="center"/>
          </w:tcPr>
          <w:p>
            <w:pPr>
              <w:pStyle w:val="TableContents"/>
              <w:bidi w:val="0"/>
              <w:spacing w:before="0" w:after="283"/>
              <w:jc w:val="left"/>
              <w:rPr/>
            </w:pPr>
            <w:r>
              <w:rPr/>
              <w:t>Amortization of operating right-of-use assets</w:t>
            </w:r>
          </w:p>
        </w:tc>
        <w:tc>
          <w:tcPr>
            <w:tcW w:w="60" w:type="dxa"/>
            <w:tcBorders/>
            <w:shd w:fill="CCEEFF" w:val="clear"/>
            <w:vAlign w:val="center"/>
          </w:tcPr>
          <w:p>
            <w:pPr>
              <w:pStyle w:val="TableContents"/>
              <w:bidi w:val="0"/>
              <w:spacing w:before="0" w:after="283"/>
              <w:jc w:val="left"/>
              <w:rPr/>
            </w:pPr>
            <w:r>
              <w:rPr/>
              <w:t> </w:t>
            </w:r>
          </w:p>
        </w:tc>
        <w:tc>
          <w:tcPr>
            <w:tcW w:w="223" w:type="dxa"/>
            <w:tcBorders/>
            <w:shd w:fill="CCEEFF" w:val="clear"/>
            <w:vAlign w:val="center"/>
          </w:tcPr>
          <w:p>
            <w:pPr>
              <w:pStyle w:val="TableContents"/>
              <w:bidi w:val="0"/>
              <w:spacing w:before="0" w:after="283"/>
              <w:jc w:val="left"/>
              <w:rPr/>
            </w:pPr>
            <w:r>
              <w:rPr/>
              <w:t> </w:t>
            </w:r>
          </w:p>
        </w:tc>
        <w:tc>
          <w:tcPr>
            <w:tcW w:w="1686" w:type="dxa"/>
            <w:tcBorders/>
            <w:shd w:fill="CCEEFF" w:val="clear"/>
            <w:vAlign w:val="center"/>
          </w:tcPr>
          <w:p>
            <w:pPr>
              <w:pStyle w:val="TableContents"/>
              <w:bidi w:val="0"/>
              <w:spacing w:before="0" w:after="283"/>
              <w:jc w:val="right"/>
              <w:rPr/>
            </w:pPr>
            <w:r>
              <w:rPr/>
              <w:t>759,705</w:t>
            </w:r>
          </w:p>
        </w:tc>
        <w:tc>
          <w:tcPr>
            <w:tcW w:w="110" w:type="dxa"/>
            <w:tcBorders/>
            <w:shd w:fill="CCEEFF" w:val="clear"/>
            <w:vAlign w:val="center"/>
          </w:tcPr>
          <w:p>
            <w:pPr>
              <w:pStyle w:val="TableContents"/>
              <w:bidi w:val="0"/>
              <w:spacing w:before="0" w:after="283"/>
              <w:ind w:left="0" w:right="0" w:hanging="180"/>
              <w:jc w:val="left"/>
              <w:rPr/>
            </w:pPr>
            <w:r>
              <w:rPr/>
              <w:t> </w:t>
            </w:r>
          </w:p>
        </w:tc>
      </w:tr>
      <w:tr>
        <w:trPr/>
        <w:tc>
          <w:tcPr>
            <w:tcW w:w="8030" w:type="dxa"/>
            <w:tcBorders/>
            <w:shd w:fill="FFFFFF" w:val="clear"/>
            <w:vAlign w:val="center"/>
          </w:tcPr>
          <w:p>
            <w:pPr>
              <w:pStyle w:val="TableContents"/>
              <w:bidi w:val="0"/>
              <w:spacing w:before="0" w:after="283"/>
              <w:jc w:val="left"/>
              <w:rPr/>
            </w:pPr>
            <w:r>
              <w:rPr/>
              <w:t>Depreciation and amortization</w:t>
            </w:r>
          </w:p>
        </w:tc>
        <w:tc>
          <w:tcPr>
            <w:tcW w:w="60" w:type="dxa"/>
            <w:tcBorders/>
            <w:shd w:fill="FFFFFF" w:val="clear"/>
            <w:vAlign w:val="center"/>
          </w:tcPr>
          <w:p>
            <w:pPr>
              <w:pStyle w:val="TableContents"/>
              <w:bidi w:val="0"/>
              <w:spacing w:before="0" w:after="283"/>
              <w:jc w:val="left"/>
              <w:rPr/>
            </w:pPr>
            <w:r>
              <w:rPr/>
              <w:t> </w:t>
            </w:r>
          </w:p>
        </w:tc>
        <w:tc>
          <w:tcPr>
            <w:tcW w:w="223" w:type="dxa"/>
            <w:tcBorders/>
            <w:shd w:fill="FFFFFF" w:val="clear"/>
            <w:vAlign w:val="center"/>
          </w:tcPr>
          <w:p>
            <w:pPr>
              <w:pStyle w:val="TableContents"/>
              <w:bidi w:val="0"/>
              <w:spacing w:before="0" w:after="283"/>
              <w:jc w:val="left"/>
              <w:rPr/>
            </w:pPr>
            <w:r>
              <w:rPr/>
              <w:t> </w:t>
            </w:r>
          </w:p>
        </w:tc>
        <w:tc>
          <w:tcPr>
            <w:tcW w:w="1686" w:type="dxa"/>
            <w:tcBorders/>
            <w:shd w:fill="FFFFFF" w:val="clear"/>
            <w:vAlign w:val="center"/>
          </w:tcPr>
          <w:p>
            <w:pPr>
              <w:pStyle w:val="TableContents"/>
              <w:bidi w:val="0"/>
              <w:spacing w:before="0" w:after="283"/>
              <w:jc w:val="right"/>
              <w:rPr/>
            </w:pPr>
            <w:r>
              <w:rPr/>
              <w:t>401,665</w:t>
            </w:r>
          </w:p>
        </w:tc>
        <w:tc>
          <w:tcPr>
            <w:tcW w:w="110" w:type="dxa"/>
            <w:tcBorders/>
            <w:shd w:fill="FFFFFF" w:val="clear"/>
            <w:vAlign w:val="center"/>
          </w:tcPr>
          <w:p>
            <w:pPr>
              <w:pStyle w:val="TableContents"/>
              <w:bidi w:val="0"/>
              <w:spacing w:before="0" w:after="283"/>
              <w:ind w:left="0" w:right="0" w:hanging="180"/>
              <w:jc w:val="left"/>
              <w:rPr/>
            </w:pPr>
            <w:r>
              <w:rPr/>
              <w:t> </w:t>
            </w:r>
          </w:p>
        </w:tc>
      </w:tr>
      <w:tr>
        <w:trPr/>
        <w:tc>
          <w:tcPr>
            <w:tcW w:w="8030" w:type="dxa"/>
            <w:tcBorders/>
            <w:shd w:fill="CCEEFF" w:val="clear"/>
            <w:vAlign w:val="center"/>
          </w:tcPr>
          <w:p>
            <w:pPr>
              <w:pStyle w:val="TableContents"/>
              <w:bidi w:val="0"/>
              <w:spacing w:before="0" w:after="283"/>
              <w:jc w:val="left"/>
              <w:rPr/>
            </w:pPr>
            <w:r>
              <w:rPr/>
              <w:t>Changes in operating assets and liabilities</w:t>
            </w:r>
          </w:p>
        </w:tc>
        <w:tc>
          <w:tcPr>
            <w:tcW w:w="60" w:type="dxa"/>
            <w:tcBorders/>
            <w:shd w:fill="CCEEFF" w:val="clear"/>
            <w:vAlign w:val="center"/>
          </w:tcPr>
          <w:p>
            <w:pPr>
              <w:pStyle w:val="TableContents"/>
              <w:bidi w:val="0"/>
              <w:spacing w:before="0" w:after="283"/>
              <w:jc w:val="left"/>
              <w:rPr/>
            </w:pPr>
            <w:r>
              <w:rPr/>
              <w:t> </w:t>
            </w:r>
          </w:p>
        </w:tc>
        <w:tc>
          <w:tcPr>
            <w:tcW w:w="223" w:type="dxa"/>
            <w:tcBorders/>
            <w:shd w:fill="CCEEFF" w:val="clear"/>
            <w:vAlign w:val="center"/>
          </w:tcPr>
          <w:p>
            <w:pPr>
              <w:pStyle w:val="TableContents"/>
              <w:bidi w:val="0"/>
              <w:spacing w:before="0" w:after="283"/>
              <w:jc w:val="left"/>
              <w:rPr/>
            </w:pPr>
            <w:r>
              <w:rPr/>
              <w:t> </w:t>
            </w:r>
          </w:p>
        </w:tc>
        <w:tc>
          <w:tcPr>
            <w:tcW w:w="1686"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ind w:left="0" w:right="0" w:hanging="180"/>
              <w:jc w:val="left"/>
              <w:rPr/>
            </w:pPr>
            <w:r>
              <w:rPr/>
              <w:t> </w:t>
            </w:r>
          </w:p>
        </w:tc>
      </w:tr>
      <w:tr>
        <w:trPr/>
        <w:tc>
          <w:tcPr>
            <w:tcW w:w="8030" w:type="dxa"/>
            <w:tcBorders/>
            <w:shd w:fill="FFFFFF" w:val="clear"/>
            <w:vAlign w:val="center"/>
          </w:tcPr>
          <w:p>
            <w:pPr>
              <w:pStyle w:val="TableContents"/>
              <w:bidi w:val="0"/>
              <w:spacing w:before="0" w:after="283"/>
              <w:jc w:val="left"/>
              <w:rPr/>
            </w:pPr>
            <w:r>
              <w:rPr/>
              <w:t>Accounts receivable</w:t>
            </w:r>
          </w:p>
        </w:tc>
        <w:tc>
          <w:tcPr>
            <w:tcW w:w="60" w:type="dxa"/>
            <w:tcBorders/>
            <w:shd w:fill="FFFFFF" w:val="clear"/>
            <w:vAlign w:val="center"/>
          </w:tcPr>
          <w:p>
            <w:pPr>
              <w:pStyle w:val="TableContents"/>
              <w:bidi w:val="0"/>
              <w:spacing w:before="0" w:after="283"/>
              <w:jc w:val="left"/>
              <w:rPr/>
            </w:pPr>
            <w:r>
              <w:rPr/>
              <w:t> </w:t>
            </w:r>
          </w:p>
        </w:tc>
        <w:tc>
          <w:tcPr>
            <w:tcW w:w="223" w:type="dxa"/>
            <w:tcBorders/>
            <w:shd w:fill="FFFFFF" w:val="clear"/>
            <w:vAlign w:val="center"/>
          </w:tcPr>
          <w:p>
            <w:pPr>
              <w:pStyle w:val="TableContents"/>
              <w:bidi w:val="0"/>
              <w:spacing w:before="0" w:after="283"/>
              <w:jc w:val="left"/>
              <w:rPr/>
            </w:pPr>
            <w:r>
              <w:rPr/>
              <w:t> </w:t>
            </w:r>
          </w:p>
        </w:tc>
        <w:tc>
          <w:tcPr>
            <w:tcW w:w="1686" w:type="dxa"/>
            <w:tcBorders/>
            <w:shd w:fill="FFFFFF" w:val="clear"/>
            <w:vAlign w:val="center"/>
          </w:tcPr>
          <w:p>
            <w:pPr>
              <w:pStyle w:val="TableContents"/>
              <w:bidi w:val="0"/>
              <w:spacing w:before="0" w:after="283"/>
              <w:jc w:val="right"/>
              <w:rPr/>
            </w:pPr>
            <w:r>
              <w:rPr/>
              <w:t>(854,494</w:t>
            </w:r>
          </w:p>
        </w:tc>
        <w:tc>
          <w:tcPr>
            <w:tcW w:w="110" w:type="dxa"/>
            <w:tcBorders/>
            <w:shd w:fill="FFFFFF" w:val="clear"/>
            <w:vAlign w:val="center"/>
          </w:tcPr>
          <w:p>
            <w:pPr>
              <w:pStyle w:val="TableContents"/>
              <w:bidi w:val="0"/>
              <w:spacing w:before="0" w:after="283"/>
              <w:ind w:left="0" w:right="0" w:hanging="180"/>
              <w:jc w:val="left"/>
              <w:rPr/>
            </w:pPr>
            <w:r>
              <w:rPr/>
              <w:t>)</w:t>
            </w:r>
          </w:p>
        </w:tc>
      </w:tr>
      <w:tr>
        <w:trPr/>
        <w:tc>
          <w:tcPr>
            <w:tcW w:w="8030" w:type="dxa"/>
            <w:tcBorders/>
            <w:shd w:fill="CCEEFF" w:val="clear"/>
            <w:vAlign w:val="center"/>
          </w:tcPr>
          <w:p>
            <w:pPr>
              <w:pStyle w:val="TableContents"/>
              <w:bidi w:val="0"/>
              <w:spacing w:before="0" w:after="283"/>
              <w:jc w:val="left"/>
              <w:rPr/>
            </w:pPr>
            <w:r>
              <w:rPr/>
              <w:t>Contract assets - unbilled revenues</w:t>
            </w:r>
          </w:p>
        </w:tc>
        <w:tc>
          <w:tcPr>
            <w:tcW w:w="60" w:type="dxa"/>
            <w:tcBorders/>
            <w:shd w:fill="CCEEFF" w:val="clear"/>
            <w:vAlign w:val="center"/>
          </w:tcPr>
          <w:p>
            <w:pPr>
              <w:pStyle w:val="TableContents"/>
              <w:bidi w:val="0"/>
              <w:spacing w:before="0" w:after="283"/>
              <w:jc w:val="left"/>
              <w:rPr/>
            </w:pPr>
            <w:r>
              <w:rPr/>
              <w:t> </w:t>
            </w:r>
          </w:p>
        </w:tc>
        <w:tc>
          <w:tcPr>
            <w:tcW w:w="223" w:type="dxa"/>
            <w:tcBorders/>
            <w:shd w:fill="CCEEFF" w:val="clear"/>
            <w:vAlign w:val="center"/>
          </w:tcPr>
          <w:p>
            <w:pPr>
              <w:pStyle w:val="TableContents"/>
              <w:bidi w:val="0"/>
              <w:spacing w:before="0" w:after="283"/>
              <w:jc w:val="left"/>
              <w:rPr/>
            </w:pPr>
            <w:r>
              <w:rPr/>
              <w:t> </w:t>
            </w:r>
          </w:p>
        </w:tc>
        <w:tc>
          <w:tcPr>
            <w:tcW w:w="1686" w:type="dxa"/>
            <w:tcBorders/>
            <w:shd w:fill="CCEEFF" w:val="clear"/>
            <w:vAlign w:val="center"/>
          </w:tcPr>
          <w:p>
            <w:pPr>
              <w:pStyle w:val="TableContents"/>
              <w:bidi w:val="0"/>
              <w:spacing w:before="0" w:after="283"/>
              <w:jc w:val="right"/>
              <w:rPr/>
            </w:pPr>
            <w:r>
              <w:rPr/>
              <w:t>(685,328</w:t>
            </w:r>
          </w:p>
        </w:tc>
        <w:tc>
          <w:tcPr>
            <w:tcW w:w="110" w:type="dxa"/>
            <w:tcBorders/>
            <w:shd w:fill="CCEEFF" w:val="clear"/>
            <w:vAlign w:val="center"/>
          </w:tcPr>
          <w:p>
            <w:pPr>
              <w:pStyle w:val="TableContents"/>
              <w:bidi w:val="0"/>
              <w:spacing w:before="0" w:after="283"/>
              <w:ind w:left="0" w:right="0" w:hanging="180"/>
              <w:jc w:val="left"/>
              <w:rPr/>
            </w:pPr>
            <w:r>
              <w:rPr/>
              <w:t>)</w:t>
            </w:r>
          </w:p>
        </w:tc>
      </w:tr>
      <w:tr>
        <w:trPr/>
        <w:tc>
          <w:tcPr>
            <w:tcW w:w="8030" w:type="dxa"/>
            <w:tcBorders/>
            <w:shd w:fill="FFFFFF" w:val="clear"/>
            <w:vAlign w:val="center"/>
          </w:tcPr>
          <w:p>
            <w:pPr>
              <w:pStyle w:val="TableContents"/>
              <w:bidi w:val="0"/>
              <w:spacing w:before="0" w:after="283"/>
              <w:jc w:val="left"/>
              <w:rPr/>
            </w:pPr>
            <w:r>
              <w:rPr/>
              <w:t>Other receivables</w:t>
            </w:r>
          </w:p>
        </w:tc>
        <w:tc>
          <w:tcPr>
            <w:tcW w:w="60" w:type="dxa"/>
            <w:tcBorders/>
            <w:shd w:fill="FFFFFF" w:val="clear"/>
            <w:vAlign w:val="center"/>
          </w:tcPr>
          <w:p>
            <w:pPr>
              <w:pStyle w:val="TableContents"/>
              <w:bidi w:val="0"/>
              <w:spacing w:before="0" w:after="283"/>
              <w:jc w:val="left"/>
              <w:rPr/>
            </w:pPr>
            <w:r>
              <w:rPr/>
              <w:t> </w:t>
            </w:r>
          </w:p>
        </w:tc>
        <w:tc>
          <w:tcPr>
            <w:tcW w:w="223" w:type="dxa"/>
            <w:tcBorders/>
            <w:shd w:fill="FFFFFF" w:val="clear"/>
            <w:vAlign w:val="center"/>
          </w:tcPr>
          <w:p>
            <w:pPr>
              <w:pStyle w:val="TableContents"/>
              <w:bidi w:val="0"/>
              <w:spacing w:before="0" w:after="283"/>
              <w:jc w:val="left"/>
              <w:rPr/>
            </w:pPr>
            <w:r>
              <w:rPr/>
              <w:t> </w:t>
            </w:r>
          </w:p>
        </w:tc>
        <w:tc>
          <w:tcPr>
            <w:tcW w:w="1686" w:type="dxa"/>
            <w:tcBorders/>
            <w:shd w:fill="FFFFFF" w:val="clear"/>
            <w:vAlign w:val="center"/>
          </w:tcPr>
          <w:p>
            <w:pPr>
              <w:pStyle w:val="TableContents"/>
              <w:bidi w:val="0"/>
              <w:spacing w:before="0" w:after="283"/>
              <w:jc w:val="right"/>
              <w:rPr/>
            </w:pPr>
            <w:r>
              <w:rPr/>
              <w:t>(70,215</w:t>
            </w:r>
          </w:p>
        </w:tc>
        <w:tc>
          <w:tcPr>
            <w:tcW w:w="110" w:type="dxa"/>
            <w:tcBorders/>
            <w:shd w:fill="FFFFFF" w:val="clear"/>
            <w:vAlign w:val="center"/>
          </w:tcPr>
          <w:p>
            <w:pPr>
              <w:pStyle w:val="TableContents"/>
              <w:bidi w:val="0"/>
              <w:spacing w:before="0" w:after="283"/>
              <w:ind w:left="0" w:right="0" w:hanging="180"/>
              <w:jc w:val="left"/>
              <w:rPr/>
            </w:pPr>
            <w:r>
              <w:rPr/>
              <w:t>)</w:t>
            </w:r>
          </w:p>
        </w:tc>
      </w:tr>
      <w:tr>
        <w:trPr/>
        <w:tc>
          <w:tcPr>
            <w:tcW w:w="8030" w:type="dxa"/>
            <w:tcBorders/>
            <w:shd w:fill="CCEEFF" w:val="clear"/>
            <w:vAlign w:val="center"/>
          </w:tcPr>
          <w:p>
            <w:pPr>
              <w:pStyle w:val="TableContents"/>
              <w:bidi w:val="0"/>
              <w:spacing w:before="0" w:after="283"/>
              <w:jc w:val="left"/>
              <w:rPr/>
            </w:pPr>
            <w:r>
              <w:rPr/>
              <w:t>Sales commissions receivable</w:t>
            </w:r>
          </w:p>
        </w:tc>
        <w:tc>
          <w:tcPr>
            <w:tcW w:w="60" w:type="dxa"/>
            <w:tcBorders/>
            <w:shd w:fill="CCEEFF" w:val="clear"/>
            <w:vAlign w:val="center"/>
          </w:tcPr>
          <w:p>
            <w:pPr>
              <w:pStyle w:val="TableContents"/>
              <w:bidi w:val="0"/>
              <w:spacing w:before="0" w:after="283"/>
              <w:jc w:val="left"/>
              <w:rPr/>
            </w:pPr>
            <w:r>
              <w:rPr/>
              <w:t> </w:t>
            </w:r>
          </w:p>
        </w:tc>
        <w:tc>
          <w:tcPr>
            <w:tcW w:w="223" w:type="dxa"/>
            <w:tcBorders/>
            <w:shd w:fill="CCEEFF" w:val="clear"/>
            <w:vAlign w:val="center"/>
          </w:tcPr>
          <w:p>
            <w:pPr>
              <w:pStyle w:val="TableContents"/>
              <w:bidi w:val="0"/>
              <w:spacing w:before="0" w:after="283"/>
              <w:jc w:val="left"/>
              <w:rPr/>
            </w:pPr>
            <w:r>
              <w:rPr/>
              <w:t> </w:t>
            </w:r>
          </w:p>
        </w:tc>
        <w:tc>
          <w:tcPr>
            <w:tcW w:w="1686" w:type="dxa"/>
            <w:tcBorders/>
            <w:shd w:fill="CCEEFF" w:val="clear"/>
            <w:vAlign w:val="center"/>
          </w:tcPr>
          <w:p>
            <w:pPr>
              <w:pStyle w:val="TableContents"/>
              <w:bidi w:val="0"/>
              <w:spacing w:before="0" w:after="283"/>
              <w:jc w:val="right"/>
              <w:rPr/>
            </w:pPr>
            <w:r>
              <w:rPr/>
              <w:t>143,272</w:t>
            </w:r>
          </w:p>
        </w:tc>
        <w:tc>
          <w:tcPr>
            <w:tcW w:w="110" w:type="dxa"/>
            <w:tcBorders/>
            <w:shd w:fill="CCEEFF" w:val="clear"/>
            <w:vAlign w:val="center"/>
          </w:tcPr>
          <w:p>
            <w:pPr>
              <w:pStyle w:val="TableContents"/>
              <w:bidi w:val="0"/>
              <w:spacing w:before="0" w:after="283"/>
              <w:ind w:left="0" w:right="0" w:hanging="180"/>
              <w:jc w:val="left"/>
              <w:rPr/>
            </w:pPr>
            <w:r>
              <w:rPr/>
              <w:t> </w:t>
            </w:r>
          </w:p>
        </w:tc>
      </w:tr>
      <w:tr>
        <w:trPr/>
        <w:tc>
          <w:tcPr>
            <w:tcW w:w="8030" w:type="dxa"/>
            <w:tcBorders/>
            <w:shd w:fill="FFFFFF" w:val="clear"/>
            <w:vAlign w:val="center"/>
          </w:tcPr>
          <w:p>
            <w:pPr>
              <w:pStyle w:val="TableContents"/>
              <w:bidi w:val="0"/>
              <w:spacing w:before="0" w:after="283"/>
              <w:jc w:val="left"/>
              <w:rPr/>
            </w:pPr>
            <w:r>
              <w:rPr/>
              <w:t>Inventories</w:t>
            </w:r>
          </w:p>
        </w:tc>
        <w:tc>
          <w:tcPr>
            <w:tcW w:w="60" w:type="dxa"/>
            <w:tcBorders/>
            <w:shd w:fill="FFFFFF" w:val="clear"/>
            <w:vAlign w:val="center"/>
          </w:tcPr>
          <w:p>
            <w:pPr>
              <w:pStyle w:val="TableContents"/>
              <w:bidi w:val="0"/>
              <w:spacing w:before="0" w:after="283"/>
              <w:jc w:val="left"/>
              <w:rPr/>
            </w:pPr>
            <w:r>
              <w:rPr/>
              <w:t> </w:t>
            </w:r>
          </w:p>
        </w:tc>
        <w:tc>
          <w:tcPr>
            <w:tcW w:w="223" w:type="dxa"/>
            <w:tcBorders/>
            <w:shd w:fill="FFFFFF" w:val="clear"/>
            <w:vAlign w:val="center"/>
          </w:tcPr>
          <w:p>
            <w:pPr>
              <w:pStyle w:val="TableContents"/>
              <w:bidi w:val="0"/>
              <w:spacing w:before="0" w:after="283"/>
              <w:jc w:val="left"/>
              <w:rPr/>
            </w:pPr>
            <w:r>
              <w:rPr/>
              <w:t> </w:t>
            </w:r>
          </w:p>
        </w:tc>
        <w:tc>
          <w:tcPr>
            <w:tcW w:w="1686" w:type="dxa"/>
            <w:tcBorders/>
            <w:shd w:fill="FFFFFF" w:val="clear"/>
            <w:vAlign w:val="center"/>
          </w:tcPr>
          <w:p>
            <w:pPr>
              <w:pStyle w:val="TableContents"/>
              <w:bidi w:val="0"/>
              <w:spacing w:before="0" w:after="283"/>
              <w:jc w:val="right"/>
              <w:rPr/>
            </w:pPr>
            <w:r>
              <w:rPr/>
              <w:t>74,447</w:t>
            </w:r>
          </w:p>
        </w:tc>
        <w:tc>
          <w:tcPr>
            <w:tcW w:w="110" w:type="dxa"/>
            <w:tcBorders/>
            <w:shd w:fill="FFFFFF" w:val="clear"/>
            <w:vAlign w:val="center"/>
          </w:tcPr>
          <w:p>
            <w:pPr>
              <w:pStyle w:val="TableContents"/>
              <w:bidi w:val="0"/>
              <w:spacing w:before="0" w:after="283"/>
              <w:ind w:left="0" w:right="0" w:hanging="180"/>
              <w:jc w:val="left"/>
              <w:rPr/>
            </w:pPr>
            <w:r>
              <w:rPr/>
              <w:t> </w:t>
            </w:r>
          </w:p>
        </w:tc>
      </w:tr>
      <w:tr>
        <w:trPr/>
        <w:tc>
          <w:tcPr>
            <w:tcW w:w="8030" w:type="dxa"/>
            <w:tcBorders/>
            <w:shd w:fill="CCEEFF" w:val="clear"/>
            <w:vAlign w:val="center"/>
          </w:tcPr>
          <w:p>
            <w:pPr>
              <w:pStyle w:val="TableContents"/>
              <w:bidi w:val="0"/>
              <w:spacing w:before="0" w:after="283"/>
              <w:jc w:val="left"/>
              <w:rPr/>
            </w:pPr>
            <w:r>
              <w:rPr/>
              <w:t>Deferred costs and commissions</w:t>
            </w:r>
          </w:p>
        </w:tc>
        <w:tc>
          <w:tcPr>
            <w:tcW w:w="60" w:type="dxa"/>
            <w:tcBorders/>
            <w:shd w:fill="CCEEFF" w:val="clear"/>
            <w:vAlign w:val="center"/>
          </w:tcPr>
          <w:p>
            <w:pPr>
              <w:pStyle w:val="TableContents"/>
              <w:bidi w:val="0"/>
              <w:spacing w:before="0" w:after="283"/>
              <w:jc w:val="left"/>
              <w:rPr/>
            </w:pPr>
            <w:r>
              <w:rPr/>
              <w:t> </w:t>
            </w:r>
          </w:p>
        </w:tc>
        <w:tc>
          <w:tcPr>
            <w:tcW w:w="223" w:type="dxa"/>
            <w:tcBorders/>
            <w:shd w:fill="CCEEFF" w:val="clear"/>
            <w:vAlign w:val="center"/>
          </w:tcPr>
          <w:p>
            <w:pPr>
              <w:pStyle w:val="TableContents"/>
              <w:bidi w:val="0"/>
              <w:spacing w:before="0" w:after="283"/>
              <w:jc w:val="left"/>
              <w:rPr/>
            </w:pPr>
            <w:r>
              <w:rPr/>
              <w:t> </w:t>
            </w:r>
          </w:p>
        </w:tc>
        <w:tc>
          <w:tcPr>
            <w:tcW w:w="1686" w:type="dxa"/>
            <w:tcBorders/>
            <w:shd w:fill="CCEEFF" w:val="clear"/>
            <w:vAlign w:val="center"/>
          </w:tcPr>
          <w:p>
            <w:pPr>
              <w:pStyle w:val="TableContents"/>
              <w:bidi w:val="0"/>
              <w:spacing w:before="0" w:after="283"/>
              <w:jc w:val="right"/>
              <w:rPr/>
            </w:pPr>
            <w:r>
              <w:rPr/>
              <w:t>(701,857</w:t>
            </w:r>
          </w:p>
        </w:tc>
        <w:tc>
          <w:tcPr>
            <w:tcW w:w="110" w:type="dxa"/>
            <w:tcBorders/>
            <w:shd w:fill="CCEEFF" w:val="clear"/>
            <w:vAlign w:val="center"/>
          </w:tcPr>
          <w:p>
            <w:pPr>
              <w:pStyle w:val="TableContents"/>
              <w:bidi w:val="0"/>
              <w:spacing w:before="0" w:after="283"/>
              <w:ind w:left="0" w:right="0" w:hanging="180"/>
              <w:jc w:val="left"/>
              <w:rPr/>
            </w:pPr>
            <w:r>
              <w:rPr/>
              <w:t>)</w:t>
            </w:r>
          </w:p>
        </w:tc>
      </w:tr>
      <w:tr>
        <w:trPr/>
        <w:tc>
          <w:tcPr>
            <w:tcW w:w="8030" w:type="dxa"/>
            <w:tcBorders/>
            <w:shd w:fill="FFFFFF" w:val="clear"/>
            <w:vAlign w:val="center"/>
          </w:tcPr>
          <w:p>
            <w:pPr>
              <w:pStyle w:val="TableContents"/>
              <w:bidi w:val="0"/>
              <w:spacing w:before="0" w:after="283"/>
              <w:jc w:val="left"/>
              <w:rPr/>
            </w:pPr>
            <w:r>
              <w:rPr/>
              <w:t>Prepaid expenses and other assets</w:t>
            </w:r>
          </w:p>
        </w:tc>
        <w:tc>
          <w:tcPr>
            <w:tcW w:w="60" w:type="dxa"/>
            <w:tcBorders/>
            <w:shd w:fill="FFFFFF" w:val="clear"/>
            <w:vAlign w:val="center"/>
          </w:tcPr>
          <w:p>
            <w:pPr>
              <w:pStyle w:val="TableContents"/>
              <w:bidi w:val="0"/>
              <w:spacing w:before="0" w:after="283"/>
              <w:jc w:val="left"/>
              <w:rPr/>
            </w:pPr>
            <w:r>
              <w:rPr/>
              <w:t> </w:t>
            </w:r>
          </w:p>
        </w:tc>
        <w:tc>
          <w:tcPr>
            <w:tcW w:w="223" w:type="dxa"/>
            <w:tcBorders/>
            <w:shd w:fill="FFFFFF" w:val="clear"/>
            <w:vAlign w:val="center"/>
          </w:tcPr>
          <w:p>
            <w:pPr>
              <w:pStyle w:val="TableContents"/>
              <w:bidi w:val="0"/>
              <w:spacing w:before="0" w:after="283"/>
              <w:jc w:val="left"/>
              <w:rPr/>
            </w:pPr>
            <w:r>
              <w:rPr/>
              <w:t> </w:t>
            </w:r>
          </w:p>
        </w:tc>
        <w:tc>
          <w:tcPr>
            <w:tcW w:w="1686" w:type="dxa"/>
            <w:tcBorders/>
            <w:shd w:fill="FFFFFF" w:val="clear"/>
            <w:vAlign w:val="center"/>
          </w:tcPr>
          <w:p>
            <w:pPr>
              <w:pStyle w:val="TableContents"/>
              <w:bidi w:val="0"/>
              <w:spacing w:before="0" w:after="283"/>
              <w:jc w:val="right"/>
              <w:rPr/>
            </w:pPr>
            <w:r>
              <w:rPr/>
              <w:t>(323,190</w:t>
            </w:r>
          </w:p>
        </w:tc>
        <w:tc>
          <w:tcPr>
            <w:tcW w:w="110" w:type="dxa"/>
            <w:tcBorders/>
            <w:shd w:fill="FFFFFF" w:val="clear"/>
            <w:vAlign w:val="center"/>
          </w:tcPr>
          <w:p>
            <w:pPr>
              <w:pStyle w:val="TableContents"/>
              <w:bidi w:val="0"/>
              <w:spacing w:before="0" w:after="283"/>
              <w:ind w:left="0" w:right="0" w:hanging="180"/>
              <w:jc w:val="left"/>
              <w:rPr/>
            </w:pPr>
            <w:r>
              <w:rPr/>
              <w:t>)</w:t>
            </w:r>
          </w:p>
        </w:tc>
      </w:tr>
      <w:tr>
        <w:trPr/>
        <w:tc>
          <w:tcPr>
            <w:tcW w:w="8030" w:type="dxa"/>
            <w:tcBorders/>
            <w:shd w:fill="CCEEFF" w:val="clear"/>
            <w:vAlign w:val="center"/>
          </w:tcPr>
          <w:p>
            <w:pPr>
              <w:pStyle w:val="TableContents"/>
              <w:bidi w:val="0"/>
              <w:spacing w:before="0" w:after="283"/>
              <w:jc w:val="left"/>
              <w:rPr/>
            </w:pPr>
            <w:r>
              <w:rPr/>
              <w:t>Deposits</w:t>
            </w:r>
          </w:p>
        </w:tc>
        <w:tc>
          <w:tcPr>
            <w:tcW w:w="60" w:type="dxa"/>
            <w:tcBorders/>
            <w:shd w:fill="CCEEFF" w:val="clear"/>
            <w:vAlign w:val="center"/>
          </w:tcPr>
          <w:p>
            <w:pPr>
              <w:pStyle w:val="TableContents"/>
              <w:bidi w:val="0"/>
              <w:spacing w:before="0" w:after="283"/>
              <w:jc w:val="left"/>
              <w:rPr/>
            </w:pPr>
            <w:r>
              <w:rPr/>
              <w:t> </w:t>
            </w:r>
          </w:p>
        </w:tc>
        <w:tc>
          <w:tcPr>
            <w:tcW w:w="223" w:type="dxa"/>
            <w:tcBorders/>
            <w:shd w:fill="CCEEFF" w:val="clear"/>
            <w:vAlign w:val="center"/>
          </w:tcPr>
          <w:p>
            <w:pPr>
              <w:pStyle w:val="TableContents"/>
              <w:bidi w:val="0"/>
              <w:spacing w:before="0" w:after="283"/>
              <w:jc w:val="left"/>
              <w:rPr/>
            </w:pPr>
            <w:r>
              <w:rPr/>
              <w:t> </w:t>
            </w:r>
          </w:p>
        </w:tc>
        <w:tc>
          <w:tcPr>
            <w:tcW w:w="1686" w:type="dxa"/>
            <w:tcBorders/>
            <w:shd w:fill="CCEEFF" w:val="clear"/>
            <w:vAlign w:val="center"/>
          </w:tcPr>
          <w:p>
            <w:pPr>
              <w:pStyle w:val="TableContents"/>
              <w:bidi w:val="0"/>
              <w:spacing w:before="0" w:after="283"/>
              <w:jc w:val="right"/>
              <w:rPr/>
            </w:pPr>
            <w:r>
              <w:rPr/>
              <w:t>(14,304</w:t>
            </w:r>
          </w:p>
        </w:tc>
        <w:tc>
          <w:tcPr>
            <w:tcW w:w="110" w:type="dxa"/>
            <w:tcBorders/>
            <w:shd w:fill="CCEEFF" w:val="clear"/>
            <w:vAlign w:val="center"/>
          </w:tcPr>
          <w:p>
            <w:pPr>
              <w:pStyle w:val="TableContents"/>
              <w:bidi w:val="0"/>
              <w:spacing w:before="0" w:after="283"/>
              <w:ind w:left="0" w:right="0" w:hanging="180"/>
              <w:jc w:val="left"/>
              <w:rPr/>
            </w:pPr>
            <w:r>
              <w:rPr/>
              <w:t>)</w:t>
            </w:r>
          </w:p>
        </w:tc>
      </w:tr>
      <w:tr>
        <w:trPr/>
        <w:tc>
          <w:tcPr>
            <w:tcW w:w="8030" w:type="dxa"/>
            <w:tcBorders/>
            <w:shd w:fill="FFFFFF" w:val="clear"/>
            <w:vAlign w:val="center"/>
          </w:tcPr>
          <w:p>
            <w:pPr>
              <w:pStyle w:val="TableContents"/>
              <w:bidi w:val="0"/>
              <w:spacing w:before="0" w:after="283"/>
              <w:jc w:val="left"/>
              <w:rPr/>
            </w:pPr>
            <w:r>
              <w:rPr/>
              <w:t>Accounts payable</w:t>
            </w:r>
          </w:p>
        </w:tc>
        <w:tc>
          <w:tcPr>
            <w:tcW w:w="60" w:type="dxa"/>
            <w:tcBorders/>
            <w:shd w:fill="FFFFFF" w:val="clear"/>
            <w:vAlign w:val="center"/>
          </w:tcPr>
          <w:p>
            <w:pPr>
              <w:pStyle w:val="TableContents"/>
              <w:bidi w:val="0"/>
              <w:spacing w:before="0" w:after="283"/>
              <w:jc w:val="left"/>
              <w:rPr/>
            </w:pPr>
            <w:r>
              <w:rPr/>
              <w:t> </w:t>
            </w:r>
          </w:p>
        </w:tc>
        <w:tc>
          <w:tcPr>
            <w:tcW w:w="223" w:type="dxa"/>
            <w:tcBorders/>
            <w:shd w:fill="FFFFFF" w:val="clear"/>
            <w:vAlign w:val="center"/>
          </w:tcPr>
          <w:p>
            <w:pPr>
              <w:pStyle w:val="TableContents"/>
              <w:bidi w:val="0"/>
              <w:spacing w:before="0" w:after="283"/>
              <w:jc w:val="left"/>
              <w:rPr/>
            </w:pPr>
            <w:r>
              <w:rPr/>
              <w:t> </w:t>
            </w:r>
          </w:p>
        </w:tc>
        <w:tc>
          <w:tcPr>
            <w:tcW w:w="1686" w:type="dxa"/>
            <w:tcBorders/>
            <w:shd w:fill="FFFFFF" w:val="clear"/>
            <w:vAlign w:val="center"/>
          </w:tcPr>
          <w:p>
            <w:pPr>
              <w:pStyle w:val="TableContents"/>
              <w:bidi w:val="0"/>
              <w:spacing w:before="0" w:after="283"/>
              <w:jc w:val="right"/>
              <w:rPr/>
            </w:pPr>
            <w:r>
              <w:rPr/>
              <w:t>696,549</w:t>
            </w:r>
          </w:p>
        </w:tc>
        <w:tc>
          <w:tcPr>
            <w:tcW w:w="110" w:type="dxa"/>
            <w:tcBorders/>
            <w:shd w:fill="FFFFFF" w:val="clear"/>
            <w:vAlign w:val="center"/>
          </w:tcPr>
          <w:p>
            <w:pPr>
              <w:pStyle w:val="TableContents"/>
              <w:bidi w:val="0"/>
              <w:spacing w:before="0" w:after="283"/>
              <w:ind w:left="0" w:right="0" w:hanging="180"/>
              <w:jc w:val="left"/>
              <w:rPr/>
            </w:pPr>
            <w:r>
              <w:rPr/>
              <w:t> </w:t>
            </w:r>
          </w:p>
        </w:tc>
      </w:tr>
      <w:tr>
        <w:trPr/>
        <w:tc>
          <w:tcPr>
            <w:tcW w:w="8030" w:type="dxa"/>
            <w:tcBorders/>
            <w:shd w:fill="CCEEFF" w:val="clear"/>
            <w:vAlign w:val="center"/>
          </w:tcPr>
          <w:p>
            <w:pPr>
              <w:pStyle w:val="TableContents"/>
              <w:bidi w:val="0"/>
              <w:spacing w:before="0" w:after="283"/>
              <w:jc w:val="left"/>
              <w:rPr/>
            </w:pPr>
            <w:r>
              <w:rPr/>
              <w:t>Accrued expenses</w:t>
            </w:r>
          </w:p>
        </w:tc>
        <w:tc>
          <w:tcPr>
            <w:tcW w:w="60" w:type="dxa"/>
            <w:tcBorders/>
            <w:shd w:fill="CCEEFF" w:val="clear"/>
            <w:vAlign w:val="center"/>
          </w:tcPr>
          <w:p>
            <w:pPr>
              <w:pStyle w:val="TableContents"/>
              <w:bidi w:val="0"/>
              <w:spacing w:before="0" w:after="283"/>
              <w:jc w:val="left"/>
              <w:rPr/>
            </w:pPr>
            <w:r>
              <w:rPr/>
              <w:t> </w:t>
            </w:r>
          </w:p>
        </w:tc>
        <w:tc>
          <w:tcPr>
            <w:tcW w:w="223" w:type="dxa"/>
            <w:tcBorders/>
            <w:shd w:fill="CCEEFF" w:val="clear"/>
            <w:vAlign w:val="center"/>
          </w:tcPr>
          <w:p>
            <w:pPr>
              <w:pStyle w:val="TableContents"/>
              <w:bidi w:val="0"/>
              <w:spacing w:before="0" w:after="283"/>
              <w:jc w:val="left"/>
              <w:rPr/>
            </w:pPr>
            <w:r>
              <w:rPr/>
              <w:t> </w:t>
            </w:r>
          </w:p>
        </w:tc>
        <w:tc>
          <w:tcPr>
            <w:tcW w:w="1686" w:type="dxa"/>
            <w:tcBorders/>
            <w:shd w:fill="CCEEFF" w:val="clear"/>
            <w:vAlign w:val="center"/>
          </w:tcPr>
          <w:p>
            <w:pPr>
              <w:pStyle w:val="TableContents"/>
              <w:bidi w:val="0"/>
              <w:spacing w:before="0" w:after="283"/>
              <w:jc w:val="right"/>
              <w:rPr/>
            </w:pPr>
            <w:r>
              <w:rPr/>
              <w:t>2,009,806</w:t>
            </w:r>
          </w:p>
        </w:tc>
        <w:tc>
          <w:tcPr>
            <w:tcW w:w="110" w:type="dxa"/>
            <w:tcBorders/>
            <w:shd w:fill="CCEEFF" w:val="clear"/>
            <w:vAlign w:val="center"/>
          </w:tcPr>
          <w:p>
            <w:pPr>
              <w:pStyle w:val="TableContents"/>
              <w:bidi w:val="0"/>
              <w:spacing w:before="0" w:after="283"/>
              <w:ind w:left="0" w:right="0" w:hanging="180"/>
              <w:jc w:val="left"/>
              <w:rPr/>
            </w:pPr>
            <w:r>
              <w:rPr/>
              <w:t> </w:t>
            </w:r>
          </w:p>
        </w:tc>
      </w:tr>
      <w:tr>
        <w:trPr/>
        <w:tc>
          <w:tcPr>
            <w:tcW w:w="8030" w:type="dxa"/>
            <w:tcBorders/>
            <w:shd w:fill="FFFFFF" w:val="clear"/>
            <w:vAlign w:val="center"/>
          </w:tcPr>
          <w:p>
            <w:pPr>
              <w:pStyle w:val="TableContents"/>
              <w:bidi w:val="0"/>
              <w:spacing w:before="0" w:after="283"/>
              <w:jc w:val="left"/>
              <w:rPr/>
            </w:pPr>
            <w:r>
              <w:rPr/>
              <w:t>Accrued commissions</w:t>
            </w:r>
          </w:p>
        </w:tc>
        <w:tc>
          <w:tcPr>
            <w:tcW w:w="60" w:type="dxa"/>
            <w:tcBorders/>
            <w:shd w:fill="FFFFFF" w:val="clear"/>
            <w:vAlign w:val="center"/>
          </w:tcPr>
          <w:p>
            <w:pPr>
              <w:pStyle w:val="TableContents"/>
              <w:bidi w:val="0"/>
              <w:spacing w:before="0" w:after="283"/>
              <w:jc w:val="left"/>
              <w:rPr/>
            </w:pPr>
            <w:r>
              <w:rPr/>
              <w:t> </w:t>
            </w:r>
          </w:p>
        </w:tc>
        <w:tc>
          <w:tcPr>
            <w:tcW w:w="223" w:type="dxa"/>
            <w:tcBorders/>
            <w:shd w:fill="FFFFFF" w:val="clear"/>
            <w:vAlign w:val="center"/>
          </w:tcPr>
          <w:p>
            <w:pPr>
              <w:pStyle w:val="TableContents"/>
              <w:bidi w:val="0"/>
              <w:spacing w:before="0" w:after="283"/>
              <w:jc w:val="left"/>
              <w:rPr/>
            </w:pPr>
            <w:r>
              <w:rPr/>
              <w:t> </w:t>
            </w:r>
          </w:p>
        </w:tc>
        <w:tc>
          <w:tcPr>
            <w:tcW w:w="1686" w:type="dxa"/>
            <w:tcBorders/>
            <w:shd w:fill="FFFFFF" w:val="clear"/>
            <w:vAlign w:val="center"/>
          </w:tcPr>
          <w:p>
            <w:pPr>
              <w:pStyle w:val="TableContents"/>
              <w:bidi w:val="0"/>
              <w:spacing w:before="0" w:after="283"/>
              <w:jc w:val="right"/>
              <w:rPr/>
            </w:pPr>
            <w:r>
              <w:rPr/>
              <w:t>180,114</w:t>
            </w:r>
          </w:p>
        </w:tc>
        <w:tc>
          <w:tcPr>
            <w:tcW w:w="110" w:type="dxa"/>
            <w:tcBorders/>
            <w:shd w:fill="FFFFFF" w:val="clear"/>
            <w:vAlign w:val="center"/>
          </w:tcPr>
          <w:p>
            <w:pPr>
              <w:pStyle w:val="TableContents"/>
              <w:bidi w:val="0"/>
              <w:spacing w:before="0" w:after="283"/>
              <w:ind w:left="0" w:right="0" w:hanging="180"/>
              <w:jc w:val="left"/>
              <w:rPr/>
            </w:pPr>
            <w:r>
              <w:rPr/>
              <w:t> </w:t>
            </w:r>
          </w:p>
        </w:tc>
      </w:tr>
      <w:tr>
        <w:trPr/>
        <w:tc>
          <w:tcPr>
            <w:tcW w:w="8030" w:type="dxa"/>
            <w:tcBorders/>
            <w:shd w:fill="CCEEFF" w:val="clear"/>
            <w:vAlign w:val="center"/>
          </w:tcPr>
          <w:p>
            <w:pPr>
              <w:pStyle w:val="TableContents"/>
              <w:bidi w:val="0"/>
              <w:spacing w:before="0" w:after="283"/>
              <w:jc w:val="left"/>
              <w:rPr/>
            </w:pPr>
            <w:r>
              <w:rPr/>
              <w:t>Related-party accounts payable</w:t>
            </w:r>
          </w:p>
        </w:tc>
        <w:tc>
          <w:tcPr>
            <w:tcW w:w="60" w:type="dxa"/>
            <w:tcBorders/>
            <w:shd w:fill="CCEEFF" w:val="clear"/>
            <w:vAlign w:val="center"/>
          </w:tcPr>
          <w:p>
            <w:pPr>
              <w:pStyle w:val="TableContents"/>
              <w:bidi w:val="0"/>
              <w:spacing w:before="0" w:after="283"/>
              <w:jc w:val="left"/>
              <w:rPr/>
            </w:pPr>
            <w:r>
              <w:rPr/>
              <w:t> </w:t>
            </w:r>
          </w:p>
        </w:tc>
        <w:tc>
          <w:tcPr>
            <w:tcW w:w="223" w:type="dxa"/>
            <w:tcBorders/>
            <w:shd w:fill="CCEEFF" w:val="clear"/>
            <w:vAlign w:val="center"/>
          </w:tcPr>
          <w:p>
            <w:pPr>
              <w:pStyle w:val="TableContents"/>
              <w:bidi w:val="0"/>
              <w:spacing w:before="0" w:after="283"/>
              <w:jc w:val="left"/>
              <w:rPr/>
            </w:pPr>
            <w:r>
              <w:rPr/>
              <w:t> </w:t>
            </w:r>
          </w:p>
        </w:tc>
        <w:tc>
          <w:tcPr>
            <w:tcW w:w="1686" w:type="dxa"/>
            <w:tcBorders/>
            <w:shd w:fill="CCEEFF" w:val="clear"/>
            <w:vAlign w:val="center"/>
          </w:tcPr>
          <w:p>
            <w:pPr>
              <w:pStyle w:val="TableContents"/>
              <w:bidi w:val="0"/>
              <w:spacing w:before="0" w:after="283"/>
              <w:jc w:val="right"/>
              <w:rPr/>
            </w:pPr>
            <w:r>
              <w:rPr/>
              <w:t>89,561</w:t>
            </w:r>
          </w:p>
        </w:tc>
        <w:tc>
          <w:tcPr>
            <w:tcW w:w="110" w:type="dxa"/>
            <w:tcBorders/>
            <w:shd w:fill="CCEEFF" w:val="clear"/>
            <w:vAlign w:val="center"/>
          </w:tcPr>
          <w:p>
            <w:pPr>
              <w:pStyle w:val="TableContents"/>
              <w:bidi w:val="0"/>
              <w:spacing w:before="0" w:after="283"/>
              <w:ind w:left="0" w:right="0" w:hanging="180"/>
              <w:jc w:val="left"/>
              <w:rPr/>
            </w:pPr>
            <w:r>
              <w:rPr/>
              <w:t> </w:t>
            </w:r>
          </w:p>
        </w:tc>
      </w:tr>
      <w:tr>
        <w:trPr/>
        <w:tc>
          <w:tcPr>
            <w:tcW w:w="8030" w:type="dxa"/>
            <w:tcBorders/>
            <w:shd w:fill="FFFFFF" w:val="clear"/>
            <w:vAlign w:val="center"/>
          </w:tcPr>
          <w:p>
            <w:pPr>
              <w:pStyle w:val="TableContents"/>
              <w:bidi w:val="0"/>
              <w:spacing w:before="0" w:after="283"/>
              <w:jc w:val="left"/>
              <w:rPr/>
            </w:pPr>
            <w:r>
              <w:rPr/>
              <w:t>Deferred revenue</w:t>
            </w:r>
          </w:p>
        </w:tc>
        <w:tc>
          <w:tcPr>
            <w:tcW w:w="60" w:type="dxa"/>
            <w:tcBorders/>
            <w:shd w:fill="FFFFFF" w:val="clear"/>
            <w:vAlign w:val="center"/>
          </w:tcPr>
          <w:p>
            <w:pPr>
              <w:pStyle w:val="TableContents"/>
              <w:bidi w:val="0"/>
              <w:spacing w:before="0" w:after="283"/>
              <w:jc w:val="left"/>
              <w:rPr/>
            </w:pPr>
            <w:r>
              <w:rPr/>
              <w:t> </w:t>
            </w:r>
          </w:p>
        </w:tc>
        <w:tc>
          <w:tcPr>
            <w:tcW w:w="223" w:type="dxa"/>
            <w:tcBorders/>
            <w:shd w:fill="FFFFFF" w:val="clear"/>
            <w:vAlign w:val="center"/>
          </w:tcPr>
          <w:p>
            <w:pPr>
              <w:pStyle w:val="TableContents"/>
              <w:bidi w:val="0"/>
              <w:spacing w:before="0" w:after="283"/>
              <w:jc w:val="left"/>
              <w:rPr/>
            </w:pPr>
            <w:r>
              <w:rPr/>
              <w:t> </w:t>
            </w:r>
          </w:p>
        </w:tc>
        <w:tc>
          <w:tcPr>
            <w:tcW w:w="1686" w:type="dxa"/>
            <w:tcBorders/>
            <w:shd w:fill="FFFFFF" w:val="clear"/>
            <w:vAlign w:val="center"/>
          </w:tcPr>
          <w:p>
            <w:pPr>
              <w:pStyle w:val="TableContents"/>
              <w:bidi w:val="0"/>
              <w:spacing w:before="0" w:after="283"/>
              <w:jc w:val="right"/>
              <w:rPr/>
            </w:pPr>
            <w:r>
              <w:rPr/>
              <w:t>(1,076,155</w:t>
            </w:r>
          </w:p>
        </w:tc>
        <w:tc>
          <w:tcPr>
            <w:tcW w:w="110" w:type="dxa"/>
            <w:tcBorders/>
            <w:shd w:fill="FFFFFF" w:val="clear"/>
            <w:vAlign w:val="center"/>
          </w:tcPr>
          <w:p>
            <w:pPr>
              <w:pStyle w:val="TableContents"/>
              <w:bidi w:val="0"/>
              <w:spacing w:before="0" w:after="283"/>
              <w:ind w:left="0" w:right="0" w:hanging="180"/>
              <w:jc w:val="left"/>
              <w:rPr/>
            </w:pPr>
            <w:r>
              <w:rPr/>
              <w:t>)</w:t>
            </w:r>
          </w:p>
        </w:tc>
      </w:tr>
      <w:tr>
        <w:trPr/>
        <w:tc>
          <w:tcPr>
            <w:tcW w:w="8030" w:type="dxa"/>
            <w:tcBorders/>
            <w:shd w:fill="CCEEFF" w:val="clear"/>
            <w:vAlign w:val="center"/>
          </w:tcPr>
          <w:p>
            <w:pPr>
              <w:pStyle w:val="TableContents"/>
              <w:bidi w:val="0"/>
              <w:spacing w:before="0" w:after="283"/>
              <w:jc w:val="left"/>
              <w:rPr/>
            </w:pPr>
            <w:r>
              <w:rPr/>
              <w:t>Operating lease liabilities</w:t>
            </w:r>
          </w:p>
        </w:tc>
        <w:tc>
          <w:tcPr>
            <w:tcW w:w="60" w:type="dxa"/>
            <w:tcBorders/>
            <w:shd w:fill="CCEEFF" w:val="clear"/>
            <w:vAlign w:val="center"/>
          </w:tcPr>
          <w:p>
            <w:pPr>
              <w:pStyle w:val="TableContents"/>
              <w:bidi w:val="0"/>
              <w:spacing w:before="0" w:after="283"/>
              <w:jc w:val="left"/>
              <w:rPr/>
            </w:pPr>
            <w:r>
              <w:rPr/>
              <w:t> </w:t>
            </w:r>
          </w:p>
        </w:tc>
        <w:tc>
          <w:tcPr>
            <w:tcW w:w="223"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686" w:type="dxa"/>
            <w:tcBorders>
              <w:bottom w:val="single" w:sz="12" w:space="0" w:color="000000"/>
            </w:tcBorders>
            <w:shd w:fill="CCEEFF" w:val="clear"/>
            <w:tcMar>
              <w:bottom w:w="28" w:type="dxa"/>
            </w:tcMar>
            <w:vAlign w:val="center"/>
          </w:tcPr>
          <w:p>
            <w:pPr>
              <w:pStyle w:val="TableContents"/>
              <w:bidi w:val="0"/>
              <w:spacing w:before="0" w:after="283"/>
              <w:jc w:val="right"/>
              <w:rPr/>
            </w:pPr>
            <w:r>
              <w:rPr/>
              <w:t>(698,091</w:t>
            </w:r>
          </w:p>
        </w:tc>
        <w:tc>
          <w:tcPr>
            <w:tcW w:w="110" w:type="dxa"/>
            <w:tcBorders/>
            <w:shd w:fill="CCEEFF" w:val="clear"/>
            <w:vAlign w:val="center"/>
          </w:tcPr>
          <w:p>
            <w:pPr>
              <w:pStyle w:val="TableContents"/>
              <w:bidi w:val="0"/>
              <w:spacing w:before="0" w:after="283"/>
              <w:ind w:left="0" w:right="0" w:hanging="180"/>
              <w:jc w:val="left"/>
              <w:rPr/>
            </w:pPr>
            <w:r>
              <w:rPr/>
              <w:t>)</w:t>
            </w:r>
          </w:p>
        </w:tc>
      </w:tr>
      <w:tr>
        <w:trPr/>
        <w:tc>
          <w:tcPr>
            <w:tcW w:w="8030" w:type="dxa"/>
            <w:tcBorders/>
            <w:shd w:fill="FFFFFF" w:val="clear"/>
            <w:vAlign w:val="center"/>
          </w:tcPr>
          <w:p>
            <w:pPr>
              <w:pStyle w:val="TableContents"/>
              <w:bidi w:val="0"/>
              <w:spacing w:before="0" w:after="283"/>
              <w:jc w:val="left"/>
              <w:rPr/>
            </w:pPr>
            <w:r>
              <w:rPr/>
              <w:t>Net cash used in operating activities</w:t>
            </w:r>
          </w:p>
        </w:tc>
        <w:tc>
          <w:tcPr>
            <w:tcW w:w="60" w:type="dxa"/>
            <w:tcBorders/>
            <w:shd w:fill="FFFFFF" w:val="clear"/>
            <w:vAlign w:val="center"/>
          </w:tcPr>
          <w:p>
            <w:pPr>
              <w:pStyle w:val="TableContents"/>
              <w:bidi w:val="0"/>
              <w:spacing w:before="0" w:after="283"/>
              <w:jc w:val="left"/>
              <w:rPr/>
            </w:pPr>
            <w:r>
              <w:rPr/>
              <w:t> </w:t>
            </w:r>
          </w:p>
        </w:tc>
        <w:tc>
          <w:tcPr>
            <w:tcW w:w="223"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686" w:type="dxa"/>
            <w:tcBorders>
              <w:bottom w:val="single" w:sz="12" w:space="0" w:color="000000"/>
            </w:tcBorders>
            <w:shd w:fill="FFFFFF" w:val="clear"/>
            <w:tcMar>
              <w:bottom w:w="28" w:type="dxa"/>
            </w:tcMar>
            <w:vAlign w:val="center"/>
          </w:tcPr>
          <w:p>
            <w:pPr>
              <w:pStyle w:val="TableContents"/>
              <w:bidi w:val="0"/>
              <w:spacing w:before="0" w:after="283"/>
              <w:jc w:val="right"/>
              <w:rPr/>
            </w:pPr>
            <w:r>
              <w:rPr/>
              <w:t>(6,321,566</w:t>
            </w:r>
          </w:p>
        </w:tc>
        <w:tc>
          <w:tcPr>
            <w:tcW w:w="110" w:type="dxa"/>
            <w:tcBorders/>
            <w:shd w:fill="FFFFFF" w:val="clear"/>
            <w:vAlign w:val="center"/>
          </w:tcPr>
          <w:p>
            <w:pPr>
              <w:pStyle w:val="TableContents"/>
              <w:bidi w:val="0"/>
              <w:spacing w:before="0" w:after="283"/>
              <w:ind w:left="0" w:right="0" w:hanging="180"/>
              <w:jc w:val="left"/>
              <w:rPr/>
            </w:pPr>
            <w:r>
              <w:rPr/>
              <w:t>)</w:t>
            </w:r>
          </w:p>
        </w:tc>
      </w:tr>
      <w:tr>
        <w:trPr/>
        <w:tc>
          <w:tcPr>
            <w:tcW w:w="8030" w:type="dxa"/>
            <w:tcBorders/>
            <w:shd w:fill="CCEEFF" w:val="clear"/>
            <w:vAlign w:val="center"/>
          </w:tcPr>
          <w:p>
            <w:pPr>
              <w:pStyle w:val="TableContents"/>
              <w:bidi w:val="0"/>
              <w:spacing w:before="0" w:after="283"/>
              <w:jc w:val="left"/>
              <w:rPr>
                <w:b/>
              </w:rPr>
            </w:pPr>
            <w:r>
              <w:rPr>
                <w:b/>
              </w:rPr>
              <w:t>Cash flows from investing activities:</w:t>
            </w:r>
          </w:p>
        </w:tc>
        <w:tc>
          <w:tcPr>
            <w:tcW w:w="60" w:type="dxa"/>
            <w:tcBorders/>
            <w:shd w:fill="CCEEFF" w:val="clear"/>
            <w:vAlign w:val="center"/>
          </w:tcPr>
          <w:p>
            <w:pPr>
              <w:pStyle w:val="TableContents"/>
              <w:bidi w:val="0"/>
              <w:spacing w:before="0" w:after="283"/>
              <w:jc w:val="left"/>
              <w:rPr/>
            </w:pPr>
            <w:r>
              <w:rPr/>
              <w:t> </w:t>
            </w:r>
          </w:p>
        </w:tc>
        <w:tc>
          <w:tcPr>
            <w:tcW w:w="223" w:type="dxa"/>
            <w:tcBorders/>
            <w:shd w:fill="CCEEFF" w:val="clear"/>
            <w:vAlign w:val="center"/>
          </w:tcPr>
          <w:p>
            <w:pPr>
              <w:pStyle w:val="TableContents"/>
              <w:bidi w:val="0"/>
              <w:spacing w:before="0" w:after="283"/>
              <w:jc w:val="left"/>
              <w:rPr/>
            </w:pPr>
            <w:r>
              <w:rPr/>
              <w:t> </w:t>
            </w:r>
          </w:p>
        </w:tc>
        <w:tc>
          <w:tcPr>
            <w:tcW w:w="1686"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ind w:left="0" w:right="0" w:hanging="180"/>
              <w:jc w:val="left"/>
              <w:rPr/>
            </w:pPr>
            <w:r>
              <w:rPr/>
              <w:t> </w:t>
            </w:r>
          </w:p>
        </w:tc>
      </w:tr>
      <w:tr>
        <w:trPr/>
        <w:tc>
          <w:tcPr>
            <w:tcW w:w="8030" w:type="dxa"/>
            <w:tcBorders/>
            <w:shd w:fill="FFFFFF" w:val="clear"/>
            <w:vAlign w:val="center"/>
          </w:tcPr>
          <w:p>
            <w:pPr>
              <w:pStyle w:val="TableContents"/>
              <w:bidi w:val="0"/>
              <w:spacing w:before="0" w:after="283"/>
              <w:jc w:val="left"/>
              <w:rPr/>
            </w:pPr>
            <w:r>
              <w:rPr/>
              <w:t>Purchase of property and equipment</w:t>
            </w:r>
          </w:p>
        </w:tc>
        <w:tc>
          <w:tcPr>
            <w:tcW w:w="60" w:type="dxa"/>
            <w:tcBorders/>
            <w:shd w:fill="FFFFFF" w:val="clear"/>
            <w:vAlign w:val="center"/>
          </w:tcPr>
          <w:p>
            <w:pPr>
              <w:pStyle w:val="TableContents"/>
              <w:bidi w:val="0"/>
              <w:spacing w:before="0" w:after="283"/>
              <w:jc w:val="left"/>
              <w:rPr/>
            </w:pPr>
            <w:r>
              <w:rPr/>
              <w:t> </w:t>
            </w:r>
          </w:p>
        </w:tc>
        <w:tc>
          <w:tcPr>
            <w:tcW w:w="223"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686" w:type="dxa"/>
            <w:tcBorders>
              <w:bottom w:val="single" w:sz="12" w:space="0" w:color="000000"/>
            </w:tcBorders>
            <w:shd w:fill="FFFFFF" w:val="clear"/>
            <w:tcMar>
              <w:bottom w:w="28" w:type="dxa"/>
            </w:tcMar>
            <w:vAlign w:val="center"/>
          </w:tcPr>
          <w:p>
            <w:pPr>
              <w:pStyle w:val="TableContents"/>
              <w:bidi w:val="0"/>
              <w:spacing w:before="0" w:after="283"/>
              <w:jc w:val="right"/>
              <w:rPr/>
            </w:pPr>
            <w:r>
              <w:rPr/>
              <w:t>(335,303</w:t>
            </w:r>
          </w:p>
        </w:tc>
        <w:tc>
          <w:tcPr>
            <w:tcW w:w="110" w:type="dxa"/>
            <w:tcBorders/>
            <w:shd w:fill="FFFFFF" w:val="clear"/>
            <w:vAlign w:val="center"/>
          </w:tcPr>
          <w:p>
            <w:pPr>
              <w:pStyle w:val="TableContents"/>
              <w:bidi w:val="0"/>
              <w:spacing w:before="0" w:after="283"/>
              <w:ind w:left="0" w:right="0" w:hanging="180"/>
              <w:jc w:val="left"/>
              <w:rPr/>
            </w:pPr>
            <w:r>
              <w:rPr/>
              <w:t>)</w:t>
            </w:r>
          </w:p>
        </w:tc>
      </w:tr>
      <w:tr>
        <w:trPr/>
        <w:tc>
          <w:tcPr>
            <w:tcW w:w="8030" w:type="dxa"/>
            <w:tcBorders/>
            <w:shd w:fill="CCEEFF" w:val="clear"/>
            <w:vAlign w:val="center"/>
          </w:tcPr>
          <w:p>
            <w:pPr>
              <w:pStyle w:val="TableContents"/>
              <w:bidi w:val="0"/>
              <w:spacing w:before="0" w:after="283"/>
              <w:jc w:val="left"/>
              <w:rPr>
                <w:b/>
              </w:rPr>
            </w:pPr>
            <w:r>
              <w:rPr>
                <w:b/>
              </w:rPr>
              <w:t>Cash flows from financing activities:</w:t>
            </w:r>
          </w:p>
        </w:tc>
        <w:tc>
          <w:tcPr>
            <w:tcW w:w="60" w:type="dxa"/>
            <w:tcBorders/>
            <w:shd w:fill="CCEEFF" w:val="clear"/>
            <w:vAlign w:val="center"/>
          </w:tcPr>
          <w:p>
            <w:pPr>
              <w:pStyle w:val="TableContents"/>
              <w:bidi w:val="0"/>
              <w:spacing w:before="0" w:after="283"/>
              <w:jc w:val="left"/>
              <w:rPr/>
            </w:pPr>
            <w:r>
              <w:rPr/>
              <w:t> </w:t>
            </w:r>
          </w:p>
        </w:tc>
        <w:tc>
          <w:tcPr>
            <w:tcW w:w="223" w:type="dxa"/>
            <w:tcBorders/>
            <w:shd w:fill="CCEEFF" w:val="clear"/>
            <w:vAlign w:val="center"/>
          </w:tcPr>
          <w:p>
            <w:pPr>
              <w:pStyle w:val="TableContents"/>
              <w:bidi w:val="0"/>
              <w:spacing w:before="0" w:after="283"/>
              <w:jc w:val="left"/>
              <w:rPr/>
            </w:pPr>
            <w:r>
              <w:rPr/>
              <w:t> </w:t>
            </w:r>
          </w:p>
        </w:tc>
        <w:tc>
          <w:tcPr>
            <w:tcW w:w="1686"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ind w:left="0" w:right="0" w:hanging="180"/>
              <w:jc w:val="left"/>
              <w:rPr/>
            </w:pPr>
            <w:r>
              <w:rPr/>
              <w:t> </w:t>
            </w:r>
          </w:p>
        </w:tc>
      </w:tr>
      <w:tr>
        <w:trPr/>
        <w:tc>
          <w:tcPr>
            <w:tcW w:w="8030" w:type="dxa"/>
            <w:tcBorders/>
            <w:shd w:fill="FFFFFF" w:val="clear"/>
            <w:vAlign w:val="center"/>
          </w:tcPr>
          <w:p>
            <w:pPr>
              <w:pStyle w:val="TableContents"/>
              <w:bidi w:val="0"/>
              <w:spacing w:before="0" w:after="283"/>
              <w:jc w:val="left"/>
              <w:rPr/>
            </w:pPr>
            <w:r>
              <w:rPr/>
              <w:t>Proceeds from related-party notes payable and revolving lines of credit</w:t>
            </w:r>
          </w:p>
        </w:tc>
        <w:tc>
          <w:tcPr>
            <w:tcW w:w="60" w:type="dxa"/>
            <w:tcBorders/>
            <w:shd w:fill="FFFFFF" w:val="clear"/>
            <w:vAlign w:val="center"/>
          </w:tcPr>
          <w:p>
            <w:pPr>
              <w:pStyle w:val="TableContents"/>
              <w:bidi w:val="0"/>
              <w:spacing w:before="0" w:after="283"/>
              <w:jc w:val="left"/>
              <w:rPr/>
            </w:pPr>
            <w:r>
              <w:rPr/>
              <w:t> </w:t>
            </w:r>
          </w:p>
        </w:tc>
        <w:tc>
          <w:tcPr>
            <w:tcW w:w="223" w:type="dxa"/>
            <w:tcBorders/>
            <w:shd w:fill="FFFFFF" w:val="clear"/>
            <w:vAlign w:val="center"/>
          </w:tcPr>
          <w:p>
            <w:pPr>
              <w:pStyle w:val="TableContents"/>
              <w:bidi w:val="0"/>
              <w:spacing w:before="0" w:after="283"/>
              <w:jc w:val="left"/>
              <w:rPr/>
            </w:pPr>
            <w:r>
              <w:rPr/>
              <w:t> </w:t>
            </w:r>
          </w:p>
        </w:tc>
        <w:tc>
          <w:tcPr>
            <w:tcW w:w="1686" w:type="dxa"/>
            <w:tcBorders/>
            <w:shd w:fill="FFFFFF" w:val="clear"/>
            <w:vAlign w:val="center"/>
          </w:tcPr>
          <w:p>
            <w:pPr>
              <w:pStyle w:val="TableContents"/>
              <w:bidi w:val="0"/>
              <w:spacing w:before="0" w:after="283"/>
              <w:jc w:val="right"/>
              <w:rPr/>
            </w:pPr>
            <w:r>
              <w:rPr/>
              <w:t>8,925,000</w:t>
            </w:r>
          </w:p>
        </w:tc>
        <w:tc>
          <w:tcPr>
            <w:tcW w:w="110" w:type="dxa"/>
            <w:tcBorders/>
            <w:shd w:fill="FFFFFF" w:val="clear"/>
            <w:vAlign w:val="center"/>
          </w:tcPr>
          <w:p>
            <w:pPr>
              <w:pStyle w:val="TableContents"/>
              <w:bidi w:val="0"/>
              <w:spacing w:before="0" w:after="283"/>
              <w:ind w:left="0" w:right="0" w:hanging="180"/>
              <w:jc w:val="left"/>
              <w:rPr/>
            </w:pPr>
            <w:r>
              <w:rPr/>
              <w:t> </w:t>
            </w:r>
          </w:p>
        </w:tc>
      </w:tr>
      <w:tr>
        <w:trPr/>
        <w:tc>
          <w:tcPr>
            <w:tcW w:w="8030" w:type="dxa"/>
            <w:tcBorders/>
            <w:shd w:fill="CCEEFF" w:val="clear"/>
            <w:vAlign w:val="center"/>
          </w:tcPr>
          <w:p>
            <w:pPr>
              <w:pStyle w:val="TableContents"/>
              <w:bidi w:val="0"/>
              <w:spacing w:before="0" w:after="283"/>
              <w:jc w:val="left"/>
              <w:rPr/>
            </w:pPr>
            <w:r>
              <w:rPr/>
              <w:t>Payments on related-party notes payable and revolving lines of credit</w:t>
            </w:r>
          </w:p>
        </w:tc>
        <w:tc>
          <w:tcPr>
            <w:tcW w:w="60" w:type="dxa"/>
            <w:tcBorders/>
            <w:shd w:fill="CCEEFF" w:val="clear"/>
            <w:vAlign w:val="center"/>
          </w:tcPr>
          <w:p>
            <w:pPr>
              <w:pStyle w:val="TableContents"/>
              <w:bidi w:val="0"/>
              <w:spacing w:before="0" w:after="283"/>
              <w:jc w:val="left"/>
              <w:rPr/>
            </w:pPr>
            <w:r>
              <w:rPr/>
              <w:t> </w:t>
            </w:r>
          </w:p>
        </w:tc>
        <w:tc>
          <w:tcPr>
            <w:tcW w:w="223" w:type="dxa"/>
            <w:tcBorders/>
            <w:shd w:fill="CCEEFF" w:val="clear"/>
            <w:vAlign w:val="center"/>
          </w:tcPr>
          <w:p>
            <w:pPr>
              <w:pStyle w:val="TableContents"/>
              <w:bidi w:val="0"/>
              <w:spacing w:before="0" w:after="283"/>
              <w:jc w:val="left"/>
              <w:rPr/>
            </w:pPr>
            <w:r>
              <w:rPr/>
              <w:t> </w:t>
            </w:r>
          </w:p>
        </w:tc>
        <w:tc>
          <w:tcPr>
            <w:tcW w:w="1686" w:type="dxa"/>
            <w:tcBorders/>
            <w:shd w:fill="CCEEFF" w:val="clear"/>
            <w:vAlign w:val="center"/>
          </w:tcPr>
          <w:p>
            <w:pPr>
              <w:pStyle w:val="TableContents"/>
              <w:bidi w:val="0"/>
              <w:spacing w:before="0" w:after="283"/>
              <w:jc w:val="right"/>
              <w:rPr/>
            </w:pPr>
            <w:r>
              <w:rPr/>
              <w:t>(3,305,747</w:t>
            </w:r>
          </w:p>
        </w:tc>
        <w:tc>
          <w:tcPr>
            <w:tcW w:w="110" w:type="dxa"/>
            <w:tcBorders/>
            <w:shd w:fill="CCEEFF" w:val="clear"/>
            <w:vAlign w:val="center"/>
          </w:tcPr>
          <w:p>
            <w:pPr>
              <w:pStyle w:val="TableContents"/>
              <w:bidi w:val="0"/>
              <w:spacing w:before="0" w:after="283"/>
              <w:ind w:left="0" w:right="0" w:hanging="180"/>
              <w:jc w:val="left"/>
              <w:rPr/>
            </w:pPr>
            <w:r>
              <w:rPr/>
              <w:t>)</w:t>
            </w:r>
          </w:p>
        </w:tc>
      </w:tr>
      <w:tr>
        <w:trPr/>
        <w:tc>
          <w:tcPr>
            <w:tcW w:w="8030" w:type="dxa"/>
            <w:tcBorders/>
            <w:shd w:fill="FFFFFF" w:val="clear"/>
            <w:vAlign w:val="center"/>
          </w:tcPr>
          <w:p>
            <w:pPr>
              <w:pStyle w:val="TableContents"/>
              <w:bidi w:val="0"/>
              <w:spacing w:before="0" w:after="283"/>
              <w:jc w:val="left"/>
              <w:rPr/>
            </w:pPr>
            <w:r>
              <w:rPr/>
              <w:t>Payments on finance lease liabilities</w:t>
            </w:r>
          </w:p>
        </w:tc>
        <w:tc>
          <w:tcPr>
            <w:tcW w:w="60" w:type="dxa"/>
            <w:tcBorders/>
            <w:shd w:fill="FFFFFF" w:val="clear"/>
            <w:vAlign w:val="center"/>
          </w:tcPr>
          <w:p>
            <w:pPr>
              <w:pStyle w:val="TableContents"/>
              <w:bidi w:val="0"/>
              <w:spacing w:before="0" w:after="283"/>
              <w:jc w:val="left"/>
              <w:rPr/>
            </w:pPr>
            <w:r>
              <w:rPr/>
              <w:t> </w:t>
            </w:r>
          </w:p>
        </w:tc>
        <w:tc>
          <w:tcPr>
            <w:tcW w:w="223" w:type="dxa"/>
            <w:tcBorders/>
            <w:shd w:fill="FFFFFF" w:val="clear"/>
            <w:vAlign w:val="center"/>
          </w:tcPr>
          <w:p>
            <w:pPr>
              <w:pStyle w:val="TableContents"/>
              <w:bidi w:val="0"/>
              <w:spacing w:before="0" w:after="283"/>
              <w:jc w:val="left"/>
              <w:rPr/>
            </w:pPr>
            <w:r>
              <w:rPr/>
              <w:t> </w:t>
            </w:r>
          </w:p>
        </w:tc>
        <w:tc>
          <w:tcPr>
            <w:tcW w:w="1686" w:type="dxa"/>
            <w:tcBorders/>
            <w:shd w:fill="FFFFFF" w:val="clear"/>
            <w:vAlign w:val="center"/>
          </w:tcPr>
          <w:p>
            <w:pPr>
              <w:pStyle w:val="TableContents"/>
              <w:bidi w:val="0"/>
              <w:spacing w:before="0" w:after="283"/>
              <w:jc w:val="right"/>
              <w:rPr/>
            </w:pPr>
            <w:r>
              <w:rPr/>
              <w:t>(530,918</w:t>
            </w:r>
          </w:p>
        </w:tc>
        <w:tc>
          <w:tcPr>
            <w:tcW w:w="110" w:type="dxa"/>
            <w:tcBorders/>
            <w:shd w:fill="FFFFFF" w:val="clear"/>
            <w:vAlign w:val="center"/>
          </w:tcPr>
          <w:p>
            <w:pPr>
              <w:pStyle w:val="TableContents"/>
              <w:bidi w:val="0"/>
              <w:spacing w:before="0" w:after="283"/>
              <w:ind w:left="0" w:right="0" w:hanging="180"/>
              <w:jc w:val="left"/>
              <w:rPr/>
            </w:pPr>
            <w:r>
              <w:rPr/>
              <w:t>)</w:t>
            </w:r>
          </w:p>
        </w:tc>
      </w:tr>
      <w:tr>
        <w:trPr/>
        <w:tc>
          <w:tcPr>
            <w:tcW w:w="8030" w:type="dxa"/>
            <w:tcBorders/>
            <w:shd w:fill="CCEEFF" w:val="clear"/>
            <w:vAlign w:val="center"/>
          </w:tcPr>
          <w:p>
            <w:pPr>
              <w:pStyle w:val="TableContents"/>
              <w:bidi w:val="0"/>
              <w:spacing w:before="0" w:after="283"/>
              <w:jc w:val="left"/>
              <w:rPr/>
            </w:pPr>
            <w:r>
              <w:rPr/>
              <w:t>Proceeds from members’ contribution</w:t>
            </w:r>
          </w:p>
        </w:tc>
        <w:tc>
          <w:tcPr>
            <w:tcW w:w="60" w:type="dxa"/>
            <w:tcBorders/>
            <w:shd w:fill="CCEEFF" w:val="clear"/>
            <w:vAlign w:val="center"/>
          </w:tcPr>
          <w:p>
            <w:pPr>
              <w:pStyle w:val="TableContents"/>
              <w:bidi w:val="0"/>
              <w:spacing w:before="0" w:after="283"/>
              <w:jc w:val="left"/>
              <w:rPr/>
            </w:pPr>
            <w:r>
              <w:rPr/>
              <w:t> </w:t>
            </w:r>
          </w:p>
        </w:tc>
        <w:tc>
          <w:tcPr>
            <w:tcW w:w="223"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686" w:type="dxa"/>
            <w:tcBorders>
              <w:bottom w:val="single" w:sz="12" w:space="0" w:color="000000"/>
            </w:tcBorders>
            <w:shd w:fill="CCEEFF" w:val="clear"/>
            <w:tcMar>
              <w:bottom w:w="28" w:type="dxa"/>
            </w:tcMar>
            <w:vAlign w:val="center"/>
          </w:tcPr>
          <w:p>
            <w:pPr>
              <w:pStyle w:val="TableContents"/>
              <w:bidi w:val="0"/>
              <w:spacing w:before="0" w:after="283"/>
              <w:jc w:val="right"/>
              <w:rPr/>
            </w:pPr>
            <w:r>
              <w:rPr/>
              <w:t>1,883,164</w:t>
            </w:r>
          </w:p>
        </w:tc>
        <w:tc>
          <w:tcPr>
            <w:tcW w:w="110" w:type="dxa"/>
            <w:tcBorders/>
            <w:shd w:fill="CCEEFF" w:val="clear"/>
            <w:vAlign w:val="center"/>
          </w:tcPr>
          <w:p>
            <w:pPr>
              <w:pStyle w:val="TableContents"/>
              <w:bidi w:val="0"/>
              <w:spacing w:before="0" w:after="283"/>
              <w:ind w:left="0" w:right="0" w:hanging="180"/>
              <w:jc w:val="left"/>
              <w:rPr/>
            </w:pPr>
            <w:r>
              <w:rPr/>
              <w:t> </w:t>
            </w:r>
          </w:p>
        </w:tc>
      </w:tr>
      <w:tr>
        <w:trPr/>
        <w:tc>
          <w:tcPr>
            <w:tcW w:w="8030" w:type="dxa"/>
            <w:tcBorders/>
            <w:shd w:fill="FFFFFF" w:val="clear"/>
            <w:vAlign w:val="center"/>
          </w:tcPr>
          <w:p>
            <w:pPr>
              <w:pStyle w:val="TableContents"/>
              <w:bidi w:val="0"/>
              <w:spacing w:before="0" w:after="283"/>
              <w:jc w:val="left"/>
              <w:rPr/>
            </w:pPr>
            <w:r>
              <w:rPr/>
              <w:t>Net cash provided by financing activities</w:t>
            </w:r>
          </w:p>
        </w:tc>
        <w:tc>
          <w:tcPr>
            <w:tcW w:w="60" w:type="dxa"/>
            <w:tcBorders/>
            <w:shd w:fill="FFFFFF" w:val="clear"/>
            <w:vAlign w:val="center"/>
          </w:tcPr>
          <w:p>
            <w:pPr>
              <w:pStyle w:val="TableContents"/>
              <w:bidi w:val="0"/>
              <w:spacing w:before="0" w:after="283"/>
              <w:jc w:val="left"/>
              <w:rPr/>
            </w:pPr>
            <w:r>
              <w:rPr/>
              <w:t> </w:t>
            </w:r>
          </w:p>
        </w:tc>
        <w:tc>
          <w:tcPr>
            <w:tcW w:w="223"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686" w:type="dxa"/>
            <w:tcBorders>
              <w:bottom w:val="single" w:sz="12" w:space="0" w:color="000000"/>
            </w:tcBorders>
            <w:shd w:fill="FFFFFF" w:val="clear"/>
            <w:tcMar>
              <w:bottom w:w="28" w:type="dxa"/>
            </w:tcMar>
            <w:vAlign w:val="center"/>
          </w:tcPr>
          <w:p>
            <w:pPr>
              <w:pStyle w:val="TableContents"/>
              <w:bidi w:val="0"/>
              <w:spacing w:before="0" w:after="283"/>
              <w:jc w:val="right"/>
              <w:rPr/>
            </w:pPr>
            <w:r>
              <w:rPr/>
              <w:t>6,971,499</w:t>
            </w:r>
          </w:p>
        </w:tc>
        <w:tc>
          <w:tcPr>
            <w:tcW w:w="110" w:type="dxa"/>
            <w:tcBorders/>
            <w:shd w:fill="FFFFFF" w:val="clear"/>
            <w:vAlign w:val="center"/>
          </w:tcPr>
          <w:p>
            <w:pPr>
              <w:pStyle w:val="TableContents"/>
              <w:bidi w:val="0"/>
              <w:spacing w:before="0" w:after="283"/>
              <w:ind w:left="0" w:right="0" w:hanging="180"/>
              <w:jc w:val="left"/>
              <w:rPr/>
            </w:pPr>
            <w:r>
              <w:rPr/>
              <w:t> </w:t>
            </w:r>
          </w:p>
        </w:tc>
      </w:tr>
      <w:tr>
        <w:trPr/>
        <w:tc>
          <w:tcPr>
            <w:tcW w:w="8030" w:type="dxa"/>
            <w:tcBorders/>
            <w:shd w:fill="CCEEFF" w:val="clear"/>
            <w:vAlign w:val="center"/>
          </w:tcPr>
          <w:p>
            <w:pPr>
              <w:pStyle w:val="TableContents"/>
              <w:bidi w:val="0"/>
              <w:spacing w:before="0" w:after="283"/>
              <w:jc w:val="left"/>
              <w:rPr/>
            </w:pPr>
            <w:r>
              <w:rPr/>
              <w:t>Net change in cash</w:t>
            </w:r>
          </w:p>
        </w:tc>
        <w:tc>
          <w:tcPr>
            <w:tcW w:w="60" w:type="dxa"/>
            <w:tcBorders/>
            <w:shd w:fill="CCEEFF" w:val="clear"/>
            <w:vAlign w:val="center"/>
          </w:tcPr>
          <w:p>
            <w:pPr>
              <w:pStyle w:val="TableContents"/>
              <w:bidi w:val="0"/>
              <w:spacing w:before="0" w:after="283"/>
              <w:jc w:val="left"/>
              <w:rPr/>
            </w:pPr>
            <w:r>
              <w:rPr/>
              <w:t> </w:t>
            </w:r>
          </w:p>
        </w:tc>
        <w:tc>
          <w:tcPr>
            <w:tcW w:w="223" w:type="dxa"/>
            <w:tcBorders/>
            <w:shd w:fill="CCEEFF" w:val="clear"/>
            <w:vAlign w:val="center"/>
          </w:tcPr>
          <w:p>
            <w:pPr>
              <w:pStyle w:val="TableContents"/>
              <w:bidi w:val="0"/>
              <w:spacing w:before="0" w:after="283"/>
              <w:jc w:val="left"/>
              <w:rPr/>
            </w:pPr>
            <w:r>
              <w:rPr/>
              <w:t> </w:t>
            </w:r>
          </w:p>
        </w:tc>
        <w:tc>
          <w:tcPr>
            <w:tcW w:w="1686" w:type="dxa"/>
            <w:tcBorders/>
            <w:shd w:fill="CCEEFF" w:val="clear"/>
            <w:vAlign w:val="center"/>
          </w:tcPr>
          <w:p>
            <w:pPr>
              <w:pStyle w:val="TableContents"/>
              <w:bidi w:val="0"/>
              <w:spacing w:before="0" w:after="283"/>
              <w:jc w:val="right"/>
              <w:rPr/>
            </w:pPr>
            <w:r>
              <w:rPr/>
              <w:t>314,630</w:t>
            </w:r>
          </w:p>
        </w:tc>
        <w:tc>
          <w:tcPr>
            <w:tcW w:w="110" w:type="dxa"/>
            <w:tcBorders/>
            <w:shd w:fill="CCEEFF" w:val="clear"/>
            <w:vAlign w:val="center"/>
          </w:tcPr>
          <w:p>
            <w:pPr>
              <w:pStyle w:val="TableContents"/>
              <w:bidi w:val="0"/>
              <w:spacing w:before="0" w:after="283"/>
              <w:ind w:left="0" w:right="0" w:hanging="180"/>
              <w:jc w:val="left"/>
              <w:rPr/>
            </w:pPr>
            <w:r>
              <w:rPr/>
              <w:t> </w:t>
            </w:r>
          </w:p>
        </w:tc>
      </w:tr>
      <w:tr>
        <w:trPr/>
        <w:tc>
          <w:tcPr>
            <w:tcW w:w="8030" w:type="dxa"/>
            <w:tcBorders/>
            <w:shd w:fill="FFFFFF" w:val="clear"/>
            <w:vAlign w:val="center"/>
          </w:tcPr>
          <w:p>
            <w:pPr>
              <w:pStyle w:val="TableContents"/>
              <w:bidi w:val="0"/>
              <w:spacing w:before="0" w:after="283"/>
              <w:jc w:val="left"/>
              <w:rPr/>
            </w:pPr>
            <w:r>
              <w:rPr/>
              <w:t>Cash at beginning of year</w:t>
            </w:r>
          </w:p>
        </w:tc>
        <w:tc>
          <w:tcPr>
            <w:tcW w:w="60" w:type="dxa"/>
            <w:tcBorders/>
            <w:shd w:fill="FFFFFF" w:val="clear"/>
            <w:vAlign w:val="center"/>
          </w:tcPr>
          <w:p>
            <w:pPr>
              <w:pStyle w:val="TableContents"/>
              <w:bidi w:val="0"/>
              <w:spacing w:before="0" w:after="283"/>
              <w:jc w:val="left"/>
              <w:rPr/>
            </w:pPr>
            <w:r>
              <w:rPr/>
              <w:t> </w:t>
            </w:r>
          </w:p>
        </w:tc>
        <w:tc>
          <w:tcPr>
            <w:tcW w:w="223"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686" w:type="dxa"/>
            <w:tcBorders>
              <w:bottom w:val="single" w:sz="12" w:space="0" w:color="000000"/>
            </w:tcBorders>
            <w:shd w:fill="FFFFFF" w:val="clear"/>
            <w:tcMar>
              <w:bottom w:w="28" w:type="dxa"/>
            </w:tcMar>
            <w:vAlign w:val="center"/>
          </w:tcPr>
          <w:p>
            <w:pPr>
              <w:pStyle w:val="TableContents"/>
              <w:bidi w:val="0"/>
              <w:spacing w:before="0" w:after="283"/>
              <w:jc w:val="right"/>
              <w:rPr/>
            </w:pPr>
            <w:r>
              <w:rPr/>
              <w:t>728,639</w:t>
            </w:r>
          </w:p>
        </w:tc>
        <w:tc>
          <w:tcPr>
            <w:tcW w:w="110" w:type="dxa"/>
            <w:tcBorders/>
            <w:shd w:fill="FFFFFF" w:val="clear"/>
            <w:vAlign w:val="center"/>
          </w:tcPr>
          <w:p>
            <w:pPr>
              <w:pStyle w:val="TableContents"/>
              <w:bidi w:val="0"/>
              <w:spacing w:before="0" w:after="283"/>
              <w:ind w:left="0" w:right="0" w:hanging="180"/>
              <w:jc w:val="left"/>
              <w:rPr/>
            </w:pPr>
            <w:r>
              <w:rPr/>
              <w:t> </w:t>
            </w:r>
          </w:p>
        </w:tc>
      </w:tr>
      <w:tr>
        <w:trPr/>
        <w:tc>
          <w:tcPr>
            <w:tcW w:w="8030" w:type="dxa"/>
            <w:tcBorders/>
            <w:shd w:fill="CCEEFF" w:val="clear"/>
            <w:vAlign w:val="center"/>
          </w:tcPr>
          <w:p>
            <w:pPr>
              <w:pStyle w:val="TableContents"/>
              <w:bidi w:val="0"/>
              <w:spacing w:before="0" w:after="283"/>
              <w:jc w:val="left"/>
              <w:rPr/>
            </w:pPr>
            <w:r>
              <w:rPr/>
              <w:t>Cash at end of year</w:t>
            </w:r>
          </w:p>
        </w:tc>
        <w:tc>
          <w:tcPr>
            <w:tcW w:w="60" w:type="dxa"/>
            <w:tcBorders/>
            <w:shd w:fill="CCEEFF" w:val="clear"/>
            <w:vAlign w:val="center"/>
          </w:tcPr>
          <w:p>
            <w:pPr>
              <w:pStyle w:val="TableContents"/>
              <w:bidi w:val="0"/>
              <w:spacing w:before="0" w:after="283"/>
              <w:jc w:val="left"/>
              <w:rPr/>
            </w:pPr>
            <w:r>
              <w:rPr/>
              <w:t> </w:t>
            </w:r>
          </w:p>
        </w:tc>
        <w:tc>
          <w:tcPr>
            <w:tcW w:w="223"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686" w:type="dxa"/>
            <w:tcBorders>
              <w:bottom w:val="double" w:sz="10" w:space="0" w:color="000000"/>
            </w:tcBorders>
            <w:shd w:fill="CCEEFF" w:val="clear"/>
            <w:tcMar>
              <w:bottom w:w="28" w:type="dxa"/>
            </w:tcMar>
            <w:vAlign w:val="center"/>
          </w:tcPr>
          <w:p>
            <w:pPr>
              <w:pStyle w:val="TableContents"/>
              <w:bidi w:val="0"/>
              <w:spacing w:before="0" w:after="283"/>
              <w:jc w:val="right"/>
              <w:rPr/>
            </w:pPr>
            <w:r>
              <w:rPr/>
              <w:t>1,043,269</w:t>
            </w:r>
          </w:p>
        </w:tc>
        <w:tc>
          <w:tcPr>
            <w:tcW w:w="110" w:type="dxa"/>
            <w:tcBorders/>
            <w:shd w:fill="CCEEFF" w:val="clear"/>
            <w:vAlign w:val="center"/>
          </w:tcPr>
          <w:p>
            <w:pPr>
              <w:pStyle w:val="TableContents"/>
              <w:bidi w:val="0"/>
              <w:spacing w:before="0" w:after="283"/>
              <w:ind w:left="0" w:right="0" w:hanging="180"/>
              <w:jc w:val="left"/>
              <w:rPr/>
            </w:pPr>
            <w:r>
              <w:rPr/>
              <w:t> </w:t>
            </w:r>
          </w:p>
        </w:tc>
      </w:tr>
      <w:tr>
        <w:trPr/>
        <w:tc>
          <w:tcPr>
            <w:tcW w:w="8030" w:type="dxa"/>
            <w:tcBorders/>
            <w:shd w:fill="FFFFFF" w:val="clear"/>
            <w:vAlign w:val="center"/>
          </w:tcPr>
          <w:p>
            <w:pPr>
              <w:pStyle w:val="TableContents"/>
              <w:bidi w:val="0"/>
              <w:spacing w:before="0" w:after="283"/>
              <w:jc w:val="left"/>
              <w:rPr>
                <w:b/>
              </w:rPr>
            </w:pPr>
            <w:r>
              <w:rPr>
                <w:b/>
              </w:rPr>
              <w:t>Supplemental disclosure of cash flow information:</w:t>
            </w:r>
          </w:p>
        </w:tc>
        <w:tc>
          <w:tcPr>
            <w:tcW w:w="60" w:type="dxa"/>
            <w:tcBorders/>
            <w:shd w:fill="FFFFFF" w:val="clear"/>
            <w:vAlign w:val="center"/>
          </w:tcPr>
          <w:p>
            <w:pPr>
              <w:pStyle w:val="TableContents"/>
              <w:bidi w:val="0"/>
              <w:spacing w:before="0" w:after="283"/>
              <w:jc w:val="left"/>
              <w:rPr/>
            </w:pPr>
            <w:r>
              <w:rPr/>
              <w:t> </w:t>
            </w:r>
          </w:p>
        </w:tc>
        <w:tc>
          <w:tcPr>
            <w:tcW w:w="223" w:type="dxa"/>
            <w:tcBorders/>
            <w:shd w:fill="FFFFFF" w:val="clear"/>
            <w:vAlign w:val="center"/>
          </w:tcPr>
          <w:p>
            <w:pPr>
              <w:pStyle w:val="TableContents"/>
              <w:bidi w:val="0"/>
              <w:spacing w:before="0" w:after="283"/>
              <w:jc w:val="left"/>
              <w:rPr/>
            </w:pPr>
            <w:r>
              <w:rPr/>
              <w:t> </w:t>
            </w:r>
          </w:p>
        </w:tc>
        <w:tc>
          <w:tcPr>
            <w:tcW w:w="1686"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ind w:left="0" w:right="0" w:hanging="180"/>
              <w:jc w:val="left"/>
              <w:rPr/>
            </w:pPr>
            <w:r>
              <w:rPr/>
              <w:t> </w:t>
            </w:r>
          </w:p>
        </w:tc>
      </w:tr>
      <w:tr>
        <w:trPr/>
        <w:tc>
          <w:tcPr>
            <w:tcW w:w="8030" w:type="dxa"/>
            <w:tcBorders/>
            <w:shd w:fill="CCEEFF" w:val="clear"/>
            <w:vAlign w:val="center"/>
          </w:tcPr>
          <w:p>
            <w:pPr>
              <w:pStyle w:val="TableContents"/>
              <w:bidi w:val="0"/>
              <w:spacing w:before="0" w:after="283"/>
              <w:jc w:val="left"/>
              <w:rPr/>
            </w:pPr>
            <w:r>
              <w:rPr/>
              <w:t>Cash paid for interest</w:t>
            </w:r>
          </w:p>
        </w:tc>
        <w:tc>
          <w:tcPr>
            <w:tcW w:w="60" w:type="dxa"/>
            <w:tcBorders/>
            <w:shd w:fill="CCEEFF" w:val="clear"/>
            <w:vAlign w:val="center"/>
          </w:tcPr>
          <w:p>
            <w:pPr>
              <w:pStyle w:val="TableContents"/>
              <w:bidi w:val="0"/>
              <w:spacing w:before="0" w:after="283"/>
              <w:jc w:val="left"/>
              <w:rPr/>
            </w:pPr>
            <w:r>
              <w:rPr/>
              <w:t> </w:t>
            </w:r>
          </w:p>
        </w:tc>
        <w:tc>
          <w:tcPr>
            <w:tcW w:w="223" w:type="dxa"/>
            <w:tcBorders/>
            <w:shd w:fill="CCEEFF" w:val="clear"/>
            <w:vAlign w:val="center"/>
          </w:tcPr>
          <w:p>
            <w:pPr>
              <w:pStyle w:val="TableContents"/>
              <w:bidi w:val="0"/>
              <w:spacing w:before="0" w:after="283"/>
              <w:jc w:val="left"/>
              <w:rPr/>
            </w:pPr>
            <w:r>
              <w:rPr/>
              <w:t>$</w:t>
            </w:r>
          </w:p>
        </w:tc>
        <w:tc>
          <w:tcPr>
            <w:tcW w:w="1686" w:type="dxa"/>
            <w:tcBorders/>
            <w:shd w:fill="CCEEFF" w:val="clear"/>
            <w:vAlign w:val="center"/>
          </w:tcPr>
          <w:p>
            <w:pPr>
              <w:pStyle w:val="TableContents"/>
              <w:bidi w:val="0"/>
              <w:spacing w:before="0" w:after="283"/>
              <w:jc w:val="right"/>
              <w:rPr/>
            </w:pPr>
            <w:r>
              <w:rPr/>
              <w:t>235,503</w:t>
            </w:r>
          </w:p>
        </w:tc>
        <w:tc>
          <w:tcPr>
            <w:tcW w:w="110" w:type="dxa"/>
            <w:tcBorders/>
            <w:shd w:fill="CCEEFF" w:val="clear"/>
            <w:vAlign w:val="center"/>
          </w:tcPr>
          <w:p>
            <w:pPr>
              <w:pStyle w:val="TableContents"/>
              <w:bidi w:val="0"/>
              <w:spacing w:before="0" w:after="283"/>
              <w:ind w:left="0" w:right="0" w:hanging="180"/>
              <w:jc w:val="left"/>
              <w:rPr/>
            </w:pPr>
            <w:r>
              <w:rPr/>
              <w:t> </w:t>
            </w:r>
          </w:p>
        </w:tc>
      </w:tr>
      <w:tr>
        <w:trPr/>
        <w:tc>
          <w:tcPr>
            <w:tcW w:w="8030" w:type="dxa"/>
            <w:tcBorders/>
            <w:shd w:fill="FFFFFF" w:val="clear"/>
            <w:vAlign w:val="center"/>
          </w:tcPr>
          <w:p>
            <w:pPr>
              <w:pStyle w:val="TableContents"/>
              <w:bidi w:val="0"/>
              <w:spacing w:before="0" w:after="283"/>
              <w:jc w:val="left"/>
              <w:rPr>
                <w:b/>
              </w:rPr>
            </w:pPr>
            <w:r>
              <w:rPr>
                <w:b/>
              </w:rPr>
              <w:t>Supplemental disclosure of non-cash investing and financing activities:</w:t>
            </w:r>
          </w:p>
        </w:tc>
        <w:tc>
          <w:tcPr>
            <w:tcW w:w="60" w:type="dxa"/>
            <w:tcBorders/>
            <w:shd w:fill="FFFFFF" w:val="clear"/>
            <w:vAlign w:val="center"/>
          </w:tcPr>
          <w:p>
            <w:pPr>
              <w:pStyle w:val="TableContents"/>
              <w:bidi w:val="0"/>
              <w:spacing w:before="0" w:after="283"/>
              <w:jc w:val="left"/>
              <w:rPr/>
            </w:pPr>
            <w:r>
              <w:rPr/>
              <w:t> </w:t>
            </w:r>
          </w:p>
        </w:tc>
        <w:tc>
          <w:tcPr>
            <w:tcW w:w="223" w:type="dxa"/>
            <w:tcBorders/>
            <w:shd w:fill="FFFFFF" w:val="clear"/>
            <w:vAlign w:val="center"/>
          </w:tcPr>
          <w:p>
            <w:pPr>
              <w:pStyle w:val="TableContents"/>
              <w:bidi w:val="0"/>
              <w:spacing w:before="0" w:after="283"/>
              <w:jc w:val="left"/>
              <w:rPr/>
            </w:pPr>
            <w:r>
              <w:rPr/>
              <w:t> </w:t>
            </w:r>
          </w:p>
        </w:tc>
        <w:tc>
          <w:tcPr>
            <w:tcW w:w="1686"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ind w:left="0" w:right="0" w:hanging="180"/>
              <w:jc w:val="left"/>
              <w:rPr/>
            </w:pPr>
            <w:r>
              <w:rPr/>
              <w:t> </w:t>
            </w:r>
          </w:p>
        </w:tc>
      </w:tr>
      <w:tr>
        <w:trPr/>
        <w:tc>
          <w:tcPr>
            <w:tcW w:w="8030" w:type="dxa"/>
            <w:tcBorders/>
            <w:shd w:fill="CCEEFF" w:val="clear"/>
            <w:vAlign w:val="center"/>
          </w:tcPr>
          <w:p>
            <w:pPr>
              <w:pStyle w:val="TableContents"/>
              <w:bidi w:val="0"/>
              <w:spacing w:before="0" w:after="283"/>
              <w:jc w:val="left"/>
              <w:rPr/>
            </w:pPr>
            <w:r>
              <w:rPr/>
              <w:t>Operating lease right-of-use assets obtained in exchange for operating lease liabilities</w:t>
            </w:r>
          </w:p>
        </w:tc>
        <w:tc>
          <w:tcPr>
            <w:tcW w:w="60" w:type="dxa"/>
            <w:tcBorders/>
            <w:shd w:fill="CCEEFF" w:val="clear"/>
            <w:vAlign w:val="center"/>
          </w:tcPr>
          <w:p>
            <w:pPr>
              <w:pStyle w:val="TableContents"/>
              <w:bidi w:val="0"/>
              <w:spacing w:before="0" w:after="283"/>
              <w:jc w:val="left"/>
              <w:rPr/>
            </w:pPr>
            <w:r>
              <w:rPr/>
              <w:t> </w:t>
            </w:r>
          </w:p>
        </w:tc>
        <w:tc>
          <w:tcPr>
            <w:tcW w:w="223" w:type="dxa"/>
            <w:tcBorders/>
            <w:shd w:fill="CCEEFF" w:val="clear"/>
            <w:vAlign w:val="center"/>
          </w:tcPr>
          <w:p>
            <w:pPr>
              <w:pStyle w:val="TableContents"/>
              <w:bidi w:val="0"/>
              <w:spacing w:before="0" w:after="283"/>
              <w:jc w:val="left"/>
              <w:rPr/>
            </w:pPr>
            <w:r>
              <w:rPr/>
              <w:t>$</w:t>
            </w:r>
          </w:p>
        </w:tc>
        <w:tc>
          <w:tcPr>
            <w:tcW w:w="1686" w:type="dxa"/>
            <w:tcBorders/>
            <w:shd w:fill="CCEEFF" w:val="clear"/>
            <w:vAlign w:val="center"/>
          </w:tcPr>
          <w:p>
            <w:pPr>
              <w:pStyle w:val="TableContents"/>
              <w:bidi w:val="0"/>
              <w:spacing w:before="0" w:after="283"/>
              <w:jc w:val="right"/>
              <w:rPr/>
            </w:pPr>
            <w:r>
              <w:rPr/>
              <w:t>61,313</w:t>
            </w:r>
          </w:p>
        </w:tc>
        <w:tc>
          <w:tcPr>
            <w:tcW w:w="110" w:type="dxa"/>
            <w:tcBorders/>
            <w:shd w:fill="CCEEFF" w:val="clear"/>
            <w:vAlign w:val="center"/>
          </w:tcPr>
          <w:p>
            <w:pPr>
              <w:pStyle w:val="TableContents"/>
              <w:bidi w:val="0"/>
              <w:spacing w:before="0" w:after="283"/>
              <w:ind w:left="0" w:right="0" w:hanging="180"/>
              <w:jc w:val="left"/>
              <w:rPr/>
            </w:pPr>
            <w:r>
              <w:rPr/>
              <w:t> </w:t>
            </w:r>
          </w:p>
        </w:tc>
      </w:tr>
      <w:tr>
        <w:trPr/>
        <w:tc>
          <w:tcPr>
            <w:tcW w:w="8030" w:type="dxa"/>
            <w:tcBorders/>
            <w:shd w:fill="FFFFFF" w:val="clear"/>
            <w:vAlign w:val="center"/>
          </w:tcPr>
          <w:p>
            <w:pPr>
              <w:pStyle w:val="TableContents"/>
              <w:bidi w:val="0"/>
              <w:spacing w:before="0" w:after="283"/>
              <w:jc w:val="left"/>
              <w:rPr/>
            </w:pPr>
            <w:r>
              <w:rPr/>
              <w:t>Finance lease right-of-use assets obtained in exchange for finance lease liabilities</w:t>
            </w:r>
          </w:p>
        </w:tc>
        <w:tc>
          <w:tcPr>
            <w:tcW w:w="60" w:type="dxa"/>
            <w:tcBorders/>
            <w:shd w:fill="FFFFFF" w:val="clear"/>
            <w:vAlign w:val="center"/>
          </w:tcPr>
          <w:p>
            <w:pPr>
              <w:pStyle w:val="TableContents"/>
              <w:bidi w:val="0"/>
              <w:spacing w:before="0" w:after="283"/>
              <w:jc w:val="left"/>
              <w:rPr/>
            </w:pPr>
            <w:r>
              <w:rPr/>
              <w:t> </w:t>
            </w:r>
          </w:p>
        </w:tc>
        <w:tc>
          <w:tcPr>
            <w:tcW w:w="223" w:type="dxa"/>
            <w:tcBorders/>
            <w:shd w:fill="FFFFFF" w:val="clear"/>
            <w:vAlign w:val="center"/>
          </w:tcPr>
          <w:p>
            <w:pPr>
              <w:pStyle w:val="TableContents"/>
              <w:bidi w:val="0"/>
              <w:spacing w:before="0" w:after="283"/>
              <w:jc w:val="left"/>
              <w:rPr/>
            </w:pPr>
            <w:r>
              <w:rPr/>
              <w:t> </w:t>
            </w:r>
          </w:p>
        </w:tc>
        <w:tc>
          <w:tcPr>
            <w:tcW w:w="1686" w:type="dxa"/>
            <w:tcBorders/>
            <w:shd w:fill="FFFFFF" w:val="clear"/>
            <w:vAlign w:val="center"/>
          </w:tcPr>
          <w:p>
            <w:pPr>
              <w:pStyle w:val="TableContents"/>
              <w:bidi w:val="0"/>
              <w:spacing w:before="0" w:after="283"/>
              <w:jc w:val="right"/>
              <w:rPr/>
            </w:pPr>
            <w:r>
              <w:rPr/>
              <w:t>1,477,040</w:t>
            </w:r>
          </w:p>
        </w:tc>
        <w:tc>
          <w:tcPr>
            <w:tcW w:w="110" w:type="dxa"/>
            <w:tcBorders/>
            <w:shd w:fill="FFFFFF" w:val="clear"/>
            <w:vAlign w:val="center"/>
          </w:tcPr>
          <w:p>
            <w:pPr>
              <w:pStyle w:val="TableContents"/>
              <w:bidi w:val="0"/>
              <w:spacing w:before="0" w:after="283"/>
              <w:ind w:left="0" w:right="0" w:hanging="180"/>
              <w:jc w:val="left"/>
              <w:rPr/>
            </w:pPr>
            <w:r>
              <w:rPr/>
              <w:t> </w:t>
            </w:r>
          </w:p>
        </w:tc>
      </w:tr>
      <w:tr>
        <w:trPr/>
        <w:tc>
          <w:tcPr>
            <w:tcW w:w="8030" w:type="dxa"/>
            <w:tcBorders/>
            <w:shd w:fill="CCEEFF" w:val="clear"/>
            <w:vAlign w:val="center"/>
          </w:tcPr>
          <w:p>
            <w:pPr>
              <w:pStyle w:val="TableContents"/>
              <w:bidi w:val="0"/>
              <w:spacing w:before="0" w:after="283"/>
              <w:jc w:val="left"/>
              <w:rPr/>
            </w:pPr>
            <w:r>
              <w:rPr/>
              <w:t>Conversion of related-party notes payable to members’ equity</w:t>
            </w:r>
          </w:p>
        </w:tc>
        <w:tc>
          <w:tcPr>
            <w:tcW w:w="60" w:type="dxa"/>
            <w:tcBorders/>
            <w:shd w:fill="CCEEFF" w:val="clear"/>
            <w:vAlign w:val="center"/>
          </w:tcPr>
          <w:p>
            <w:pPr>
              <w:pStyle w:val="TableContents"/>
              <w:bidi w:val="0"/>
              <w:spacing w:before="0" w:after="283"/>
              <w:jc w:val="left"/>
              <w:rPr/>
            </w:pPr>
            <w:r>
              <w:rPr/>
              <w:t> </w:t>
            </w:r>
          </w:p>
        </w:tc>
        <w:tc>
          <w:tcPr>
            <w:tcW w:w="223" w:type="dxa"/>
            <w:tcBorders/>
            <w:shd w:fill="CCEEFF" w:val="clear"/>
            <w:vAlign w:val="center"/>
          </w:tcPr>
          <w:p>
            <w:pPr>
              <w:pStyle w:val="TableContents"/>
              <w:bidi w:val="0"/>
              <w:spacing w:before="0" w:after="283"/>
              <w:jc w:val="left"/>
              <w:rPr/>
            </w:pPr>
            <w:r>
              <w:rPr/>
              <w:t> </w:t>
            </w:r>
          </w:p>
        </w:tc>
        <w:tc>
          <w:tcPr>
            <w:tcW w:w="1686" w:type="dxa"/>
            <w:tcBorders/>
            <w:shd w:fill="CCEEFF" w:val="clear"/>
            <w:vAlign w:val="center"/>
          </w:tcPr>
          <w:p>
            <w:pPr>
              <w:pStyle w:val="TableContents"/>
              <w:bidi w:val="0"/>
              <w:spacing w:before="0" w:after="283"/>
              <w:jc w:val="right"/>
              <w:rPr/>
            </w:pPr>
            <w:r>
              <w:rPr/>
              <w:t>2,450,000</w:t>
            </w:r>
          </w:p>
        </w:tc>
        <w:tc>
          <w:tcPr>
            <w:tcW w:w="11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See accompanying notes to financial statements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sz w:val="20"/>
          <w:bdr w:val="single" w:sz="12" w:space="1" w:color="000000"/>
        </w:rPr>
      </w:pPr>
      <w:r>
        <w:rPr>
          <w:sz w:val="20"/>
          <w:bdr w:val="single" w:sz="12" w:space="1" w:color="000000"/>
        </w:rPr>
        <w:t>F-152</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bookmarkStart w:id="48" w:name="G_005"/>
      <w:bookmarkEnd w:id="48"/>
      <w:r>
        <w:rPr>
          <w:rFonts w:ascii="Times New Roman;Times;Serif" w:hAnsi="Times New Roman;Times;Serif"/>
          <w:b/>
          <w:i/>
          <w:caps w:val="false"/>
          <w:smallCaps w:val="false"/>
          <w:sz w:val="20"/>
        </w:rPr>
        <w:t>Notes to Financial Statements</w:t>
      </w:r>
    </w:p>
    <w:p>
      <w:pPr>
        <w:pStyle w:val="TextBody"/>
        <w:bidi w:val="0"/>
        <w:spacing w:before="0" w:after="0"/>
        <w:ind w:left="0" w:right="0" w:hanging="0"/>
        <w:jc w:val="left"/>
        <w:rPr>
          <w:caps w:val="false"/>
          <w:smallCaps w:val="false"/>
        </w:rPr>
      </w:pPr>
      <w:r>
        <w:rPr>
          <w:caps w:val="false"/>
          <w:smallCaps w:val="false"/>
        </w:rPr>
        <w:drawing>
          <wp:inline distT="0" distB="0" distL="0" distR="0">
            <wp:extent cx="7143750" cy="57150"/>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embed="rId10"/>
                    <a:stretch>
                      <a:fillRect/>
                    </a:stretch>
                  </pic:blipFill>
                  <pic:spPr bwMode="auto">
                    <a:xfrm>
                      <a:off x="0" y="0"/>
                      <a:ext cx="7143750" cy="57150"/>
                    </a:xfrm>
                    <a:prstGeom prst="rect">
                      <a:avLst/>
                    </a:prstGeom>
                  </pic:spPr>
                </pic:pic>
              </a:graphicData>
            </a:graphic>
          </wp:inline>
        </w:drawing>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tbl>
      <w:tblPr>
        <w:tblW w:w="2433" w:type="dxa"/>
        <w:jc w:val="left"/>
        <w:tblInd w:w="0" w:type="dxa"/>
        <w:tblLayout w:type="fixed"/>
        <w:tblCellMar>
          <w:top w:w="0" w:type="dxa"/>
          <w:left w:w="0" w:type="dxa"/>
          <w:bottom w:w="0" w:type="dxa"/>
          <w:right w:w="0" w:type="dxa"/>
        </w:tblCellMar>
      </w:tblPr>
      <w:tblGrid>
        <w:gridCol w:w="38"/>
        <w:gridCol w:w="200"/>
        <w:gridCol w:w="2195"/>
      </w:tblGrid>
      <w:tr>
        <w:trPr/>
        <w:tc>
          <w:tcPr>
            <w:tcW w:w="3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b/>
              </w:rPr>
            </w:pPr>
            <w:r>
              <w:rPr>
                <w:b/>
              </w:rPr>
              <w:t>1.</w:t>
            </w:r>
          </w:p>
        </w:tc>
        <w:tc>
          <w:tcPr>
            <w:tcW w:w="2195" w:type="dxa"/>
            <w:tcBorders/>
            <w:vAlign w:val="center"/>
          </w:tcPr>
          <w:p>
            <w:pPr>
              <w:pStyle w:val="TableContents"/>
              <w:bidi w:val="0"/>
              <w:spacing w:before="0" w:after="283"/>
              <w:jc w:val="both"/>
              <w:rPr>
                <w:b/>
              </w:rPr>
            </w:pPr>
            <w:r>
              <w:rPr>
                <w:b/>
              </w:rPr>
              <w:t>Nature of Operations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 xml:space="preserve">Organization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Ambia Energy, LLC was organized on March 24, 2021 as a Utah limited liability company. The Company is a residential solar energy system installer and operates in various markets throughout the United States. The Company is a wholly owned subsidiary of Ambia Holdings, Inc.</w:t>
      </w:r>
    </w:p>
    <w:p>
      <w:pPr>
        <w:pStyle w:val="TextBody"/>
        <w:bidi w:val="0"/>
        <w:spacing w:before="0" w:after="0"/>
        <w:ind w:left="0" w:right="0" w:hanging="0"/>
        <w:jc w:val="both"/>
        <w:rPr>
          <w:caps w:val="false"/>
          <w:smallCaps w:val="false"/>
        </w:rPr>
      </w:pPr>
      <w:r>
        <w:rPr>
          <w:caps w:val="false"/>
          <w:smallCaps w:val="false"/>
        </w:rPr>
        <w:t> </w:t>
      </w:r>
    </w:p>
    <w:tbl>
      <w:tblPr>
        <w:tblW w:w="4713" w:type="dxa"/>
        <w:jc w:val="left"/>
        <w:tblInd w:w="0" w:type="dxa"/>
        <w:tblLayout w:type="fixed"/>
        <w:tblCellMar>
          <w:top w:w="0" w:type="dxa"/>
          <w:left w:w="0" w:type="dxa"/>
          <w:bottom w:w="0" w:type="dxa"/>
          <w:right w:w="0" w:type="dxa"/>
        </w:tblCellMar>
      </w:tblPr>
      <w:tblGrid>
        <w:gridCol w:w="38"/>
        <w:gridCol w:w="200"/>
        <w:gridCol w:w="4475"/>
      </w:tblGrid>
      <w:tr>
        <w:trPr/>
        <w:tc>
          <w:tcPr>
            <w:tcW w:w="3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b/>
              </w:rPr>
            </w:pPr>
            <w:r>
              <w:rPr>
                <w:b/>
              </w:rPr>
              <w:t>2.</w:t>
            </w:r>
          </w:p>
        </w:tc>
        <w:tc>
          <w:tcPr>
            <w:tcW w:w="4475" w:type="dxa"/>
            <w:tcBorders/>
            <w:vAlign w:val="center"/>
          </w:tcPr>
          <w:p>
            <w:pPr>
              <w:pStyle w:val="TableContents"/>
              <w:bidi w:val="0"/>
              <w:spacing w:before="0" w:after="283"/>
              <w:jc w:val="both"/>
              <w:rPr>
                <w:b/>
              </w:rPr>
            </w:pPr>
            <w:r>
              <w:rPr>
                <w:b/>
              </w:rPr>
              <w:t>Summary of Significant Accounting Policies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Use of Estimates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preparation of financial statements in conformity with US GAAP requires management to make estimates and assumptions that affect reported amounts and disclosures. Accordingly, actual results could differ from those estimates.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Concentrations of Credit Risk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maintains its cash in bank deposit accounts which, at times, exceeds federally insured limits. To date, the Company has not experienced a loss or lack of access to its invested cash; however, no assurance can be provided that access to the Company’s invested cash will not be impacted by adverse conditions in the financial markets.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normal course of business, the Company provides credit terms to its customers and generally requires no collateral. Customers that comprise more than 10% of the Company’s accounts receivable or annual net sales are considered to be major customers. No residential customer accounted for more than 10% of sales or accounts receivable as of and for the year ended December 31, 2024.</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residential customers generally pay for the transaction with financing. Significant lenders were as follows for the year ended December 31:</w:t>
      </w:r>
    </w:p>
    <w:p>
      <w:pPr>
        <w:pStyle w:val="TextBody"/>
        <w:bidi w:val="0"/>
        <w:spacing w:before="0" w:after="0"/>
        <w:ind w:left="0" w:right="0" w:hanging="0"/>
        <w:jc w:val="both"/>
        <w:rPr>
          <w:caps w:val="false"/>
          <w:smallCaps w:val="false"/>
        </w:rPr>
      </w:pPr>
      <w:r>
        <w:rPr>
          <w:caps w:val="false"/>
          <w:smallCaps w:val="false"/>
        </w:rPr>
        <w:t> </w:t>
      </w:r>
    </w:p>
    <w:tbl>
      <w:tblPr>
        <w:tblW w:w="1740" w:type="dxa"/>
        <w:jc w:val="left"/>
        <w:tblInd w:w="0" w:type="dxa"/>
        <w:tblLayout w:type="fixed"/>
        <w:tblCellMar>
          <w:top w:w="0" w:type="dxa"/>
          <w:left w:w="0" w:type="dxa"/>
          <w:bottom w:w="0" w:type="dxa"/>
          <w:right w:w="0" w:type="dxa"/>
        </w:tblCellMar>
      </w:tblPr>
      <w:tblGrid>
        <w:gridCol w:w="950"/>
        <w:gridCol w:w="60"/>
        <w:gridCol w:w="93"/>
        <w:gridCol w:w="407"/>
        <w:gridCol w:w="230"/>
      </w:tblGrid>
      <w:tr>
        <w:trPr/>
        <w:tc>
          <w:tcPr>
            <w:tcW w:w="95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0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2024</w:t>
            </w:r>
          </w:p>
        </w:tc>
        <w:tc>
          <w:tcPr>
            <w:tcW w:w="230" w:type="dxa"/>
            <w:tcBorders/>
            <w:vAlign w:val="center"/>
          </w:tcPr>
          <w:p>
            <w:pPr>
              <w:pStyle w:val="TableContents"/>
              <w:bidi w:val="0"/>
              <w:spacing w:before="0" w:after="283"/>
              <w:jc w:val="left"/>
              <w:rPr/>
            </w:pPr>
            <w:r>
              <w:rPr/>
              <w:t> </w:t>
            </w:r>
          </w:p>
        </w:tc>
      </w:tr>
      <w:tr>
        <w:trPr/>
        <w:tc>
          <w:tcPr>
            <w:tcW w:w="950" w:type="dxa"/>
            <w:tcBorders/>
            <w:shd w:fill="CCEEFF" w:val="clear"/>
            <w:vAlign w:val="center"/>
          </w:tcPr>
          <w:p>
            <w:pPr>
              <w:pStyle w:val="TableContents"/>
              <w:bidi w:val="0"/>
              <w:spacing w:before="0" w:after="283"/>
              <w:jc w:val="left"/>
              <w:rPr/>
            </w:pPr>
            <w:r>
              <w:rPr/>
              <w:t>Lender A</w:t>
            </w:r>
          </w:p>
        </w:tc>
        <w:tc>
          <w:tcPr>
            <w:tcW w:w="60" w:type="dxa"/>
            <w:tcBorders/>
            <w:shd w:fill="CCEEFF" w:val="clear"/>
            <w:vAlign w:val="center"/>
          </w:tcPr>
          <w:p>
            <w:pPr>
              <w:pStyle w:val="TableContents"/>
              <w:bidi w:val="0"/>
              <w:spacing w:before="0" w:after="283"/>
              <w:jc w:val="left"/>
              <w:rPr/>
            </w:pPr>
            <w:r>
              <w:rPr/>
              <w:t> </w:t>
            </w:r>
          </w:p>
        </w:tc>
        <w:tc>
          <w:tcPr>
            <w:tcW w:w="93" w:type="dxa"/>
            <w:tcBorders/>
            <w:shd w:fill="CCEEFF" w:val="clear"/>
            <w:vAlign w:val="center"/>
          </w:tcPr>
          <w:p>
            <w:pPr>
              <w:pStyle w:val="TableContents"/>
              <w:bidi w:val="0"/>
              <w:spacing w:before="0" w:after="283"/>
              <w:jc w:val="left"/>
              <w:rPr/>
            </w:pPr>
            <w:r>
              <w:rPr/>
              <w:t> </w:t>
            </w:r>
          </w:p>
        </w:tc>
        <w:tc>
          <w:tcPr>
            <w:tcW w:w="407" w:type="dxa"/>
            <w:tcBorders/>
            <w:shd w:fill="CCEEFF" w:val="clear"/>
            <w:vAlign w:val="center"/>
          </w:tcPr>
          <w:p>
            <w:pPr>
              <w:pStyle w:val="TableContents"/>
              <w:bidi w:val="0"/>
              <w:spacing w:before="0" w:after="283"/>
              <w:jc w:val="right"/>
              <w:rPr/>
            </w:pPr>
            <w:r>
              <w:rPr/>
              <w:t>64</w:t>
            </w:r>
          </w:p>
        </w:tc>
        <w:tc>
          <w:tcPr>
            <w:tcW w:w="230" w:type="dxa"/>
            <w:tcBorders/>
            <w:shd w:fill="CCEEFF" w:val="clear"/>
            <w:vAlign w:val="center"/>
          </w:tcPr>
          <w:p>
            <w:pPr>
              <w:pStyle w:val="TableContents"/>
              <w:bidi w:val="0"/>
              <w:spacing w:before="0" w:after="283"/>
              <w:jc w:val="left"/>
              <w:rPr/>
            </w:pPr>
            <w:r>
              <w:rPr/>
              <w:t>%</w:t>
            </w:r>
          </w:p>
        </w:tc>
      </w:tr>
      <w:tr>
        <w:trPr/>
        <w:tc>
          <w:tcPr>
            <w:tcW w:w="950" w:type="dxa"/>
            <w:tcBorders/>
            <w:shd w:fill="FFFFFF" w:val="clear"/>
            <w:vAlign w:val="center"/>
          </w:tcPr>
          <w:p>
            <w:pPr>
              <w:pStyle w:val="TableContents"/>
              <w:bidi w:val="0"/>
              <w:spacing w:before="0" w:after="283"/>
              <w:jc w:val="left"/>
              <w:rPr/>
            </w:pPr>
            <w:r>
              <w:rPr/>
              <w:t>Lender B</w:t>
            </w:r>
          </w:p>
        </w:tc>
        <w:tc>
          <w:tcPr>
            <w:tcW w:w="60" w:type="dxa"/>
            <w:tcBorders/>
            <w:shd w:fill="FFFFFF" w:val="clear"/>
            <w:vAlign w:val="center"/>
          </w:tcPr>
          <w:p>
            <w:pPr>
              <w:pStyle w:val="TableContents"/>
              <w:bidi w:val="0"/>
              <w:spacing w:before="0" w:after="283"/>
              <w:jc w:val="left"/>
              <w:rPr/>
            </w:pPr>
            <w:r>
              <w:rPr/>
              <w:t> </w:t>
            </w:r>
          </w:p>
        </w:tc>
        <w:tc>
          <w:tcPr>
            <w:tcW w:w="93" w:type="dxa"/>
            <w:tcBorders/>
            <w:shd w:fill="FFFFFF" w:val="clear"/>
            <w:vAlign w:val="center"/>
          </w:tcPr>
          <w:p>
            <w:pPr>
              <w:pStyle w:val="TableContents"/>
              <w:bidi w:val="0"/>
              <w:spacing w:before="0" w:after="283"/>
              <w:jc w:val="left"/>
              <w:rPr/>
            </w:pPr>
            <w:r>
              <w:rPr/>
              <w:t> </w:t>
            </w:r>
          </w:p>
        </w:tc>
        <w:tc>
          <w:tcPr>
            <w:tcW w:w="407" w:type="dxa"/>
            <w:tcBorders/>
            <w:shd w:fill="FFFFFF" w:val="clear"/>
            <w:vAlign w:val="center"/>
          </w:tcPr>
          <w:p>
            <w:pPr>
              <w:pStyle w:val="TableContents"/>
              <w:bidi w:val="0"/>
              <w:spacing w:before="0" w:after="283"/>
              <w:jc w:val="right"/>
              <w:rPr/>
            </w:pPr>
            <w:r>
              <w:rPr/>
              <w:t>26</w:t>
            </w:r>
          </w:p>
        </w:tc>
        <w:tc>
          <w:tcPr>
            <w:tcW w:w="230" w:type="dxa"/>
            <w:tcBorders/>
            <w:shd w:fill="FFFFFF" w:val="clear"/>
            <w:vAlign w:val="center"/>
          </w:tcPr>
          <w:p>
            <w:pPr>
              <w:pStyle w:val="TableContents"/>
              <w:bidi w:val="0"/>
              <w:spacing w:before="0" w:after="283"/>
              <w:jc w:val="left"/>
              <w:rPr/>
            </w:pPr>
            <w:r>
              <w:rPr/>
              <w:t>%</w:t>
            </w:r>
          </w:p>
        </w:tc>
      </w:tr>
      <w:tr>
        <w:trPr/>
        <w:tc>
          <w:tcPr>
            <w:tcW w:w="950" w:type="dxa"/>
            <w:tcBorders/>
            <w:shd w:fill="CCEEFF" w:val="clear"/>
            <w:vAlign w:val="center"/>
          </w:tcPr>
          <w:p>
            <w:pPr>
              <w:pStyle w:val="TableContents"/>
              <w:bidi w:val="0"/>
              <w:spacing w:before="0" w:after="283"/>
              <w:jc w:val="left"/>
              <w:rPr/>
            </w:pPr>
            <w:r>
              <w:rPr/>
              <w:t>Lender C</w:t>
            </w:r>
          </w:p>
        </w:tc>
        <w:tc>
          <w:tcPr>
            <w:tcW w:w="60" w:type="dxa"/>
            <w:tcBorders/>
            <w:shd w:fill="CCEEFF" w:val="clear"/>
            <w:vAlign w:val="center"/>
          </w:tcPr>
          <w:p>
            <w:pPr>
              <w:pStyle w:val="TableContents"/>
              <w:bidi w:val="0"/>
              <w:spacing w:before="0" w:after="283"/>
              <w:jc w:val="left"/>
              <w:rPr/>
            </w:pPr>
            <w:r>
              <w:rPr/>
              <w:t> </w:t>
            </w:r>
          </w:p>
        </w:tc>
        <w:tc>
          <w:tcPr>
            <w:tcW w:w="93"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407" w:type="dxa"/>
            <w:tcBorders>
              <w:bottom w:val="single" w:sz="12" w:space="0" w:color="000000"/>
            </w:tcBorders>
            <w:shd w:fill="CCEEFF" w:val="clear"/>
            <w:tcMar>
              <w:bottom w:w="28" w:type="dxa"/>
            </w:tcMar>
            <w:vAlign w:val="center"/>
          </w:tcPr>
          <w:p>
            <w:pPr>
              <w:pStyle w:val="TableContents"/>
              <w:bidi w:val="0"/>
              <w:spacing w:before="0" w:after="283"/>
              <w:jc w:val="right"/>
              <w:rPr/>
            </w:pPr>
            <w:r>
              <w:rPr/>
              <w:t>10</w:t>
            </w:r>
          </w:p>
        </w:tc>
        <w:tc>
          <w:tcPr>
            <w:tcW w:w="230" w:type="dxa"/>
            <w:tcBorders/>
            <w:shd w:fill="CCEEFF" w:val="clear"/>
            <w:vAlign w:val="center"/>
          </w:tcPr>
          <w:p>
            <w:pPr>
              <w:pStyle w:val="TableContents"/>
              <w:bidi w:val="0"/>
              <w:spacing w:before="0" w:after="283"/>
              <w:jc w:val="left"/>
              <w:rPr/>
            </w:pPr>
            <w:r>
              <w:rPr/>
              <w:t>%</w:t>
            </w:r>
          </w:p>
        </w:tc>
      </w:tr>
    </w:tbl>
    <w:p>
      <w:pPr>
        <w:pStyle w:val="TextBody"/>
        <w:bidi w:val="0"/>
        <w:spacing w:before="0" w:after="0"/>
        <w:ind w:left="0" w:right="0" w:hanging="0"/>
        <w:jc w:val="left"/>
        <w:rPr>
          <w:caps w:val="false"/>
          <w:smallCaps w:val="false"/>
        </w:rPr>
      </w:pPr>
      <w:r>
        <w:rPr>
          <w:caps w:val="false"/>
          <w:smallCaps w:val="false"/>
        </w:rPr>
        <w:t> </w:t>
      </w:r>
    </w:p>
    <w:tbl>
      <w:tblPr>
        <w:tblW w:w="4930" w:type="dxa"/>
        <w:jc w:val="left"/>
        <w:tblInd w:w="0" w:type="dxa"/>
        <w:tblLayout w:type="fixed"/>
        <w:tblCellMar>
          <w:top w:w="0" w:type="dxa"/>
          <w:left w:w="0" w:type="dxa"/>
          <w:bottom w:w="0" w:type="dxa"/>
          <w:right w:w="0" w:type="dxa"/>
        </w:tblCellMar>
      </w:tblPr>
      <w:tblGrid>
        <w:gridCol w:w="155"/>
        <w:gridCol w:w="4775"/>
      </w:tblGrid>
      <w:tr>
        <w:trPr/>
        <w:tc>
          <w:tcPr>
            <w:tcW w:w="155" w:type="dxa"/>
            <w:tcBorders/>
            <w:vAlign w:val="center"/>
          </w:tcPr>
          <w:p>
            <w:pPr>
              <w:pStyle w:val="TableContents"/>
              <w:bidi w:val="0"/>
              <w:spacing w:before="0" w:after="283"/>
              <w:jc w:val="left"/>
              <w:rPr>
                <w:i/>
              </w:rPr>
            </w:pPr>
            <w:r>
              <w:rPr>
                <w:i/>
              </w:rPr>
              <w:t>*</w:t>
            </w:r>
          </w:p>
        </w:tc>
        <w:tc>
          <w:tcPr>
            <w:tcW w:w="4775" w:type="dxa"/>
            <w:tcBorders/>
            <w:vAlign w:val="center"/>
          </w:tcPr>
          <w:p>
            <w:pPr>
              <w:pStyle w:val="TableContents"/>
              <w:bidi w:val="0"/>
              <w:spacing w:before="0" w:after="283"/>
              <w:jc w:val="both"/>
              <w:rPr>
                <w:i/>
              </w:rPr>
            </w:pPr>
            <w:r>
              <w:rPr>
                <w:i/>
              </w:rPr>
              <w:t>Lender funded less than 10% of sales for the year.</w:t>
            </w:r>
          </w:p>
        </w:tc>
      </w:tr>
    </w:tbl>
    <w:p>
      <w:pPr>
        <w:pStyle w:val="TextBody"/>
        <w:bidi w:val="0"/>
        <w:spacing w:before="0" w:after="0"/>
        <w:ind w:left="0" w:right="0" w:hanging="0"/>
        <w:jc w:val="righ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Additionally, the following lenders owed a significant portion of the Company’s account receivable balance as of December 31:</w:t>
      </w:r>
    </w:p>
    <w:p>
      <w:pPr>
        <w:pStyle w:val="TextBody"/>
        <w:bidi w:val="0"/>
        <w:spacing w:before="0" w:after="0"/>
        <w:ind w:left="0" w:right="0" w:hanging="0"/>
        <w:jc w:val="both"/>
        <w:rPr>
          <w:caps w:val="false"/>
          <w:smallCaps w:val="false"/>
        </w:rPr>
      </w:pPr>
      <w:r>
        <w:rPr>
          <w:caps w:val="false"/>
          <w:smallCaps w:val="false"/>
        </w:rPr>
        <w:t> </w:t>
      </w:r>
    </w:p>
    <w:tbl>
      <w:tblPr>
        <w:tblW w:w="1740" w:type="dxa"/>
        <w:jc w:val="left"/>
        <w:tblInd w:w="0" w:type="dxa"/>
        <w:tblLayout w:type="fixed"/>
        <w:tblCellMar>
          <w:top w:w="0" w:type="dxa"/>
          <w:left w:w="0" w:type="dxa"/>
          <w:bottom w:w="0" w:type="dxa"/>
          <w:right w:w="0" w:type="dxa"/>
        </w:tblCellMar>
      </w:tblPr>
      <w:tblGrid>
        <w:gridCol w:w="950"/>
        <w:gridCol w:w="60"/>
        <w:gridCol w:w="93"/>
        <w:gridCol w:w="407"/>
        <w:gridCol w:w="230"/>
      </w:tblGrid>
      <w:tr>
        <w:trPr/>
        <w:tc>
          <w:tcPr>
            <w:tcW w:w="95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0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2024</w:t>
            </w:r>
          </w:p>
        </w:tc>
        <w:tc>
          <w:tcPr>
            <w:tcW w:w="230" w:type="dxa"/>
            <w:tcBorders/>
            <w:vAlign w:val="center"/>
          </w:tcPr>
          <w:p>
            <w:pPr>
              <w:pStyle w:val="TableContents"/>
              <w:bidi w:val="0"/>
              <w:spacing w:before="0" w:after="283"/>
              <w:jc w:val="left"/>
              <w:rPr/>
            </w:pPr>
            <w:r>
              <w:rPr/>
              <w:t> </w:t>
            </w:r>
          </w:p>
        </w:tc>
      </w:tr>
      <w:tr>
        <w:trPr/>
        <w:tc>
          <w:tcPr>
            <w:tcW w:w="950" w:type="dxa"/>
            <w:tcBorders/>
            <w:shd w:fill="CCEEFF" w:val="clear"/>
            <w:vAlign w:val="center"/>
          </w:tcPr>
          <w:p>
            <w:pPr>
              <w:pStyle w:val="TableContents"/>
              <w:bidi w:val="0"/>
              <w:spacing w:before="0" w:after="283"/>
              <w:jc w:val="left"/>
              <w:rPr/>
            </w:pPr>
            <w:r>
              <w:rPr/>
              <w:t>Lender A</w:t>
            </w:r>
          </w:p>
        </w:tc>
        <w:tc>
          <w:tcPr>
            <w:tcW w:w="60" w:type="dxa"/>
            <w:tcBorders/>
            <w:shd w:fill="CCEEFF" w:val="clear"/>
            <w:vAlign w:val="center"/>
          </w:tcPr>
          <w:p>
            <w:pPr>
              <w:pStyle w:val="TableContents"/>
              <w:bidi w:val="0"/>
              <w:spacing w:before="0" w:after="283"/>
              <w:jc w:val="left"/>
              <w:rPr/>
            </w:pPr>
            <w:r>
              <w:rPr/>
              <w:t> </w:t>
            </w:r>
          </w:p>
        </w:tc>
        <w:tc>
          <w:tcPr>
            <w:tcW w:w="93" w:type="dxa"/>
            <w:tcBorders/>
            <w:shd w:fill="CCEEFF" w:val="clear"/>
            <w:vAlign w:val="center"/>
          </w:tcPr>
          <w:p>
            <w:pPr>
              <w:pStyle w:val="TableContents"/>
              <w:bidi w:val="0"/>
              <w:spacing w:before="0" w:after="283"/>
              <w:jc w:val="left"/>
              <w:rPr/>
            </w:pPr>
            <w:r>
              <w:rPr/>
              <w:t> </w:t>
            </w:r>
          </w:p>
        </w:tc>
        <w:tc>
          <w:tcPr>
            <w:tcW w:w="407" w:type="dxa"/>
            <w:tcBorders/>
            <w:shd w:fill="CCEEFF" w:val="clear"/>
            <w:vAlign w:val="center"/>
          </w:tcPr>
          <w:p>
            <w:pPr>
              <w:pStyle w:val="TableContents"/>
              <w:bidi w:val="0"/>
              <w:spacing w:before="0" w:after="283"/>
              <w:jc w:val="right"/>
              <w:rPr/>
            </w:pPr>
            <w:r>
              <w:rPr/>
              <w:t>46</w:t>
            </w:r>
          </w:p>
        </w:tc>
        <w:tc>
          <w:tcPr>
            <w:tcW w:w="230" w:type="dxa"/>
            <w:tcBorders/>
            <w:shd w:fill="CCEEFF" w:val="clear"/>
            <w:vAlign w:val="center"/>
          </w:tcPr>
          <w:p>
            <w:pPr>
              <w:pStyle w:val="TableContents"/>
              <w:bidi w:val="0"/>
              <w:spacing w:before="0" w:after="283"/>
              <w:jc w:val="left"/>
              <w:rPr/>
            </w:pPr>
            <w:r>
              <w:rPr/>
              <w:t>%</w:t>
            </w:r>
          </w:p>
        </w:tc>
      </w:tr>
      <w:tr>
        <w:trPr/>
        <w:tc>
          <w:tcPr>
            <w:tcW w:w="950" w:type="dxa"/>
            <w:tcBorders/>
            <w:shd w:fill="FFFFFF" w:val="clear"/>
            <w:vAlign w:val="center"/>
          </w:tcPr>
          <w:p>
            <w:pPr>
              <w:pStyle w:val="TableContents"/>
              <w:bidi w:val="0"/>
              <w:spacing w:before="0" w:after="283"/>
              <w:jc w:val="left"/>
              <w:rPr/>
            </w:pPr>
            <w:r>
              <w:rPr/>
              <w:t>Lender B</w:t>
            </w:r>
          </w:p>
        </w:tc>
        <w:tc>
          <w:tcPr>
            <w:tcW w:w="60" w:type="dxa"/>
            <w:tcBorders/>
            <w:shd w:fill="FFFFFF" w:val="clear"/>
            <w:vAlign w:val="center"/>
          </w:tcPr>
          <w:p>
            <w:pPr>
              <w:pStyle w:val="TableContents"/>
              <w:bidi w:val="0"/>
              <w:spacing w:before="0" w:after="283"/>
              <w:jc w:val="left"/>
              <w:rPr/>
            </w:pPr>
            <w:r>
              <w:rPr/>
              <w:t> </w:t>
            </w:r>
          </w:p>
        </w:tc>
        <w:tc>
          <w:tcPr>
            <w:tcW w:w="93" w:type="dxa"/>
            <w:tcBorders/>
            <w:shd w:fill="FFFFFF" w:val="clear"/>
            <w:vAlign w:val="center"/>
          </w:tcPr>
          <w:p>
            <w:pPr>
              <w:pStyle w:val="TableContents"/>
              <w:bidi w:val="0"/>
              <w:spacing w:before="0" w:after="283"/>
              <w:jc w:val="left"/>
              <w:rPr/>
            </w:pPr>
            <w:r>
              <w:rPr/>
              <w:t> </w:t>
            </w:r>
          </w:p>
        </w:tc>
        <w:tc>
          <w:tcPr>
            <w:tcW w:w="407" w:type="dxa"/>
            <w:tcBorders/>
            <w:shd w:fill="FFFFFF" w:val="clear"/>
            <w:vAlign w:val="center"/>
          </w:tcPr>
          <w:p>
            <w:pPr>
              <w:pStyle w:val="TableContents"/>
              <w:bidi w:val="0"/>
              <w:spacing w:before="0" w:after="283"/>
              <w:jc w:val="right"/>
              <w:rPr/>
            </w:pPr>
            <w:r>
              <w:rPr/>
              <w:t>31</w:t>
            </w:r>
          </w:p>
        </w:tc>
        <w:tc>
          <w:tcPr>
            <w:tcW w:w="230" w:type="dxa"/>
            <w:tcBorders/>
            <w:shd w:fill="FFFFFF" w:val="clear"/>
            <w:vAlign w:val="center"/>
          </w:tcPr>
          <w:p>
            <w:pPr>
              <w:pStyle w:val="TableContents"/>
              <w:bidi w:val="0"/>
              <w:spacing w:before="0" w:after="283"/>
              <w:jc w:val="left"/>
              <w:rPr/>
            </w:pPr>
            <w:r>
              <w:rPr/>
              <w:t>%</w:t>
            </w:r>
          </w:p>
        </w:tc>
      </w:tr>
      <w:tr>
        <w:trPr/>
        <w:tc>
          <w:tcPr>
            <w:tcW w:w="950" w:type="dxa"/>
            <w:tcBorders/>
            <w:shd w:fill="CCEEFF" w:val="clear"/>
            <w:vAlign w:val="center"/>
          </w:tcPr>
          <w:p>
            <w:pPr>
              <w:pStyle w:val="TableContents"/>
              <w:bidi w:val="0"/>
              <w:spacing w:before="0" w:after="283"/>
              <w:jc w:val="left"/>
              <w:rPr/>
            </w:pPr>
            <w:r>
              <w:rPr/>
              <w:t>Lender D</w:t>
            </w:r>
          </w:p>
        </w:tc>
        <w:tc>
          <w:tcPr>
            <w:tcW w:w="60" w:type="dxa"/>
            <w:tcBorders/>
            <w:shd w:fill="CCEEFF" w:val="clear"/>
            <w:vAlign w:val="center"/>
          </w:tcPr>
          <w:p>
            <w:pPr>
              <w:pStyle w:val="TableContents"/>
              <w:bidi w:val="0"/>
              <w:spacing w:before="0" w:after="283"/>
              <w:jc w:val="left"/>
              <w:rPr/>
            </w:pPr>
            <w:r>
              <w:rPr/>
              <w:t> </w:t>
            </w:r>
          </w:p>
        </w:tc>
        <w:tc>
          <w:tcPr>
            <w:tcW w:w="93"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407" w:type="dxa"/>
            <w:tcBorders>
              <w:bottom w:val="single" w:sz="12" w:space="0" w:color="000000"/>
            </w:tcBorders>
            <w:shd w:fill="CCEEFF" w:val="clear"/>
            <w:tcMar>
              <w:bottom w:w="28" w:type="dxa"/>
            </w:tcMar>
            <w:vAlign w:val="center"/>
          </w:tcPr>
          <w:p>
            <w:pPr>
              <w:pStyle w:val="TableContents"/>
              <w:bidi w:val="0"/>
              <w:spacing w:before="0" w:after="283"/>
              <w:jc w:val="right"/>
              <w:rPr/>
            </w:pPr>
            <w:r>
              <w:rPr/>
              <w:t>10</w:t>
            </w:r>
          </w:p>
        </w:tc>
        <w:tc>
          <w:tcPr>
            <w:tcW w:w="230" w:type="dxa"/>
            <w:tcBorders/>
            <w:shd w:fill="CCEEFF" w:val="clear"/>
            <w:vAlign w:val="center"/>
          </w:tcPr>
          <w:p>
            <w:pPr>
              <w:pStyle w:val="TableContents"/>
              <w:bidi w:val="0"/>
              <w:spacing w:before="0" w:after="283"/>
              <w:jc w:val="left"/>
              <w:rPr/>
            </w:pPr>
            <w:r>
              <w:rPr/>
              <w:t>%</w:t>
            </w:r>
          </w:p>
        </w:tc>
      </w:tr>
    </w:tbl>
    <w:p>
      <w:pPr>
        <w:pStyle w:val="TextBody"/>
        <w:bidi w:val="0"/>
        <w:spacing w:before="0" w:after="0"/>
        <w:ind w:left="0" w:right="0" w:hanging="0"/>
        <w:jc w:val="left"/>
        <w:rPr>
          <w:caps w:val="false"/>
          <w:smallCaps w:val="false"/>
        </w:rPr>
      </w:pPr>
      <w:r>
        <w:rPr>
          <w:caps w:val="false"/>
          <w:smallCaps w:val="false"/>
        </w:rPr>
        <w:t> </w:t>
      </w:r>
    </w:p>
    <w:tbl>
      <w:tblPr>
        <w:tblW w:w="6925" w:type="dxa"/>
        <w:jc w:val="left"/>
        <w:tblInd w:w="0" w:type="dxa"/>
        <w:tblLayout w:type="fixed"/>
        <w:tblCellMar>
          <w:top w:w="0" w:type="dxa"/>
          <w:left w:w="0" w:type="dxa"/>
          <w:bottom w:w="0" w:type="dxa"/>
          <w:right w:w="0" w:type="dxa"/>
        </w:tblCellMar>
      </w:tblPr>
      <w:tblGrid>
        <w:gridCol w:w="155"/>
        <w:gridCol w:w="6770"/>
      </w:tblGrid>
      <w:tr>
        <w:trPr/>
        <w:tc>
          <w:tcPr>
            <w:tcW w:w="155" w:type="dxa"/>
            <w:tcBorders/>
            <w:vAlign w:val="center"/>
          </w:tcPr>
          <w:p>
            <w:pPr>
              <w:pStyle w:val="TableContents"/>
              <w:bidi w:val="0"/>
              <w:spacing w:before="0" w:after="283"/>
              <w:jc w:val="left"/>
              <w:rPr/>
            </w:pPr>
            <w:r>
              <w:rPr/>
              <w:t>*</w:t>
            </w:r>
          </w:p>
        </w:tc>
        <w:tc>
          <w:tcPr>
            <w:tcW w:w="6770" w:type="dxa"/>
            <w:tcBorders/>
            <w:vAlign w:val="center"/>
          </w:tcPr>
          <w:p>
            <w:pPr>
              <w:pStyle w:val="TableContents"/>
              <w:bidi w:val="0"/>
              <w:spacing w:before="0" w:after="283"/>
              <w:jc w:val="both"/>
              <w:rPr/>
            </w:pPr>
            <w:r>
              <w:rPr/>
              <w:t>Lender accounted for less than 10% of the accounts receivable balance.</w:t>
            </w:r>
          </w:p>
        </w:tc>
      </w:tr>
    </w:tbl>
    <w:p>
      <w:pPr>
        <w:pStyle w:val="TextBody"/>
        <w:bidi w:val="0"/>
        <w:spacing w:before="0" w:after="0"/>
        <w:ind w:left="0" w:right="0" w:hanging="0"/>
        <w:jc w:val="righ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Major vendors are defined as those vendors to which expenditures made by the Company are 10% or more of the Company’s total purchases. The following was a major vendor for the year ended December 31:</w:t>
      </w:r>
    </w:p>
    <w:p>
      <w:pPr>
        <w:pStyle w:val="TextBody"/>
        <w:bidi w:val="0"/>
        <w:spacing w:before="0" w:after="0"/>
        <w:ind w:left="0" w:right="0" w:hanging="0"/>
        <w:jc w:val="right"/>
        <w:rPr>
          <w:caps w:val="false"/>
          <w:smallCaps w:val="false"/>
        </w:rPr>
      </w:pPr>
      <w:r>
        <w:rPr>
          <w:caps w:val="false"/>
          <w:smallCaps w:val="false"/>
        </w:rPr>
        <w:t> </w:t>
      </w:r>
    </w:p>
    <w:tbl>
      <w:tblPr>
        <w:tblW w:w="1785" w:type="dxa"/>
        <w:jc w:val="left"/>
        <w:tblInd w:w="0" w:type="dxa"/>
        <w:tblLayout w:type="fixed"/>
        <w:tblCellMar>
          <w:top w:w="0" w:type="dxa"/>
          <w:left w:w="0" w:type="dxa"/>
          <w:bottom w:w="0" w:type="dxa"/>
          <w:right w:w="0" w:type="dxa"/>
        </w:tblCellMar>
      </w:tblPr>
      <w:tblGrid>
        <w:gridCol w:w="995"/>
        <w:gridCol w:w="60"/>
        <w:gridCol w:w="93"/>
        <w:gridCol w:w="407"/>
        <w:gridCol w:w="230"/>
      </w:tblGrid>
      <w:tr>
        <w:trPr/>
        <w:tc>
          <w:tcPr>
            <w:tcW w:w="9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0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2024</w:t>
            </w:r>
          </w:p>
        </w:tc>
        <w:tc>
          <w:tcPr>
            <w:tcW w:w="230" w:type="dxa"/>
            <w:tcBorders/>
            <w:vAlign w:val="center"/>
          </w:tcPr>
          <w:p>
            <w:pPr>
              <w:pStyle w:val="TableContents"/>
              <w:bidi w:val="0"/>
              <w:spacing w:before="0" w:after="283"/>
              <w:jc w:val="left"/>
              <w:rPr/>
            </w:pPr>
            <w:r>
              <w:rPr/>
              <w:t> </w:t>
            </w:r>
          </w:p>
        </w:tc>
      </w:tr>
      <w:tr>
        <w:trPr/>
        <w:tc>
          <w:tcPr>
            <w:tcW w:w="995" w:type="dxa"/>
            <w:tcBorders/>
            <w:shd w:fill="CCEEFF" w:val="clear"/>
            <w:vAlign w:val="center"/>
          </w:tcPr>
          <w:p>
            <w:pPr>
              <w:pStyle w:val="TableContents"/>
              <w:bidi w:val="0"/>
              <w:spacing w:before="0" w:after="283"/>
              <w:jc w:val="left"/>
              <w:rPr/>
            </w:pPr>
            <w:r>
              <w:rPr/>
              <w:t>Vendor A</w:t>
            </w:r>
          </w:p>
        </w:tc>
        <w:tc>
          <w:tcPr>
            <w:tcW w:w="60" w:type="dxa"/>
            <w:tcBorders/>
            <w:shd w:fill="CCEEFF" w:val="clear"/>
            <w:vAlign w:val="center"/>
          </w:tcPr>
          <w:p>
            <w:pPr>
              <w:pStyle w:val="TableContents"/>
              <w:bidi w:val="0"/>
              <w:spacing w:before="0" w:after="283"/>
              <w:jc w:val="left"/>
              <w:rPr/>
            </w:pPr>
            <w:r>
              <w:rPr/>
              <w:t> </w:t>
            </w:r>
          </w:p>
        </w:tc>
        <w:tc>
          <w:tcPr>
            <w:tcW w:w="93"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407" w:type="dxa"/>
            <w:tcBorders>
              <w:bottom w:val="single" w:sz="12" w:space="0" w:color="000000"/>
            </w:tcBorders>
            <w:shd w:fill="CCEEFF" w:val="clear"/>
            <w:tcMar>
              <w:bottom w:w="28" w:type="dxa"/>
            </w:tcMar>
            <w:vAlign w:val="center"/>
          </w:tcPr>
          <w:p>
            <w:pPr>
              <w:pStyle w:val="TableContents"/>
              <w:bidi w:val="0"/>
              <w:spacing w:before="0" w:after="283"/>
              <w:jc w:val="right"/>
              <w:rPr/>
            </w:pPr>
            <w:r>
              <w:rPr/>
              <w:t>58</w:t>
            </w:r>
          </w:p>
        </w:tc>
        <w:tc>
          <w:tcPr>
            <w:tcW w:w="230" w:type="dxa"/>
            <w:tcBorders/>
            <w:shd w:fill="CCEEFF" w:val="clear"/>
            <w:vAlign w:val="center"/>
          </w:tcPr>
          <w:p>
            <w:pPr>
              <w:pStyle w:val="TableContents"/>
              <w:bidi w:val="0"/>
              <w:spacing w:before="0" w:after="283"/>
              <w:jc w:val="left"/>
              <w:rPr/>
            </w:pPr>
            <w:r>
              <w:rPr/>
              <w:t>%</w:t>
            </w:r>
          </w:p>
        </w:tc>
      </w:tr>
    </w:tbl>
    <w:p>
      <w:pPr>
        <w:pStyle w:val="TextBody"/>
        <w:bidi w:val="0"/>
        <w:spacing w:before="0" w:after="0"/>
        <w:ind w:left="0" w:right="0" w:hanging="0"/>
        <w:jc w:val="right"/>
        <w:rPr>
          <w:caps w:val="false"/>
          <w:smallCaps w:val="false"/>
        </w:rPr>
      </w:pPr>
      <w:r>
        <w:rPr>
          <w:caps w:val="false"/>
          <w:smallCaps w:val="false"/>
        </w:rPr>
        <w:t> </w:t>
      </w:r>
    </w:p>
    <w:p>
      <w:pPr>
        <w:pStyle w:val="TextBody"/>
        <w:bidi w:val="0"/>
        <w:spacing w:before="0" w:after="0"/>
        <w:ind w:left="0" w:right="0" w:hanging="0"/>
        <w:jc w:val="center"/>
        <w:rPr>
          <w:sz w:val="20"/>
          <w:bdr w:val="single" w:sz="12" w:space="1" w:color="000000"/>
        </w:rPr>
      </w:pPr>
      <w:r>
        <w:rPr>
          <w:sz w:val="20"/>
          <w:bdr w:val="single" w:sz="12" w:space="1" w:color="000000"/>
        </w:rPr>
        <w:t>F-153</w:t>
      </w:r>
    </w:p>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left"/>
        <w:rPr>
          <w:caps w:val="false"/>
          <w:smallCaps w:val="false"/>
        </w:rPr>
      </w:pPr>
      <w:r>
        <w:rPr>
          <w:caps w:val="false"/>
          <w:smallCaps w:val="false"/>
        </w:rPr>
        <w:drawing>
          <wp:inline distT="0" distB="0" distL="0" distR="0">
            <wp:extent cx="7143750" cy="57150"/>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embed="rId11"/>
                    <a:stretch>
                      <a:fillRect/>
                    </a:stretch>
                  </pic:blipFill>
                  <pic:spPr bwMode="auto">
                    <a:xfrm>
                      <a:off x="0" y="0"/>
                      <a:ext cx="7143750" cy="57150"/>
                    </a:xfrm>
                    <a:prstGeom prst="rect">
                      <a:avLst/>
                    </a:prstGeom>
                  </pic:spPr>
                </pic:pic>
              </a:graphicData>
            </a:graphic>
          </wp:inline>
        </w:drawing>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Lease Commitments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leases certain office and warehouse space, and vehicles. The Company assesses whether an arrangement qualifies as a lease (i.e., conveys the right to control the use of an identified asset for a period of time in exchange for consideration) at inception and whether the arrangement is an operating or finance lease, and only reassesses its determination if the terms and conditions of the arrangement are changed. For all arrangements where it is determined that a lease exists, the related right-of-use assets and lease liabilities are recorded within the balance sheet as either operating or finance leases. At inception or modification, the Company calculates the present value of lease payments using the implicit rate determined from the contract or the Company’s incremental borrowing rate applicable to the lease, which is determined by estimating what it would cost the Company to borrow a collateralized amount equal to the total lease payments over the lease term based on the contractual terms of the lease and the location of the leased asset. The present value is adjusted for prepaid lease payments, lease incentives, and initial direct costs (e.g. commissions). The Company’s leases may require fixed rental payments, variable lease payments based on usage or sales and fixed non-lease costs relating to the leased asset.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Variable lease payments are generally not included in the measurement of the right-of-use assets and lease liabilities. Leases with an initial term of 12 months or less are not recorded on the balance sheet. Lease expense is recognized for these leases on a straight-line basis over the lease term. Fixed non-lease costs, for example common-area maintenance costs, taxes, insurance, and maintenance, are excluded from the measurement of the right-of-use asset and lease liability as the Company separates lease and non-lease components.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Some leases include one or more options to renew, with renewal terms that can extend the lease term for up to three years. The exercise of lease renewal options is at the Company’s sole discretion. The depreciable life of the assets and leasehold improvements are limited by the expected term unless there is a transfer of title or purchase option reasonably certain of exercise.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Accounts Receivable, Contract Assets, and Allowance for Credit Losses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records its accounts receivable and contract assets at sales value. The Company’s contract assets consist of revenues recognized by the Company, but for which the Company has not yet been able to contractually invoice for final payment. The Company has tracked historical loss information for its accounts receivable and contract assets and compiled historical credit loss percentages for customers who share similar risk characteristics considering current trends and forecasts. Management believes that the historical loss information it has compiled is a reasonable basis on which to determine expected credit losses for accounts receivable and contract assets held as of year end because the composition of the accounts receivable and contract assets at that date is consistent with that used in developing the historical credit-loss percentages (i.e. the similar risk characteristics of its customers and its lending practices have not changed significantly over time). Final payment of the Company’s accounts receivable is considered past due when payment has not been received within 30 days of the invoice date. Account balances are charged off against the allowance for credit losses when the probability for recovery is remote. Recoveries of receivables previously charged off are recorded when cash payment is received. As of December 31, 2024, the allowance for credit losses was $123,000.</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Property and Equipment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Property and equipment are stated at cost less accumulated depreciation and amortization. Depreciation and amortization are calculated using the straight-line method over the estimated economic useful lives of the assets or over the related lease terms (if shorter) as follows:</w:t>
      </w:r>
    </w:p>
    <w:p>
      <w:pPr>
        <w:pStyle w:val="TextBody"/>
        <w:bidi w:val="0"/>
        <w:spacing w:before="0" w:after="0"/>
        <w:ind w:left="0" w:right="0" w:hanging="0"/>
        <w:jc w:val="both"/>
        <w:rPr>
          <w:caps w:val="false"/>
          <w:smallCaps w:val="false"/>
        </w:rPr>
      </w:pPr>
      <w:r>
        <w:rPr>
          <w:caps w:val="false"/>
          <w:smallCaps w:val="false"/>
        </w:rPr>
        <w:t> </w:t>
      </w:r>
    </w:p>
    <w:tbl>
      <w:tblPr>
        <w:tblW w:w="3370" w:type="dxa"/>
        <w:jc w:val="left"/>
        <w:tblInd w:w="0" w:type="dxa"/>
        <w:tblLayout w:type="fixed"/>
        <w:tblCellMar>
          <w:top w:w="0" w:type="dxa"/>
          <w:left w:w="0" w:type="dxa"/>
          <w:bottom w:w="0" w:type="dxa"/>
          <w:right w:w="0" w:type="dxa"/>
        </w:tblCellMar>
      </w:tblPr>
      <w:tblGrid>
        <w:gridCol w:w="2405"/>
        <w:gridCol w:w="60"/>
        <w:gridCol w:w="905"/>
      </w:tblGrid>
      <w:tr>
        <w:trPr/>
        <w:tc>
          <w:tcPr>
            <w:tcW w:w="2405" w:type="dxa"/>
            <w:tcBorders/>
            <w:shd w:fill="CCEEFF" w:val="clear"/>
            <w:vAlign w:val="center"/>
          </w:tcPr>
          <w:p>
            <w:pPr>
              <w:pStyle w:val="TableContents"/>
              <w:bidi w:val="0"/>
              <w:spacing w:before="0" w:after="283"/>
              <w:jc w:val="left"/>
              <w:rPr/>
            </w:pPr>
            <w:r>
              <w:rPr/>
              <w:t>Tools and gear</w:t>
            </w:r>
          </w:p>
        </w:tc>
        <w:tc>
          <w:tcPr>
            <w:tcW w:w="60" w:type="dxa"/>
            <w:tcBorders/>
            <w:shd w:fill="CCEEFF" w:val="clear"/>
            <w:vAlign w:val="center"/>
          </w:tcPr>
          <w:p>
            <w:pPr>
              <w:pStyle w:val="TableContents"/>
              <w:bidi w:val="0"/>
              <w:spacing w:before="0" w:after="283"/>
              <w:jc w:val="left"/>
              <w:rPr/>
            </w:pPr>
            <w:r>
              <w:rPr/>
              <w:t> </w:t>
            </w:r>
          </w:p>
        </w:tc>
        <w:tc>
          <w:tcPr>
            <w:tcW w:w="905" w:type="dxa"/>
            <w:tcBorders/>
            <w:shd w:fill="CCEEFF" w:val="clear"/>
            <w:vAlign w:val="center"/>
          </w:tcPr>
          <w:p>
            <w:pPr>
              <w:pStyle w:val="TableContents"/>
              <w:bidi w:val="0"/>
              <w:spacing w:before="0" w:after="283"/>
              <w:jc w:val="center"/>
              <w:rPr/>
            </w:pPr>
            <w:r>
              <w:rPr/>
              <w:t>3 years</w:t>
            </w:r>
          </w:p>
        </w:tc>
      </w:tr>
      <w:tr>
        <w:trPr/>
        <w:tc>
          <w:tcPr>
            <w:tcW w:w="2405" w:type="dxa"/>
            <w:tcBorders/>
            <w:shd w:fill="FFFFFF" w:val="clear"/>
            <w:vAlign w:val="center"/>
          </w:tcPr>
          <w:p>
            <w:pPr>
              <w:pStyle w:val="TableContents"/>
              <w:bidi w:val="0"/>
              <w:spacing w:before="0" w:after="283"/>
              <w:jc w:val="left"/>
              <w:rPr/>
            </w:pPr>
            <w:r>
              <w:rPr/>
              <w:t>Computer equipment</w:t>
            </w:r>
          </w:p>
        </w:tc>
        <w:tc>
          <w:tcPr>
            <w:tcW w:w="60" w:type="dxa"/>
            <w:tcBorders/>
            <w:shd w:fill="FFFFFF" w:val="clear"/>
            <w:vAlign w:val="center"/>
          </w:tcPr>
          <w:p>
            <w:pPr>
              <w:pStyle w:val="TableContents"/>
              <w:bidi w:val="0"/>
              <w:spacing w:before="0" w:after="283"/>
              <w:jc w:val="left"/>
              <w:rPr/>
            </w:pPr>
            <w:r>
              <w:rPr/>
              <w:t> </w:t>
            </w:r>
          </w:p>
        </w:tc>
        <w:tc>
          <w:tcPr>
            <w:tcW w:w="905" w:type="dxa"/>
            <w:tcBorders/>
            <w:shd w:fill="FFFFFF" w:val="clear"/>
            <w:vAlign w:val="center"/>
          </w:tcPr>
          <w:p>
            <w:pPr>
              <w:pStyle w:val="TableContents"/>
              <w:bidi w:val="0"/>
              <w:spacing w:before="0" w:after="283"/>
              <w:jc w:val="center"/>
              <w:rPr/>
            </w:pPr>
            <w:r>
              <w:rPr/>
              <w:t>3 years</w:t>
            </w:r>
          </w:p>
        </w:tc>
      </w:tr>
      <w:tr>
        <w:trPr/>
        <w:tc>
          <w:tcPr>
            <w:tcW w:w="2405" w:type="dxa"/>
            <w:tcBorders/>
            <w:shd w:fill="CCEEFF" w:val="clear"/>
            <w:vAlign w:val="center"/>
          </w:tcPr>
          <w:p>
            <w:pPr>
              <w:pStyle w:val="TableContents"/>
              <w:bidi w:val="0"/>
              <w:spacing w:before="0" w:after="283"/>
              <w:jc w:val="left"/>
              <w:rPr/>
            </w:pPr>
            <w:r>
              <w:rPr/>
              <w:t>Furniture</w:t>
            </w:r>
          </w:p>
        </w:tc>
        <w:tc>
          <w:tcPr>
            <w:tcW w:w="60" w:type="dxa"/>
            <w:tcBorders/>
            <w:shd w:fill="CCEEFF" w:val="clear"/>
            <w:vAlign w:val="center"/>
          </w:tcPr>
          <w:p>
            <w:pPr>
              <w:pStyle w:val="TableContents"/>
              <w:bidi w:val="0"/>
              <w:spacing w:before="0" w:after="283"/>
              <w:jc w:val="left"/>
              <w:rPr/>
            </w:pPr>
            <w:r>
              <w:rPr/>
              <w:t> </w:t>
            </w:r>
          </w:p>
        </w:tc>
        <w:tc>
          <w:tcPr>
            <w:tcW w:w="905" w:type="dxa"/>
            <w:tcBorders/>
            <w:shd w:fill="CCEEFF" w:val="clear"/>
            <w:vAlign w:val="center"/>
          </w:tcPr>
          <w:p>
            <w:pPr>
              <w:pStyle w:val="TableContents"/>
              <w:bidi w:val="0"/>
              <w:spacing w:before="0" w:after="283"/>
              <w:jc w:val="center"/>
              <w:rPr/>
            </w:pPr>
            <w:r>
              <w:rPr/>
              <w:t>5 years</w:t>
            </w:r>
          </w:p>
        </w:tc>
      </w:tr>
      <w:tr>
        <w:trPr/>
        <w:tc>
          <w:tcPr>
            <w:tcW w:w="2405" w:type="dxa"/>
            <w:tcBorders/>
            <w:shd w:fill="FFFFFF" w:val="clear"/>
            <w:vAlign w:val="center"/>
          </w:tcPr>
          <w:p>
            <w:pPr>
              <w:pStyle w:val="TableContents"/>
              <w:bidi w:val="0"/>
              <w:spacing w:before="0" w:after="283"/>
              <w:jc w:val="left"/>
              <w:rPr/>
            </w:pPr>
            <w:r>
              <w:rPr/>
              <w:t>Vehicles</w:t>
            </w:r>
          </w:p>
        </w:tc>
        <w:tc>
          <w:tcPr>
            <w:tcW w:w="60" w:type="dxa"/>
            <w:tcBorders/>
            <w:shd w:fill="FFFFFF" w:val="clear"/>
            <w:vAlign w:val="center"/>
          </w:tcPr>
          <w:p>
            <w:pPr>
              <w:pStyle w:val="TableContents"/>
              <w:bidi w:val="0"/>
              <w:spacing w:before="0" w:after="283"/>
              <w:jc w:val="left"/>
              <w:rPr/>
            </w:pPr>
            <w:r>
              <w:rPr/>
              <w:t> </w:t>
            </w:r>
          </w:p>
        </w:tc>
        <w:tc>
          <w:tcPr>
            <w:tcW w:w="905" w:type="dxa"/>
            <w:tcBorders/>
            <w:shd w:fill="FFFFFF" w:val="clear"/>
            <w:vAlign w:val="center"/>
          </w:tcPr>
          <w:p>
            <w:pPr>
              <w:pStyle w:val="TableContents"/>
              <w:bidi w:val="0"/>
              <w:spacing w:before="0" w:after="283"/>
              <w:jc w:val="center"/>
              <w:rPr/>
            </w:pPr>
            <w:r>
              <w:rPr/>
              <w:t>3 years</w:t>
            </w:r>
          </w:p>
        </w:tc>
      </w:tr>
      <w:tr>
        <w:trPr/>
        <w:tc>
          <w:tcPr>
            <w:tcW w:w="2405" w:type="dxa"/>
            <w:tcBorders/>
            <w:shd w:fill="CCEEFF" w:val="clear"/>
            <w:vAlign w:val="center"/>
          </w:tcPr>
          <w:p>
            <w:pPr>
              <w:pStyle w:val="TableContents"/>
              <w:bidi w:val="0"/>
              <w:spacing w:before="0" w:after="283"/>
              <w:jc w:val="left"/>
              <w:rPr/>
            </w:pPr>
            <w:r>
              <w:rPr/>
              <w:t>Leasehold improvements</w:t>
            </w:r>
          </w:p>
        </w:tc>
        <w:tc>
          <w:tcPr>
            <w:tcW w:w="60" w:type="dxa"/>
            <w:tcBorders/>
            <w:shd w:fill="CCEEFF" w:val="clear"/>
            <w:vAlign w:val="center"/>
          </w:tcPr>
          <w:p>
            <w:pPr>
              <w:pStyle w:val="TableContents"/>
              <w:bidi w:val="0"/>
              <w:spacing w:before="0" w:after="283"/>
              <w:jc w:val="left"/>
              <w:rPr/>
            </w:pPr>
            <w:r>
              <w:rPr/>
              <w:t> </w:t>
            </w:r>
          </w:p>
        </w:tc>
        <w:tc>
          <w:tcPr>
            <w:tcW w:w="905" w:type="dxa"/>
            <w:tcBorders/>
            <w:shd w:fill="CCEEFF" w:val="clear"/>
            <w:vAlign w:val="center"/>
          </w:tcPr>
          <w:p>
            <w:pPr>
              <w:pStyle w:val="TableContents"/>
              <w:bidi w:val="0"/>
              <w:spacing w:before="0" w:after="283"/>
              <w:jc w:val="center"/>
              <w:rPr/>
            </w:pPr>
            <w:r>
              <w:rPr/>
              <w:t>1-3 years</w:t>
            </w:r>
          </w:p>
        </w:tc>
      </w:tr>
    </w:tbl>
    <w:p>
      <w:pPr>
        <w:pStyle w:val="TextBody"/>
        <w:bidi w:val="0"/>
        <w:spacing w:before="0" w:after="0"/>
        <w:ind w:left="0" w:right="0" w:hanging="0"/>
        <w:jc w:val="righ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Expenditures that materially increase values or capacities or extend useful lives of property and equipment are capitalized. Routine maintenance, repairs, and renewal costs are expensed as incurred. Upon sale or retirement of depreciable property, the costs and accumulated depreciation and amortization are removed from the related accounts and any gain or loss is reflected in the statement of operations and member’s deficit.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sz w:val="20"/>
          <w:bdr w:val="single" w:sz="12" w:space="1" w:color="000000"/>
        </w:rPr>
      </w:pPr>
      <w:r>
        <w:rPr>
          <w:sz w:val="20"/>
          <w:bdr w:val="single" w:sz="12" w:space="1" w:color="000000"/>
        </w:rPr>
        <w:t>F-154</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drawing>
          <wp:inline distT="0" distB="0" distL="0" distR="0">
            <wp:extent cx="7143750" cy="57150"/>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embed="rId12"/>
                    <a:stretch>
                      <a:fillRect/>
                    </a:stretch>
                  </pic:blipFill>
                  <pic:spPr bwMode="auto">
                    <a:xfrm>
                      <a:off x="0" y="0"/>
                      <a:ext cx="7143750" cy="57150"/>
                    </a:xfrm>
                    <a:prstGeom prst="rect">
                      <a:avLst/>
                    </a:prstGeom>
                  </pic:spPr>
                </pic:pic>
              </a:graphicData>
            </a:graphic>
          </wp:inline>
        </w:drawing>
      </w: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Impairment of Long-Lived Tangible Assets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Long-lived assets held and used by the Company are reviewed for impairment whenever events or changes in circumstances indicate that the carrying amount of the assets may be impaired. When such factors and circumstances exist, the Company compares the estimated undiscounted future cash flows associated with the related asset or group of assets over their estimated useful lives against their respective carrying amounts. Impairment, if any, is based on the excess of the carrying amounts over the fair values of those assets and is recorded in the period in which the determination is made. As of December 31, 2024, management determined that the Company’s tangible assets were not impaired.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Income Taxes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is organized as a limited liability company and is generally not subject to income taxed pertaining to operations; rather, the members of the limited liability company are taxed on their proportionate share of the Company’s taxable income. Therefore, no provision for income taxes has been included in the accompanying financial statements. The Company makes distributions to it member to pay income tax liabilities.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Generally accepted accounting principles require tax effects from an uncertain tax position to be recognized in the financial statements only if the position is more likely than not to be sustained if the position were to be challenged by a taxing authority. The assessment of the tax position is based solely on the technical merits of the position, without regard to the likelihood that the tax position may be challenged. If an uncertain tax position meets the more-likely-than-not threshold, the largest amount of tax benefit that is greater than 50% likely to be recognized upon ultimate settlement with the taxing authority is recorded. As of December 31, 2024, the Company had no uncertain tax positions that qualified for either recognition or disclosure in the financial statements. The Company is subject to routine audits by tax jurisdictions; however, there are currently no audits in progress.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Revenue Recognition and Deferred Revenue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primarily generates its revenues from selling and installing solar energy systems. Revenues are recognized when control of installed solar systems are transferred to customers in an amount that reflects the consideration expected to be received by the Company in exchange for the installed solar system. The Company determines revenue recognition through the following steps:</w:t>
      </w:r>
    </w:p>
    <w:p>
      <w:pPr>
        <w:pStyle w:val="TextBody"/>
        <w:bidi w:val="0"/>
        <w:spacing w:before="0" w:after="0"/>
        <w:ind w:left="0" w:right="0"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67"/>
        <w:gridCol w:w="303"/>
        <w:gridCol w:w="9835"/>
      </w:tblGrid>
      <w:tr>
        <w:trPr/>
        <w:tc>
          <w:tcPr>
            <w:tcW w:w="67"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pPr>
            <w:r>
              <w:rPr/>
              <w:t>●</w:t>
            </w:r>
          </w:p>
        </w:tc>
        <w:tc>
          <w:tcPr>
            <w:tcW w:w="9835"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Identification of the contract, or contracts, with a customer</w:t>
            </w:r>
          </w:p>
        </w:tc>
      </w:tr>
    </w:tbl>
    <w:p>
      <w:pPr>
        <w:pStyle w:val="TextBody"/>
        <w:bidi w:val="0"/>
        <w:spacing w:before="0" w:after="283"/>
        <w:jc w:val="left"/>
        <w:rPr/>
      </w:pPr>
      <w:r>
        <w:rPr/>
        <w:t> </w:t>
      </w:r>
    </w:p>
    <w:tbl>
      <w:tblPr>
        <w:tblW w:w="5000" w:type="pct"/>
        <w:jc w:val="left"/>
        <w:tblInd w:w="0" w:type="dxa"/>
        <w:tblLayout w:type="fixed"/>
        <w:tblCellMar>
          <w:top w:w="0" w:type="dxa"/>
          <w:left w:w="0" w:type="dxa"/>
          <w:bottom w:w="0" w:type="dxa"/>
          <w:right w:w="0" w:type="dxa"/>
        </w:tblCellMar>
      </w:tblPr>
      <w:tblGrid>
        <w:gridCol w:w="66"/>
        <w:gridCol w:w="298"/>
        <w:gridCol w:w="9841"/>
      </w:tblGrid>
      <w:tr>
        <w:trPr/>
        <w:tc>
          <w:tcPr>
            <w:tcW w:w="66"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pPr>
            <w:r>
              <w:rPr/>
              <w:t>●</w:t>
            </w:r>
          </w:p>
        </w:tc>
        <w:tc>
          <w:tcPr>
            <w:tcW w:w="9841"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Identification of the performance obligations in the contract</w:t>
            </w:r>
          </w:p>
        </w:tc>
      </w:tr>
    </w:tbl>
    <w:p>
      <w:pPr>
        <w:pStyle w:val="TextBody"/>
        <w:bidi w:val="0"/>
        <w:spacing w:before="0" w:after="283"/>
        <w:jc w:val="left"/>
        <w:rPr/>
      </w:pPr>
      <w:r>
        <w:rPr/>
        <w:t> </w:t>
      </w:r>
    </w:p>
    <w:tbl>
      <w:tblPr>
        <w:tblW w:w="5000" w:type="pct"/>
        <w:jc w:val="left"/>
        <w:tblInd w:w="0" w:type="dxa"/>
        <w:tblLayout w:type="fixed"/>
        <w:tblCellMar>
          <w:top w:w="0" w:type="dxa"/>
          <w:left w:w="0" w:type="dxa"/>
          <w:bottom w:w="0" w:type="dxa"/>
          <w:right w:w="0" w:type="dxa"/>
        </w:tblCellMar>
      </w:tblPr>
      <w:tblGrid>
        <w:gridCol w:w="101"/>
        <w:gridCol w:w="457"/>
        <w:gridCol w:w="9647"/>
      </w:tblGrid>
      <w:tr>
        <w:trPr/>
        <w:tc>
          <w:tcPr>
            <w:tcW w:w="101" w:type="dxa"/>
            <w:tcBorders/>
            <w:vAlign w:val="center"/>
          </w:tcPr>
          <w:p>
            <w:pPr>
              <w:pStyle w:val="TableContents"/>
              <w:bidi w:val="0"/>
              <w:spacing w:before="0" w:after="283"/>
              <w:jc w:val="left"/>
              <w:rPr>
                <w:sz w:val="4"/>
                <w:szCs w:val="4"/>
              </w:rPr>
            </w:pPr>
            <w:r>
              <w:rPr>
                <w:sz w:val="4"/>
                <w:szCs w:val="4"/>
              </w:rPr>
            </w:r>
          </w:p>
        </w:tc>
        <w:tc>
          <w:tcPr>
            <w:tcW w:w="457" w:type="dxa"/>
            <w:tcBorders/>
            <w:vAlign w:val="center"/>
          </w:tcPr>
          <w:p>
            <w:pPr>
              <w:pStyle w:val="TableContents"/>
              <w:bidi w:val="0"/>
              <w:spacing w:before="0" w:after="283"/>
              <w:jc w:val="left"/>
              <w:rPr/>
            </w:pPr>
            <w:r>
              <w:rPr/>
              <w:t>●</w:t>
            </w:r>
          </w:p>
        </w:tc>
        <w:tc>
          <w:tcPr>
            <w:tcW w:w="9647"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Determination of the transaction price</w:t>
            </w:r>
          </w:p>
        </w:tc>
      </w:tr>
    </w:tbl>
    <w:p>
      <w:pPr>
        <w:pStyle w:val="TextBody"/>
        <w:bidi w:val="0"/>
        <w:spacing w:before="0" w:after="283"/>
        <w:jc w:val="left"/>
        <w:rPr/>
      </w:pPr>
      <w:r>
        <w:rPr/>
        <w:t> </w:t>
      </w:r>
    </w:p>
    <w:tbl>
      <w:tblPr>
        <w:tblW w:w="5000" w:type="pct"/>
        <w:jc w:val="left"/>
        <w:tblInd w:w="0" w:type="dxa"/>
        <w:tblLayout w:type="fixed"/>
        <w:tblCellMar>
          <w:top w:w="0" w:type="dxa"/>
          <w:left w:w="0" w:type="dxa"/>
          <w:bottom w:w="0" w:type="dxa"/>
          <w:right w:w="0" w:type="dxa"/>
        </w:tblCellMar>
      </w:tblPr>
      <w:tblGrid>
        <w:gridCol w:w="49"/>
        <w:gridCol w:w="224"/>
        <w:gridCol w:w="9932"/>
      </w:tblGrid>
      <w:tr>
        <w:trPr/>
        <w:tc>
          <w:tcPr>
            <w:tcW w:w="49"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pPr>
            <w:r>
              <w:rPr/>
              <w:t>●</w:t>
            </w:r>
          </w:p>
        </w:tc>
        <w:tc>
          <w:tcPr>
            <w:tcW w:w="9932"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Allocation of the transaction price to the performance obligations in the contract</w:t>
            </w:r>
          </w:p>
        </w:tc>
      </w:tr>
    </w:tbl>
    <w:p>
      <w:pPr>
        <w:pStyle w:val="TextBody"/>
        <w:bidi w:val="0"/>
        <w:spacing w:before="0" w:after="283"/>
        <w:jc w:val="left"/>
        <w:rPr/>
      </w:pPr>
      <w:r>
        <w:rPr/>
        <w:t> </w:t>
      </w:r>
    </w:p>
    <w:tbl>
      <w:tblPr>
        <w:tblW w:w="5000" w:type="pct"/>
        <w:jc w:val="left"/>
        <w:tblInd w:w="0" w:type="dxa"/>
        <w:tblLayout w:type="fixed"/>
        <w:tblCellMar>
          <w:top w:w="0" w:type="dxa"/>
          <w:left w:w="0" w:type="dxa"/>
          <w:bottom w:w="0" w:type="dxa"/>
          <w:right w:w="0" w:type="dxa"/>
        </w:tblCellMar>
      </w:tblPr>
      <w:tblGrid>
        <w:gridCol w:w="51"/>
        <w:gridCol w:w="233"/>
        <w:gridCol w:w="9921"/>
      </w:tblGrid>
      <w:tr>
        <w:trPr/>
        <w:tc>
          <w:tcPr>
            <w:tcW w:w="51"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pPr>
            <w:r>
              <w:rPr/>
              <w:t>●</w:t>
            </w:r>
          </w:p>
        </w:tc>
        <w:tc>
          <w:tcPr>
            <w:tcW w:w="9921"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Recognition of revenue when, or as, each performance obligation is satisfied</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performance obligation is a promise in a contract to transfer a distinct service or product to the client, and it is the unit of account in the guidance for revenue recognition. The Company’s contracts have a single performance obligation, which is to either a) install a solar energy system or b) orchestrate the sale of a solar energy system which will be installed by a third party. The promise to transfer the services is not separately identifiable from other promises in those contracts, and therefore, those other promises are not distinct performance obligations.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sz w:val="20"/>
          <w:bdr w:val="single" w:sz="12" w:space="1" w:color="000000"/>
        </w:rPr>
      </w:pPr>
      <w:r>
        <w:rPr>
          <w:sz w:val="20"/>
          <w:bdr w:val="single" w:sz="12" w:space="1" w:color="000000"/>
        </w:rPr>
        <w:t>F-155</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drawing>
          <wp:inline distT="0" distB="0" distL="0" distR="0">
            <wp:extent cx="7143750" cy="57150"/>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embed="rId13"/>
                    <a:stretch>
                      <a:fillRect/>
                    </a:stretch>
                  </pic:blipFill>
                  <pic:spPr bwMode="auto">
                    <a:xfrm>
                      <a:off x="0" y="0"/>
                      <a:ext cx="7143750" cy="57150"/>
                    </a:xfrm>
                    <a:prstGeom prst="rect">
                      <a:avLst/>
                    </a:prstGeom>
                  </pic:spPr>
                </pic:pic>
              </a:graphicData>
            </a:graphic>
          </wp:inline>
        </w:drawing>
      </w: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Installation Services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principal performance obligation is to install a solar energy system. The Company recognizes revenue upon receiving notice of the completion of the final inspection of the respective solar energy system.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Revenue is recognized at the total contract price that the end residential customer has agreed to pay before any cost of financing incurred by customer. The Company arranges financing for the customer with third-party financing companies. These third-party financing companies often withhold amounts to pay for solar panels and other materials for added security. The Company is the primary obligor in the transaction as it controls the price charged to end residential customers, bears the responsibility to install solar panels that meet regulatory requirements, and bears collection risk unless the customer is approved to finance the transaction with a third-party financing company.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 xml:space="preserve">Sales Dealer Services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principal performance obligation is to complete the sale of solar energy systems for third parties who then perform the installation. The Company recognizes revenue upon the closing of each sale in the amount of the fee they earn for closing the sale, as that is when the performance obligation is satisfied.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presents the Company’s revenue disaggregated by revenue source (recognized at a point in time) for the year ended December 31:</w:t>
      </w:r>
    </w:p>
    <w:p>
      <w:pPr>
        <w:pStyle w:val="TextBody"/>
        <w:bidi w:val="0"/>
        <w:spacing w:before="0" w:after="0"/>
        <w:ind w:left="0" w:right="0" w:hanging="0"/>
        <w:jc w:val="both"/>
        <w:rPr>
          <w:caps w:val="false"/>
          <w:smallCaps w:val="false"/>
        </w:rPr>
      </w:pPr>
      <w:r>
        <w:rPr>
          <w:caps w:val="false"/>
          <w:smallCaps w:val="false"/>
        </w:rPr>
        <w:t> </w:t>
      </w:r>
    </w:p>
    <w:tbl>
      <w:tblPr>
        <w:tblW w:w="4065" w:type="dxa"/>
        <w:jc w:val="left"/>
        <w:tblInd w:w="0" w:type="dxa"/>
        <w:tblLayout w:type="fixed"/>
        <w:tblCellMar>
          <w:top w:w="0" w:type="dxa"/>
          <w:left w:w="0" w:type="dxa"/>
          <w:bottom w:w="0" w:type="dxa"/>
          <w:right w:w="0" w:type="dxa"/>
        </w:tblCellMar>
      </w:tblPr>
      <w:tblGrid>
        <w:gridCol w:w="2690"/>
        <w:gridCol w:w="60"/>
        <w:gridCol w:w="140"/>
        <w:gridCol w:w="1100"/>
        <w:gridCol w:w="75"/>
      </w:tblGrid>
      <w:tr>
        <w:trPr/>
        <w:tc>
          <w:tcPr>
            <w:tcW w:w="269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4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2024</w:t>
            </w:r>
          </w:p>
        </w:tc>
        <w:tc>
          <w:tcPr>
            <w:tcW w:w="75" w:type="dxa"/>
            <w:tcBorders/>
            <w:vAlign w:val="center"/>
          </w:tcPr>
          <w:p>
            <w:pPr>
              <w:pStyle w:val="TableContents"/>
              <w:bidi w:val="0"/>
              <w:spacing w:before="0" w:after="283"/>
              <w:jc w:val="left"/>
              <w:rPr/>
            </w:pPr>
            <w:r>
              <w:rPr/>
              <w:t> </w:t>
            </w:r>
          </w:p>
        </w:tc>
      </w:tr>
      <w:tr>
        <w:trPr/>
        <w:tc>
          <w:tcPr>
            <w:tcW w:w="2690" w:type="dxa"/>
            <w:tcBorders/>
            <w:shd w:fill="CCEEFF" w:val="clear"/>
            <w:vAlign w:val="center"/>
          </w:tcPr>
          <w:p>
            <w:pPr>
              <w:pStyle w:val="TableContents"/>
              <w:bidi w:val="0"/>
              <w:spacing w:before="0" w:after="283"/>
              <w:jc w:val="left"/>
              <w:rPr/>
            </w:pPr>
            <w:r>
              <w:rPr/>
              <w:t>Installation services revenue</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100" w:type="dxa"/>
            <w:tcBorders/>
            <w:shd w:fill="CCEEFF" w:val="clear"/>
            <w:vAlign w:val="center"/>
          </w:tcPr>
          <w:p>
            <w:pPr>
              <w:pStyle w:val="TableContents"/>
              <w:bidi w:val="0"/>
              <w:spacing w:before="0" w:after="283"/>
              <w:jc w:val="right"/>
              <w:rPr/>
            </w:pPr>
            <w:r>
              <w:rPr/>
              <w:t>54,164,441</w:t>
            </w:r>
          </w:p>
        </w:tc>
        <w:tc>
          <w:tcPr>
            <w:tcW w:w="75" w:type="dxa"/>
            <w:tcBorders/>
            <w:shd w:fill="CCEEFF" w:val="clear"/>
            <w:vAlign w:val="center"/>
          </w:tcPr>
          <w:p>
            <w:pPr>
              <w:pStyle w:val="TableContents"/>
              <w:bidi w:val="0"/>
              <w:spacing w:before="0" w:after="283"/>
              <w:jc w:val="left"/>
              <w:rPr/>
            </w:pPr>
            <w:r>
              <w:rPr/>
              <w:t> </w:t>
            </w:r>
          </w:p>
        </w:tc>
      </w:tr>
      <w:tr>
        <w:trPr/>
        <w:tc>
          <w:tcPr>
            <w:tcW w:w="2690" w:type="dxa"/>
            <w:tcBorders/>
            <w:shd w:fill="FFFFFF" w:val="clear"/>
            <w:vAlign w:val="center"/>
          </w:tcPr>
          <w:p>
            <w:pPr>
              <w:pStyle w:val="TableContents"/>
              <w:bidi w:val="0"/>
              <w:spacing w:before="0" w:after="283"/>
              <w:jc w:val="left"/>
              <w:rPr/>
            </w:pPr>
            <w:r>
              <w:rPr/>
              <w:t>Sales dealer revenue</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single" w:sz="12" w:space="0" w:color="000000"/>
            </w:tcBorders>
            <w:shd w:fill="FFFFFF" w:val="clear"/>
            <w:tcMar>
              <w:bottom w:w="28" w:type="dxa"/>
            </w:tcMar>
            <w:vAlign w:val="center"/>
          </w:tcPr>
          <w:p>
            <w:pPr>
              <w:pStyle w:val="TableContents"/>
              <w:bidi w:val="0"/>
              <w:spacing w:before="0" w:after="283"/>
              <w:jc w:val="right"/>
              <w:rPr/>
            </w:pPr>
            <w:r>
              <w:rPr/>
              <w:t>109,280</w:t>
            </w:r>
          </w:p>
        </w:tc>
        <w:tc>
          <w:tcPr>
            <w:tcW w:w="75" w:type="dxa"/>
            <w:tcBorders/>
            <w:shd w:fill="FFFFFF" w:val="clear"/>
            <w:vAlign w:val="center"/>
          </w:tcPr>
          <w:p>
            <w:pPr>
              <w:pStyle w:val="TableContents"/>
              <w:bidi w:val="0"/>
              <w:spacing w:before="0" w:after="283"/>
              <w:jc w:val="left"/>
              <w:rPr/>
            </w:pPr>
            <w:r>
              <w:rPr/>
              <w:t> </w:t>
            </w:r>
          </w:p>
        </w:tc>
      </w:tr>
      <w:tr>
        <w:trPr/>
        <w:tc>
          <w:tcPr>
            <w:tcW w:w="269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100" w:type="dxa"/>
            <w:tcBorders>
              <w:bottom w:val="double" w:sz="10" w:space="0" w:color="000000"/>
            </w:tcBorders>
            <w:shd w:fill="CCEEFF" w:val="clear"/>
            <w:tcMar>
              <w:bottom w:w="28" w:type="dxa"/>
            </w:tcMar>
            <w:vAlign w:val="center"/>
          </w:tcPr>
          <w:p>
            <w:pPr>
              <w:pStyle w:val="TableContents"/>
              <w:bidi w:val="0"/>
              <w:spacing w:before="0" w:after="283"/>
              <w:jc w:val="right"/>
              <w:rPr/>
            </w:pPr>
            <w:r>
              <w:rPr/>
              <w:t>54,273,721</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Contract Balances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timing of revenue recognition, billings and cash collections results in billed accounts receivable, unbilled revenue (contract assets), and deferred revenue (contract liabilities) on the balance sheet. Amounts are billed as specific milestones are met, which may or may not align with when revenue is recognized. Specific billing milestones include: 1) 10% - 20% of the contract value is billed to the third-party lender upon contract signing; 2) an additional 70% of the contract value is billed to the third-party lender upon the solar system being installed; and 3) the final 10% - 20% of the contract value is billed to the third-party lender upon system receiving its permission to operate from the local jurisdiction. All revenue from solar system installations is recognized upon the system passing inspection by the local jurisdiction, which generally does not coincide with receiving a permission to operate and as a result the third payment for the final 10% - 20% from the lender is recorded as a contract asset – unbilled revenue until the permission to operate is received from the local jurisdiction.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beginning and ending contract balances were as follows:</w:t>
      </w:r>
    </w:p>
    <w:p>
      <w:pPr>
        <w:pStyle w:val="TextBody"/>
        <w:bidi w:val="0"/>
        <w:spacing w:before="0" w:after="0"/>
        <w:ind w:left="0" w:right="0" w:hanging="0"/>
        <w:jc w:val="both"/>
        <w:rPr>
          <w:caps w:val="false"/>
          <w:smallCaps w:val="false"/>
        </w:rPr>
      </w:pPr>
      <w:r>
        <w:rPr>
          <w:caps w:val="false"/>
          <w:smallCaps w:val="false"/>
        </w:rPr>
        <w:t> </w:t>
      </w:r>
    </w:p>
    <w:tbl>
      <w:tblPr>
        <w:tblW w:w="5833" w:type="dxa"/>
        <w:jc w:val="left"/>
        <w:tblInd w:w="0" w:type="dxa"/>
        <w:tblLayout w:type="fixed"/>
        <w:tblCellMar>
          <w:top w:w="0" w:type="dxa"/>
          <w:left w:w="0" w:type="dxa"/>
          <w:bottom w:w="0" w:type="dxa"/>
          <w:right w:w="0" w:type="dxa"/>
        </w:tblCellMar>
      </w:tblPr>
      <w:tblGrid>
        <w:gridCol w:w="1970"/>
        <w:gridCol w:w="60"/>
        <w:gridCol w:w="219"/>
        <w:gridCol w:w="1735"/>
        <w:gridCol w:w="60"/>
        <w:gridCol w:w="60"/>
        <w:gridCol w:w="186"/>
        <w:gridCol w:w="1468"/>
        <w:gridCol w:w="75"/>
      </w:tblGrid>
      <w:tr>
        <w:trPr/>
        <w:tc>
          <w:tcPr>
            <w:tcW w:w="197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954"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December 31, 2024</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654"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January 1, 2024</w:t>
            </w:r>
          </w:p>
        </w:tc>
        <w:tc>
          <w:tcPr>
            <w:tcW w:w="75" w:type="dxa"/>
            <w:tcBorders/>
            <w:vAlign w:val="center"/>
          </w:tcPr>
          <w:p>
            <w:pPr>
              <w:pStyle w:val="TableContents"/>
              <w:bidi w:val="0"/>
              <w:spacing w:before="0" w:after="283"/>
              <w:jc w:val="center"/>
              <w:rPr/>
            </w:pPr>
            <w:r>
              <w:rPr/>
              <w:t> </w:t>
            </w:r>
          </w:p>
        </w:tc>
      </w:tr>
      <w:tr>
        <w:trPr/>
        <w:tc>
          <w:tcPr>
            <w:tcW w:w="1970" w:type="dxa"/>
            <w:tcBorders/>
            <w:shd w:fill="CCEEFF" w:val="clear"/>
            <w:vAlign w:val="center"/>
          </w:tcPr>
          <w:p>
            <w:pPr>
              <w:pStyle w:val="TableContents"/>
              <w:bidi w:val="0"/>
              <w:spacing w:before="0" w:after="283"/>
              <w:jc w:val="left"/>
              <w:rPr/>
            </w:pPr>
            <w:r>
              <w:rPr/>
              <w:t>Accounts receivable</w:t>
            </w:r>
          </w:p>
        </w:tc>
        <w:tc>
          <w:tcPr>
            <w:tcW w:w="60" w:type="dxa"/>
            <w:tcBorders/>
            <w:shd w:fill="CCEEFF" w:val="clear"/>
            <w:vAlign w:val="center"/>
          </w:tcPr>
          <w:p>
            <w:pPr>
              <w:pStyle w:val="TableContents"/>
              <w:bidi w:val="0"/>
              <w:spacing w:before="0" w:after="283"/>
              <w:jc w:val="left"/>
              <w:rPr/>
            </w:pPr>
            <w:r>
              <w:rPr/>
              <w:t> </w:t>
            </w:r>
          </w:p>
        </w:tc>
        <w:tc>
          <w:tcPr>
            <w:tcW w:w="219" w:type="dxa"/>
            <w:tcBorders/>
            <w:shd w:fill="CCEEFF" w:val="clear"/>
            <w:vAlign w:val="center"/>
          </w:tcPr>
          <w:p>
            <w:pPr>
              <w:pStyle w:val="TableContents"/>
              <w:bidi w:val="0"/>
              <w:spacing w:before="0" w:after="283"/>
              <w:jc w:val="left"/>
              <w:rPr/>
            </w:pPr>
            <w:r>
              <w:rPr/>
              <w:t>$</w:t>
            </w:r>
          </w:p>
        </w:tc>
        <w:tc>
          <w:tcPr>
            <w:tcW w:w="1735" w:type="dxa"/>
            <w:tcBorders/>
            <w:shd w:fill="CCEEFF" w:val="clear"/>
            <w:vAlign w:val="center"/>
          </w:tcPr>
          <w:p>
            <w:pPr>
              <w:pStyle w:val="TableContents"/>
              <w:bidi w:val="0"/>
              <w:spacing w:before="0" w:after="283"/>
              <w:jc w:val="right"/>
              <w:rPr/>
            </w:pPr>
            <w:r>
              <w:rPr/>
              <w:t>1,010,295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6" w:type="dxa"/>
            <w:tcBorders/>
            <w:shd w:fill="CCEEFF" w:val="clear"/>
            <w:vAlign w:val="center"/>
          </w:tcPr>
          <w:p>
            <w:pPr>
              <w:pStyle w:val="TableContents"/>
              <w:bidi w:val="0"/>
              <w:spacing w:before="0" w:after="283"/>
              <w:jc w:val="left"/>
              <w:rPr/>
            </w:pPr>
            <w:r>
              <w:rPr/>
              <w:t>$</w:t>
            </w:r>
          </w:p>
        </w:tc>
        <w:tc>
          <w:tcPr>
            <w:tcW w:w="1468" w:type="dxa"/>
            <w:tcBorders/>
            <w:shd w:fill="CCEEFF" w:val="clear"/>
            <w:vAlign w:val="center"/>
          </w:tcPr>
          <w:p>
            <w:pPr>
              <w:pStyle w:val="TableContents"/>
              <w:bidi w:val="0"/>
              <w:spacing w:before="0" w:after="283"/>
              <w:jc w:val="right"/>
              <w:rPr/>
            </w:pPr>
            <w:r>
              <w:rPr/>
              <w:t>155,801</w:t>
            </w:r>
          </w:p>
        </w:tc>
        <w:tc>
          <w:tcPr>
            <w:tcW w:w="75" w:type="dxa"/>
            <w:tcBorders/>
            <w:shd w:fill="CCEEFF" w:val="clear"/>
            <w:vAlign w:val="center"/>
          </w:tcPr>
          <w:p>
            <w:pPr>
              <w:pStyle w:val="TableContents"/>
              <w:bidi w:val="0"/>
              <w:spacing w:before="0" w:after="283"/>
              <w:jc w:val="left"/>
              <w:rPr/>
            </w:pPr>
            <w:r>
              <w:rPr/>
              <w:t> </w:t>
            </w:r>
          </w:p>
        </w:tc>
      </w:tr>
      <w:tr>
        <w:trPr/>
        <w:tc>
          <w:tcPr>
            <w:tcW w:w="1970" w:type="dxa"/>
            <w:tcBorders/>
            <w:shd w:fill="FFFFFF" w:val="clear"/>
            <w:vAlign w:val="center"/>
          </w:tcPr>
          <w:p>
            <w:pPr>
              <w:pStyle w:val="TableContents"/>
              <w:bidi w:val="0"/>
              <w:spacing w:before="0" w:after="283"/>
              <w:jc w:val="left"/>
              <w:rPr/>
            </w:pPr>
            <w:r>
              <w:rPr/>
              <w:t>Unbilled receivables</w:t>
            </w:r>
          </w:p>
        </w:tc>
        <w:tc>
          <w:tcPr>
            <w:tcW w:w="60" w:type="dxa"/>
            <w:tcBorders/>
            <w:shd w:fill="FFFFFF" w:val="clear"/>
            <w:vAlign w:val="center"/>
          </w:tcPr>
          <w:p>
            <w:pPr>
              <w:pStyle w:val="TableContents"/>
              <w:bidi w:val="0"/>
              <w:spacing w:before="0" w:after="283"/>
              <w:jc w:val="left"/>
              <w:rPr/>
            </w:pPr>
            <w:r>
              <w:rPr/>
              <w:t> </w:t>
            </w:r>
          </w:p>
        </w:tc>
        <w:tc>
          <w:tcPr>
            <w:tcW w:w="219" w:type="dxa"/>
            <w:tcBorders/>
            <w:shd w:fill="FFFFFF" w:val="clear"/>
            <w:vAlign w:val="center"/>
          </w:tcPr>
          <w:p>
            <w:pPr>
              <w:pStyle w:val="TableContents"/>
              <w:bidi w:val="0"/>
              <w:spacing w:before="0" w:after="283"/>
              <w:jc w:val="left"/>
              <w:rPr/>
            </w:pPr>
            <w:r>
              <w:rPr/>
              <w:t> </w:t>
            </w:r>
          </w:p>
        </w:tc>
        <w:tc>
          <w:tcPr>
            <w:tcW w:w="1735" w:type="dxa"/>
            <w:tcBorders/>
            <w:shd w:fill="FFFFFF" w:val="clear"/>
            <w:vAlign w:val="center"/>
          </w:tcPr>
          <w:p>
            <w:pPr>
              <w:pStyle w:val="TableContents"/>
              <w:bidi w:val="0"/>
              <w:spacing w:before="0" w:after="283"/>
              <w:jc w:val="right"/>
              <w:rPr/>
            </w:pPr>
            <w:r>
              <w:rPr/>
              <w:t>4,601,890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6" w:type="dxa"/>
            <w:tcBorders/>
            <w:shd w:fill="FFFFFF" w:val="clear"/>
            <w:vAlign w:val="center"/>
          </w:tcPr>
          <w:p>
            <w:pPr>
              <w:pStyle w:val="TableContents"/>
              <w:bidi w:val="0"/>
              <w:spacing w:before="0" w:after="283"/>
              <w:jc w:val="left"/>
              <w:rPr/>
            </w:pPr>
            <w:r>
              <w:rPr/>
              <w:t> </w:t>
            </w:r>
          </w:p>
        </w:tc>
        <w:tc>
          <w:tcPr>
            <w:tcW w:w="1468" w:type="dxa"/>
            <w:tcBorders/>
            <w:shd w:fill="FFFFFF" w:val="clear"/>
            <w:vAlign w:val="center"/>
          </w:tcPr>
          <w:p>
            <w:pPr>
              <w:pStyle w:val="TableContents"/>
              <w:bidi w:val="0"/>
              <w:spacing w:before="0" w:after="283"/>
              <w:jc w:val="right"/>
              <w:rPr/>
            </w:pPr>
            <w:r>
              <w:rPr/>
              <w:t>3,916,562</w:t>
            </w:r>
          </w:p>
        </w:tc>
        <w:tc>
          <w:tcPr>
            <w:tcW w:w="75" w:type="dxa"/>
            <w:tcBorders/>
            <w:shd w:fill="FFFFFF" w:val="clear"/>
            <w:vAlign w:val="center"/>
          </w:tcPr>
          <w:p>
            <w:pPr>
              <w:pStyle w:val="TableContents"/>
              <w:bidi w:val="0"/>
              <w:spacing w:before="0" w:after="283"/>
              <w:jc w:val="left"/>
              <w:rPr/>
            </w:pPr>
            <w:r>
              <w:rPr/>
              <w:t> </w:t>
            </w:r>
          </w:p>
        </w:tc>
      </w:tr>
      <w:tr>
        <w:trPr/>
        <w:tc>
          <w:tcPr>
            <w:tcW w:w="1970" w:type="dxa"/>
            <w:tcBorders/>
            <w:shd w:fill="CCEEFF" w:val="clear"/>
            <w:vAlign w:val="center"/>
          </w:tcPr>
          <w:p>
            <w:pPr>
              <w:pStyle w:val="TableContents"/>
              <w:bidi w:val="0"/>
              <w:spacing w:before="0" w:after="283"/>
              <w:jc w:val="left"/>
              <w:rPr/>
            </w:pPr>
            <w:r>
              <w:rPr/>
              <w:t>Deferred revenue</w:t>
            </w:r>
          </w:p>
        </w:tc>
        <w:tc>
          <w:tcPr>
            <w:tcW w:w="60" w:type="dxa"/>
            <w:tcBorders/>
            <w:shd w:fill="CCEEFF" w:val="clear"/>
            <w:vAlign w:val="center"/>
          </w:tcPr>
          <w:p>
            <w:pPr>
              <w:pStyle w:val="TableContents"/>
              <w:bidi w:val="0"/>
              <w:spacing w:before="0" w:after="283"/>
              <w:jc w:val="left"/>
              <w:rPr/>
            </w:pPr>
            <w:r>
              <w:rPr/>
              <w:t> </w:t>
            </w:r>
          </w:p>
        </w:tc>
        <w:tc>
          <w:tcPr>
            <w:tcW w:w="219" w:type="dxa"/>
            <w:tcBorders/>
            <w:shd w:fill="CCEEFF" w:val="clear"/>
            <w:vAlign w:val="center"/>
          </w:tcPr>
          <w:p>
            <w:pPr>
              <w:pStyle w:val="TableContents"/>
              <w:bidi w:val="0"/>
              <w:spacing w:before="0" w:after="283"/>
              <w:jc w:val="left"/>
              <w:rPr/>
            </w:pPr>
            <w:r>
              <w:rPr/>
              <w:t> </w:t>
            </w:r>
          </w:p>
        </w:tc>
        <w:tc>
          <w:tcPr>
            <w:tcW w:w="1735" w:type="dxa"/>
            <w:tcBorders/>
            <w:shd w:fill="CCEEFF" w:val="clear"/>
            <w:vAlign w:val="center"/>
          </w:tcPr>
          <w:p>
            <w:pPr>
              <w:pStyle w:val="TableContents"/>
              <w:bidi w:val="0"/>
              <w:spacing w:before="0" w:after="283"/>
              <w:jc w:val="right"/>
              <w:rPr/>
            </w:pPr>
            <w:r>
              <w:rPr/>
              <w:t>10,585,293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6" w:type="dxa"/>
            <w:tcBorders/>
            <w:shd w:fill="CCEEFF" w:val="clear"/>
            <w:vAlign w:val="center"/>
          </w:tcPr>
          <w:p>
            <w:pPr>
              <w:pStyle w:val="TableContents"/>
              <w:bidi w:val="0"/>
              <w:spacing w:before="0" w:after="283"/>
              <w:jc w:val="left"/>
              <w:rPr/>
            </w:pPr>
            <w:r>
              <w:rPr/>
              <w:t> </w:t>
            </w:r>
          </w:p>
        </w:tc>
        <w:tc>
          <w:tcPr>
            <w:tcW w:w="1468" w:type="dxa"/>
            <w:tcBorders/>
            <w:shd w:fill="CCEEFF" w:val="clear"/>
            <w:vAlign w:val="center"/>
          </w:tcPr>
          <w:p>
            <w:pPr>
              <w:pStyle w:val="TableContents"/>
              <w:bidi w:val="0"/>
              <w:spacing w:before="0" w:after="283"/>
              <w:jc w:val="right"/>
              <w:rPr/>
            </w:pPr>
            <w:r>
              <w:rPr/>
              <w:t>11,661,448</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right"/>
        <w:rPr>
          <w:caps w:val="false"/>
          <w:smallCaps w:val="false"/>
        </w:rPr>
      </w:pPr>
      <w:r>
        <w:rPr>
          <w:caps w:val="false"/>
          <w:smallCaps w:val="false"/>
        </w:rPr>
        <w:t> </w:t>
      </w:r>
    </w:p>
    <w:p>
      <w:pPr>
        <w:pStyle w:val="TextBody"/>
        <w:bidi w:val="0"/>
        <w:spacing w:before="0" w:after="0"/>
        <w:ind w:left="0" w:right="0" w:hanging="0"/>
        <w:jc w:val="center"/>
        <w:rPr>
          <w:sz w:val="20"/>
          <w:bdr w:val="single" w:sz="12" w:space="1" w:color="000000"/>
        </w:rPr>
      </w:pPr>
      <w:r>
        <w:rPr>
          <w:sz w:val="20"/>
          <w:bdr w:val="single" w:sz="12" w:space="1" w:color="000000"/>
        </w:rPr>
        <w:t>F-156</w:t>
      </w:r>
    </w:p>
    <w:p>
      <w:pPr>
        <w:pStyle w:val="TextBody"/>
        <w:bidi w:val="0"/>
        <w:spacing w:before="0" w:after="0"/>
        <w:ind w:left="0" w:right="0" w:hanging="0"/>
        <w:jc w:val="left"/>
        <w:rPr/>
      </w:pPr>
      <w:r>
        <w:rPr/>
        <w:t> </w:t>
      </w:r>
    </w:p>
    <w:p>
      <w:pPr>
        <w:pStyle w:val="TextBody"/>
        <w:bidi w:val="0"/>
        <w:spacing w:before="0" w:after="0"/>
        <w:ind w:left="0" w:right="0" w:hanging="0"/>
        <w:jc w:val="righ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drawing>
          <wp:inline distT="0" distB="0" distL="0" distR="0">
            <wp:extent cx="7143750" cy="57150"/>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embed="rId14"/>
                    <a:stretch>
                      <a:fillRect/>
                    </a:stretch>
                  </pic:blipFill>
                  <pic:spPr bwMode="auto">
                    <a:xfrm>
                      <a:off x="0" y="0"/>
                      <a:ext cx="7143750" cy="57150"/>
                    </a:xfrm>
                    <a:prstGeom prst="rect">
                      <a:avLst/>
                    </a:prstGeom>
                  </pic:spPr>
                </pic:pic>
              </a:graphicData>
            </a:graphic>
          </wp:inline>
        </w:drawing>
      </w: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Limited Warranty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provides a limited warranty of workmanship on its installation products for a period of ten years beginning on the date of installation completion. This warranty is limited to defects in materials and workmanship caused during installation, and to roof penetrations caused in the installation that they will be watertight. The Company bases its estimates on historical estimates and known conditions at the time. To date, warranty claims have been nominal. Accordingly, there was no warranty accrual recorded as of December 31, 2024.</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Deferred Commissions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Costs Incurred to Acquire Customer Contracts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recognizes an asset for incremental costs of obtaining a contract with the customer if management expects to recover these costs. Incremental costs are those that would not have been incurred if the contract did not exist. Examples of incremental costs often capitalized are sales commissions whereas examples of costs that would not be included are internal employee salaries, standard benefits, travel costs, and other / general legal costs. Sales commissions and related payroll taxes are the only incremental contract costs the Company incurs, which are paid out when installation is complete. As installations of customer solar systems are generally installed within 3 months resulting in the commissions being earned at that point-in-time, the Company applies the practical expedient under ASC 340-40, </w:t>
      </w:r>
      <w:r>
        <w:rPr>
          <w:rFonts w:ascii="Times New Roman;Times;Serif" w:hAnsi="Times New Roman;Times;Serif"/>
          <w:b w:val="false"/>
          <w:i/>
          <w:caps w:val="false"/>
          <w:smallCaps w:val="false"/>
          <w:sz w:val="20"/>
        </w:rPr>
        <w:t xml:space="preserve">Other Assets and Deferred Costs: Contracts with Customers </w:t>
      </w:r>
      <w:r>
        <w:rPr>
          <w:rFonts w:ascii="Times New Roman;Times;Serif" w:hAnsi="Times New Roman;Times;Serif"/>
          <w:b w:val="false"/>
          <w:i w:val="false"/>
          <w:caps w:val="false"/>
          <w:smallCaps w:val="false"/>
          <w:sz w:val="20"/>
        </w:rPr>
        <w:t>and expenses all incremental costs to acquire customers contracts upon installation of the solar system.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Deferred Contract Fulfillment Costs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Prior to the installation and final inspection of a customer solar system, the Company incurs costs for design, equipment, permits, and other similar costs. These contract fulfillment costs are contract specific, enhance the asset (solar system) that will eventually be transferred to the customer, and are expected to be recovered as part of the transaction price associated with the contract. As a result, the Company capitalizes these costs as they are incurred, and expenses them once the solar system passes final inspection. The Company had $6,137,615 in deferred contract fulfillment costs classified as deferred costs in the accompanying balance sheet as of December 31, 2024.</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Advertising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Advertising costs are expensed as incurred. Advertising expense for the year ended December 31, 2024 totaled approximately $291,000.</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Sales Tax</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collects sales and other taxes from certain customers and remits those taxes to governmental agencies. The Company reports the collection of these taxes on a net basis and such taxes are excluded from revenues.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Subsequent Events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Management has evaluated events and transactions for potential recognition or disclosure through December 22, 2025, which is the date the financial statements were available to be issued.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sz w:val="20"/>
          <w:bdr w:val="single" w:sz="12" w:space="1" w:color="000000"/>
        </w:rPr>
      </w:pPr>
      <w:r>
        <w:rPr>
          <w:sz w:val="20"/>
          <w:bdr w:val="single" w:sz="12" w:space="1" w:color="000000"/>
        </w:rPr>
        <w:t>F-157</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drawing>
          <wp:inline distT="0" distB="0" distL="0" distR="0">
            <wp:extent cx="7143750" cy="57150"/>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embed="rId15"/>
                    <a:stretch>
                      <a:fillRect/>
                    </a:stretch>
                  </pic:blipFill>
                  <pic:spPr bwMode="auto">
                    <a:xfrm>
                      <a:off x="0" y="0"/>
                      <a:ext cx="7143750" cy="57150"/>
                    </a:xfrm>
                    <a:prstGeom prst="rect">
                      <a:avLst/>
                    </a:prstGeom>
                  </pic:spPr>
                </pic:pic>
              </a:graphicData>
            </a:graphic>
          </wp:inline>
        </w:drawing>
      </w: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tbl>
      <w:tblPr>
        <w:tblW w:w="1218" w:type="dxa"/>
        <w:jc w:val="left"/>
        <w:tblInd w:w="0" w:type="dxa"/>
        <w:tblLayout w:type="fixed"/>
        <w:tblCellMar>
          <w:top w:w="0" w:type="dxa"/>
          <w:left w:w="0" w:type="dxa"/>
          <w:bottom w:w="0" w:type="dxa"/>
          <w:right w:w="0" w:type="dxa"/>
        </w:tblCellMar>
      </w:tblPr>
      <w:tblGrid>
        <w:gridCol w:w="38"/>
        <w:gridCol w:w="200"/>
        <w:gridCol w:w="980"/>
      </w:tblGrid>
      <w:tr>
        <w:trPr/>
        <w:tc>
          <w:tcPr>
            <w:tcW w:w="3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b/>
              </w:rPr>
            </w:pPr>
            <w:r>
              <w:rPr>
                <w:b/>
              </w:rPr>
              <w:t>3.</w:t>
            </w:r>
          </w:p>
        </w:tc>
        <w:tc>
          <w:tcPr>
            <w:tcW w:w="980" w:type="dxa"/>
            <w:tcBorders/>
            <w:vAlign w:val="center"/>
          </w:tcPr>
          <w:p>
            <w:pPr>
              <w:pStyle w:val="TableContents"/>
              <w:bidi w:val="0"/>
              <w:spacing w:before="0" w:after="283"/>
              <w:jc w:val="both"/>
              <w:rPr>
                <w:b/>
              </w:rPr>
            </w:pPr>
            <w:r>
              <w:rPr>
                <w:b/>
              </w:rPr>
              <w:t>Liquidity</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assessing the Company’s liquidity, the Company monitors and analyzes its cash and its ability to generate sufficient cash flow in the future to support its operating and capital expenditure commitments. The Company’s liquidity needs are to meet its operating expense obligations.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December 31, 2024, the Company had a working capital surplus of approximately $665,000 and stockholders’ deficit of approximately $7,032,000. For the year ended December 31, 2024, the Company had a net loss of approximately $6,253,000 and used cash in operating activities of approximately $6,322,000.</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November 11, 2025, the Company entered a non-binding letter of intent with SunPower, Inc. to be acquired for $37,500,000. The transaction closed on November 21, 2025.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Management of the Company has evaluated these conditions and believes the Company’s working capital and sales from operations will allow the Company to fund operations and pay current liabilities. Additionally, the Company raised additional funds in 2025 (See Note 13) that will assist the Company with liquidity needs, and finally, management believes the pending acquisition of the Company as previously mentioned will provide sufficient liquidity for the Company’s needs. The financial statements do not include any adjustments that might be necessary if the Company is unable to continue as a going concern. Although there can be no assurances, management believes that the capital raised and pending acquisition of the Company, combined with continued operational improvements as needed will provide the Company with the resources necessary to meet its liquidity needs for 12 months from the date the financial statements were available to be issued.</w:t>
      </w:r>
    </w:p>
    <w:p>
      <w:pPr>
        <w:pStyle w:val="TextBody"/>
        <w:bidi w:val="0"/>
        <w:spacing w:before="0" w:after="0"/>
        <w:ind w:left="0" w:right="0" w:hanging="0"/>
        <w:jc w:val="both"/>
        <w:rPr>
          <w:caps w:val="false"/>
          <w:smallCaps w:val="false"/>
        </w:rPr>
      </w:pPr>
      <w:r>
        <w:rPr>
          <w:caps w:val="false"/>
          <w:smallCaps w:val="false"/>
        </w:rPr>
        <w:t> </w:t>
      </w:r>
    </w:p>
    <w:tbl>
      <w:tblPr>
        <w:tblW w:w="2838" w:type="dxa"/>
        <w:jc w:val="left"/>
        <w:tblInd w:w="0" w:type="dxa"/>
        <w:tblLayout w:type="fixed"/>
        <w:tblCellMar>
          <w:top w:w="0" w:type="dxa"/>
          <w:left w:w="0" w:type="dxa"/>
          <w:bottom w:w="0" w:type="dxa"/>
          <w:right w:w="0" w:type="dxa"/>
        </w:tblCellMar>
      </w:tblPr>
      <w:tblGrid>
        <w:gridCol w:w="38"/>
        <w:gridCol w:w="200"/>
        <w:gridCol w:w="2600"/>
      </w:tblGrid>
      <w:tr>
        <w:trPr/>
        <w:tc>
          <w:tcPr>
            <w:tcW w:w="3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b/>
              </w:rPr>
            </w:pPr>
            <w:r>
              <w:rPr>
                <w:b/>
              </w:rPr>
              <w:t>4.</w:t>
            </w:r>
          </w:p>
        </w:tc>
        <w:tc>
          <w:tcPr>
            <w:tcW w:w="2600" w:type="dxa"/>
            <w:tcBorders/>
            <w:vAlign w:val="center"/>
          </w:tcPr>
          <w:p>
            <w:pPr>
              <w:pStyle w:val="TableContents"/>
              <w:bidi w:val="0"/>
              <w:spacing w:before="0" w:after="283"/>
              <w:jc w:val="both"/>
              <w:rPr>
                <w:b/>
              </w:rPr>
            </w:pPr>
            <w:r>
              <w:rPr>
                <w:b/>
              </w:rPr>
              <w:t>Property and Equipment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Property and equipment consisted of the following as of December 31:</w:t>
      </w:r>
    </w:p>
    <w:p>
      <w:pPr>
        <w:pStyle w:val="TextBody"/>
        <w:bidi w:val="0"/>
        <w:spacing w:before="0" w:after="0"/>
        <w:ind w:left="0" w:right="0" w:hanging="0"/>
        <w:jc w:val="both"/>
        <w:rPr>
          <w:caps w:val="false"/>
          <w:smallCaps w:val="false"/>
        </w:rPr>
      </w:pPr>
      <w:r>
        <w:rPr>
          <w:caps w:val="false"/>
          <w:smallCaps w:val="false"/>
        </w:rPr>
        <w:t> </w:t>
      </w:r>
    </w:p>
    <w:tbl>
      <w:tblPr>
        <w:tblW w:w="5750" w:type="dxa"/>
        <w:jc w:val="left"/>
        <w:tblInd w:w="0" w:type="dxa"/>
        <w:tblLayout w:type="fixed"/>
        <w:tblCellMar>
          <w:top w:w="0" w:type="dxa"/>
          <w:left w:w="0" w:type="dxa"/>
          <w:bottom w:w="0" w:type="dxa"/>
          <w:right w:w="0" w:type="dxa"/>
        </w:tblCellMar>
      </w:tblPr>
      <w:tblGrid>
        <w:gridCol w:w="4565"/>
        <w:gridCol w:w="60"/>
        <w:gridCol w:w="140"/>
        <w:gridCol w:w="875"/>
        <w:gridCol w:w="110"/>
      </w:tblGrid>
      <w:tr>
        <w:trPr/>
        <w:tc>
          <w:tcPr>
            <w:tcW w:w="456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1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2024</w:t>
            </w:r>
          </w:p>
        </w:tc>
        <w:tc>
          <w:tcPr>
            <w:tcW w:w="110" w:type="dxa"/>
            <w:tcBorders/>
            <w:vAlign w:val="center"/>
          </w:tcPr>
          <w:p>
            <w:pPr>
              <w:pStyle w:val="TableContents"/>
              <w:bidi w:val="0"/>
              <w:spacing w:before="0" w:after="283"/>
              <w:jc w:val="left"/>
              <w:rPr/>
            </w:pPr>
            <w:r>
              <w:rPr/>
              <w:t> </w:t>
            </w:r>
          </w:p>
        </w:tc>
      </w:tr>
      <w:tr>
        <w:trPr/>
        <w:tc>
          <w:tcPr>
            <w:tcW w:w="4565" w:type="dxa"/>
            <w:tcBorders/>
            <w:shd w:fill="CCEEFF" w:val="clear"/>
            <w:vAlign w:val="center"/>
          </w:tcPr>
          <w:p>
            <w:pPr>
              <w:pStyle w:val="TableContents"/>
              <w:bidi w:val="0"/>
              <w:spacing w:before="0" w:after="283"/>
              <w:jc w:val="left"/>
              <w:rPr/>
            </w:pPr>
            <w:r>
              <w:rPr/>
              <w:t>Tools and gear</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875" w:type="dxa"/>
            <w:tcBorders/>
            <w:shd w:fill="CCEEFF" w:val="clear"/>
            <w:vAlign w:val="center"/>
          </w:tcPr>
          <w:p>
            <w:pPr>
              <w:pStyle w:val="TableContents"/>
              <w:bidi w:val="0"/>
              <w:spacing w:before="0" w:after="283"/>
              <w:jc w:val="right"/>
              <w:rPr/>
            </w:pPr>
            <w:r>
              <w:rPr/>
              <w:t>296,085</w:t>
            </w:r>
          </w:p>
        </w:tc>
        <w:tc>
          <w:tcPr>
            <w:tcW w:w="110" w:type="dxa"/>
            <w:tcBorders/>
            <w:shd w:fill="CCEEFF" w:val="clear"/>
            <w:vAlign w:val="center"/>
          </w:tcPr>
          <w:p>
            <w:pPr>
              <w:pStyle w:val="TableContents"/>
              <w:bidi w:val="0"/>
              <w:spacing w:before="0" w:after="283"/>
              <w:jc w:val="left"/>
              <w:rPr/>
            </w:pPr>
            <w:r>
              <w:rPr/>
              <w:t> </w:t>
            </w:r>
          </w:p>
        </w:tc>
      </w:tr>
      <w:tr>
        <w:trPr/>
        <w:tc>
          <w:tcPr>
            <w:tcW w:w="4565" w:type="dxa"/>
            <w:tcBorders/>
            <w:shd w:fill="FFFFFF" w:val="clear"/>
            <w:vAlign w:val="center"/>
          </w:tcPr>
          <w:p>
            <w:pPr>
              <w:pStyle w:val="TableContents"/>
              <w:bidi w:val="0"/>
              <w:spacing w:before="0" w:after="283"/>
              <w:jc w:val="left"/>
              <w:rPr/>
            </w:pPr>
            <w:r>
              <w:rPr/>
              <w:t>Leasehold improvements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pPr>
            <w:r>
              <w:rPr/>
              <w:t>76,701</w:t>
            </w:r>
          </w:p>
        </w:tc>
        <w:tc>
          <w:tcPr>
            <w:tcW w:w="110" w:type="dxa"/>
            <w:tcBorders/>
            <w:shd w:fill="FFFFFF" w:val="clear"/>
            <w:vAlign w:val="center"/>
          </w:tcPr>
          <w:p>
            <w:pPr>
              <w:pStyle w:val="TableContents"/>
              <w:bidi w:val="0"/>
              <w:spacing w:before="0" w:after="283"/>
              <w:jc w:val="left"/>
              <w:rPr/>
            </w:pPr>
            <w:r>
              <w:rPr/>
              <w:t> </w:t>
            </w:r>
          </w:p>
        </w:tc>
      </w:tr>
      <w:tr>
        <w:trPr/>
        <w:tc>
          <w:tcPr>
            <w:tcW w:w="4565" w:type="dxa"/>
            <w:tcBorders/>
            <w:shd w:fill="CCEEFF" w:val="clear"/>
            <w:vAlign w:val="center"/>
          </w:tcPr>
          <w:p>
            <w:pPr>
              <w:pStyle w:val="TableContents"/>
              <w:bidi w:val="0"/>
              <w:spacing w:before="0" w:after="283"/>
              <w:jc w:val="left"/>
              <w:rPr/>
            </w:pPr>
            <w:r>
              <w:rPr/>
              <w:t>Vehicles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52,552</w:t>
            </w:r>
          </w:p>
        </w:tc>
        <w:tc>
          <w:tcPr>
            <w:tcW w:w="110" w:type="dxa"/>
            <w:tcBorders/>
            <w:shd w:fill="CCEEFF" w:val="clear"/>
            <w:vAlign w:val="center"/>
          </w:tcPr>
          <w:p>
            <w:pPr>
              <w:pStyle w:val="TableContents"/>
              <w:bidi w:val="0"/>
              <w:spacing w:before="0" w:after="283"/>
              <w:jc w:val="left"/>
              <w:rPr/>
            </w:pPr>
            <w:r>
              <w:rPr/>
              <w:t> </w:t>
            </w:r>
          </w:p>
        </w:tc>
      </w:tr>
      <w:tr>
        <w:trPr/>
        <w:tc>
          <w:tcPr>
            <w:tcW w:w="4565" w:type="dxa"/>
            <w:tcBorders/>
            <w:shd w:fill="FFFFFF" w:val="clear"/>
            <w:vAlign w:val="center"/>
          </w:tcPr>
          <w:p>
            <w:pPr>
              <w:pStyle w:val="TableContents"/>
              <w:bidi w:val="0"/>
              <w:spacing w:before="0" w:after="283"/>
              <w:jc w:val="left"/>
              <w:rPr/>
            </w:pPr>
            <w:r>
              <w:rPr/>
              <w:t>Computer equipment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pPr>
            <w:r>
              <w:rPr/>
              <w:t>54,392</w:t>
            </w:r>
          </w:p>
        </w:tc>
        <w:tc>
          <w:tcPr>
            <w:tcW w:w="110" w:type="dxa"/>
            <w:tcBorders/>
            <w:shd w:fill="FFFFFF" w:val="clear"/>
            <w:vAlign w:val="center"/>
          </w:tcPr>
          <w:p>
            <w:pPr>
              <w:pStyle w:val="TableContents"/>
              <w:bidi w:val="0"/>
              <w:spacing w:before="0" w:after="283"/>
              <w:jc w:val="left"/>
              <w:rPr/>
            </w:pPr>
            <w:r>
              <w:rPr/>
              <w:t> </w:t>
            </w:r>
          </w:p>
        </w:tc>
      </w:tr>
      <w:tr>
        <w:trPr/>
        <w:tc>
          <w:tcPr>
            <w:tcW w:w="4565" w:type="dxa"/>
            <w:tcBorders/>
            <w:shd w:fill="CCEEFF" w:val="clear"/>
            <w:vAlign w:val="center"/>
          </w:tcPr>
          <w:p>
            <w:pPr>
              <w:pStyle w:val="TableContents"/>
              <w:bidi w:val="0"/>
              <w:spacing w:before="0" w:after="283"/>
              <w:jc w:val="left"/>
              <w:rPr/>
            </w:pPr>
            <w:r>
              <w:rPr/>
              <w:t>Furniture</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75" w:type="dxa"/>
            <w:tcBorders>
              <w:bottom w:val="single" w:sz="12" w:space="0" w:color="000000"/>
            </w:tcBorders>
            <w:shd w:fill="CCEEFF" w:val="clear"/>
            <w:tcMar>
              <w:bottom w:w="28" w:type="dxa"/>
            </w:tcMar>
            <w:vAlign w:val="center"/>
          </w:tcPr>
          <w:p>
            <w:pPr>
              <w:pStyle w:val="TableContents"/>
              <w:bidi w:val="0"/>
              <w:spacing w:before="0" w:after="283"/>
              <w:jc w:val="right"/>
              <w:rPr/>
            </w:pPr>
            <w:r>
              <w:rPr/>
              <w:t>30,946</w:t>
            </w:r>
          </w:p>
        </w:tc>
        <w:tc>
          <w:tcPr>
            <w:tcW w:w="110" w:type="dxa"/>
            <w:tcBorders/>
            <w:shd w:fill="CCEEFF" w:val="clear"/>
            <w:vAlign w:val="center"/>
          </w:tcPr>
          <w:p>
            <w:pPr>
              <w:pStyle w:val="TableContents"/>
              <w:bidi w:val="0"/>
              <w:spacing w:before="0" w:after="283"/>
              <w:jc w:val="left"/>
              <w:rPr/>
            </w:pPr>
            <w:r>
              <w:rPr/>
              <w:t> </w:t>
            </w:r>
          </w:p>
        </w:tc>
      </w:tr>
      <w:tr>
        <w:trPr/>
        <w:tc>
          <w:tcPr>
            <w:tcW w:w="456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pPr>
            <w:r>
              <w:rPr/>
              <w:t>510,676</w:t>
            </w:r>
          </w:p>
        </w:tc>
        <w:tc>
          <w:tcPr>
            <w:tcW w:w="110" w:type="dxa"/>
            <w:tcBorders/>
            <w:shd w:fill="FFFFFF" w:val="clear"/>
            <w:vAlign w:val="center"/>
          </w:tcPr>
          <w:p>
            <w:pPr>
              <w:pStyle w:val="TableContents"/>
              <w:bidi w:val="0"/>
              <w:spacing w:before="0" w:after="283"/>
              <w:jc w:val="left"/>
              <w:rPr/>
            </w:pPr>
            <w:r>
              <w:rPr/>
              <w:t> </w:t>
            </w:r>
          </w:p>
        </w:tc>
      </w:tr>
      <w:tr>
        <w:trPr/>
        <w:tc>
          <w:tcPr>
            <w:tcW w:w="4565" w:type="dxa"/>
            <w:tcBorders/>
            <w:shd w:fill="CCEEFF" w:val="clear"/>
            <w:vAlign w:val="center"/>
          </w:tcPr>
          <w:p>
            <w:pPr>
              <w:pStyle w:val="TableContents"/>
              <w:bidi w:val="0"/>
              <w:spacing w:before="0" w:after="283"/>
              <w:jc w:val="left"/>
              <w:rPr/>
            </w:pPr>
            <w:r>
              <w:rPr/>
              <w:t>Less accumulated depreciation and amortization</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75" w:type="dxa"/>
            <w:tcBorders>
              <w:bottom w:val="single" w:sz="12" w:space="0" w:color="000000"/>
            </w:tcBorders>
            <w:shd w:fill="CCEEFF" w:val="clear"/>
            <w:tcMar>
              <w:bottom w:w="28" w:type="dxa"/>
            </w:tcMar>
            <w:vAlign w:val="center"/>
          </w:tcPr>
          <w:p>
            <w:pPr>
              <w:pStyle w:val="TableContents"/>
              <w:bidi w:val="0"/>
              <w:spacing w:before="0" w:after="283"/>
              <w:jc w:val="right"/>
              <w:rPr/>
            </w:pPr>
            <w:r>
              <w:rPr/>
              <w:t>(125,484</w:t>
            </w:r>
          </w:p>
        </w:tc>
        <w:tc>
          <w:tcPr>
            <w:tcW w:w="110" w:type="dxa"/>
            <w:tcBorders/>
            <w:shd w:fill="CCEEFF" w:val="clear"/>
            <w:vAlign w:val="center"/>
          </w:tcPr>
          <w:p>
            <w:pPr>
              <w:pStyle w:val="TableContents"/>
              <w:bidi w:val="0"/>
              <w:spacing w:before="0" w:after="283"/>
              <w:jc w:val="left"/>
              <w:rPr/>
            </w:pPr>
            <w:r>
              <w:rPr/>
              <w:t>)</w:t>
            </w:r>
          </w:p>
        </w:tc>
      </w:tr>
      <w:tr>
        <w:trPr/>
        <w:tc>
          <w:tcPr>
            <w:tcW w:w="456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10" w:space="0" w:color="000000"/>
            </w:tcBorders>
            <w:shd w:fill="FFFFFF" w:val="clear"/>
            <w:tcMar>
              <w:bottom w:w="28" w:type="dxa"/>
            </w:tcMar>
            <w:vAlign w:val="center"/>
          </w:tcPr>
          <w:p>
            <w:pPr>
              <w:pStyle w:val="TableContents"/>
              <w:bidi w:val="0"/>
              <w:spacing w:before="0" w:after="283"/>
              <w:jc w:val="left"/>
              <w:rPr/>
            </w:pPr>
            <w:r>
              <w:rPr/>
              <w:t>$</w:t>
            </w:r>
          </w:p>
        </w:tc>
        <w:tc>
          <w:tcPr>
            <w:tcW w:w="875" w:type="dxa"/>
            <w:tcBorders>
              <w:bottom w:val="double" w:sz="10" w:space="0" w:color="000000"/>
            </w:tcBorders>
            <w:shd w:fill="FFFFFF" w:val="clear"/>
            <w:tcMar>
              <w:bottom w:w="28" w:type="dxa"/>
            </w:tcMar>
            <w:vAlign w:val="center"/>
          </w:tcPr>
          <w:p>
            <w:pPr>
              <w:pStyle w:val="TableContents"/>
              <w:bidi w:val="0"/>
              <w:spacing w:before="0" w:after="283"/>
              <w:jc w:val="right"/>
              <w:rPr/>
            </w:pPr>
            <w:r>
              <w:rPr/>
              <w:t>385,192</w:t>
            </w:r>
          </w:p>
        </w:tc>
        <w:tc>
          <w:tcPr>
            <w:tcW w:w="11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Depreciation and amortization expense on property and equipment was calculated on a straight-line basis and for the year ended December 31, 2024 was $101,680. Amortization of right-of-use assets held under finance leases was $299,985 for the year ended December 31, 2024; and is included in depreciation and amortization expense in the statement of operations and member’s deficit.</w:t>
      </w:r>
    </w:p>
    <w:p>
      <w:pPr>
        <w:pStyle w:val="TextBody"/>
        <w:bidi w:val="0"/>
        <w:spacing w:before="0" w:after="0"/>
        <w:ind w:left="0" w:right="0" w:hanging="0"/>
        <w:jc w:val="both"/>
        <w:rPr>
          <w:caps w:val="false"/>
          <w:smallCaps w:val="false"/>
        </w:rPr>
      </w:pPr>
      <w:r>
        <w:rPr>
          <w:caps w:val="false"/>
          <w:smallCaps w:val="false"/>
        </w:rPr>
        <w:t> </w:t>
      </w:r>
    </w:p>
    <w:tbl>
      <w:tblPr>
        <w:tblW w:w="3198" w:type="dxa"/>
        <w:jc w:val="left"/>
        <w:tblInd w:w="0" w:type="dxa"/>
        <w:tblLayout w:type="fixed"/>
        <w:tblCellMar>
          <w:top w:w="0" w:type="dxa"/>
          <w:left w:w="0" w:type="dxa"/>
          <w:bottom w:w="0" w:type="dxa"/>
          <w:right w:w="0" w:type="dxa"/>
        </w:tblCellMar>
      </w:tblPr>
      <w:tblGrid>
        <w:gridCol w:w="38"/>
        <w:gridCol w:w="200"/>
        <w:gridCol w:w="2960"/>
      </w:tblGrid>
      <w:tr>
        <w:trPr/>
        <w:tc>
          <w:tcPr>
            <w:tcW w:w="3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b/>
              </w:rPr>
            </w:pPr>
            <w:r>
              <w:rPr>
                <w:b/>
              </w:rPr>
              <w:t>5.</w:t>
            </w:r>
          </w:p>
        </w:tc>
        <w:tc>
          <w:tcPr>
            <w:tcW w:w="2960" w:type="dxa"/>
            <w:tcBorders/>
            <w:vAlign w:val="center"/>
          </w:tcPr>
          <w:p>
            <w:pPr>
              <w:pStyle w:val="TableContents"/>
              <w:bidi w:val="0"/>
              <w:spacing w:before="0" w:after="283"/>
              <w:jc w:val="both"/>
              <w:rPr>
                <w:b/>
              </w:rPr>
            </w:pPr>
            <w:r>
              <w:rPr>
                <w:b/>
              </w:rPr>
              <w:t>Related-Party Notes Payable</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has entered into notes payable agreements with various related parties. Interest rates on these notes payable range from 8% to 13%. Some notes require quarterly interest payments, while others do not require interest to be paid until the maturity date. For all related-party notes payable, the principal amounts are not due until the maturity date which ranges from December 2026 to April 2033.</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December 31, 2024, the future maturities of related-party notes payable are as follows:</w:t>
      </w:r>
    </w:p>
    <w:p>
      <w:pPr>
        <w:pStyle w:val="TextBody"/>
        <w:bidi w:val="0"/>
        <w:spacing w:before="0" w:after="0"/>
        <w:ind w:left="0" w:right="0" w:hanging="0"/>
        <w:jc w:val="both"/>
        <w:rPr>
          <w:caps w:val="false"/>
          <w:smallCaps w:val="false"/>
        </w:rPr>
      </w:pPr>
      <w:r>
        <w:rPr>
          <w:caps w:val="false"/>
          <w:smallCaps w:val="false"/>
        </w:rPr>
        <w:t> </w:t>
      </w:r>
    </w:p>
    <w:tbl>
      <w:tblPr>
        <w:tblW w:w="4770" w:type="dxa"/>
        <w:jc w:val="left"/>
        <w:tblInd w:w="0" w:type="dxa"/>
        <w:tblLayout w:type="fixed"/>
        <w:tblCellMar>
          <w:top w:w="0" w:type="dxa"/>
          <w:left w:w="0" w:type="dxa"/>
          <w:bottom w:w="28" w:type="dxa"/>
          <w:right w:w="0" w:type="dxa"/>
        </w:tblCellMar>
      </w:tblPr>
      <w:tblGrid>
        <w:gridCol w:w="3515"/>
        <w:gridCol w:w="60"/>
        <w:gridCol w:w="140"/>
        <w:gridCol w:w="980"/>
        <w:gridCol w:w="75"/>
      </w:tblGrid>
      <w:tr>
        <w:trPr/>
        <w:tc>
          <w:tcPr>
            <w:tcW w:w="3515" w:type="dxa"/>
            <w:tcBorders>
              <w:bottom w:val="single" w:sz="12" w:space="0" w:color="000000"/>
            </w:tcBorders>
            <w:vAlign w:val="center"/>
          </w:tcPr>
          <w:p>
            <w:pPr>
              <w:pStyle w:val="TableContents"/>
              <w:bidi w:val="0"/>
              <w:spacing w:before="0" w:after="283"/>
              <w:jc w:val="left"/>
              <w:rPr>
                <w:b/>
              </w:rPr>
            </w:pPr>
            <w:r>
              <w:rPr>
                <w:b/>
              </w:rPr>
              <w:t>For the year ending December 31:</w:t>
            </w:r>
          </w:p>
        </w:tc>
        <w:tc>
          <w:tcPr>
            <w:tcW w:w="60" w:type="dxa"/>
            <w:tcBorders/>
            <w:tcMar>
              <w:bottom w:w="0" w:type="dxa"/>
            </w:tcMar>
            <w:vAlign w:val="center"/>
          </w:tcPr>
          <w:p>
            <w:pPr>
              <w:pStyle w:val="TableContents"/>
              <w:bidi w:val="0"/>
              <w:spacing w:before="0" w:after="283"/>
              <w:jc w:val="left"/>
              <w:rPr/>
            </w:pPr>
            <w:r>
              <w:rPr/>
              <w:t> </w:t>
            </w:r>
          </w:p>
        </w:tc>
        <w:tc>
          <w:tcPr>
            <w:tcW w:w="1120" w:type="dxa"/>
            <w:gridSpan w:val="2"/>
            <w:tcBorders/>
            <w:tcMar>
              <w:bottom w:w="0" w:type="dxa"/>
            </w:tcMar>
            <w:vAlign w:val="center"/>
          </w:tcPr>
          <w:p>
            <w:pPr>
              <w:pStyle w:val="TableContents"/>
              <w:bidi w:val="0"/>
              <w:spacing w:before="0" w:after="283"/>
              <w:jc w:val="left"/>
              <w:rPr/>
            </w:pPr>
            <w:r>
              <w:rPr/>
              <w:t> </w:t>
            </w:r>
          </w:p>
        </w:tc>
        <w:tc>
          <w:tcPr>
            <w:tcW w:w="75" w:type="dxa"/>
            <w:tcBorders/>
            <w:tcMar>
              <w:bottom w:w="0" w:type="dxa"/>
            </w:tcMar>
            <w:vAlign w:val="center"/>
          </w:tcPr>
          <w:p>
            <w:pPr>
              <w:pStyle w:val="TableContents"/>
              <w:bidi w:val="0"/>
              <w:spacing w:before="0" w:after="283"/>
              <w:jc w:val="left"/>
              <w:rPr/>
            </w:pPr>
            <w:r>
              <w:rPr/>
              <w:t> </w:t>
            </w:r>
          </w:p>
        </w:tc>
      </w:tr>
      <w:tr>
        <w:trPr/>
        <w:tc>
          <w:tcPr>
            <w:tcW w:w="3515" w:type="dxa"/>
            <w:tcBorders/>
            <w:shd w:fill="CCEEFF" w:val="clear"/>
            <w:tcMar>
              <w:bottom w:w="0" w:type="dxa"/>
            </w:tcMar>
            <w:vAlign w:val="center"/>
          </w:tcPr>
          <w:p>
            <w:pPr>
              <w:pStyle w:val="TableContents"/>
              <w:bidi w:val="0"/>
              <w:spacing w:before="0" w:after="283"/>
              <w:jc w:val="left"/>
              <w:rPr/>
            </w:pPr>
            <w:r>
              <w:rPr/>
              <w:t>2025</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w:t>
            </w:r>
          </w:p>
        </w:tc>
        <w:tc>
          <w:tcPr>
            <w:tcW w:w="980" w:type="dxa"/>
            <w:tcBorders/>
            <w:shd w:fill="CCEEFF" w:val="clear"/>
            <w:tcMar>
              <w:bottom w:w="0" w:type="dxa"/>
            </w:tcMar>
            <w:vAlign w:val="center"/>
          </w:tcPr>
          <w:p>
            <w:pPr>
              <w:pStyle w:val="TableContents"/>
              <w:bidi w:val="0"/>
              <w:spacing w:before="0" w:after="283"/>
              <w:jc w:val="right"/>
              <w:rPr/>
            </w:pPr>
            <w:r>
              <w:rPr/>
              <w:t>-</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3515" w:type="dxa"/>
            <w:tcBorders/>
            <w:shd w:fill="FFFFFF" w:val="clear"/>
            <w:tcMar>
              <w:bottom w:w="0" w:type="dxa"/>
            </w:tcMar>
            <w:vAlign w:val="center"/>
          </w:tcPr>
          <w:p>
            <w:pPr>
              <w:pStyle w:val="TableContents"/>
              <w:bidi w:val="0"/>
              <w:spacing w:before="0" w:after="283"/>
              <w:jc w:val="left"/>
              <w:rPr/>
            </w:pPr>
            <w:r>
              <w:rPr/>
              <w:t>2026</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980" w:type="dxa"/>
            <w:tcBorders/>
            <w:shd w:fill="FFFFFF" w:val="clear"/>
            <w:tcMar>
              <w:bottom w:w="0" w:type="dxa"/>
            </w:tcMar>
            <w:vAlign w:val="center"/>
          </w:tcPr>
          <w:p>
            <w:pPr>
              <w:pStyle w:val="TableContents"/>
              <w:bidi w:val="0"/>
              <w:spacing w:before="0" w:after="283"/>
              <w:jc w:val="right"/>
              <w:rPr/>
            </w:pPr>
            <w:r>
              <w:rPr/>
              <w:t>3,100,000</w:t>
            </w:r>
          </w:p>
        </w:tc>
        <w:tc>
          <w:tcPr>
            <w:tcW w:w="75" w:type="dxa"/>
            <w:tcBorders/>
            <w:shd w:fill="FFFFFF" w:val="clear"/>
            <w:tcMar>
              <w:bottom w:w="0" w:type="dxa"/>
            </w:tcMar>
            <w:vAlign w:val="center"/>
          </w:tcPr>
          <w:p>
            <w:pPr>
              <w:pStyle w:val="TableContents"/>
              <w:bidi w:val="0"/>
              <w:spacing w:before="0" w:after="283"/>
              <w:jc w:val="left"/>
              <w:rPr/>
            </w:pPr>
            <w:r>
              <w:rPr/>
              <w:t> </w:t>
            </w:r>
          </w:p>
        </w:tc>
      </w:tr>
      <w:tr>
        <w:trPr/>
        <w:tc>
          <w:tcPr>
            <w:tcW w:w="3515" w:type="dxa"/>
            <w:tcBorders/>
            <w:shd w:fill="CCEEFF" w:val="clear"/>
            <w:tcMar>
              <w:bottom w:w="0" w:type="dxa"/>
            </w:tcMar>
            <w:vAlign w:val="center"/>
          </w:tcPr>
          <w:p>
            <w:pPr>
              <w:pStyle w:val="TableContents"/>
              <w:bidi w:val="0"/>
              <w:spacing w:before="0" w:after="283"/>
              <w:jc w:val="left"/>
              <w:rPr/>
            </w:pPr>
            <w:r>
              <w:rPr/>
              <w:t>2027</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980" w:type="dxa"/>
            <w:tcBorders/>
            <w:shd w:fill="CCEEFF" w:val="clear"/>
            <w:tcMar>
              <w:bottom w:w="0" w:type="dxa"/>
            </w:tcMar>
            <w:vAlign w:val="center"/>
          </w:tcPr>
          <w:p>
            <w:pPr>
              <w:pStyle w:val="TableContents"/>
              <w:bidi w:val="0"/>
              <w:spacing w:before="0" w:after="283"/>
              <w:jc w:val="right"/>
              <w:rPr/>
            </w:pPr>
            <w:r>
              <w:rPr/>
              <w:t>-</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3515" w:type="dxa"/>
            <w:tcBorders/>
            <w:shd w:fill="FFFFFF" w:val="clear"/>
            <w:tcMar>
              <w:bottom w:w="0" w:type="dxa"/>
            </w:tcMar>
            <w:vAlign w:val="center"/>
          </w:tcPr>
          <w:p>
            <w:pPr>
              <w:pStyle w:val="TableContents"/>
              <w:bidi w:val="0"/>
              <w:spacing w:before="0" w:after="283"/>
              <w:jc w:val="left"/>
              <w:rPr/>
            </w:pPr>
            <w:r>
              <w:rPr/>
              <w:t>2028</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980" w:type="dxa"/>
            <w:tcBorders/>
            <w:shd w:fill="FFFFFF" w:val="clear"/>
            <w:tcMar>
              <w:bottom w:w="0" w:type="dxa"/>
            </w:tcMar>
            <w:vAlign w:val="center"/>
          </w:tcPr>
          <w:p>
            <w:pPr>
              <w:pStyle w:val="TableContents"/>
              <w:bidi w:val="0"/>
              <w:spacing w:before="0" w:after="283"/>
              <w:jc w:val="right"/>
              <w:rPr/>
            </w:pPr>
            <w:r>
              <w:rPr/>
              <w:t>-</w:t>
            </w:r>
          </w:p>
        </w:tc>
        <w:tc>
          <w:tcPr>
            <w:tcW w:w="75" w:type="dxa"/>
            <w:tcBorders/>
            <w:shd w:fill="FFFFFF" w:val="clear"/>
            <w:tcMar>
              <w:bottom w:w="0" w:type="dxa"/>
            </w:tcMar>
            <w:vAlign w:val="center"/>
          </w:tcPr>
          <w:p>
            <w:pPr>
              <w:pStyle w:val="TableContents"/>
              <w:bidi w:val="0"/>
              <w:spacing w:before="0" w:after="283"/>
              <w:jc w:val="left"/>
              <w:rPr/>
            </w:pPr>
            <w:r>
              <w:rPr/>
              <w:t> </w:t>
            </w:r>
          </w:p>
        </w:tc>
      </w:tr>
      <w:tr>
        <w:trPr/>
        <w:tc>
          <w:tcPr>
            <w:tcW w:w="3515" w:type="dxa"/>
            <w:tcBorders/>
            <w:shd w:fill="CCEEFF" w:val="clear"/>
            <w:tcMar>
              <w:bottom w:w="0" w:type="dxa"/>
            </w:tcMar>
            <w:vAlign w:val="center"/>
          </w:tcPr>
          <w:p>
            <w:pPr>
              <w:pStyle w:val="TableContents"/>
              <w:bidi w:val="0"/>
              <w:spacing w:before="0" w:after="283"/>
              <w:jc w:val="left"/>
              <w:rPr/>
            </w:pPr>
            <w:r>
              <w:rPr/>
              <w:t>2029</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980" w:type="dxa"/>
            <w:tcBorders/>
            <w:shd w:fill="CCEEFF" w:val="clear"/>
            <w:tcMar>
              <w:bottom w:w="0" w:type="dxa"/>
            </w:tcMar>
            <w:vAlign w:val="center"/>
          </w:tcPr>
          <w:p>
            <w:pPr>
              <w:pStyle w:val="TableContents"/>
              <w:bidi w:val="0"/>
              <w:spacing w:before="0" w:after="283"/>
              <w:jc w:val="right"/>
              <w:rPr/>
            </w:pPr>
            <w:r>
              <w:rPr/>
              <w:t>-</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3515" w:type="dxa"/>
            <w:tcBorders/>
            <w:shd w:fill="FFFFFF" w:val="clear"/>
            <w:tcMar>
              <w:bottom w:w="0" w:type="dxa"/>
            </w:tcMar>
            <w:vAlign w:val="center"/>
          </w:tcPr>
          <w:p>
            <w:pPr>
              <w:pStyle w:val="TableContents"/>
              <w:bidi w:val="0"/>
              <w:spacing w:before="0" w:after="283"/>
              <w:jc w:val="left"/>
              <w:rPr/>
            </w:pPr>
            <w:r>
              <w:rPr/>
              <w:t>Thereafter</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bottom w:val="single" w:sz="12" w:space="0" w:color="000000"/>
            </w:tcBorders>
            <w:shd w:fill="FFFFFF" w:val="clear"/>
            <w:vAlign w:val="center"/>
          </w:tcPr>
          <w:p>
            <w:pPr>
              <w:pStyle w:val="TableContents"/>
              <w:bidi w:val="0"/>
              <w:spacing w:before="0" w:after="283"/>
              <w:jc w:val="left"/>
              <w:rPr/>
            </w:pPr>
            <w:r>
              <w:rPr/>
              <w:t> </w:t>
            </w:r>
          </w:p>
        </w:tc>
        <w:tc>
          <w:tcPr>
            <w:tcW w:w="980" w:type="dxa"/>
            <w:tcBorders>
              <w:bottom w:val="single" w:sz="12" w:space="0" w:color="000000"/>
            </w:tcBorders>
            <w:shd w:fill="FFFFFF" w:val="clear"/>
            <w:vAlign w:val="center"/>
          </w:tcPr>
          <w:p>
            <w:pPr>
              <w:pStyle w:val="TableContents"/>
              <w:bidi w:val="0"/>
              <w:spacing w:before="0" w:after="283"/>
              <w:jc w:val="right"/>
              <w:rPr/>
            </w:pPr>
            <w:r>
              <w:rPr/>
              <w:t>4,040,109</w:t>
            </w:r>
          </w:p>
        </w:tc>
        <w:tc>
          <w:tcPr>
            <w:tcW w:w="75" w:type="dxa"/>
            <w:tcBorders/>
            <w:shd w:fill="FFFFFF" w:val="clear"/>
            <w:tcMar>
              <w:bottom w:w="0" w:type="dxa"/>
            </w:tcMar>
            <w:vAlign w:val="center"/>
          </w:tcPr>
          <w:p>
            <w:pPr>
              <w:pStyle w:val="TableContents"/>
              <w:bidi w:val="0"/>
              <w:spacing w:before="0" w:after="283"/>
              <w:jc w:val="left"/>
              <w:rPr/>
            </w:pPr>
            <w:r>
              <w:rPr/>
              <w:t> </w:t>
            </w:r>
          </w:p>
        </w:tc>
      </w:tr>
      <w:tr>
        <w:trPr/>
        <w:tc>
          <w:tcPr>
            <w:tcW w:w="351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bottom w:val="double" w:sz="10" w:space="0" w:color="000000"/>
            </w:tcBorders>
            <w:shd w:fill="CCEEFF" w:val="clear"/>
            <w:vAlign w:val="center"/>
          </w:tcPr>
          <w:p>
            <w:pPr>
              <w:pStyle w:val="TableContents"/>
              <w:bidi w:val="0"/>
              <w:spacing w:before="0" w:after="283"/>
              <w:jc w:val="left"/>
              <w:rPr/>
            </w:pPr>
            <w:r>
              <w:rPr/>
              <w:t>$</w:t>
            </w:r>
          </w:p>
        </w:tc>
        <w:tc>
          <w:tcPr>
            <w:tcW w:w="980" w:type="dxa"/>
            <w:tcBorders>
              <w:bottom w:val="double" w:sz="10" w:space="0" w:color="000000"/>
            </w:tcBorders>
            <w:shd w:fill="CCEEFF" w:val="clear"/>
            <w:vAlign w:val="center"/>
          </w:tcPr>
          <w:p>
            <w:pPr>
              <w:pStyle w:val="TableContents"/>
              <w:bidi w:val="0"/>
              <w:spacing w:before="0" w:after="283"/>
              <w:jc w:val="right"/>
              <w:rPr/>
            </w:pPr>
            <w:r>
              <w:rPr/>
              <w:t>7,140,109</w:t>
            </w:r>
          </w:p>
        </w:tc>
        <w:tc>
          <w:tcPr>
            <w:tcW w:w="75" w:type="dxa"/>
            <w:tcBorders/>
            <w:shd w:fill="CCEEFF" w:val="clear"/>
            <w:tcMar>
              <w:bottom w:w="0"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12" w:space="1" w:color="000000"/>
        </w:rPr>
      </w:pPr>
      <w:r>
        <w:rPr>
          <w:sz w:val="20"/>
          <w:bdr w:val="single" w:sz="12" w:space="1" w:color="000000"/>
        </w:rPr>
        <w:t>F-158</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drawing>
          <wp:inline distT="0" distB="0" distL="0" distR="0">
            <wp:extent cx="7143750" cy="57150"/>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embed="rId16"/>
                    <a:stretch>
                      <a:fillRect/>
                    </a:stretch>
                  </pic:blipFill>
                  <pic:spPr bwMode="auto">
                    <a:xfrm>
                      <a:off x="0" y="0"/>
                      <a:ext cx="7143750" cy="57150"/>
                    </a:xfrm>
                    <a:prstGeom prst="rect">
                      <a:avLst/>
                    </a:prstGeom>
                  </pic:spPr>
                </pic:pic>
              </a:graphicData>
            </a:graphic>
          </wp:inline>
        </w:drawing>
      </w: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tbl>
      <w:tblPr>
        <w:tblW w:w="3288" w:type="dxa"/>
        <w:jc w:val="left"/>
        <w:tblInd w:w="0" w:type="dxa"/>
        <w:tblLayout w:type="fixed"/>
        <w:tblCellMar>
          <w:top w:w="0" w:type="dxa"/>
          <w:left w:w="0" w:type="dxa"/>
          <w:bottom w:w="0" w:type="dxa"/>
          <w:right w:w="0" w:type="dxa"/>
        </w:tblCellMar>
      </w:tblPr>
      <w:tblGrid>
        <w:gridCol w:w="38"/>
        <w:gridCol w:w="200"/>
        <w:gridCol w:w="3050"/>
      </w:tblGrid>
      <w:tr>
        <w:trPr/>
        <w:tc>
          <w:tcPr>
            <w:tcW w:w="3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b/>
              </w:rPr>
            </w:pPr>
            <w:r>
              <w:rPr>
                <w:b/>
              </w:rPr>
              <w:t>6.</w:t>
            </w:r>
          </w:p>
        </w:tc>
        <w:tc>
          <w:tcPr>
            <w:tcW w:w="3050" w:type="dxa"/>
            <w:tcBorders/>
            <w:vAlign w:val="center"/>
          </w:tcPr>
          <w:p>
            <w:pPr>
              <w:pStyle w:val="TableContents"/>
              <w:bidi w:val="0"/>
              <w:spacing w:before="0" w:after="283"/>
              <w:jc w:val="both"/>
              <w:rPr>
                <w:b/>
              </w:rPr>
            </w:pPr>
            <w:r>
              <w:rPr>
                <w:b/>
              </w:rPr>
              <w:t>Related-Party Lines of Credit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has entered into verbal line of credit agreements with related parties. These lines of credit have maximum balances of $250,000 to $1,400,000 and bear interest on their outstanding individual balances at an interest rate of 13%. Principal and interest are not due until the maturity date which range from May to July 2027.</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December 31, 2024, the future maturities of related-party lines of credit are as follows:</w:t>
      </w:r>
    </w:p>
    <w:p>
      <w:pPr>
        <w:pStyle w:val="TextBody"/>
        <w:bidi w:val="0"/>
        <w:spacing w:before="0" w:after="0"/>
        <w:ind w:left="0" w:right="0" w:hanging="0"/>
        <w:jc w:val="both"/>
        <w:rPr>
          <w:caps w:val="false"/>
          <w:smallCaps w:val="false"/>
        </w:rPr>
      </w:pPr>
      <w:r>
        <w:rPr>
          <w:caps w:val="false"/>
          <w:smallCaps w:val="false"/>
        </w:rPr>
        <w:t> </w:t>
      </w:r>
    </w:p>
    <w:tbl>
      <w:tblPr>
        <w:tblW w:w="4770" w:type="dxa"/>
        <w:jc w:val="left"/>
        <w:tblInd w:w="0" w:type="dxa"/>
        <w:tblLayout w:type="fixed"/>
        <w:tblCellMar>
          <w:top w:w="0" w:type="dxa"/>
          <w:left w:w="0" w:type="dxa"/>
          <w:bottom w:w="28" w:type="dxa"/>
          <w:right w:w="0" w:type="dxa"/>
        </w:tblCellMar>
      </w:tblPr>
      <w:tblGrid>
        <w:gridCol w:w="3515"/>
        <w:gridCol w:w="60"/>
        <w:gridCol w:w="140"/>
        <w:gridCol w:w="980"/>
        <w:gridCol w:w="75"/>
      </w:tblGrid>
      <w:tr>
        <w:trPr/>
        <w:tc>
          <w:tcPr>
            <w:tcW w:w="3515" w:type="dxa"/>
            <w:tcBorders>
              <w:bottom w:val="single" w:sz="12" w:space="0" w:color="000000"/>
            </w:tcBorders>
            <w:vAlign w:val="center"/>
          </w:tcPr>
          <w:p>
            <w:pPr>
              <w:pStyle w:val="TableContents"/>
              <w:bidi w:val="0"/>
              <w:spacing w:before="0" w:after="283"/>
              <w:jc w:val="left"/>
              <w:rPr>
                <w:b/>
              </w:rPr>
            </w:pPr>
            <w:r>
              <w:rPr>
                <w:b/>
              </w:rPr>
              <w:t>For the year ending December 31:</w:t>
            </w:r>
          </w:p>
        </w:tc>
        <w:tc>
          <w:tcPr>
            <w:tcW w:w="60" w:type="dxa"/>
            <w:tcBorders/>
            <w:tcMar>
              <w:bottom w:w="0" w:type="dxa"/>
            </w:tcMar>
            <w:vAlign w:val="center"/>
          </w:tcPr>
          <w:p>
            <w:pPr>
              <w:pStyle w:val="TableContents"/>
              <w:bidi w:val="0"/>
              <w:spacing w:before="0" w:after="283"/>
              <w:jc w:val="left"/>
              <w:rPr/>
            </w:pPr>
            <w:r>
              <w:rPr/>
              <w:t> </w:t>
            </w:r>
          </w:p>
        </w:tc>
        <w:tc>
          <w:tcPr>
            <w:tcW w:w="1120" w:type="dxa"/>
            <w:gridSpan w:val="2"/>
            <w:tcBorders/>
            <w:tcMar>
              <w:bottom w:w="0" w:type="dxa"/>
            </w:tcMar>
            <w:vAlign w:val="center"/>
          </w:tcPr>
          <w:p>
            <w:pPr>
              <w:pStyle w:val="TableContents"/>
              <w:bidi w:val="0"/>
              <w:spacing w:before="0" w:after="283"/>
              <w:jc w:val="left"/>
              <w:rPr/>
            </w:pPr>
            <w:r>
              <w:rPr/>
              <w:t> </w:t>
            </w:r>
          </w:p>
        </w:tc>
        <w:tc>
          <w:tcPr>
            <w:tcW w:w="75" w:type="dxa"/>
            <w:tcBorders/>
            <w:tcMar>
              <w:bottom w:w="0" w:type="dxa"/>
            </w:tcMar>
            <w:vAlign w:val="center"/>
          </w:tcPr>
          <w:p>
            <w:pPr>
              <w:pStyle w:val="TableContents"/>
              <w:bidi w:val="0"/>
              <w:spacing w:before="0" w:after="283"/>
              <w:jc w:val="left"/>
              <w:rPr/>
            </w:pPr>
            <w:r>
              <w:rPr/>
              <w:t> </w:t>
            </w:r>
          </w:p>
        </w:tc>
      </w:tr>
      <w:tr>
        <w:trPr/>
        <w:tc>
          <w:tcPr>
            <w:tcW w:w="3515" w:type="dxa"/>
            <w:tcBorders/>
            <w:shd w:fill="CCEEFF" w:val="clear"/>
            <w:tcMar>
              <w:bottom w:w="0" w:type="dxa"/>
            </w:tcMar>
            <w:vAlign w:val="center"/>
          </w:tcPr>
          <w:p>
            <w:pPr>
              <w:pStyle w:val="TableContents"/>
              <w:bidi w:val="0"/>
              <w:spacing w:before="0" w:after="283"/>
              <w:jc w:val="left"/>
              <w:rPr/>
            </w:pPr>
            <w:r>
              <w:rPr/>
              <w:t>2025</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w:t>
            </w:r>
          </w:p>
        </w:tc>
        <w:tc>
          <w:tcPr>
            <w:tcW w:w="980" w:type="dxa"/>
            <w:tcBorders/>
            <w:shd w:fill="CCEEFF" w:val="clear"/>
            <w:tcMar>
              <w:bottom w:w="0" w:type="dxa"/>
            </w:tcMar>
            <w:vAlign w:val="center"/>
          </w:tcPr>
          <w:p>
            <w:pPr>
              <w:pStyle w:val="TableContents"/>
              <w:bidi w:val="0"/>
              <w:spacing w:before="0" w:after="283"/>
              <w:jc w:val="right"/>
              <w:rPr/>
            </w:pPr>
            <w:r>
              <w:rPr/>
              <w:t>-</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3515" w:type="dxa"/>
            <w:tcBorders/>
            <w:shd w:fill="FFFFFF" w:val="clear"/>
            <w:tcMar>
              <w:bottom w:w="0" w:type="dxa"/>
            </w:tcMar>
            <w:vAlign w:val="center"/>
          </w:tcPr>
          <w:p>
            <w:pPr>
              <w:pStyle w:val="TableContents"/>
              <w:bidi w:val="0"/>
              <w:spacing w:before="0" w:after="283"/>
              <w:jc w:val="left"/>
              <w:rPr/>
            </w:pPr>
            <w:r>
              <w:rPr/>
              <w:t>2026</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980" w:type="dxa"/>
            <w:tcBorders/>
            <w:shd w:fill="FFFFFF" w:val="clear"/>
            <w:tcMar>
              <w:bottom w:w="0" w:type="dxa"/>
            </w:tcMar>
            <w:vAlign w:val="center"/>
          </w:tcPr>
          <w:p>
            <w:pPr>
              <w:pStyle w:val="TableContents"/>
              <w:bidi w:val="0"/>
              <w:spacing w:before="0" w:after="283"/>
              <w:jc w:val="right"/>
              <w:rPr/>
            </w:pPr>
            <w:r>
              <w:rPr/>
              <w:t>-</w:t>
            </w:r>
          </w:p>
        </w:tc>
        <w:tc>
          <w:tcPr>
            <w:tcW w:w="75" w:type="dxa"/>
            <w:tcBorders/>
            <w:shd w:fill="FFFFFF" w:val="clear"/>
            <w:tcMar>
              <w:bottom w:w="0" w:type="dxa"/>
            </w:tcMar>
            <w:vAlign w:val="center"/>
          </w:tcPr>
          <w:p>
            <w:pPr>
              <w:pStyle w:val="TableContents"/>
              <w:bidi w:val="0"/>
              <w:spacing w:before="0" w:after="283"/>
              <w:jc w:val="left"/>
              <w:rPr/>
            </w:pPr>
            <w:r>
              <w:rPr/>
              <w:t> </w:t>
            </w:r>
          </w:p>
        </w:tc>
      </w:tr>
      <w:tr>
        <w:trPr/>
        <w:tc>
          <w:tcPr>
            <w:tcW w:w="3515" w:type="dxa"/>
            <w:tcBorders/>
            <w:shd w:fill="CCEEFF" w:val="clear"/>
            <w:tcMar>
              <w:bottom w:w="0" w:type="dxa"/>
            </w:tcMar>
            <w:vAlign w:val="center"/>
          </w:tcPr>
          <w:p>
            <w:pPr>
              <w:pStyle w:val="TableContents"/>
              <w:bidi w:val="0"/>
              <w:spacing w:before="0" w:after="283"/>
              <w:jc w:val="left"/>
              <w:rPr/>
            </w:pPr>
            <w:r>
              <w:rPr/>
              <w:t>2027</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bottom w:val="single" w:sz="12" w:space="0" w:color="000000"/>
            </w:tcBorders>
            <w:shd w:fill="CCEEFF" w:val="clear"/>
            <w:vAlign w:val="center"/>
          </w:tcPr>
          <w:p>
            <w:pPr>
              <w:pStyle w:val="TableContents"/>
              <w:bidi w:val="0"/>
              <w:spacing w:before="0" w:after="283"/>
              <w:jc w:val="left"/>
              <w:rPr/>
            </w:pPr>
            <w:r>
              <w:rPr/>
              <w:t> </w:t>
            </w:r>
          </w:p>
        </w:tc>
        <w:tc>
          <w:tcPr>
            <w:tcW w:w="980" w:type="dxa"/>
            <w:tcBorders>
              <w:bottom w:val="single" w:sz="12" w:space="0" w:color="000000"/>
            </w:tcBorders>
            <w:shd w:fill="CCEEFF" w:val="clear"/>
            <w:vAlign w:val="center"/>
          </w:tcPr>
          <w:p>
            <w:pPr>
              <w:pStyle w:val="TableContents"/>
              <w:bidi w:val="0"/>
              <w:spacing w:before="0" w:after="283"/>
              <w:jc w:val="right"/>
              <w:rPr/>
            </w:pPr>
            <w:r>
              <w:rPr/>
              <w:t>2,175,000</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351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bottom w:val="double" w:sz="10" w:space="0" w:color="000000"/>
            </w:tcBorders>
            <w:shd w:fill="FFFFFF" w:val="clear"/>
            <w:vAlign w:val="center"/>
          </w:tcPr>
          <w:p>
            <w:pPr>
              <w:pStyle w:val="TableContents"/>
              <w:bidi w:val="0"/>
              <w:spacing w:before="0" w:after="283"/>
              <w:jc w:val="left"/>
              <w:rPr/>
            </w:pPr>
            <w:r>
              <w:rPr/>
              <w:t>$</w:t>
            </w:r>
          </w:p>
        </w:tc>
        <w:tc>
          <w:tcPr>
            <w:tcW w:w="980" w:type="dxa"/>
            <w:tcBorders>
              <w:bottom w:val="double" w:sz="10" w:space="0" w:color="000000"/>
            </w:tcBorders>
            <w:shd w:fill="FFFFFF" w:val="clear"/>
            <w:vAlign w:val="center"/>
          </w:tcPr>
          <w:p>
            <w:pPr>
              <w:pStyle w:val="TableContents"/>
              <w:bidi w:val="0"/>
              <w:spacing w:before="0" w:after="283"/>
              <w:jc w:val="right"/>
              <w:rPr/>
            </w:pPr>
            <w:r>
              <w:rPr/>
              <w:t>2,175,000</w:t>
            </w:r>
          </w:p>
        </w:tc>
        <w:tc>
          <w:tcPr>
            <w:tcW w:w="75" w:type="dxa"/>
            <w:tcBorders/>
            <w:shd w:fill="FFFFFF" w:val="clear"/>
            <w:tcMar>
              <w:bottom w:w="0" w:type="dxa"/>
            </w:tcM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tbl>
      <w:tblPr>
        <w:tblW w:w="2028" w:type="dxa"/>
        <w:jc w:val="left"/>
        <w:tblInd w:w="0" w:type="dxa"/>
        <w:tblLayout w:type="fixed"/>
        <w:tblCellMar>
          <w:top w:w="0" w:type="dxa"/>
          <w:left w:w="0" w:type="dxa"/>
          <w:bottom w:w="0" w:type="dxa"/>
          <w:right w:w="0" w:type="dxa"/>
        </w:tblCellMar>
      </w:tblPr>
      <w:tblGrid>
        <w:gridCol w:w="38"/>
        <w:gridCol w:w="200"/>
        <w:gridCol w:w="1790"/>
      </w:tblGrid>
      <w:tr>
        <w:trPr/>
        <w:tc>
          <w:tcPr>
            <w:tcW w:w="3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b/>
              </w:rPr>
            </w:pPr>
            <w:r>
              <w:rPr>
                <w:b/>
              </w:rPr>
              <w:t>7.</w:t>
            </w:r>
          </w:p>
        </w:tc>
        <w:tc>
          <w:tcPr>
            <w:tcW w:w="1790" w:type="dxa"/>
            <w:tcBorders/>
            <w:vAlign w:val="center"/>
          </w:tcPr>
          <w:p>
            <w:pPr>
              <w:pStyle w:val="TableContents"/>
              <w:bidi w:val="0"/>
              <w:spacing w:before="0" w:after="283"/>
              <w:jc w:val="both"/>
              <w:rPr>
                <w:b/>
              </w:rPr>
            </w:pPr>
            <w:r>
              <w:rPr>
                <w:b/>
              </w:rPr>
              <w:t>Member’s Deficit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is wholly owned by Ambia Holdings, Inc. and a 100% of the membership interests outstanding are held by Ambia Holdings, Inc.</w:t>
      </w:r>
    </w:p>
    <w:p>
      <w:pPr>
        <w:pStyle w:val="TextBody"/>
        <w:bidi w:val="0"/>
        <w:spacing w:before="0" w:after="0"/>
        <w:ind w:left="0" w:right="0" w:hanging="0"/>
        <w:jc w:val="both"/>
        <w:rPr>
          <w:caps w:val="false"/>
          <w:smallCaps w:val="false"/>
        </w:rPr>
      </w:pPr>
      <w:r>
        <w:rPr>
          <w:caps w:val="false"/>
          <w:smallCaps w:val="false"/>
        </w:rPr>
        <w:t> </w:t>
      </w:r>
    </w:p>
    <w:tbl>
      <w:tblPr>
        <w:tblW w:w="3633" w:type="dxa"/>
        <w:jc w:val="left"/>
        <w:tblInd w:w="0" w:type="dxa"/>
        <w:tblLayout w:type="fixed"/>
        <w:tblCellMar>
          <w:top w:w="0" w:type="dxa"/>
          <w:left w:w="0" w:type="dxa"/>
          <w:bottom w:w="0" w:type="dxa"/>
          <w:right w:w="0" w:type="dxa"/>
        </w:tblCellMar>
      </w:tblPr>
      <w:tblGrid>
        <w:gridCol w:w="38"/>
        <w:gridCol w:w="200"/>
        <w:gridCol w:w="3395"/>
      </w:tblGrid>
      <w:tr>
        <w:trPr/>
        <w:tc>
          <w:tcPr>
            <w:tcW w:w="3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b/>
              </w:rPr>
            </w:pPr>
            <w:r>
              <w:rPr>
                <w:b/>
              </w:rPr>
              <w:t>8.</w:t>
            </w:r>
          </w:p>
        </w:tc>
        <w:tc>
          <w:tcPr>
            <w:tcW w:w="3395" w:type="dxa"/>
            <w:tcBorders/>
            <w:vAlign w:val="center"/>
          </w:tcPr>
          <w:p>
            <w:pPr>
              <w:pStyle w:val="TableContents"/>
              <w:bidi w:val="0"/>
              <w:spacing w:before="0" w:after="283"/>
              <w:jc w:val="both"/>
              <w:rPr>
                <w:b/>
              </w:rPr>
            </w:pPr>
            <w:r>
              <w:rPr>
                <w:b/>
              </w:rPr>
              <w:t>Commitments and Contingencies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Litigation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is involved in legal proceedings from time to time arising in the normal course of business.  Management, after consultation with legal counsel, believes that the outcome of these proceedings will not have a material impact on the Company’s financial position, results of operations, or liquidity.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Commitment to Former Employee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November 7, 2024, the Company entered into a separation and release of claims agreement with an employee wherein the employee was paid a severance payment of approximately $42,000 in exchange for the employee’s release of claims and agreement to restrictive covenants. Contemporaneously with this agreement, the Company entered a loan agreement with this employee and committed to lend to this former employee up to $600,000 with draws occurring at a pre-defined rate during 2025 and 2026. Interest on the draw amounts earn 3% of the outstanding balance. Each draw will be fully forgiven 5 months after the disbursement if the former employee abides by the restrictive covenants, which are primarily non-compete and non-solicitation agreements. This former employee holds a less than 1% interest in the Company.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2024 no amounts were forgiven. As of December 31, 2024, the outstanding balance under this loan agreement was $400,000, and is included within accrued liabilities on the balance sheet. If not forgiven, the entire balance under this agreement is due on January 15, 2028.</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sz w:val="20"/>
          <w:bdr w:val="single" w:sz="12" w:space="1" w:color="000000"/>
        </w:rPr>
      </w:pPr>
      <w:r>
        <w:rPr>
          <w:sz w:val="20"/>
          <w:bdr w:val="single" w:sz="12" w:space="1" w:color="000000"/>
        </w:rPr>
        <w:t>F-159</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drawing>
          <wp:inline distT="0" distB="0" distL="0" distR="0">
            <wp:extent cx="7143750" cy="57150"/>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embed="rId17"/>
                    <a:stretch>
                      <a:fillRect/>
                    </a:stretch>
                  </pic:blipFill>
                  <pic:spPr bwMode="auto">
                    <a:xfrm>
                      <a:off x="0" y="0"/>
                      <a:ext cx="7143750" cy="57150"/>
                    </a:xfrm>
                    <a:prstGeom prst="rect">
                      <a:avLst/>
                    </a:prstGeom>
                  </pic:spPr>
                </pic:pic>
              </a:graphicData>
            </a:graphic>
          </wp:inline>
        </w:drawing>
      </w: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tbl>
      <w:tblPr>
        <w:tblW w:w="948" w:type="dxa"/>
        <w:jc w:val="left"/>
        <w:tblInd w:w="0" w:type="dxa"/>
        <w:tblLayout w:type="fixed"/>
        <w:tblCellMar>
          <w:top w:w="0" w:type="dxa"/>
          <w:left w:w="0" w:type="dxa"/>
          <w:bottom w:w="0" w:type="dxa"/>
          <w:right w:w="0" w:type="dxa"/>
        </w:tblCellMar>
      </w:tblPr>
      <w:tblGrid>
        <w:gridCol w:w="38"/>
        <w:gridCol w:w="200"/>
        <w:gridCol w:w="710"/>
      </w:tblGrid>
      <w:tr>
        <w:trPr/>
        <w:tc>
          <w:tcPr>
            <w:tcW w:w="3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b/>
              </w:rPr>
            </w:pPr>
            <w:r>
              <w:rPr>
                <w:b/>
              </w:rPr>
              <w:t>9.</w:t>
            </w:r>
          </w:p>
        </w:tc>
        <w:tc>
          <w:tcPr>
            <w:tcW w:w="710" w:type="dxa"/>
            <w:tcBorders/>
            <w:vAlign w:val="center"/>
          </w:tcPr>
          <w:p>
            <w:pPr>
              <w:pStyle w:val="TableContents"/>
              <w:bidi w:val="0"/>
              <w:spacing w:before="0" w:after="283"/>
              <w:jc w:val="both"/>
              <w:rPr>
                <w:b/>
              </w:rPr>
            </w:pPr>
            <w:r>
              <w:rPr>
                <w:b/>
              </w:rPr>
              <w:t>Leases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Finance lease assets are recorded net of accumulated amortization of $313,445 as of December 31, 2024.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components of lease expense were as follows for the year ended December 31:</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right"/>
        <w:rPr>
          <w:caps w:val="false"/>
          <w:smallCaps w:val="false"/>
        </w:rPr>
      </w:pPr>
      <w:r>
        <w:rPr>
          <w:caps w:val="false"/>
          <w:smallCaps w:val="false"/>
        </w:rPr>
        <w:t> </w:t>
      </w:r>
    </w:p>
    <w:tbl>
      <w:tblPr>
        <w:tblW w:w="5975" w:type="dxa"/>
        <w:jc w:val="left"/>
        <w:tblInd w:w="0" w:type="dxa"/>
        <w:tblLayout w:type="fixed"/>
        <w:tblCellMar>
          <w:top w:w="0" w:type="dxa"/>
          <w:left w:w="0" w:type="dxa"/>
          <w:bottom w:w="28" w:type="dxa"/>
          <w:right w:w="0" w:type="dxa"/>
        </w:tblCellMar>
      </w:tblPr>
      <w:tblGrid>
        <w:gridCol w:w="1790"/>
        <w:gridCol w:w="60"/>
        <w:gridCol w:w="2870"/>
        <w:gridCol w:w="60"/>
        <w:gridCol w:w="140"/>
        <w:gridCol w:w="980"/>
        <w:gridCol w:w="75"/>
      </w:tblGrid>
      <w:tr>
        <w:trPr/>
        <w:tc>
          <w:tcPr>
            <w:tcW w:w="1790" w:type="dxa"/>
            <w:tcBorders>
              <w:bottom w:val="single" w:sz="12" w:space="0" w:color="000000"/>
            </w:tcBorders>
            <w:vAlign w:val="center"/>
          </w:tcPr>
          <w:p>
            <w:pPr>
              <w:pStyle w:val="TableContents"/>
              <w:bidi w:val="0"/>
              <w:spacing w:before="0" w:after="283"/>
              <w:jc w:val="left"/>
              <w:rPr>
                <w:b/>
              </w:rPr>
            </w:pPr>
            <w:r>
              <w:rPr>
                <w:b/>
              </w:rPr>
              <w:t>Lease Cost</w:t>
            </w:r>
          </w:p>
        </w:tc>
        <w:tc>
          <w:tcPr>
            <w:tcW w:w="60" w:type="dxa"/>
            <w:tcBorders/>
            <w:tcMar>
              <w:bottom w:w="0" w:type="dxa"/>
            </w:tcMar>
            <w:vAlign w:val="center"/>
          </w:tcPr>
          <w:p>
            <w:pPr>
              <w:pStyle w:val="TableContents"/>
              <w:bidi w:val="0"/>
              <w:spacing w:before="0" w:after="283"/>
              <w:jc w:val="left"/>
              <w:rPr/>
            </w:pPr>
            <w:r>
              <w:rPr/>
              <w:t> </w:t>
            </w:r>
          </w:p>
        </w:tc>
        <w:tc>
          <w:tcPr>
            <w:tcW w:w="2870" w:type="dxa"/>
            <w:tcBorders>
              <w:bottom w:val="single" w:sz="12" w:space="0" w:color="000000"/>
            </w:tcBorders>
            <w:vAlign w:val="center"/>
          </w:tcPr>
          <w:p>
            <w:pPr>
              <w:pStyle w:val="TableContents"/>
              <w:bidi w:val="0"/>
              <w:spacing w:before="0" w:after="283"/>
              <w:jc w:val="center"/>
              <w:rPr>
                <w:b/>
              </w:rPr>
            </w:pPr>
            <w:r>
              <w:rPr>
                <w:b/>
              </w:rPr>
              <w:t>Classification</w:t>
            </w:r>
          </w:p>
        </w:tc>
        <w:tc>
          <w:tcPr>
            <w:tcW w:w="60" w:type="dxa"/>
            <w:tcBorders/>
            <w:tcMar>
              <w:bottom w:w="0" w:type="dxa"/>
            </w:tcMar>
            <w:vAlign w:val="center"/>
          </w:tcPr>
          <w:p>
            <w:pPr>
              <w:pStyle w:val="TableContents"/>
              <w:bidi w:val="0"/>
              <w:spacing w:before="0" w:after="283"/>
              <w:jc w:val="left"/>
              <w:rPr/>
            </w:pPr>
            <w:r>
              <w:rPr/>
              <w:t> </w:t>
            </w:r>
          </w:p>
        </w:tc>
        <w:tc>
          <w:tcPr>
            <w:tcW w:w="1120" w:type="dxa"/>
            <w:gridSpan w:val="2"/>
            <w:tcBorders>
              <w:bottom w:val="single" w:sz="12" w:space="0" w:color="000000"/>
            </w:tcBorders>
            <w:vAlign w:val="center"/>
          </w:tcPr>
          <w:p>
            <w:pPr>
              <w:pStyle w:val="TableContents"/>
              <w:bidi w:val="0"/>
              <w:spacing w:before="0" w:after="283"/>
              <w:jc w:val="center"/>
              <w:rPr>
                <w:b/>
              </w:rPr>
            </w:pPr>
            <w:r>
              <w:rPr>
                <w:b/>
              </w:rPr>
              <w:t>2024</w:t>
            </w:r>
          </w:p>
        </w:tc>
        <w:tc>
          <w:tcPr>
            <w:tcW w:w="75" w:type="dxa"/>
            <w:tcBorders/>
            <w:tcMar>
              <w:bottom w:w="0" w:type="dxa"/>
            </w:tcMar>
            <w:vAlign w:val="center"/>
          </w:tcPr>
          <w:p>
            <w:pPr>
              <w:pStyle w:val="TableContents"/>
              <w:bidi w:val="0"/>
              <w:spacing w:before="0" w:after="283"/>
              <w:jc w:val="left"/>
              <w:rPr/>
            </w:pPr>
            <w:r>
              <w:rPr/>
              <w:t> </w:t>
            </w:r>
          </w:p>
        </w:tc>
      </w:tr>
      <w:tr>
        <w:trPr/>
        <w:tc>
          <w:tcPr>
            <w:tcW w:w="1790" w:type="dxa"/>
            <w:tcBorders/>
            <w:shd w:fill="CCEEFF" w:val="clear"/>
            <w:tcMar>
              <w:bottom w:w="0" w:type="dxa"/>
            </w:tcMar>
            <w:vAlign w:val="center"/>
          </w:tcPr>
          <w:p>
            <w:pPr>
              <w:pStyle w:val="TableContents"/>
              <w:bidi w:val="0"/>
              <w:spacing w:before="0" w:after="283"/>
              <w:jc w:val="left"/>
              <w:rPr/>
            </w:pPr>
            <w:r>
              <w:rPr/>
              <w:t>Operating</w:t>
            </w:r>
          </w:p>
        </w:tc>
        <w:tc>
          <w:tcPr>
            <w:tcW w:w="60" w:type="dxa"/>
            <w:tcBorders/>
            <w:shd w:fill="CCEEFF" w:val="clear"/>
            <w:tcMar>
              <w:bottom w:w="0" w:type="dxa"/>
            </w:tcMar>
            <w:vAlign w:val="center"/>
          </w:tcPr>
          <w:p>
            <w:pPr>
              <w:pStyle w:val="TableContents"/>
              <w:bidi w:val="0"/>
              <w:spacing w:before="0" w:after="283"/>
              <w:jc w:val="left"/>
              <w:rPr/>
            </w:pPr>
            <w:r>
              <w:rPr/>
              <w:t> </w:t>
            </w:r>
          </w:p>
        </w:tc>
        <w:tc>
          <w:tcPr>
            <w:tcW w:w="2870" w:type="dxa"/>
            <w:tcBorders/>
            <w:shd w:fill="CCEEFF" w:val="clear"/>
            <w:tcMar>
              <w:bottom w:w="0" w:type="dxa"/>
            </w:tcMar>
            <w:vAlign w:val="center"/>
          </w:tcPr>
          <w:p>
            <w:pPr>
              <w:pStyle w:val="TableContents"/>
              <w:bidi w:val="0"/>
              <w:spacing w:before="0" w:after="283"/>
              <w:jc w:val="left"/>
              <w:rPr/>
            </w:pPr>
            <w:r>
              <w:rPr/>
              <w:t>Rent</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w:t>
            </w:r>
          </w:p>
        </w:tc>
        <w:tc>
          <w:tcPr>
            <w:tcW w:w="980" w:type="dxa"/>
            <w:tcBorders/>
            <w:shd w:fill="CCEEFF" w:val="clear"/>
            <w:tcMar>
              <w:bottom w:w="0" w:type="dxa"/>
            </w:tcMar>
            <w:vAlign w:val="center"/>
          </w:tcPr>
          <w:p>
            <w:pPr>
              <w:pStyle w:val="TableContents"/>
              <w:bidi w:val="0"/>
              <w:spacing w:before="0" w:after="283"/>
              <w:jc w:val="right"/>
              <w:rPr/>
            </w:pPr>
            <w:r>
              <w:rPr/>
              <w:t>759,705</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1790" w:type="dxa"/>
            <w:tcBorders/>
            <w:shd w:fill="FFFFFF" w:val="clear"/>
            <w:tcMar>
              <w:bottom w:w="0" w:type="dxa"/>
            </w:tcMar>
            <w:vAlign w:val="center"/>
          </w:tcPr>
          <w:p>
            <w:pPr>
              <w:pStyle w:val="TableContents"/>
              <w:bidi w:val="0"/>
              <w:spacing w:before="0" w:after="283"/>
              <w:jc w:val="left"/>
              <w:rPr/>
            </w:pPr>
            <w:r>
              <w:rPr/>
              <w:t>Finance:</w:t>
            </w:r>
          </w:p>
        </w:tc>
        <w:tc>
          <w:tcPr>
            <w:tcW w:w="60" w:type="dxa"/>
            <w:tcBorders/>
            <w:shd w:fill="FFFFFF" w:val="clear"/>
            <w:tcMar>
              <w:bottom w:w="0" w:type="dxa"/>
            </w:tcMar>
            <w:vAlign w:val="center"/>
          </w:tcPr>
          <w:p>
            <w:pPr>
              <w:pStyle w:val="TableContents"/>
              <w:bidi w:val="0"/>
              <w:spacing w:before="0" w:after="283"/>
              <w:jc w:val="left"/>
              <w:rPr/>
            </w:pPr>
            <w:r>
              <w:rPr/>
              <w:t> </w:t>
            </w:r>
          </w:p>
        </w:tc>
        <w:tc>
          <w:tcPr>
            <w:tcW w:w="287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980" w:type="dxa"/>
            <w:tcBorders/>
            <w:shd w:fill="FFFFFF" w:val="clear"/>
            <w:tcMar>
              <w:bottom w:w="0" w:type="dxa"/>
            </w:tcMar>
            <w:vAlign w:val="center"/>
          </w:tcPr>
          <w:p>
            <w:pPr>
              <w:pStyle w:val="TableContents"/>
              <w:bidi w:val="0"/>
              <w:spacing w:before="0" w:after="283"/>
              <w:jc w:val="right"/>
              <w:rPr/>
            </w:pPr>
            <w:r>
              <w:rPr/>
              <w:t> </w:t>
            </w:r>
          </w:p>
        </w:tc>
        <w:tc>
          <w:tcPr>
            <w:tcW w:w="75" w:type="dxa"/>
            <w:tcBorders/>
            <w:shd w:fill="FFFFFF" w:val="clear"/>
            <w:tcMar>
              <w:bottom w:w="0" w:type="dxa"/>
            </w:tcMar>
            <w:vAlign w:val="center"/>
          </w:tcPr>
          <w:p>
            <w:pPr>
              <w:pStyle w:val="TableContents"/>
              <w:bidi w:val="0"/>
              <w:spacing w:before="0" w:after="283"/>
              <w:jc w:val="left"/>
              <w:rPr/>
            </w:pPr>
            <w:r>
              <w:rPr/>
              <w:t> </w:t>
            </w:r>
          </w:p>
        </w:tc>
      </w:tr>
      <w:tr>
        <w:trPr/>
        <w:tc>
          <w:tcPr>
            <w:tcW w:w="1790" w:type="dxa"/>
            <w:tcBorders/>
            <w:shd w:fill="CCEEFF" w:val="clear"/>
            <w:tcMar>
              <w:bottom w:w="0" w:type="dxa"/>
            </w:tcMar>
            <w:vAlign w:val="center"/>
          </w:tcPr>
          <w:p>
            <w:pPr>
              <w:pStyle w:val="TableContents"/>
              <w:bidi w:val="0"/>
              <w:spacing w:before="0" w:after="283"/>
              <w:jc w:val="left"/>
              <w:rPr/>
            </w:pPr>
            <w:r>
              <w:rPr/>
              <w:t>Asset amortization</w:t>
            </w:r>
          </w:p>
        </w:tc>
        <w:tc>
          <w:tcPr>
            <w:tcW w:w="60" w:type="dxa"/>
            <w:tcBorders/>
            <w:shd w:fill="CCEEFF" w:val="clear"/>
            <w:tcMar>
              <w:bottom w:w="0" w:type="dxa"/>
            </w:tcMar>
            <w:vAlign w:val="center"/>
          </w:tcPr>
          <w:p>
            <w:pPr>
              <w:pStyle w:val="TableContents"/>
              <w:bidi w:val="0"/>
              <w:spacing w:before="0" w:after="283"/>
              <w:jc w:val="left"/>
              <w:rPr/>
            </w:pPr>
            <w:r>
              <w:rPr/>
              <w:t> </w:t>
            </w:r>
          </w:p>
        </w:tc>
        <w:tc>
          <w:tcPr>
            <w:tcW w:w="2870" w:type="dxa"/>
            <w:tcBorders/>
            <w:shd w:fill="CCEEFF" w:val="clear"/>
            <w:tcMar>
              <w:bottom w:w="0" w:type="dxa"/>
            </w:tcMar>
            <w:vAlign w:val="center"/>
          </w:tcPr>
          <w:p>
            <w:pPr>
              <w:pStyle w:val="TableContents"/>
              <w:bidi w:val="0"/>
              <w:spacing w:before="0" w:after="283"/>
              <w:jc w:val="left"/>
              <w:rPr/>
            </w:pPr>
            <w:r>
              <w:rPr/>
              <w:t>Depreciation and amortization</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980" w:type="dxa"/>
            <w:tcBorders/>
            <w:shd w:fill="CCEEFF" w:val="clear"/>
            <w:tcMar>
              <w:bottom w:w="0" w:type="dxa"/>
            </w:tcMar>
            <w:vAlign w:val="center"/>
          </w:tcPr>
          <w:p>
            <w:pPr>
              <w:pStyle w:val="TableContents"/>
              <w:bidi w:val="0"/>
              <w:spacing w:before="0" w:after="283"/>
              <w:jc w:val="right"/>
              <w:rPr/>
            </w:pPr>
            <w:r>
              <w:rPr/>
              <w:t>299,985</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1790" w:type="dxa"/>
            <w:tcBorders/>
            <w:shd w:fill="FFFFFF" w:val="clear"/>
            <w:tcMar>
              <w:bottom w:w="0" w:type="dxa"/>
            </w:tcMar>
            <w:vAlign w:val="center"/>
          </w:tcPr>
          <w:p>
            <w:pPr>
              <w:pStyle w:val="TableContents"/>
              <w:bidi w:val="0"/>
              <w:spacing w:before="0" w:after="283"/>
              <w:jc w:val="left"/>
              <w:rPr/>
            </w:pPr>
            <w:r>
              <w:rPr/>
              <w:t>Interest on liability</w:t>
            </w:r>
          </w:p>
        </w:tc>
        <w:tc>
          <w:tcPr>
            <w:tcW w:w="60" w:type="dxa"/>
            <w:tcBorders/>
            <w:shd w:fill="FFFFFF" w:val="clear"/>
            <w:tcMar>
              <w:bottom w:w="0" w:type="dxa"/>
            </w:tcMar>
            <w:vAlign w:val="center"/>
          </w:tcPr>
          <w:p>
            <w:pPr>
              <w:pStyle w:val="TableContents"/>
              <w:bidi w:val="0"/>
              <w:spacing w:before="0" w:after="283"/>
              <w:jc w:val="left"/>
              <w:rPr/>
            </w:pPr>
            <w:r>
              <w:rPr/>
              <w:t> </w:t>
            </w:r>
          </w:p>
        </w:tc>
        <w:tc>
          <w:tcPr>
            <w:tcW w:w="2870" w:type="dxa"/>
            <w:tcBorders/>
            <w:shd w:fill="FFFFFF" w:val="clear"/>
            <w:tcMar>
              <w:bottom w:w="0" w:type="dxa"/>
            </w:tcMar>
            <w:vAlign w:val="center"/>
          </w:tcPr>
          <w:p>
            <w:pPr>
              <w:pStyle w:val="TableContents"/>
              <w:bidi w:val="0"/>
              <w:spacing w:before="0" w:after="283"/>
              <w:jc w:val="left"/>
              <w:rPr/>
            </w:pPr>
            <w:r>
              <w:rPr/>
              <w:t>Net interest expense</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bottom w:val="single" w:sz="12" w:space="0" w:color="000000"/>
            </w:tcBorders>
            <w:shd w:fill="FFFFFF" w:val="clear"/>
            <w:vAlign w:val="center"/>
          </w:tcPr>
          <w:p>
            <w:pPr>
              <w:pStyle w:val="TableContents"/>
              <w:bidi w:val="0"/>
              <w:spacing w:before="0" w:after="283"/>
              <w:jc w:val="left"/>
              <w:rPr/>
            </w:pPr>
            <w:r>
              <w:rPr/>
              <w:t> </w:t>
            </w:r>
          </w:p>
        </w:tc>
        <w:tc>
          <w:tcPr>
            <w:tcW w:w="980" w:type="dxa"/>
            <w:tcBorders>
              <w:bottom w:val="single" w:sz="12" w:space="0" w:color="000000"/>
            </w:tcBorders>
            <w:shd w:fill="FFFFFF" w:val="clear"/>
            <w:vAlign w:val="center"/>
          </w:tcPr>
          <w:p>
            <w:pPr>
              <w:pStyle w:val="TableContents"/>
              <w:bidi w:val="0"/>
              <w:spacing w:before="0" w:after="283"/>
              <w:jc w:val="right"/>
              <w:rPr/>
            </w:pPr>
            <w:r>
              <w:rPr/>
              <w:t>44,223</w:t>
            </w:r>
          </w:p>
        </w:tc>
        <w:tc>
          <w:tcPr>
            <w:tcW w:w="75" w:type="dxa"/>
            <w:tcBorders/>
            <w:shd w:fill="FFFFFF" w:val="clear"/>
            <w:tcMar>
              <w:bottom w:w="0" w:type="dxa"/>
            </w:tcMar>
            <w:vAlign w:val="center"/>
          </w:tcPr>
          <w:p>
            <w:pPr>
              <w:pStyle w:val="TableContents"/>
              <w:bidi w:val="0"/>
              <w:spacing w:before="0" w:after="283"/>
              <w:jc w:val="left"/>
              <w:rPr/>
            </w:pPr>
            <w:r>
              <w:rPr/>
              <w:t> </w:t>
            </w:r>
          </w:p>
        </w:tc>
      </w:tr>
      <w:tr>
        <w:trPr/>
        <w:tc>
          <w:tcPr>
            <w:tcW w:w="1790" w:type="dxa"/>
            <w:tcBorders/>
            <w:shd w:fill="CCEEFF" w:val="clear"/>
            <w:tcMar>
              <w:bottom w:w="0" w:type="dxa"/>
            </w:tcMar>
            <w:vAlign w:val="center"/>
          </w:tcPr>
          <w:p>
            <w:pPr>
              <w:pStyle w:val="TableContents"/>
              <w:bidi w:val="0"/>
              <w:spacing w:before="0" w:after="283"/>
              <w:jc w:val="left"/>
              <w:rPr/>
            </w:pPr>
            <w:r>
              <w:rPr/>
              <w:t>Net lease cost</w:t>
            </w:r>
          </w:p>
        </w:tc>
        <w:tc>
          <w:tcPr>
            <w:tcW w:w="60" w:type="dxa"/>
            <w:tcBorders/>
            <w:shd w:fill="CCEEFF" w:val="clear"/>
            <w:tcMar>
              <w:bottom w:w="0" w:type="dxa"/>
            </w:tcMar>
            <w:vAlign w:val="center"/>
          </w:tcPr>
          <w:p>
            <w:pPr>
              <w:pStyle w:val="TableContents"/>
              <w:bidi w:val="0"/>
              <w:spacing w:before="0" w:after="283"/>
              <w:jc w:val="left"/>
              <w:rPr/>
            </w:pPr>
            <w:r>
              <w:rPr/>
              <w:t> </w:t>
            </w:r>
          </w:p>
        </w:tc>
        <w:tc>
          <w:tcPr>
            <w:tcW w:w="287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bottom w:val="double" w:sz="10" w:space="0" w:color="000000"/>
            </w:tcBorders>
            <w:shd w:fill="CCEEFF" w:val="clear"/>
            <w:vAlign w:val="center"/>
          </w:tcPr>
          <w:p>
            <w:pPr>
              <w:pStyle w:val="TableContents"/>
              <w:bidi w:val="0"/>
              <w:spacing w:before="0" w:after="283"/>
              <w:jc w:val="left"/>
              <w:rPr/>
            </w:pPr>
            <w:r>
              <w:rPr/>
              <w:t>$</w:t>
            </w:r>
          </w:p>
        </w:tc>
        <w:tc>
          <w:tcPr>
            <w:tcW w:w="980" w:type="dxa"/>
            <w:tcBorders>
              <w:bottom w:val="double" w:sz="10" w:space="0" w:color="000000"/>
            </w:tcBorders>
            <w:shd w:fill="CCEEFF" w:val="clear"/>
            <w:vAlign w:val="center"/>
          </w:tcPr>
          <w:p>
            <w:pPr>
              <w:pStyle w:val="TableContents"/>
              <w:bidi w:val="0"/>
              <w:spacing w:before="0" w:after="283"/>
              <w:jc w:val="right"/>
              <w:rPr/>
            </w:pPr>
            <w:r>
              <w:rPr/>
              <w:t>1,103,913</w:t>
            </w:r>
          </w:p>
        </w:tc>
        <w:tc>
          <w:tcPr>
            <w:tcW w:w="75" w:type="dxa"/>
            <w:tcBorders/>
            <w:shd w:fill="CCEEFF" w:val="clear"/>
            <w:tcMar>
              <w:bottom w:w="0" w:type="dxa"/>
            </w:tcMar>
            <w:vAlign w:val="center"/>
          </w:tcPr>
          <w:p>
            <w:pPr>
              <w:pStyle w:val="TableContents"/>
              <w:bidi w:val="0"/>
              <w:spacing w:before="0" w:after="283"/>
              <w:jc w:val="left"/>
              <w:rPr/>
            </w:pPr>
            <w:r>
              <w:rPr/>
              <w:t> </w:t>
            </w:r>
          </w:p>
        </w:tc>
      </w:tr>
    </w:tbl>
    <w:p>
      <w:pPr>
        <w:pStyle w:val="TextBody"/>
        <w:bidi w:val="0"/>
        <w:spacing w:before="0" w:after="283"/>
        <w:jc w:val="left"/>
        <w:rPr/>
      </w:pPr>
      <w:r>
        <w:rPr/>
        <w:t> </w:t>
      </w:r>
    </w:p>
    <w:p>
      <w:pPr>
        <w:pStyle w:val="TextBody"/>
        <w:bidi w:val="0"/>
        <w:spacing w:before="0" w:after="283"/>
        <w:jc w:val="left"/>
        <w:rPr/>
      </w:pPr>
      <w:r>
        <w:rPr/>
        <w:t>The weighted average remaining lease terms and interest rates were as follows as of December 31, 2024:</w:t>
      </w:r>
    </w:p>
    <w:p>
      <w:pPr>
        <w:pStyle w:val="TextBody"/>
        <w:bidi w:val="0"/>
        <w:spacing w:before="0" w:after="283"/>
        <w:jc w:val="left"/>
        <w:rPr/>
      </w:pPr>
      <w:r>
        <w:rPr/>
        <w:t> </w:t>
      </w:r>
    </w:p>
    <w:tbl>
      <w:tblPr>
        <w:tblW w:w="5250" w:type="dxa"/>
        <w:jc w:val="left"/>
        <w:tblInd w:w="0" w:type="dxa"/>
        <w:tblLayout w:type="fixed"/>
        <w:tblCellMar>
          <w:top w:w="0" w:type="dxa"/>
          <w:left w:w="0" w:type="dxa"/>
          <w:bottom w:w="28" w:type="dxa"/>
          <w:right w:w="0" w:type="dxa"/>
        </w:tblCellMar>
      </w:tblPr>
      <w:tblGrid>
        <w:gridCol w:w="4460"/>
        <w:gridCol w:w="60"/>
        <w:gridCol w:w="60"/>
        <w:gridCol w:w="440"/>
        <w:gridCol w:w="230"/>
      </w:tblGrid>
      <w:tr>
        <w:trPr/>
        <w:tc>
          <w:tcPr>
            <w:tcW w:w="4460" w:type="dxa"/>
            <w:tcBorders>
              <w:bottom w:val="single" w:sz="12" w:space="0" w:color="000000"/>
            </w:tcBorders>
            <w:vAlign w:val="center"/>
          </w:tcPr>
          <w:p>
            <w:pPr>
              <w:pStyle w:val="TableContents"/>
              <w:bidi w:val="0"/>
              <w:spacing w:before="0" w:after="283"/>
              <w:jc w:val="left"/>
              <w:rPr>
                <w:b/>
              </w:rPr>
            </w:pPr>
            <w:r>
              <w:rPr>
                <w:b/>
              </w:rPr>
              <w:t>Lease Term and Discount Rate</w:t>
            </w:r>
          </w:p>
        </w:tc>
        <w:tc>
          <w:tcPr>
            <w:tcW w:w="60" w:type="dxa"/>
            <w:tcBorders/>
            <w:tcMar>
              <w:bottom w:w="0" w:type="dxa"/>
            </w:tcMar>
            <w:vAlign w:val="center"/>
          </w:tcPr>
          <w:p>
            <w:pPr>
              <w:pStyle w:val="TableContents"/>
              <w:bidi w:val="0"/>
              <w:spacing w:before="0" w:after="283"/>
              <w:jc w:val="left"/>
              <w:rPr/>
            </w:pPr>
            <w:r>
              <w:rPr/>
              <w:t> </w:t>
            </w:r>
          </w:p>
        </w:tc>
        <w:tc>
          <w:tcPr>
            <w:tcW w:w="500" w:type="dxa"/>
            <w:gridSpan w:val="2"/>
            <w:tcBorders>
              <w:bottom w:val="single" w:sz="12" w:space="0" w:color="000000"/>
            </w:tcBorders>
            <w:vAlign w:val="center"/>
          </w:tcPr>
          <w:p>
            <w:pPr>
              <w:pStyle w:val="TableContents"/>
              <w:bidi w:val="0"/>
              <w:spacing w:before="0" w:after="283"/>
              <w:jc w:val="center"/>
              <w:rPr>
                <w:b/>
              </w:rPr>
            </w:pPr>
            <w:r>
              <w:rPr>
                <w:b/>
              </w:rPr>
              <w:t>2024</w:t>
            </w:r>
          </w:p>
        </w:tc>
        <w:tc>
          <w:tcPr>
            <w:tcW w:w="230" w:type="dxa"/>
            <w:tcBorders/>
            <w:tcMar>
              <w:bottom w:w="0" w:type="dxa"/>
            </w:tcMar>
            <w:vAlign w:val="center"/>
          </w:tcPr>
          <w:p>
            <w:pPr>
              <w:pStyle w:val="TableContents"/>
              <w:bidi w:val="0"/>
              <w:spacing w:before="0" w:after="283"/>
              <w:jc w:val="left"/>
              <w:rPr/>
            </w:pPr>
            <w:r>
              <w:rPr/>
              <w:t> </w:t>
            </w:r>
          </w:p>
        </w:tc>
      </w:tr>
      <w:tr>
        <w:trPr/>
        <w:tc>
          <w:tcPr>
            <w:tcW w:w="4460" w:type="dxa"/>
            <w:tcBorders/>
            <w:tcMar>
              <w:bottom w:w="0" w:type="dxa"/>
            </w:tcMar>
            <w:vAlign w:val="center"/>
          </w:tcPr>
          <w:p>
            <w:pPr>
              <w:pStyle w:val="TableContents"/>
              <w:bidi w:val="0"/>
              <w:spacing w:before="0" w:after="283"/>
              <w:jc w:val="left"/>
              <w:rPr/>
            </w:pPr>
            <w:r>
              <w:rPr/>
              <w:t>Weighted average remaining lease term (years)</w:t>
            </w:r>
          </w:p>
        </w:tc>
        <w:tc>
          <w:tcPr>
            <w:tcW w:w="60" w:type="dxa"/>
            <w:tcBorders/>
            <w:tcMar>
              <w:bottom w:w="0" w:type="dxa"/>
            </w:tcMar>
            <w:vAlign w:val="center"/>
          </w:tcPr>
          <w:p>
            <w:pPr>
              <w:pStyle w:val="TableContents"/>
              <w:bidi w:val="0"/>
              <w:spacing w:before="0" w:after="283"/>
              <w:jc w:val="left"/>
              <w:rPr/>
            </w:pPr>
            <w:r>
              <w:rPr/>
              <w:t> </w:t>
            </w:r>
          </w:p>
        </w:tc>
        <w:tc>
          <w:tcPr>
            <w:tcW w:w="500" w:type="dxa"/>
            <w:gridSpan w:val="2"/>
            <w:tcBorders/>
            <w:tcMar>
              <w:bottom w:w="0" w:type="dxa"/>
            </w:tcMar>
            <w:vAlign w:val="center"/>
          </w:tcPr>
          <w:p>
            <w:pPr>
              <w:pStyle w:val="TableContents"/>
              <w:bidi w:val="0"/>
              <w:spacing w:before="0" w:after="283"/>
              <w:jc w:val="left"/>
              <w:rPr/>
            </w:pPr>
            <w:r>
              <w:rPr/>
              <w:t> </w:t>
            </w:r>
          </w:p>
        </w:tc>
        <w:tc>
          <w:tcPr>
            <w:tcW w:w="230" w:type="dxa"/>
            <w:tcBorders/>
            <w:tcMar>
              <w:bottom w:w="0" w:type="dxa"/>
            </w:tcMar>
            <w:vAlign w:val="center"/>
          </w:tcPr>
          <w:p>
            <w:pPr>
              <w:pStyle w:val="TableContents"/>
              <w:bidi w:val="0"/>
              <w:spacing w:before="0" w:after="283"/>
              <w:jc w:val="left"/>
              <w:rPr/>
            </w:pPr>
            <w:r>
              <w:rPr/>
              <w:t> </w:t>
            </w:r>
          </w:p>
        </w:tc>
      </w:tr>
      <w:tr>
        <w:trPr/>
        <w:tc>
          <w:tcPr>
            <w:tcW w:w="4460" w:type="dxa"/>
            <w:tcBorders/>
            <w:shd w:fill="CCEEFF" w:val="clear"/>
            <w:tcMar>
              <w:bottom w:w="0" w:type="dxa"/>
            </w:tcMar>
            <w:vAlign w:val="center"/>
          </w:tcPr>
          <w:p>
            <w:pPr>
              <w:pStyle w:val="TableContents"/>
              <w:bidi w:val="0"/>
              <w:spacing w:before="0" w:after="283"/>
              <w:jc w:val="left"/>
              <w:rPr/>
            </w:pPr>
            <w:r>
              <w:rPr/>
              <w:t>Operating leases</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440" w:type="dxa"/>
            <w:tcBorders/>
            <w:shd w:fill="CCEEFF" w:val="clear"/>
            <w:tcMar>
              <w:bottom w:w="0" w:type="dxa"/>
            </w:tcMar>
            <w:vAlign w:val="center"/>
          </w:tcPr>
          <w:p>
            <w:pPr>
              <w:pStyle w:val="TableContents"/>
              <w:bidi w:val="0"/>
              <w:spacing w:before="0" w:after="283"/>
              <w:jc w:val="right"/>
              <w:rPr/>
            </w:pPr>
            <w:r>
              <w:rPr/>
              <w:t>2.26</w:t>
            </w:r>
          </w:p>
        </w:tc>
        <w:tc>
          <w:tcPr>
            <w:tcW w:w="230" w:type="dxa"/>
            <w:tcBorders/>
            <w:shd w:fill="CCEEFF" w:val="clear"/>
            <w:tcMar>
              <w:bottom w:w="0" w:type="dxa"/>
            </w:tcMar>
            <w:vAlign w:val="center"/>
          </w:tcPr>
          <w:p>
            <w:pPr>
              <w:pStyle w:val="TableContents"/>
              <w:bidi w:val="0"/>
              <w:spacing w:before="0" w:after="283"/>
              <w:jc w:val="left"/>
              <w:rPr/>
            </w:pPr>
            <w:r>
              <w:rPr/>
              <w:t> </w:t>
            </w:r>
          </w:p>
        </w:tc>
      </w:tr>
      <w:tr>
        <w:trPr/>
        <w:tc>
          <w:tcPr>
            <w:tcW w:w="4460" w:type="dxa"/>
            <w:tcBorders/>
            <w:shd w:fill="FFFFFF" w:val="clear"/>
            <w:tcMar>
              <w:bottom w:w="0" w:type="dxa"/>
            </w:tcMar>
            <w:vAlign w:val="center"/>
          </w:tcPr>
          <w:p>
            <w:pPr>
              <w:pStyle w:val="TableContents"/>
              <w:bidi w:val="0"/>
              <w:spacing w:before="0" w:after="283"/>
              <w:jc w:val="left"/>
              <w:rPr/>
            </w:pPr>
            <w:r>
              <w:rPr/>
              <w:t>Finance leases</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440" w:type="dxa"/>
            <w:tcBorders/>
            <w:shd w:fill="FFFFFF" w:val="clear"/>
            <w:tcMar>
              <w:bottom w:w="0" w:type="dxa"/>
            </w:tcMar>
            <w:vAlign w:val="center"/>
          </w:tcPr>
          <w:p>
            <w:pPr>
              <w:pStyle w:val="TableContents"/>
              <w:bidi w:val="0"/>
              <w:spacing w:before="0" w:after="283"/>
              <w:jc w:val="right"/>
              <w:rPr/>
            </w:pPr>
            <w:r>
              <w:rPr/>
              <w:t>4.36</w:t>
            </w:r>
          </w:p>
        </w:tc>
        <w:tc>
          <w:tcPr>
            <w:tcW w:w="230" w:type="dxa"/>
            <w:tcBorders/>
            <w:shd w:fill="FFFFFF" w:val="clear"/>
            <w:tcMar>
              <w:bottom w:w="0" w:type="dxa"/>
            </w:tcMar>
            <w:vAlign w:val="center"/>
          </w:tcPr>
          <w:p>
            <w:pPr>
              <w:pStyle w:val="TableContents"/>
              <w:bidi w:val="0"/>
              <w:spacing w:before="0" w:after="283"/>
              <w:jc w:val="left"/>
              <w:rPr/>
            </w:pPr>
            <w:r>
              <w:rPr/>
              <w:t> </w:t>
            </w:r>
          </w:p>
        </w:tc>
      </w:tr>
      <w:tr>
        <w:trPr/>
        <w:tc>
          <w:tcPr>
            <w:tcW w:w="4460" w:type="dxa"/>
            <w:tcBorders/>
            <w:shd w:fill="CCEEFF" w:val="clear"/>
            <w:tcMar>
              <w:bottom w:w="0" w:type="dxa"/>
            </w:tcMar>
            <w:vAlign w:val="center"/>
          </w:tcPr>
          <w:p>
            <w:pPr>
              <w:pStyle w:val="TableContents"/>
              <w:bidi w:val="0"/>
              <w:spacing w:before="0" w:after="283"/>
              <w:jc w:val="left"/>
              <w:rPr/>
            </w:pPr>
            <w:r>
              <w:rPr/>
              <w:t>Weighted average discount rate</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440" w:type="dxa"/>
            <w:tcBorders/>
            <w:shd w:fill="CCEEFF" w:val="clear"/>
            <w:tcMar>
              <w:bottom w:w="0" w:type="dxa"/>
            </w:tcMar>
            <w:vAlign w:val="center"/>
          </w:tcPr>
          <w:p>
            <w:pPr>
              <w:pStyle w:val="TableContents"/>
              <w:bidi w:val="0"/>
              <w:spacing w:before="0" w:after="283"/>
              <w:jc w:val="right"/>
              <w:rPr/>
            </w:pPr>
            <w:r>
              <w:rPr/>
              <w:t> </w:t>
            </w:r>
          </w:p>
        </w:tc>
        <w:tc>
          <w:tcPr>
            <w:tcW w:w="230" w:type="dxa"/>
            <w:tcBorders/>
            <w:shd w:fill="CCEEFF" w:val="clear"/>
            <w:tcMar>
              <w:bottom w:w="0" w:type="dxa"/>
            </w:tcMar>
            <w:vAlign w:val="center"/>
          </w:tcPr>
          <w:p>
            <w:pPr>
              <w:pStyle w:val="TableContents"/>
              <w:bidi w:val="0"/>
              <w:spacing w:before="0" w:after="283"/>
              <w:jc w:val="left"/>
              <w:rPr/>
            </w:pPr>
            <w:r>
              <w:rPr/>
              <w:t> </w:t>
            </w:r>
          </w:p>
        </w:tc>
      </w:tr>
      <w:tr>
        <w:trPr/>
        <w:tc>
          <w:tcPr>
            <w:tcW w:w="4460" w:type="dxa"/>
            <w:tcBorders/>
            <w:shd w:fill="FFFFFF" w:val="clear"/>
            <w:tcMar>
              <w:bottom w:w="0" w:type="dxa"/>
            </w:tcMar>
            <w:vAlign w:val="center"/>
          </w:tcPr>
          <w:p>
            <w:pPr>
              <w:pStyle w:val="TableContents"/>
              <w:bidi w:val="0"/>
              <w:spacing w:before="0" w:after="283"/>
              <w:jc w:val="left"/>
              <w:rPr/>
            </w:pPr>
            <w:r>
              <w:rPr/>
              <w:t>Operating leases</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440" w:type="dxa"/>
            <w:tcBorders/>
            <w:shd w:fill="FFFFFF" w:val="clear"/>
            <w:tcMar>
              <w:bottom w:w="0" w:type="dxa"/>
            </w:tcMar>
            <w:vAlign w:val="center"/>
          </w:tcPr>
          <w:p>
            <w:pPr>
              <w:pStyle w:val="TableContents"/>
              <w:bidi w:val="0"/>
              <w:spacing w:before="0" w:after="283"/>
              <w:jc w:val="right"/>
              <w:rPr/>
            </w:pPr>
            <w:r>
              <w:rPr/>
              <w:t>4.07</w:t>
            </w:r>
          </w:p>
        </w:tc>
        <w:tc>
          <w:tcPr>
            <w:tcW w:w="230" w:type="dxa"/>
            <w:tcBorders/>
            <w:shd w:fill="FFFFFF" w:val="clear"/>
            <w:tcMar>
              <w:bottom w:w="0" w:type="dxa"/>
            </w:tcMar>
            <w:vAlign w:val="center"/>
          </w:tcPr>
          <w:p>
            <w:pPr>
              <w:pStyle w:val="TableContents"/>
              <w:bidi w:val="0"/>
              <w:spacing w:before="0" w:after="283"/>
              <w:jc w:val="left"/>
              <w:rPr/>
            </w:pPr>
            <w:r>
              <w:rPr/>
              <w:t>%</w:t>
            </w:r>
          </w:p>
        </w:tc>
      </w:tr>
      <w:tr>
        <w:trPr/>
        <w:tc>
          <w:tcPr>
            <w:tcW w:w="4460" w:type="dxa"/>
            <w:tcBorders/>
            <w:shd w:fill="CCEEFF" w:val="clear"/>
            <w:tcMar>
              <w:bottom w:w="0" w:type="dxa"/>
            </w:tcMar>
            <w:vAlign w:val="center"/>
          </w:tcPr>
          <w:p>
            <w:pPr>
              <w:pStyle w:val="TableContents"/>
              <w:bidi w:val="0"/>
              <w:spacing w:before="0" w:after="283"/>
              <w:jc w:val="left"/>
              <w:rPr/>
            </w:pPr>
            <w:r>
              <w:rPr/>
              <w:t>Finance leaess</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440" w:type="dxa"/>
            <w:tcBorders/>
            <w:shd w:fill="CCEEFF" w:val="clear"/>
            <w:tcMar>
              <w:bottom w:w="0" w:type="dxa"/>
            </w:tcMar>
            <w:vAlign w:val="center"/>
          </w:tcPr>
          <w:p>
            <w:pPr>
              <w:pStyle w:val="TableContents"/>
              <w:bidi w:val="0"/>
              <w:spacing w:before="0" w:after="283"/>
              <w:jc w:val="right"/>
              <w:rPr/>
            </w:pPr>
            <w:r>
              <w:rPr/>
              <w:t>4.31</w:t>
            </w:r>
          </w:p>
        </w:tc>
        <w:tc>
          <w:tcPr>
            <w:tcW w:w="230" w:type="dxa"/>
            <w:tcBorders/>
            <w:shd w:fill="CCEEFF" w:val="clear"/>
            <w:tcMar>
              <w:bottom w:w="0" w:type="dxa"/>
            </w:tcMar>
            <w:vAlign w:val="center"/>
          </w:tcPr>
          <w:p>
            <w:pPr>
              <w:pStyle w:val="TableContents"/>
              <w:bidi w:val="0"/>
              <w:spacing w:before="0" w:after="283"/>
              <w:jc w:val="left"/>
              <w:rPr/>
            </w:pPr>
            <w:r>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reconciles the undiscounted future cash flows for the next five years to the operating and finance lease liabilities recorded within the balance sheet as of December 31, 2024:</w:t>
      </w:r>
    </w:p>
    <w:p>
      <w:pPr>
        <w:pStyle w:val="TextBody"/>
        <w:bidi w:val="0"/>
        <w:spacing w:before="0" w:after="0"/>
        <w:ind w:left="0" w:right="0" w:hanging="0"/>
        <w:jc w:val="both"/>
        <w:rPr>
          <w:caps w:val="false"/>
          <w:smallCaps w:val="false"/>
        </w:rPr>
      </w:pPr>
      <w:r>
        <w:rPr>
          <w:caps w:val="false"/>
          <w:smallCaps w:val="false"/>
        </w:rPr>
        <w:t> </w:t>
      </w:r>
    </w:p>
    <w:tbl>
      <w:tblPr>
        <w:tblW w:w="6015" w:type="dxa"/>
        <w:jc w:val="left"/>
        <w:tblInd w:w="0" w:type="dxa"/>
        <w:tblLayout w:type="fixed"/>
        <w:tblCellMar>
          <w:top w:w="0" w:type="dxa"/>
          <w:left w:w="0" w:type="dxa"/>
          <w:bottom w:w="28" w:type="dxa"/>
          <w:right w:w="0" w:type="dxa"/>
        </w:tblCellMar>
      </w:tblPr>
      <w:tblGrid>
        <w:gridCol w:w="3515"/>
        <w:gridCol w:w="60"/>
        <w:gridCol w:w="157"/>
        <w:gridCol w:w="898"/>
        <w:gridCol w:w="95"/>
        <w:gridCol w:w="60"/>
        <w:gridCol w:w="140"/>
        <w:gridCol w:w="980"/>
        <w:gridCol w:w="110"/>
      </w:tblGrid>
      <w:tr>
        <w:trPr/>
        <w:tc>
          <w:tcPr>
            <w:tcW w:w="3515" w:type="dxa"/>
            <w:tcBorders>
              <w:bottom w:val="single" w:sz="12" w:space="0" w:color="000000"/>
            </w:tcBorders>
            <w:vAlign w:val="center"/>
          </w:tcPr>
          <w:p>
            <w:pPr>
              <w:pStyle w:val="TableContents"/>
              <w:bidi w:val="0"/>
              <w:spacing w:before="0" w:after="283"/>
              <w:jc w:val="left"/>
              <w:rPr>
                <w:b/>
              </w:rPr>
            </w:pPr>
            <w:r>
              <w:rPr>
                <w:b/>
              </w:rPr>
              <w:t>For the year ending December 31:</w:t>
            </w:r>
          </w:p>
        </w:tc>
        <w:tc>
          <w:tcPr>
            <w:tcW w:w="60" w:type="dxa"/>
            <w:tcBorders/>
            <w:tcMar>
              <w:bottom w:w="0" w:type="dxa"/>
            </w:tcMar>
            <w:vAlign w:val="center"/>
          </w:tcPr>
          <w:p>
            <w:pPr>
              <w:pStyle w:val="TableContents"/>
              <w:bidi w:val="0"/>
              <w:spacing w:before="0" w:after="283"/>
              <w:jc w:val="left"/>
              <w:rPr/>
            </w:pPr>
            <w:r>
              <w:rPr/>
              <w:t> </w:t>
            </w:r>
          </w:p>
        </w:tc>
        <w:tc>
          <w:tcPr>
            <w:tcW w:w="1055" w:type="dxa"/>
            <w:gridSpan w:val="2"/>
            <w:tcBorders>
              <w:bottom w:val="single" w:sz="12" w:space="0" w:color="000000"/>
            </w:tcBorders>
            <w:vAlign w:val="center"/>
          </w:tcPr>
          <w:p>
            <w:pPr>
              <w:pStyle w:val="TableContents"/>
              <w:bidi w:val="0"/>
              <w:spacing w:before="0" w:after="283"/>
              <w:jc w:val="center"/>
              <w:rPr>
                <w:b/>
              </w:rPr>
            </w:pPr>
            <w:r>
              <w:rPr>
                <w:b/>
              </w:rPr>
              <w:t>Operating</w:t>
            </w:r>
          </w:p>
        </w:tc>
        <w:tc>
          <w:tcPr>
            <w:tcW w:w="9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120" w:type="dxa"/>
            <w:gridSpan w:val="2"/>
            <w:tcBorders>
              <w:bottom w:val="single" w:sz="12" w:space="0" w:color="000000"/>
            </w:tcBorders>
            <w:vAlign w:val="center"/>
          </w:tcPr>
          <w:p>
            <w:pPr>
              <w:pStyle w:val="TableContents"/>
              <w:bidi w:val="0"/>
              <w:spacing w:before="0" w:after="283"/>
              <w:jc w:val="center"/>
              <w:rPr>
                <w:b/>
              </w:rPr>
            </w:pPr>
            <w:r>
              <w:rPr>
                <w:b/>
              </w:rPr>
              <w:t>Finance</w:t>
            </w:r>
          </w:p>
        </w:tc>
        <w:tc>
          <w:tcPr>
            <w:tcW w:w="110" w:type="dxa"/>
            <w:tcBorders/>
            <w:tcMar>
              <w:bottom w:w="0" w:type="dxa"/>
            </w:tcMar>
            <w:vAlign w:val="center"/>
          </w:tcPr>
          <w:p>
            <w:pPr>
              <w:pStyle w:val="TableContents"/>
              <w:bidi w:val="0"/>
              <w:spacing w:before="0" w:after="283"/>
              <w:jc w:val="left"/>
              <w:rPr/>
            </w:pPr>
            <w:r>
              <w:rPr/>
              <w:t> </w:t>
            </w:r>
          </w:p>
        </w:tc>
      </w:tr>
      <w:tr>
        <w:trPr/>
        <w:tc>
          <w:tcPr>
            <w:tcW w:w="3515" w:type="dxa"/>
            <w:tcBorders/>
            <w:shd w:fill="CCEEFF" w:val="clear"/>
            <w:tcMar>
              <w:bottom w:w="0" w:type="dxa"/>
            </w:tcMar>
            <w:vAlign w:val="center"/>
          </w:tcPr>
          <w:p>
            <w:pPr>
              <w:pStyle w:val="TableContents"/>
              <w:bidi w:val="0"/>
              <w:spacing w:before="0" w:after="283"/>
              <w:jc w:val="left"/>
              <w:rPr/>
            </w:pPr>
            <w:r>
              <w:rPr/>
              <w:t>2025</w:t>
            </w:r>
          </w:p>
        </w:tc>
        <w:tc>
          <w:tcPr>
            <w:tcW w:w="60" w:type="dxa"/>
            <w:tcBorders/>
            <w:shd w:fill="CCEEFF" w:val="clear"/>
            <w:tcMar>
              <w:bottom w:w="0" w:type="dxa"/>
            </w:tcMar>
            <w:vAlign w:val="center"/>
          </w:tcPr>
          <w:p>
            <w:pPr>
              <w:pStyle w:val="TableContents"/>
              <w:bidi w:val="0"/>
              <w:spacing w:before="0" w:after="283"/>
              <w:jc w:val="left"/>
              <w:rPr/>
            </w:pPr>
            <w:r>
              <w:rPr/>
              <w:t> </w:t>
            </w:r>
          </w:p>
        </w:tc>
        <w:tc>
          <w:tcPr>
            <w:tcW w:w="157" w:type="dxa"/>
            <w:tcBorders/>
            <w:shd w:fill="CCEEFF" w:val="clear"/>
            <w:tcMar>
              <w:bottom w:w="0" w:type="dxa"/>
            </w:tcMar>
            <w:vAlign w:val="center"/>
          </w:tcPr>
          <w:p>
            <w:pPr>
              <w:pStyle w:val="TableContents"/>
              <w:bidi w:val="0"/>
              <w:spacing w:before="0" w:after="283"/>
              <w:jc w:val="left"/>
              <w:rPr/>
            </w:pPr>
            <w:r>
              <w:rPr/>
              <w:t>$</w:t>
            </w:r>
          </w:p>
        </w:tc>
        <w:tc>
          <w:tcPr>
            <w:tcW w:w="898" w:type="dxa"/>
            <w:tcBorders/>
            <w:shd w:fill="CCEEFF" w:val="clear"/>
            <w:tcMar>
              <w:bottom w:w="0" w:type="dxa"/>
            </w:tcMar>
            <w:vAlign w:val="center"/>
          </w:tcPr>
          <w:p>
            <w:pPr>
              <w:pStyle w:val="TableContents"/>
              <w:bidi w:val="0"/>
              <w:spacing w:before="0" w:after="283"/>
              <w:jc w:val="right"/>
              <w:rPr/>
            </w:pPr>
            <w:r>
              <w:rPr/>
              <w:t>424,140</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w:t>
            </w:r>
          </w:p>
        </w:tc>
        <w:tc>
          <w:tcPr>
            <w:tcW w:w="980" w:type="dxa"/>
            <w:tcBorders/>
            <w:shd w:fill="CCEEFF" w:val="clear"/>
            <w:tcMar>
              <w:bottom w:w="0" w:type="dxa"/>
            </w:tcMar>
            <w:vAlign w:val="center"/>
          </w:tcPr>
          <w:p>
            <w:pPr>
              <w:pStyle w:val="TableContents"/>
              <w:bidi w:val="0"/>
              <w:spacing w:before="0" w:after="283"/>
              <w:jc w:val="right"/>
              <w:rPr/>
            </w:pPr>
            <w:r>
              <w:rPr/>
              <w:t>375,721</w:t>
            </w:r>
          </w:p>
        </w:tc>
        <w:tc>
          <w:tcPr>
            <w:tcW w:w="110" w:type="dxa"/>
            <w:tcBorders/>
            <w:shd w:fill="CCEEFF" w:val="clear"/>
            <w:tcMar>
              <w:bottom w:w="0" w:type="dxa"/>
            </w:tcMar>
            <w:vAlign w:val="center"/>
          </w:tcPr>
          <w:p>
            <w:pPr>
              <w:pStyle w:val="TableContents"/>
              <w:bidi w:val="0"/>
              <w:spacing w:before="0" w:after="283"/>
              <w:jc w:val="left"/>
              <w:rPr/>
            </w:pPr>
            <w:r>
              <w:rPr/>
              <w:t> </w:t>
            </w:r>
          </w:p>
        </w:tc>
      </w:tr>
      <w:tr>
        <w:trPr/>
        <w:tc>
          <w:tcPr>
            <w:tcW w:w="3515" w:type="dxa"/>
            <w:tcBorders/>
            <w:shd w:fill="FFFFFF" w:val="clear"/>
            <w:tcMar>
              <w:bottom w:w="0" w:type="dxa"/>
            </w:tcMar>
            <w:vAlign w:val="center"/>
          </w:tcPr>
          <w:p>
            <w:pPr>
              <w:pStyle w:val="TableContents"/>
              <w:bidi w:val="0"/>
              <w:spacing w:before="0" w:after="283"/>
              <w:jc w:val="left"/>
              <w:rPr/>
            </w:pPr>
            <w:r>
              <w:rPr/>
              <w:t>2026</w:t>
            </w:r>
          </w:p>
        </w:tc>
        <w:tc>
          <w:tcPr>
            <w:tcW w:w="60" w:type="dxa"/>
            <w:tcBorders/>
            <w:shd w:fill="FFFFFF" w:val="clear"/>
            <w:tcMar>
              <w:bottom w:w="0" w:type="dxa"/>
            </w:tcMar>
            <w:vAlign w:val="center"/>
          </w:tcPr>
          <w:p>
            <w:pPr>
              <w:pStyle w:val="TableContents"/>
              <w:bidi w:val="0"/>
              <w:spacing w:before="0" w:after="283"/>
              <w:jc w:val="left"/>
              <w:rPr/>
            </w:pPr>
            <w:r>
              <w:rPr/>
              <w:t> </w:t>
            </w:r>
          </w:p>
        </w:tc>
        <w:tc>
          <w:tcPr>
            <w:tcW w:w="157" w:type="dxa"/>
            <w:tcBorders/>
            <w:shd w:fill="FFFFFF" w:val="clear"/>
            <w:tcMar>
              <w:bottom w:w="0" w:type="dxa"/>
            </w:tcMar>
            <w:vAlign w:val="center"/>
          </w:tcPr>
          <w:p>
            <w:pPr>
              <w:pStyle w:val="TableContents"/>
              <w:bidi w:val="0"/>
              <w:spacing w:before="0" w:after="283"/>
              <w:jc w:val="left"/>
              <w:rPr/>
            </w:pPr>
            <w:r>
              <w:rPr/>
              <w:t> </w:t>
            </w:r>
          </w:p>
        </w:tc>
        <w:tc>
          <w:tcPr>
            <w:tcW w:w="898" w:type="dxa"/>
            <w:tcBorders/>
            <w:shd w:fill="FFFFFF" w:val="clear"/>
            <w:tcMar>
              <w:bottom w:w="0" w:type="dxa"/>
            </w:tcMar>
            <w:vAlign w:val="center"/>
          </w:tcPr>
          <w:p>
            <w:pPr>
              <w:pStyle w:val="TableContents"/>
              <w:bidi w:val="0"/>
              <w:spacing w:before="0" w:after="283"/>
              <w:jc w:val="right"/>
              <w:rPr/>
            </w:pPr>
            <w:r>
              <w:rPr/>
              <w:t>215,620</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980" w:type="dxa"/>
            <w:tcBorders/>
            <w:shd w:fill="FFFFFF" w:val="clear"/>
            <w:tcMar>
              <w:bottom w:w="0" w:type="dxa"/>
            </w:tcMar>
            <w:vAlign w:val="center"/>
          </w:tcPr>
          <w:p>
            <w:pPr>
              <w:pStyle w:val="TableContents"/>
              <w:bidi w:val="0"/>
              <w:spacing w:before="0" w:after="283"/>
              <w:jc w:val="right"/>
              <w:rPr/>
            </w:pPr>
            <w:r>
              <w:rPr/>
              <w:t>374,183</w:t>
            </w:r>
          </w:p>
        </w:tc>
        <w:tc>
          <w:tcPr>
            <w:tcW w:w="110" w:type="dxa"/>
            <w:tcBorders/>
            <w:shd w:fill="FFFFFF" w:val="clear"/>
            <w:tcMar>
              <w:bottom w:w="0" w:type="dxa"/>
            </w:tcMar>
            <w:vAlign w:val="center"/>
          </w:tcPr>
          <w:p>
            <w:pPr>
              <w:pStyle w:val="TableContents"/>
              <w:bidi w:val="0"/>
              <w:spacing w:before="0" w:after="283"/>
              <w:jc w:val="left"/>
              <w:rPr/>
            </w:pPr>
            <w:r>
              <w:rPr/>
              <w:t> </w:t>
            </w:r>
          </w:p>
        </w:tc>
      </w:tr>
      <w:tr>
        <w:trPr/>
        <w:tc>
          <w:tcPr>
            <w:tcW w:w="3515" w:type="dxa"/>
            <w:tcBorders/>
            <w:shd w:fill="CCEEFF" w:val="clear"/>
            <w:tcMar>
              <w:bottom w:w="0" w:type="dxa"/>
            </w:tcMar>
            <w:vAlign w:val="center"/>
          </w:tcPr>
          <w:p>
            <w:pPr>
              <w:pStyle w:val="TableContents"/>
              <w:bidi w:val="0"/>
              <w:spacing w:before="0" w:after="283"/>
              <w:jc w:val="left"/>
              <w:rPr/>
            </w:pPr>
            <w:r>
              <w:rPr/>
              <w:t>2027</w:t>
            </w:r>
          </w:p>
        </w:tc>
        <w:tc>
          <w:tcPr>
            <w:tcW w:w="60" w:type="dxa"/>
            <w:tcBorders/>
            <w:shd w:fill="CCEEFF" w:val="clear"/>
            <w:tcMar>
              <w:bottom w:w="0" w:type="dxa"/>
            </w:tcMar>
            <w:vAlign w:val="center"/>
          </w:tcPr>
          <w:p>
            <w:pPr>
              <w:pStyle w:val="TableContents"/>
              <w:bidi w:val="0"/>
              <w:spacing w:before="0" w:after="283"/>
              <w:jc w:val="left"/>
              <w:rPr/>
            </w:pPr>
            <w:r>
              <w:rPr/>
              <w:t> </w:t>
            </w:r>
          </w:p>
        </w:tc>
        <w:tc>
          <w:tcPr>
            <w:tcW w:w="157" w:type="dxa"/>
            <w:tcBorders/>
            <w:shd w:fill="CCEEFF" w:val="clear"/>
            <w:tcMar>
              <w:bottom w:w="0" w:type="dxa"/>
            </w:tcMar>
            <w:vAlign w:val="center"/>
          </w:tcPr>
          <w:p>
            <w:pPr>
              <w:pStyle w:val="TableContents"/>
              <w:bidi w:val="0"/>
              <w:spacing w:before="0" w:after="283"/>
              <w:jc w:val="left"/>
              <w:rPr/>
            </w:pPr>
            <w:r>
              <w:rPr/>
              <w:t> </w:t>
            </w:r>
          </w:p>
        </w:tc>
        <w:tc>
          <w:tcPr>
            <w:tcW w:w="898" w:type="dxa"/>
            <w:tcBorders/>
            <w:shd w:fill="CCEEFF" w:val="clear"/>
            <w:tcMar>
              <w:bottom w:w="0" w:type="dxa"/>
            </w:tcMar>
            <w:vAlign w:val="center"/>
          </w:tcPr>
          <w:p>
            <w:pPr>
              <w:pStyle w:val="TableContents"/>
              <w:bidi w:val="0"/>
              <w:spacing w:before="0" w:after="283"/>
              <w:jc w:val="right"/>
              <w:rPr/>
            </w:pPr>
            <w:r>
              <w:rPr/>
              <w:t>93,048</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980" w:type="dxa"/>
            <w:tcBorders/>
            <w:shd w:fill="CCEEFF" w:val="clear"/>
            <w:tcMar>
              <w:bottom w:w="0" w:type="dxa"/>
            </w:tcMar>
            <w:vAlign w:val="center"/>
          </w:tcPr>
          <w:p>
            <w:pPr>
              <w:pStyle w:val="TableContents"/>
              <w:bidi w:val="0"/>
              <w:spacing w:before="0" w:after="283"/>
              <w:jc w:val="right"/>
              <w:rPr/>
            </w:pPr>
            <w:r>
              <w:rPr/>
              <w:t>374,183</w:t>
            </w:r>
          </w:p>
        </w:tc>
        <w:tc>
          <w:tcPr>
            <w:tcW w:w="110" w:type="dxa"/>
            <w:tcBorders/>
            <w:shd w:fill="CCEEFF" w:val="clear"/>
            <w:tcMar>
              <w:bottom w:w="0" w:type="dxa"/>
            </w:tcMar>
            <w:vAlign w:val="center"/>
          </w:tcPr>
          <w:p>
            <w:pPr>
              <w:pStyle w:val="TableContents"/>
              <w:bidi w:val="0"/>
              <w:spacing w:before="0" w:after="283"/>
              <w:jc w:val="left"/>
              <w:rPr/>
            </w:pPr>
            <w:r>
              <w:rPr/>
              <w:t> </w:t>
            </w:r>
          </w:p>
        </w:tc>
      </w:tr>
      <w:tr>
        <w:trPr/>
        <w:tc>
          <w:tcPr>
            <w:tcW w:w="3515" w:type="dxa"/>
            <w:tcBorders/>
            <w:shd w:fill="FFFFFF" w:val="clear"/>
            <w:tcMar>
              <w:bottom w:w="0" w:type="dxa"/>
            </w:tcMar>
            <w:vAlign w:val="center"/>
          </w:tcPr>
          <w:p>
            <w:pPr>
              <w:pStyle w:val="TableContents"/>
              <w:bidi w:val="0"/>
              <w:spacing w:before="0" w:after="283"/>
              <w:jc w:val="left"/>
              <w:rPr/>
            </w:pPr>
            <w:r>
              <w:rPr/>
              <w:t>2028</w:t>
            </w:r>
          </w:p>
        </w:tc>
        <w:tc>
          <w:tcPr>
            <w:tcW w:w="60" w:type="dxa"/>
            <w:tcBorders/>
            <w:shd w:fill="FFFFFF" w:val="clear"/>
            <w:tcMar>
              <w:bottom w:w="0" w:type="dxa"/>
            </w:tcMar>
            <w:vAlign w:val="center"/>
          </w:tcPr>
          <w:p>
            <w:pPr>
              <w:pStyle w:val="TableContents"/>
              <w:bidi w:val="0"/>
              <w:spacing w:before="0" w:after="283"/>
              <w:jc w:val="left"/>
              <w:rPr/>
            </w:pPr>
            <w:r>
              <w:rPr/>
              <w:t> </w:t>
            </w:r>
          </w:p>
        </w:tc>
        <w:tc>
          <w:tcPr>
            <w:tcW w:w="157" w:type="dxa"/>
            <w:tcBorders/>
            <w:shd w:fill="FFFFFF" w:val="clear"/>
            <w:tcMar>
              <w:bottom w:w="0" w:type="dxa"/>
            </w:tcMar>
            <w:vAlign w:val="center"/>
          </w:tcPr>
          <w:p>
            <w:pPr>
              <w:pStyle w:val="TableContents"/>
              <w:bidi w:val="0"/>
              <w:spacing w:before="0" w:after="283"/>
              <w:jc w:val="left"/>
              <w:rPr/>
            </w:pPr>
            <w:r>
              <w:rPr/>
              <w:t> </w:t>
            </w:r>
          </w:p>
        </w:tc>
        <w:tc>
          <w:tcPr>
            <w:tcW w:w="898" w:type="dxa"/>
            <w:tcBorders/>
            <w:shd w:fill="FFFFFF" w:val="clear"/>
            <w:tcMar>
              <w:bottom w:w="0" w:type="dxa"/>
            </w:tcMar>
            <w:vAlign w:val="center"/>
          </w:tcPr>
          <w:p>
            <w:pPr>
              <w:pStyle w:val="TableContents"/>
              <w:bidi w:val="0"/>
              <w:spacing w:before="0" w:after="283"/>
              <w:jc w:val="right"/>
              <w:rPr/>
            </w:pPr>
            <w:r>
              <w:rPr/>
              <w:t>70,521</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980" w:type="dxa"/>
            <w:tcBorders/>
            <w:shd w:fill="FFFFFF" w:val="clear"/>
            <w:tcMar>
              <w:bottom w:w="0" w:type="dxa"/>
            </w:tcMar>
            <w:vAlign w:val="center"/>
          </w:tcPr>
          <w:p>
            <w:pPr>
              <w:pStyle w:val="TableContents"/>
              <w:bidi w:val="0"/>
              <w:spacing w:before="0" w:after="283"/>
              <w:jc w:val="right"/>
              <w:rPr/>
            </w:pPr>
            <w:r>
              <w:rPr/>
              <w:t>353,318</w:t>
            </w:r>
          </w:p>
        </w:tc>
        <w:tc>
          <w:tcPr>
            <w:tcW w:w="110" w:type="dxa"/>
            <w:tcBorders/>
            <w:shd w:fill="FFFFFF" w:val="clear"/>
            <w:tcMar>
              <w:bottom w:w="0" w:type="dxa"/>
            </w:tcMar>
            <w:vAlign w:val="center"/>
          </w:tcPr>
          <w:p>
            <w:pPr>
              <w:pStyle w:val="TableContents"/>
              <w:bidi w:val="0"/>
              <w:spacing w:before="0" w:after="283"/>
              <w:jc w:val="left"/>
              <w:rPr/>
            </w:pPr>
            <w:r>
              <w:rPr/>
              <w:t> </w:t>
            </w:r>
          </w:p>
        </w:tc>
      </w:tr>
      <w:tr>
        <w:trPr/>
        <w:tc>
          <w:tcPr>
            <w:tcW w:w="3515" w:type="dxa"/>
            <w:tcBorders/>
            <w:shd w:fill="CCEEFF" w:val="clear"/>
            <w:tcMar>
              <w:bottom w:w="0" w:type="dxa"/>
            </w:tcMar>
            <w:vAlign w:val="center"/>
          </w:tcPr>
          <w:p>
            <w:pPr>
              <w:pStyle w:val="TableContents"/>
              <w:bidi w:val="0"/>
              <w:spacing w:before="0" w:after="283"/>
              <w:jc w:val="left"/>
              <w:rPr/>
            </w:pPr>
            <w:r>
              <w:rPr/>
              <w:t>2029</w:t>
            </w:r>
          </w:p>
        </w:tc>
        <w:tc>
          <w:tcPr>
            <w:tcW w:w="60" w:type="dxa"/>
            <w:tcBorders/>
            <w:shd w:fill="CCEEFF" w:val="clear"/>
            <w:tcMar>
              <w:bottom w:w="0" w:type="dxa"/>
            </w:tcMar>
            <w:vAlign w:val="center"/>
          </w:tcPr>
          <w:p>
            <w:pPr>
              <w:pStyle w:val="TableContents"/>
              <w:bidi w:val="0"/>
              <w:spacing w:before="0" w:after="283"/>
              <w:jc w:val="left"/>
              <w:rPr/>
            </w:pPr>
            <w:r>
              <w:rPr/>
              <w:t> </w:t>
            </w:r>
          </w:p>
        </w:tc>
        <w:tc>
          <w:tcPr>
            <w:tcW w:w="157" w:type="dxa"/>
            <w:tcBorders>
              <w:bottom w:val="single" w:sz="12" w:space="0" w:color="000000"/>
            </w:tcBorders>
            <w:shd w:fill="CCEEFF" w:val="clear"/>
            <w:vAlign w:val="center"/>
          </w:tcPr>
          <w:p>
            <w:pPr>
              <w:pStyle w:val="TableContents"/>
              <w:bidi w:val="0"/>
              <w:spacing w:before="0" w:after="283"/>
              <w:jc w:val="left"/>
              <w:rPr/>
            </w:pPr>
            <w:r>
              <w:rPr/>
              <w:t> </w:t>
            </w:r>
          </w:p>
        </w:tc>
        <w:tc>
          <w:tcPr>
            <w:tcW w:w="898" w:type="dxa"/>
            <w:tcBorders>
              <w:bottom w:val="single" w:sz="12" w:space="0" w:color="000000"/>
            </w:tcBorders>
            <w:shd w:fill="CCEEFF" w:val="clear"/>
            <w:vAlign w:val="center"/>
          </w:tcPr>
          <w:p>
            <w:pPr>
              <w:pStyle w:val="TableContents"/>
              <w:bidi w:val="0"/>
              <w:spacing w:before="0" w:after="283"/>
              <w:jc w:val="right"/>
              <w:rPr/>
            </w:pPr>
            <w:r>
              <w:rPr/>
              <w:t>-</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bottom w:val="single" w:sz="12" w:space="0" w:color="000000"/>
            </w:tcBorders>
            <w:shd w:fill="CCEEFF" w:val="clear"/>
            <w:vAlign w:val="center"/>
          </w:tcPr>
          <w:p>
            <w:pPr>
              <w:pStyle w:val="TableContents"/>
              <w:bidi w:val="0"/>
              <w:spacing w:before="0" w:after="283"/>
              <w:jc w:val="left"/>
              <w:rPr/>
            </w:pPr>
            <w:r>
              <w:rPr/>
              <w:t> </w:t>
            </w:r>
          </w:p>
        </w:tc>
        <w:tc>
          <w:tcPr>
            <w:tcW w:w="980" w:type="dxa"/>
            <w:tcBorders>
              <w:bottom w:val="single" w:sz="12" w:space="0" w:color="000000"/>
            </w:tcBorders>
            <w:shd w:fill="CCEEFF" w:val="clear"/>
            <w:vAlign w:val="center"/>
          </w:tcPr>
          <w:p>
            <w:pPr>
              <w:pStyle w:val="TableContents"/>
              <w:bidi w:val="0"/>
              <w:spacing w:before="0" w:after="283"/>
              <w:jc w:val="right"/>
              <w:rPr/>
            </w:pPr>
            <w:r>
              <w:rPr/>
              <w:t>231,674</w:t>
            </w:r>
          </w:p>
        </w:tc>
        <w:tc>
          <w:tcPr>
            <w:tcW w:w="110" w:type="dxa"/>
            <w:tcBorders/>
            <w:shd w:fill="CCEEFF" w:val="clear"/>
            <w:tcMar>
              <w:bottom w:w="0" w:type="dxa"/>
            </w:tcMar>
            <w:vAlign w:val="center"/>
          </w:tcPr>
          <w:p>
            <w:pPr>
              <w:pStyle w:val="TableContents"/>
              <w:bidi w:val="0"/>
              <w:spacing w:before="0" w:after="283"/>
              <w:jc w:val="left"/>
              <w:rPr/>
            </w:pPr>
            <w:r>
              <w:rPr/>
              <w:t> </w:t>
            </w:r>
          </w:p>
        </w:tc>
      </w:tr>
      <w:tr>
        <w:trPr/>
        <w:tc>
          <w:tcPr>
            <w:tcW w:w="3515" w:type="dxa"/>
            <w:tcBorders/>
            <w:shd w:fill="FFFFFF" w:val="clear"/>
            <w:tcMar>
              <w:bottom w:w="0" w:type="dxa"/>
            </w:tcMar>
            <w:vAlign w:val="center"/>
          </w:tcPr>
          <w:p>
            <w:pPr>
              <w:pStyle w:val="TableContents"/>
              <w:bidi w:val="0"/>
              <w:spacing w:before="0" w:after="283"/>
              <w:jc w:val="left"/>
              <w:rPr/>
            </w:pPr>
            <w:r>
              <w:rPr/>
              <w:t>Total lease payments</w:t>
            </w:r>
          </w:p>
        </w:tc>
        <w:tc>
          <w:tcPr>
            <w:tcW w:w="60" w:type="dxa"/>
            <w:tcBorders/>
            <w:shd w:fill="FFFFFF" w:val="clear"/>
            <w:tcMar>
              <w:bottom w:w="0" w:type="dxa"/>
            </w:tcMar>
            <w:vAlign w:val="center"/>
          </w:tcPr>
          <w:p>
            <w:pPr>
              <w:pStyle w:val="TableContents"/>
              <w:bidi w:val="0"/>
              <w:spacing w:before="0" w:after="283"/>
              <w:jc w:val="left"/>
              <w:rPr/>
            </w:pPr>
            <w:r>
              <w:rPr/>
              <w:t> </w:t>
            </w:r>
          </w:p>
        </w:tc>
        <w:tc>
          <w:tcPr>
            <w:tcW w:w="157" w:type="dxa"/>
            <w:tcBorders/>
            <w:shd w:fill="FFFFFF" w:val="clear"/>
            <w:tcMar>
              <w:bottom w:w="0" w:type="dxa"/>
            </w:tcMar>
            <w:vAlign w:val="center"/>
          </w:tcPr>
          <w:p>
            <w:pPr>
              <w:pStyle w:val="TableContents"/>
              <w:bidi w:val="0"/>
              <w:spacing w:before="0" w:after="283"/>
              <w:jc w:val="left"/>
              <w:rPr/>
            </w:pPr>
            <w:r>
              <w:rPr/>
              <w:t> </w:t>
            </w:r>
          </w:p>
        </w:tc>
        <w:tc>
          <w:tcPr>
            <w:tcW w:w="898" w:type="dxa"/>
            <w:tcBorders/>
            <w:shd w:fill="FFFFFF" w:val="clear"/>
            <w:tcMar>
              <w:bottom w:w="0" w:type="dxa"/>
            </w:tcMar>
            <w:vAlign w:val="center"/>
          </w:tcPr>
          <w:p>
            <w:pPr>
              <w:pStyle w:val="TableContents"/>
              <w:bidi w:val="0"/>
              <w:spacing w:before="0" w:after="283"/>
              <w:jc w:val="right"/>
              <w:rPr/>
            </w:pPr>
            <w:r>
              <w:rPr/>
              <w:t>803,329</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980" w:type="dxa"/>
            <w:tcBorders/>
            <w:shd w:fill="FFFFFF" w:val="clear"/>
            <w:tcMar>
              <w:bottom w:w="0" w:type="dxa"/>
            </w:tcMar>
            <w:vAlign w:val="center"/>
          </w:tcPr>
          <w:p>
            <w:pPr>
              <w:pStyle w:val="TableContents"/>
              <w:bidi w:val="0"/>
              <w:spacing w:before="0" w:after="283"/>
              <w:jc w:val="right"/>
              <w:rPr/>
            </w:pPr>
            <w:r>
              <w:rPr/>
              <w:t>1,709,079</w:t>
            </w:r>
          </w:p>
        </w:tc>
        <w:tc>
          <w:tcPr>
            <w:tcW w:w="110" w:type="dxa"/>
            <w:tcBorders/>
            <w:shd w:fill="FFFFFF" w:val="clear"/>
            <w:tcMar>
              <w:bottom w:w="0" w:type="dxa"/>
            </w:tcMar>
            <w:vAlign w:val="center"/>
          </w:tcPr>
          <w:p>
            <w:pPr>
              <w:pStyle w:val="TableContents"/>
              <w:bidi w:val="0"/>
              <w:spacing w:before="0" w:after="283"/>
              <w:jc w:val="left"/>
              <w:rPr/>
            </w:pPr>
            <w:r>
              <w:rPr/>
              <w:t> </w:t>
            </w:r>
          </w:p>
        </w:tc>
      </w:tr>
      <w:tr>
        <w:trPr/>
        <w:tc>
          <w:tcPr>
            <w:tcW w:w="3515" w:type="dxa"/>
            <w:tcBorders/>
            <w:shd w:fill="CCEEFF" w:val="clear"/>
            <w:tcMar>
              <w:bottom w:w="0" w:type="dxa"/>
            </w:tcMar>
            <w:vAlign w:val="center"/>
          </w:tcPr>
          <w:p>
            <w:pPr>
              <w:pStyle w:val="TableContents"/>
              <w:bidi w:val="0"/>
              <w:spacing w:before="0" w:after="283"/>
              <w:jc w:val="left"/>
              <w:rPr/>
            </w:pPr>
            <w:r>
              <w:rPr/>
              <w:t>Less: interest</w:t>
            </w:r>
          </w:p>
        </w:tc>
        <w:tc>
          <w:tcPr>
            <w:tcW w:w="60" w:type="dxa"/>
            <w:tcBorders/>
            <w:shd w:fill="CCEEFF" w:val="clear"/>
            <w:tcMar>
              <w:bottom w:w="0" w:type="dxa"/>
            </w:tcMar>
            <w:vAlign w:val="center"/>
          </w:tcPr>
          <w:p>
            <w:pPr>
              <w:pStyle w:val="TableContents"/>
              <w:bidi w:val="0"/>
              <w:spacing w:before="0" w:after="283"/>
              <w:jc w:val="left"/>
              <w:rPr/>
            </w:pPr>
            <w:r>
              <w:rPr/>
              <w:t> </w:t>
            </w:r>
          </w:p>
        </w:tc>
        <w:tc>
          <w:tcPr>
            <w:tcW w:w="157" w:type="dxa"/>
            <w:tcBorders>
              <w:bottom w:val="single" w:sz="12" w:space="0" w:color="000000"/>
            </w:tcBorders>
            <w:shd w:fill="CCEEFF" w:val="clear"/>
            <w:vAlign w:val="center"/>
          </w:tcPr>
          <w:p>
            <w:pPr>
              <w:pStyle w:val="TableContents"/>
              <w:bidi w:val="0"/>
              <w:spacing w:before="0" w:after="283"/>
              <w:jc w:val="left"/>
              <w:rPr/>
            </w:pPr>
            <w:r>
              <w:rPr/>
              <w:t> </w:t>
            </w:r>
          </w:p>
        </w:tc>
        <w:tc>
          <w:tcPr>
            <w:tcW w:w="898" w:type="dxa"/>
            <w:tcBorders>
              <w:bottom w:val="single" w:sz="12" w:space="0" w:color="000000"/>
            </w:tcBorders>
            <w:shd w:fill="CCEEFF" w:val="clear"/>
            <w:vAlign w:val="center"/>
          </w:tcPr>
          <w:p>
            <w:pPr>
              <w:pStyle w:val="TableContents"/>
              <w:bidi w:val="0"/>
              <w:spacing w:before="0" w:after="283"/>
              <w:jc w:val="right"/>
              <w:rPr/>
            </w:pPr>
            <w:r>
              <w:rPr/>
              <w:t>(34,527</w:t>
            </w:r>
          </w:p>
        </w:tc>
        <w:tc>
          <w:tcPr>
            <w:tcW w:w="95" w:type="dxa"/>
            <w:tcBorders/>
            <w:shd w:fill="CCEEFF" w:val="clear"/>
            <w:tcMar>
              <w:bottom w:w="0" w:type="dxa"/>
            </w:tcMar>
            <w:vAlign w:val="center"/>
          </w:tcPr>
          <w:p>
            <w:pPr>
              <w:pStyle w:val="TableContents"/>
              <w:bidi w:val="0"/>
              <w:spacing w:before="0" w:after="283"/>
              <w:jc w:val="lef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bottom w:val="single" w:sz="12" w:space="0" w:color="000000"/>
            </w:tcBorders>
            <w:shd w:fill="CCEEFF" w:val="clear"/>
            <w:vAlign w:val="center"/>
          </w:tcPr>
          <w:p>
            <w:pPr>
              <w:pStyle w:val="TableContents"/>
              <w:bidi w:val="0"/>
              <w:spacing w:before="0" w:after="283"/>
              <w:jc w:val="left"/>
              <w:rPr/>
            </w:pPr>
            <w:r>
              <w:rPr/>
              <w:t> </w:t>
            </w:r>
          </w:p>
        </w:tc>
        <w:tc>
          <w:tcPr>
            <w:tcW w:w="980" w:type="dxa"/>
            <w:tcBorders>
              <w:bottom w:val="single" w:sz="12" w:space="0" w:color="000000"/>
            </w:tcBorders>
            <w:shd w:fill="CCEEFF" w:val="clear"/>
            <w:vAlign w:val="center"/>
          </w:tcPr>
          <w:p>
            <w:pPr>
              <w:pStyle w:val="TableContents"/>
              <w:bidi w:val="0"/>
              <w:spacing w:before="0" w:after="283"/>
              <w:jc w:val="right"/>
              <w:rPr/>
            </w:pPr>
            <w:r>
              <w:rPr/>
              <w:t>(164,992</w:t>
            </w:r>
          </w:p>
        </w:tc>
        <w:tc>
          <w:tcPr>
            <w:tcW w:w="110" w:type="dxa"/>
            <w:tcBorders/>
            <w:shd w:fill="CCEEFF" w:val="clear"/>
            <w:tcMar>
              <w:bottom w:w="0" w:type="dxa"/>
            </w:tcMar>
            <w:vAlign w:val="center"/>
          </w:tcPr>
          <w:p>
            <w:pPr>
              <w:pStyle w:val="TableContents"/>
              <w:bidi w:val="0"/>
              <w:spacing w:before="0" w:after="283"/>
              <w:jc w:val="left"/>
              <w:rPr/>
            </w:pPr>
            <w:r>
              <w:rPr/>
              <w:t>)</w:t>
            </w:r>
          </w:p>
        </w:tc>
      </w:tr>
      <w:tr>
        <w:trPr/>
        <w:tc>
          <w:tcPr>
            <w:tcW w:w="3515" w:type="dxa"/>
            <w:tcBorders/>
            <w:shd w:fill="FFFFFF" w:val="clear"/>
            <w:tcMar>
              <w:bottom w:w="0" w:type="dxa"/>
            </w:tcMar>
            <w:vAlign w:val="center"/>
          </w:tcPr>
          <w:p>
            <w:pPr>
              <w:pStyle w:val="TableContents"/>
              <w:bidi w:val="0"/>
              <w:spacing w:before="0" w:after="283"/>
              <w:jc w:val="left"/>
              <w:rPr/>
            </w:pPr>
            <w:r>
              <w:rPr/>
              <w:t>Present value of lease liabilities</w:t>
            </w:r>
          </w:p>
        </w:tc>
        <w:tc>
          <w:tcPr>
            <w:tcW w:w="60" w:type="dxa"/>
            <w:tcBorders/>
            <w:shd w:fill="FFFFFF" w:val="clear"/>
            <w:tcMar>
              <w:bottom w:w="0" w:type="dxa"/>
            </w:tcMar>
            <w:vAlign w:val="center"/>
          </w:tcPr>
          <w:p>
            <w:pPr>
              <w:pStyle w:val="TableContents"/>
              <w:bidi w:val="0"/>
              <w:spacing w:before="0" w:after="283"/>
              <w:jc w:val="left"/>
              <w:rPr/>
            </w:pPr>
            <w:r>
              <w:rPr/>
              <w:t> </w:t>
            </w:r>
          </w:p>
        </w:tc>
        <w:tc>
          <w:tcPr>
            <w:tcW w:w="157" w:type="dxa"/>
            <w:tcBorders>
              <w:bottom w:val="double" w:sz="10" w:space="0" w:color="000000"/>
            </w:tcBorders>
            <w:shd w:fill="FFFFFF" w:val="clear"/>
            <w:vAlign w:val="center"/>
          </w:tcPr>
          <w:p>
            <w:pPr>
              <w:pStyle w:val="TableContents"/>
              <w:bidi w:val="0"/>
              <w:spacing w:before="0" w:after="283"/>
              <w:jc w:val="left"/>
              <w:rPr/>
            </w:pPr>
            <w:r>
              <w:rPr/>
              <w:t>$</w:t>
            </w:r>
          </w:p>
        </w:tc>
        <w:tc>
          <w:tcPr>
            <w:tcW w:w="898" w:type="dxa"/>
            <w:tcBorders>
              <w:bottom w:val="double" w:sz="10" w:space="0" w:color="000000"/>
            </w:tcBorders>
            <w:shd w:fill="FFFFFF" w:val="clear"/>
            <w:vAlign w:val="center"/>
          </w:tcPr>
          <w:p>
            <w:pPr>
              <w:pStyle w:val="TableContents"/>
              <w:bidi w:val="0"/>
              <w:spacing w:before="0" w:after="283"/>
              <w:jc w:val="right"/>
              <w:rPr/>
            </w:pPr>
            <w:r>
              <w:rPr/>
              <w:t>768,802</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bottom w:val="double" w:sz="10" w:space="0" w:color="000000"/>
            </w:tcBorders>
            <w:shd w:fill="FFFFFF" w:val="clear"/>
            <w:vAlign w:val="center"/>
          </w:tcPr>
          <w:p>
            <w:pPr>
              <w:pStyle w:val="TableContents"/>
              <w:bidi w:val="0"/>
              <w:spacing w:before="0" w:after="283"/>
              <w:jc w:val="left"/>
              <w:rPr/>
            </w:pPr>
            <w:r>
              <w:rPr/>
              <w:t>$</w:t>
            </w:r>
          </w:p>
        </w:tc>
        <w:tc>
          <w:tcPr>
            <w:tcW w:w="980" w:type="dxa"/>
            <w:tcBorders>
              <w:bottom w:val="double" w:sz="10" w:space="0" w:color="000000"/>
            </w:tcBorders>
            <w:shd w:fill="FFFFFF" w:val="clear"/>
            <w:vAlign w:val="center"/>
          </w:tcPr>
          <w:p>
            <w:pPr>
              <w:pStyle w:val="TableContents"/>
              <w:bidi w:val="0"/>
              <w:spacing w:before="0" w:after="283"/>
              <w:jc w:val="right"/>
              <w:rPr/>
            </w:pPr>
            <w:r>
              <w:rPr/>
              <w:t>1,544,087</w:t>
            </w:r>
          </w:p>
        </w:tc>
        <w:tc>
          <w:tcPr>
            <w:tcW w:w="110" w:type="dxa"/>
            <w:tcBorders/>
            <w:shd w:fill="FFFFFF" w:val="clear"/>
            <w:tcMar>
              <w:bottom w:w="0" w:type="dxa"/>
            </w:tcMar>
            <w:vAlign w:val="center"/>
          </w:tcPr>
          <w:p>
            <w:pPr>
              <w:pStyle w:val="TableContents"/>
              <w:bidi w:val="0"/>
              <w:spacing w:before="0" w:after="283"/>
              <w:jc w:val="left"/>
              <w:rPr/>
            </w:pPr>
            <w:r>
              <w:rPr/>
              <w:t> </w:t>
            </w:r>
          </w:p>
        </w:tc>
      </w:tr>
    </w:tbl>
    <w:p>
      <w:pPr>
        <w:pStyle w:val="TextBody"/>
        <w:bidi w:val="0"/>
        <w:spacing w:before="0" w:after="0"/>
        <w:jc w:val="center"/>
        <w:rPr>
          <w:caps w:val="false"/>
          <w:smallCaps w:val="false"/>
        </w:rPr>
      </w:pPr>
      <w:r>
        <w:rPr>
          <w:caps w:val="false"/>
          <w:smallCaps w:val="false"/>
        </w:rPr>
        <w:t> </w:t>
      </w:r>
    </w:p>
    <w:tbl>
      <w:tblPr>
        <w:tblW w:w="5733" w:type="dxa"/>
        <w:jc w:val="left"/>
        <w:tblInd w:w="0" w:type="dxa"/>
        <w:tblLayout w:type="fixed"/>
        <w:tblCellMar>
          <w:top w:w="0" w:type="dxa"/>
          <w:left w:w="0" w:type="dxa"/>
          <w:bottom w:w="0" w:type="dxa"/>
          <w:right w:w="0" w:type="dxa"/>
        </w:tblCellMar>
      </w:tblPr>
      <w:tblGrid>
        <w:gridCol w:w="38"/>
        <w:gridCol w:w="320"/>
        <w:gridCol w:w="5375"/>
      </w:tblGrid>
      <w:tr>
        <w:trPr/>
        <w:tc>
          <w:tcPr>
            <w:tcW w:w="38"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b/>
              </w:rPr>
            </w:pPr>
            <w:r>
              <w:rPr>
                <w:b/>
              </w:rPr>
              <w:t>10.</w:t>
            </w:r>
          </w:p>
        </w:tc>
        <w:tc>
          <w:tcPr>
            <w:tcW w:w="5375" w:type="dxa"/>
            <w:tcBorders/>
            <w:vAlign w:val="center"/>
          </w:tcPr>
          <w:p>
            <w:pPr>
              <w:pStyle w:val="TableContents"/>
              <w:bidi w:val="0"/>
              <w:spacing w:before="0" w:after="283"/>
              <w:jc w:val="both"/>
              <w:rPr>
                <w:b/>
              </w:rPr>
            </w:pPr>
            <w:r>
              <w:rPr>
                <w:b/>
              </w:rPr>
              <w:t>Related Party Transactions Not Disclosed Elsewhere</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Sales Commissions Receivables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Sales commissions receivables consist of commissions receivable due from employees and contractors owed to the Company as of December 31, 2024 in the amount of approximately $424,000.</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sz w:val="20"/>
          <w:bdr w:val="single" w:sz="12" w:space="1" w:color="000000"/>
        </w:rPr>
      </w:pPr>
      <w:r>
        <w:rPr>
          <w:sz w:val="20"/>
          <w:bdr w:val="single" w:sz="12" w:space="1" w:color="000000"/>
        </w:rPr>
        <w:t>F-160</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drawing>
          <wp:inline distT="0" distB="0" distL="0" distR="0">
            <wp:extent cx="7143750" cy="57150"/>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embed="rId18"/>
                    <a:stretch>
                      <a:fillRect/>
                    </a:stretch>
                  </pic:blipFill>
                  <pic:spPr bwMode="auto">
                    <a:xfrm>
                      <a:off x="0" y="0"/>
                      <a:ext cx="7143750" cy="57150"/>
                    </a:xfrm>
                    <a:prstGeom prst="rect">
                      <a:avLst/>
                    </a:prstGeom>
                  </pic:spPr>
                </pic:pic>
              </a:graphicData>
            </a:graphic>
          </wp:inline>
        </w:drawing>
      </w: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Related-Party Accounts Payable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related-party entity will on occasion pay for bills on the Company’s behalf, and other amounts due to this entity arise over the normal course of business operations. As of December 31, 2024, the Company owed approximately $510,000 to this entity.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Related-Party Accrued Interest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December 31, 2024, accrued interest to related parties of approximately $1,091,000 is included in accrued expenses in the balance sheet.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Operating Lease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leased certain office space from a related-party entity. This lease terminated on December 31, 2024. Amortization expense for the year ended December 31, 2024 was approximately $279,000, and is included in rent expense in the accompanying statement of operations and member’s deficit. The present value of the lease payments for this related-party lease was computed using a discount rate of 4.33%.</w:t>
      </w:r>
    </w:p>
    <w:p>
      <w:pPr>
        <w:pStyle w:val="TextBody"/>
        <w:bidi w:val="0"/>
        <w:spacing w:before="0" w:after="0"/>
        <w:ind w:left="0" w:right="0" w:hanging="0"/>
        <w:jc w:val="both"/>
        <w:rPr>
          <w:caps w:val="false"/>
          <w:smallCaps w:val="false"/>
        </w:rPr>
      </w:pPr>
      <w:r>
        <w:rPr>
          <w:caps w:val="false"/>
          <w:smallCaps w:val="false"/>
        </w:rPr>
        <w:t> </w:t>
      </w:r>
    </w:p>
    <w:tbl>
      <w:tblPr>
        <w:tblW w:w="1638" w:type="dxa"/>
        <w:jc w:val="left"/>
        <w:tblInd w:w="0" w:type="dxa"/>
        <w:tblLayout w:type="fixed"/>
        <w:tblCellMar>
          <w:top w:w="0" w:type="dxa"/>
          <w:left w:w="0" w:type="dxa"/>
          <w:bottom w:w="0" w:type="dxa"/>
          <w:right w:w="0" w:type="dxa"/>
        </w:tblCellMar>
      </w:tblPr>
      <w:tblGrid>
        <w:gridCol w:w="38"/>
        <w:gridCol w:w="320"/>
        <w:gridCol w:w="1280"/>
      </w:tblGrid>
      <w:tr>
        <w:trPr/>
        <w:tc>
          <w:tcPr>
            <w:tcW w:w="38"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b/>
              </w:rPr>
            </w:pPr>
            <w:r>
              <w:rPr>
                <w:b/>
              </w:rPr>
              <w:t>11.</w:t>
            </w:r>
          </w:p>
        </w:tc>
        <w:tc>
          <w:tcPr>
            <w:tcW w:w="1280" w:type="dxa"/>
            <w:tcBorders/>
            <w:vAlign w:val="center"/>
          </w:tcPr>
          <w:p>
            <w:pPr>
              <w:pStyle w:val="TableContents"/>
              <w:bidi w:val="0"/>
              <w:spacing w:before="0" w:after="283"/>
              <w:jc w:val="both"/>
              <w:rPr>
                <w:b/>
              </w:rPr>
            </w:pPr>
            <w:r>
              <w:rPr>
                <w:b/>
              </w:rPr>
              <w:t>Benefit Plan</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sponsors a defined contribution 401(k) retirement plan (the Retirement Plan). Employees are eligible to participate on the first day of the month coinciding with or next following the date they have completed six months of service and have attained 18 years of age. Employees may elect to contribute to the Retirement Plan subject to the limitations of the Internal Revenue Code (IRC). The Company makes a matching contribution to each participant’s account equal to 100% of the first 3%, and 50% of the next 2% of each participant’s contribution. Participants are 100% vested in all contributions immediately. For the year ending December 31, 2024, the Company made $217,639 in matching contributions to the plan.</w:t>
      </w:r>
    </w:p>
    <w:p>
      <w:pPr>
        <w:pStyle w:val="TextBody"/>
        <w:bidi w:val="0"/>
        <w:spacing w:before="0" w:after="0"/>
        <w:ind w:left="0" w:right="0" w:hanging="0"/>
        <w:jc w:val="both"/>
        <w:rPr>
          <w:caps w:val="false"/>
          <w:smallCaps w:val="false"/>
        </w:rPr>
      </w:pPr>
      <w:r>
        <w:rPr>
          <w:caps w:val="false"/>
          <w:smallCaps w:val="false"/>
        </w:rPr>
        <w:t> </w:t>
      </w:r>
    </w:p>
    <w:tbl>
      <w:tblPr>
        <w:tblW w:w="2328" w:type="dxa"/>
        <w:jc w:val="left"/>
        <w:tblInd w:w="0" w:type="dxa"/>
        <w:tblLayout w:type="fixed"/>
        <w:tblCellMar>
          <w:top w:w="0" w:type="dxa"/>
          <w:left w:w="0" w:type="dxa"/>
          <w:bottom w:w="0" w:type="dxa"/>
          <w:right w:w="0" w:type="dxa"/>
        </w:tblCellMar>
      </w:tblPr>
      <w:tblGrid>
        <w:gridCol w:w="38"/>
        <w:gridCol w:w="320"/>
        <w:gridCol w:w="1970"/>
      </w:tblGrid>
      <w:tr>
        <w:trPr/>
        <w:tc>
          <w:tcPr>
            <w:tcW w:w="38"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b/>
              </w:rPr>
            </w:pPr>
            <w:r>
              <w:rPr>
                <w:b/>
              </w:rPr>
              <w:t>12.</w:t>
            </w:r>
          </w:p>
        </w:tc>
        <w:tc>
          <w:tcPr>
            <w:tcW w:w="1970" w:type="dxa"/>
            <w:tcBorders/>
            <w:vAlign w:val="center"/>
          </w:tcPr>
          <w:p>
            <w:pPr>
              <w:pStyle w:val="TableContents"/>
              <w:bidi w:val="0"/>
              <w:spacing w:before="0" w:after="283"/>
              <w:jc w:val="both"/>
              <w:rPr>
                <w:b/>
              </w:rPr>
            </w:pPr>
            <w:r>
              <w:rPr>
                <w:b/>
              </w:rPr>
              <w:t>Subsequent Events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the first quarter of 2025, existing related-party lenders loaned the Company a combined $500,000 in additional funds to increase maximum line of credit balances that were in place as of December 31, 2024.</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March 2025, the Company signed a lease agreement extending the lease for its main office through May 31, 2030. Total lease payments to be made during the 5 year extension are $3,533,133.</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April of 2025, the Company entered into a sale and purchase of future receivables agreement with a lender. This third-party lender lent the Company $1,000,000 and in return the Company agreed to pay the lender 8% of all cash collections from customers until a total of $1,320,000 has been paid. This agreement was paid in full in August 2025.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November 11, 2025, the Company entered a non-binding letter of intent with SunPower, Inc. to be acquired for $37,500,000. The transaction closed on November 21, 2025.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sz w:val="20"/>
          <w:bdr w:val="single" w:sz="12" w:space="1" w:color="000000"/>
        </w:rPr>
      </w:pPr>
      <w:r>
        <w:rPr>
          <w:sz w:val="20"/>
          <w:bdr w:val="single" w:sz="12" w:space="1" w:color="000000"/>
        </w:rPr>
        <w:t>F-161</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AMBIA ENERGY, LLC</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Unaudited Financial Statements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As of September 30, 2025 and December 31, 2024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and For the Nine Months Ended September 30, 2025 and 2024</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hanging="0"/>
        <w:jc w:val="center"/>
        <w:rPr>
          <w:sz w:val="20"/>
          <w:bdr w:val="single" w:sz="12" w:space="1" w:color="000000"/>
        </w:rPr>
      </w:pPr>
      <w:r>
        <w:rPr>
          <w:sz w:val="20"/>
          <w:bdr w:val="single" w:sz="12" w:space="1" w:color="000000"/>
        </w:rPr>
        <w:t>F-162</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bookmarkStart w:id="49" w:name="H_001"/>
      <w:bookmarkEnd w:id="49"/>
      <w:r>
        <w:rPr>
          <w:rFonts w:ascii="Times New Roman;Times;Serif" w:hAnsi="Times New Roman;Times;Serif"/>
          <w:b/>
          <w:i/>
          <w:caps w:val="false"/>
          <w:smallCaps w:val="false"/>
          <w:sz w:val="20"/>
        </w:rPr>
        <w:t>Unaudited Balance Sheets</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136"/>
        <w:gridCol w:w="60"/>
        <w:gridCol w:w="158"/>
        <w:gridCol w:w="1247"/>
        <w:gridCol w:w="95"/>
        <w:gridCol w:w="60"/>
        <w:gridCol w:w="150"/>
        <w:gridCol w:w="1187"/>
        <w:gridCol w:w="112"/>
      </w:tblGrid>
      <w:tr>
        <w:trPr/>
        <w:tc>
          <w:tcPr>
            <w:tcW w:w="7136"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405" w:type="dxa"/>
            <w:gridSpan w:val="2"/>
            <w:tcBorders/>
            <w:vAlign w:val="center"/>
          </w:tcPr>
          <w:p>
            <w:pPr>
              <w:pStyle w:val="TableContents"/>
              <w:bidi w:val="0"/>
              <w:spacing w:before="0" w:after="283"/>
              <w:jc w:val="center"/>
              <w:rPr>
                <w:b/>
                <w:i/>
              </w:rPr>
            </w:pPr>
            <w:r>
              <w:rPr>
                <w:b/>
                <w:i/>
              </w:rPr>
              <w:t xml:space="preserve">As of </w:t>
              <w:br/>
              <w:t xml:space="preserve">September 30, </w:t>
              <w:br/>
              <w:t>2025</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37" w:type="dxa"/>
            <w:gridSpan w:val="2"/>
            <w:tcBorders/>
            <w:vAlign w:val="center"/>
          </w:tcPr>
          <w:p>
            <w:pPr>
              <w:pStyle w:val="TableContents"/>
              <w:bidi w:val="0"/>
              <w:spacing w:before="0" w:after="283"/>
              <w:jc w:val="center"/>
              <w:rPr>
                <w:b/>
                <w:i/>
              </w:rPr>
            </w:pPr>
            <w:r>
              <w:rPr>
                <w:b/>
                <w:i/>
              </w:rPr>
              <w:t>As of</w:t>
              <w:br/>
              <w:t>December 31,</w:t>
            </w:r>
          </w:p>
        </w:tc>
        <w:tc>
          <w:tcPr>
            <w:tcW w:w="112" w:type="dxa"/>
            <w:tcBorders/>
            <w:vAlign w:val="center"/>
          </w:tcPr>
          <w:p>
            <w:pPr>
              <w:pStyle w:val="TableContents"/>
              <w:bidi w:val="0"/>
              <w:spacing w:before="0" w:after="283"/>
              <w:jc w:val="left"/>
              <w:rPr/>
            </w:pPr>
            <w:r>
              <w:rPr/>
              <w:t> </w:t>
            </w:r>
          </w:p>
        </w:tc>
      </w:tr>
      <w:tr>
        <w:trPr/>
        <w:tc>
          <w:tcPr>
            <w:tcW w:w="7136"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(Unaudited)</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37" w:type="dxa"/>
            <w:gridSpan w:val="2"/>
            <w:tcBorders>
              <w:bottom w:val="single" w:sz="12" w:space="0" w:color="000000"/>
            </w:tcBorders>
            <w:tcMar>
              <w:bottom w:w="28" w:type="dxa"/>
            </w:tcMar>
            <w:vAlign w:val="center"/>
          </w:tcPr>
          <w:p>
            <w:pPr>
              <w:pStyle w:val="TableContents"/>
              <w:bidi w:val="0"/>
              <w:spacing w:before="0" w:after="283"/>
              <w:jc w:val="center"/>
              <w:rPr>
                <w:b/>
                <w:i/>
              </w:rPr>
            </w:pPr>
            <w:r>
              <w:rPr>
                <w:b/>
                <w:i/>
              </w:rPr>
              <w:t>2024</w:t>
            </w:r>
          </w:p>
        </w:tc>
        <w:tc>
          <w:tcPr>
            <w:tcW w:w="112" w:type="dxa"/>
            <w:tcBorders/>
            <w:vAlign w:val="center"/>
          </w:tcPr>
          <w:p>
            <w:pPr>
              <w:pStyle w:val="TableContents"/>
              <w:bidi w:val="0"/>
              <w:spacing w:before="0" w:after="283"/>
              <w:jc w:val="left"/>
              <w:rPr/>
            </w:pPr>
            <w:r>
              <w:rPr/>
              <w:t> </w:t>
            </w:r>
          </w:p>
        </w:tc>
      </w:tr>
      <w:tr>
        <w:trPr/>
        <w:tc>
          <w:tcPr>
            <w:tcW w:w="7136" w:type="dxa"/>
            <w:tcBorders/>
            <w:vAlign w:val="center"/>
          </w:tcPr>
          <w:p>
            <w:pPr>
              <w:pStyle w:val="TableContents"/>
              <w:bidi w:val="0"/>
              <w:spacing w:before="0" w:after="283"/>
              <w:jc w:val="left"/>
              <w:rPr>
                <w:b/>
                <w:u w:val="single"/>
              </w:rPr>
            </w:pPr>
            <w:r>
              <w:rPr>
                <w:b/>
                <w:u w:val="single"/>
              </w:rPr>
              <w:t>Assets</w:t>
            </w:r>
          </w:p>
        </w:tc>
        <w:tc>
          <w:tcPr>
            <w:tcW w:w="60" w:type="dxa"/>
            <w:tcBorders/>
            <w:vAlign w:val="center"/>
          </w:tcPr>
          <w:p>
            <w:pPr>
              <w:pStyle w:val="TableContents"/>
              <w:bidi w:val="0"/>
              <w:spacing w:before="0" w:after="283"/>
              <w:jc w:val="left"/>
              <w:rPr/>
            </w:pPr>
            <w:r>
              <w:rPr/>
              <w:t> </w:t>
            </w:r>
          </w:p>
        </w:tc>
        <w:tc>
          <w:tcPr>
            <w:tcW w:w="1405" w:type="dxa"/>
            <w:gridSpan w:val="2"/>
            <w:tcBorders/>
            <w:vAlign w:val="center"/>
          </w:tcPr>
          <w:p>
            <w:pPr>
              <w:pStyle w:val="TableContents"/>
              <w:bidi w:val="0"/>
              <w:spacing w:before="0" w:after="283"/>
              <w:jc w:val="center"/>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37" w:type="dxa"/>
            <w:gridSpan w:val="2"/>
            <w:tcBorders/>
            <w:vAlign w:val="center"/>
          </w:tcPr>
          <w:p>
            <w:pPr>
              <w:pStyle w:val="TableContents"/>
              <w:bidi w:val="0"/>
              <w:spacing w:before="0" w:after="283"/>
              <w:jc w:val="center"/>
              <w:rPr/>
            </w:pPr>
            <w:r>
              <w:rPr/>
              <w:t> </w:t>
            </w:r>
          </w:p>
        </w:tc>
        <w:tc>
          <w:tcPr>
            <w:tcW w:w="112" w:type="dxa"/>
            <w:tcBorders/>
            <w:vAlign w:val="center"/>
          </w:tcPr>
          <w:p>
            <w:pPr>
              <w:pStyle w:val="TableContents"/>
              <w:bidi w:val="0"/>
              <w:spacing w:before="0" w:after="283"/>
              <w:jc w:val="left"/>
              <w:rPr/>
            </w:pPr>
            <w:r>
              <w:rPr/>
              <w:t> </w:t>
            </w:r>
          </w:p>
        </w:tc>
      </w:tr>
      <w:tr>
        <w:trPr/>
        <w:tc>
          <w:tcPr>
            <w:tcW w:w="7136"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5" w:type="dxa"/>
            <w:gridSpan w:val="2"/>
            <w:tcBorders/>
            <w:vAlign w:val="center"/>
          </w:tcPr>
          <w:p>
            <w:pPr>
              <w:pStyle w:val="TableContents"/>
              <w:bidi w:val="0"/>
              <w:spacing w:before="0" w:after="283"/>
              <w:jc w:val="center"/>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37" w:type="dxa"/>
            <w:gridSpan w:val="2"/>
            <w:tcBorders/>
            <w:vAlign w:val="center"/>
          </w:tcPr>
          <w:p>
            <w:pPr>
              <w:pStyle w:val="TableContents"/>
              <w:bidi w:val="0"/>
              <w:spacing w:before="0" w:after="283"/>
              <w:jc w:val="center"/>
              <w:rPr/>
            </w:pPr>
            <w:r>
              <w:rPr/>
              <w:t> </w:t>
            </w:r>
          </w:p>
        </w:tc>
        <w:tc>
          <w:tcPr>
            <w:tcW w:w="112" w:type="dxa"/>
            <w:tcBorders/>
            <w:vAlign w:val="center"/>
          </w:tcPr>
          <w:p>
            <w:pPr>
              <w:pStyle w:val="TableContents"/>
              <w:bidi w:val="0"/>
              <w:spacing w:before="0" w:after="283"/>
              <w:jc w:val="left"/>
              <w:rPr/>
            </w:pPr>
            <w:r>
              <w:rPr/>
              <w:t> </w:t>
            </w:r>
          </w:p>
        </w:tc>
      </w:tr>
      <w:tr>
        <w:trPr/>
        <w:tc>
          <w:tcPr>
            <w:tcW w:w="7136" w:type="dxa"/>
            <w:tcBorders/>
            <w:vAlign w:val="center"/>
          </w:tcPr>
          <w:p>
            <w:pPr>
              <w:pStyle w:val="TableContents"/>
              <w:bidi w:val="0"/>
              <w:spacing w:before="0" w:after="283"/>
              <w:jc w:val="left"/>
              <w:rPr/>
            </w:pPr>
            <w:r>
              <w:rPr/>
              <w:t>Current assets:</w:t>
            </w:r>
          </w:p>
        </w:tc>
        <w:tc>
          <w:tcPr>
            <w:tcW w:w="60" w:type="dxa"/>
            <w:tcBorders/>
            <w:vAlign w:val="center"/>
          </w:tcPr>
          <w:p>
            <w:pPr>
              <w:pStyle w:val="TableContents"/>
              <w:bidi w:val="0"/>
              <w:spacing w:before="0" w:after="283"/>
              <w:jc w:val="left"/>
              <w:rPr/>
            </w:pPr>
            <w:r>
              <w:rPr/>
              <w:t> </w:t>
            </w:r>
          </w:p>
        </w:tc>
        <w:tc>
          <w:tcPr>
            <w:tcW w:w="1405" w:type="dxa"/>
            <w:gridSpan w:val="2"/>
            <w:tcBorders/>
            <w:vAlign w:val="center"/>
          </w:tcPr>
          <w:p>
            <w:pPr>
              <w:pStyle w:val="TableContents"/>
              <w:bidi w:val="0"/>
              <w:spacing w:before="0" w:after="283"/>
              <w:jc w:val="center"/>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37" w:type="dxa"/>
            <w:gridSpan w:val="2"/>
            <w:tcBorders/>
            <w:vAlign w:val="center"/>
          </w:tcPr>
          <w:p>
            <w:pPr>
              <w:pStyle w:val="TableContents"/>
              <w:bidi w:val="0"/>
              <w:spacing w:before="0" w:after="283"/>
              <w:jc w:val="center"/>
              <w:rPr/>
            </w:pPr>
            <w:r>
              <w:rPr/>
              <w:t> </w:t>
            </w:r>
          </w:p>
        </w:tc>
        <w:tc>
          <w:tcPr>
            <w:tcW w:w="112" w:type="dxa"/>
            <w:tcBorders/>
            <w:vAlign w:val="center"/>
          </w:tcPr>
          <w:p>
            <w:pPr>
              <w:pStyle w:val="TableContents"/>
              <w:bidi w:val="0"/>
              <w:spacing w:before="0" w:after="283"/>
              <w:jc w:val="left"/>
              <w:rPr/>
            </w:pPr>
            <w:r>
              <w:rPr/>
              <w:t> </w:t>
            </w:r>
          </w:p>
        </w:tc>
      </w:tr>
      <w:tr>
        <w:trPr/>
        <w:tc>
          <w:tcPr>
            <w:tcW w:w="7136" w:type="dxa"/>
            <w:tcBorders/>
            <w:shd w:fill="CCEEFF" w:val="clear"/>
            <w:vAlign w:val="center"/>
          </w:tcPr>
          <w:p>
            <w:pPr>
              <w:pStyle w:val="TableContents"/>
              <w:bidi w:val="0"/>
              <w:spacing w:before="0" w:after="283"/>
              <w:jc w:val="left"/>
              <w:rPr/>
            </w:pPr>
            <w:r>
              <w:rPr/>
              <w:t>Cash</w:t>
            </w:r>
          </w:p>
        </w:tc>
        <w:tc>
          <w:tcPr>
            <w:tcW w:w="60" w:type="dxa"/>
            <w:tcBorders/>
            <w:shd w:fill="CCEEFF" w:val="clear"/>
            <w:vAlign w:val="center"/>
          </w:tcPr>
          <w:p>
            <w:pPr>
              <w:pStyle w:val="TableContents"/>
              <w:bidi w:val="0"/>
              <w:spacing w:before="0" w:after="283"/>
              <w:jc w:val="left"/>
              <w:rPr/>
            </w:pPr>
            <w:r>
              <w:rPr/>
              <w:t> </w:t>
            </w:r>
          </w:p>
        </w:tc>
        <w:tc>
          <w:tcPr>
            <w:tcW w:w="158" w:type="dxa"/>
            <w:tcBorders/>
            <w:shd w:fill="CCEEFF" w:val="clear"/>
            <w:vAlign w:val="center"/>
          </w:tcPr>
          <w:p>
            <w:pPr>
              <w:pStyle w:val="TableContents"/>
              <w:bidi w:val="0"/>
              <w:spacing w:before="0" w:after="283"/>
              <w:jc w:val="left"/>
              <w:rPr/>
            </w:pPr>
            <w:r>
              <w:rPr/>
              <w:t>$</w:t>
            </w:r>
          </w:p>
        </w:tc>
        <w:tc>
          <w:tcPr>
            <w:tcW w:w="1247" w:type="dxa"/>
            <w:tcBorders/>
            <w:shd w:fill="CCEEFF" w:val="clear"/>
            <w:vAlign w:val="center"/>
          </w:tcPr>
          <w:p>
            <w:pPr>
              <w:pStyle w:val="TableContents"/>
              <w:bidi w:val="0"/>
              <w:spacing w:before="0" w:after="283"/>
              <w:jc w:val="right"/>
              <w:rPr/>
            </w:pPr>
            <w:r>
              <w:rPr/>
              <w:t>693,520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0" w:type="dxa"/>
            <w:tcBorders/>
            <w:shd w:fill="CCEEFF" w:val="clear"/>
            <w:vAlign w:val="center"/>
          </w:tcPr>
          <w:p>
            <w:pPr>
              <w:pStyle w:val="TableContents"/>
              <w:bidi w:val="0"/>
              <w:spacing w:before="0" w:after="283"/>
              <w:jc w:val="left"/>
              <w:rPr/>
            </w:pPr>
            <w:r>
              <w:rPr/>
              <w:t>$</w:t>
            </w:r>
          </w:p>
        </w:tc>
        <w:tc>
          <w:tcPr>
            <w:tcW w:w="1187" w:type="dxa"/>
            <w:tcBorders/>
            <w:shd w:fill="CCEEFF" w:val="clear"/>
            <w:vAlign w:val="center"/>
          </w:tcPr>
          <w:p>
            <w:pPr>
              <w:pStyle w:val="TableContents"/>
              <w:bidi w:val="0"/>
              <w:spacing w:before="0" w:after="283"/>
              <w:jc w:val="right"/>
              <w:rPr/>
            </w:pPr>
            <w:r>
              <w:rPr/>
              <w:t>1,043,269</w:t>
            </w:r>
          </w:p>
        </w:tc>
        <w:tc>
          <w:tcPr>
            <w:tcW w:w="112" w:type="dxa"/>
            <w:tcBorders/>
            <w:shd w:fill="CCEEFF" w:val="clear"/>
            <w:vAlign w:val="center"/>
          </w:tcPr>
          <w:p>
            <w:pPr>
              <w:pStyle w:val="TableContents"/>
              <w:bidi w:val="0"/>
              <w:spacing w:before="0" w:after="283"/>
              <w:jc w:val="left"/>
              <w:rPr/>
            </w:pPr>
            <w:r>
              <w:rPr/>
              <w:t> </w:t>
            </w:r>
          </w:p>
        </w:tc>
      </w:tr>
      <w:tr>
        <w:trPr/>
        <w:tc>
          <w:tcPr>
            <w:tcW w:w="7136" w:type="dxa"/>
            <w:tcBorders/>
            <w:shd w:fill="FFFFFF" w:val="clear"/>
            <w:vAlign w:val="center"/>
          </w:tcPr>
          <w:p>
            <w:pPr>
              <w:pStyle w:val="TableContents"/>
              <w:bidi w:val="0"/>
              <w:spacing w:before="0" w:after="283"/>
              <w:jc w:val="left"/>
              <w:rPr/>
            </w:pPr>
            <w:r>
              <w:rPr/>
              <w:t>Accounts receivable, net of allowance for credit losses of $225,000 and $123,000, respectively</w:t>
            </w:r>
          </w:p>
        </w:tc>
        <w:tc>
          <w:tcPr>
            <w:tcW w:w="60" w:type="dxa"/>
            <w:tcBorders/>
            <w:shd w:fill="FFFFFF" w:val="clear"/>
            <w:vAlign w:val="center"/>
          </w:tcPr>
          <w:p>
            <w:pPr>
              <w:pStyle w:val="TableContents"/>
              <w:bidi w:val="0"/>
              <w:spacing w:before="0" w:after="283"/>
              <w:jc w:val="left"/>
              <w:rPr/>
            </w:pPr>
            <w:r>
              <w:rPr/>
              <w:t> </w:t>
            </w:r>
          </w:p>
        </w:tc>
        <w:tc>
          <w:tcPr>
            <w:tcW w:w="158" w:type="dxa"/>
            <w:tcBorders/>
            <w:shd w:fill="FFFFFF" w:val="clear"/>
            <w:vAlign w:val="center"/>
          </w:tcPr>
          <w:p>
            <w:pPr>
              <w:pStyle w:val="TableContents"/>
              <w:bidi w:val="0"/>
              <w:spacing w:before="0" w:after="283"/>
              <w:jc w:val="left"/>
              <w:rPr/>
            </w:pPr>
            <w:r>
              <w:rPr/>
              <w:t> </w:t>
            </w:r>
          </w:p>
        </w:tc>
        <w:tc>
          <w:tcPr>
            <w:tcW w:w="1247" w:type="dxa"/>
            <w:tcBorders/>
            <w:shd w:fill="FFFFFF" w:val="clear"/>
            <w:vAlign w:val="center"/>
          </w:tcPr>
          <w:p>
            <w:pPr>
              <w:pStyle w:val="TableContents"/>
              <w:bidi w:val="0"/>
              <w:spacing w:before="0" w:after="283"/>
              <w:jc w:val="right"/>
              <w:rPr/>
            </w:pPr>
            <w:r>
              <w:rPr/>
              <w:t>1,293,174</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0" w:type="dxa"/>
            <w:tcBorders/>
            <w:shd w:fill="FFFFFF" w:val="clear"/>
            <w:vAlign w:val="center"/>
          </w:tcPr>
          <w:p>
            <w:pPr>
              <w:pStyle w:val="TableContents"/>
              <w:bidi w:val="0"/>
              <w:spacing w:before="0" w:after="283"/>
              <w:jc w:val="left"/>
              <w:rPr/>
            </w:pPr>
            <w:r>
              <w:rPr/>
              <w:t> </w:t>
            </w:r>
          </w:p>
        </w:tc>
        <w:tc>
          <w:tcPr>
            <w:tcW w:w="1187" w:type="dxa"/>
            <w:tcBorders/>
            <w:shd w:fill="FFFFFF" w:val="clear"/>
            <w:vAlign w:val="center"/>
          </w:tcPr>
          <w:p>
            <w:pPr>
              <w:pStyle w:val="TableContents"/>
              <w:bidi w:val="0"/>
              <w:spacing w:before="0" w:after="283"/>
              <w:jc w:val="right"/>
              <w:rPr/>
            </w:pPr>
            <w:r>
              <w:rPr/>
              <w:t>1,010,295</w:t>
            </w:r>
          </w:p>
        </w:tc>
        <w:tc>
          <w:tcPr>
            <w:tcW w:w="112" w:type="dxa"/>
            <w:tcBorders/>
            <w:shd w:fill="FFFFFF" w:val="clear"/>
            <w:vAlign w:val="center"/>
          </w:tcPr>
          <w:p>
            <w:pPr>
              <w:pStyle w:val="TableContents"/>
              <w:bidi w:val="0"/>
              <w:spacing w:before="0" w:after="283"/>
              <w:jc w:val="left"/>
              <w:rPr/>
            </w:pPr>
            <w:r>
              <w:rPr/>
              <w:t> </w:t>
            </w:r>
          </w:p>
        </w:tc>
      </w:tr>
      <w:tr>
        <w:trPr/>
        <w:tc>
          <w:tcPr>
            <w:tcW w:w="7136" w:type="dxa"/>
            <w:tcBorders/>
            <w:shd w:fill="CCEEFF" w:val="clear"/>
            <w:vAlign w:val="center"/>
          </w:tcPr>
          <w:p>
            <w:pPr>
              <w:pStyle w:val="TableContents"/>
              <w:bidi w:val="0"/>
              <w:spacing w:before="0" w:after="283"/>
              <w:jc w:val="left"/>
              <w:rPr/>
            </w:pPr>
            <w:r>
              <w:rPr/>
              <w:t>Contract assets - unbilled revenues</w:t>
            </w:r>
          </w:p>
        </w:tc>
        <w:tc>
          <w:tcPr>
            <w:tcW w:w="60" w:type="dxa"/>
            <w:tcBorders/>
            <w:shd w:fill="CCEEFF" w:val="clear"/>
            <w:vAlign w:val="center"/>
          </w:tcPr>
          <w:p>
            <w:pPr>
              <w:pStyle w:val="TableContents"/>
              <w:bidi w:val="0"/>
              <w:spacing w:before="0" w:after="283"/>
              <w:jc w:val="left"/>
              <w:rPr/>
            </w:pPr>
            <w:r>
              <w:rPr/>
              <w:t> </w:t>
            </w:r>
          </w:p>
        </w:tc>
        <w:tc>
          <w:tcPr>
            <w:tcW w:w="158" w:type="dxa"/>
            <w:tcBorders/>
            <w:shd w:fill="CCEEFF" w:val="clear"/>
            <w:vAlign w:val="center"/>
          </w:tcPr>
          <w:p>
            <w:pPr>
              <w:pStyle w:val="TableContents"/>
              <w:bidi w:val="0"/>
              <w:spacing w:before="0" w:after="283"/>
              <w:jc w:val="left"/>
              <w:rPr/>
            </w:pPr>
            <w:r>
              <w:rPr/>
              <w:t> </w:t>
            </w:r>
          </w:p>
        </w:tc>
        <w:tc>
          <w:tcPr>
            <w:tcW w:w="1247" w:type="dxa"/>
            <w:tcBorders/>
            <w:shd w:fill="CCEEFF" w:val="clear"/>
            <w:vAlign w:val="center"/>
          </w:tcPr>
          <w:p>
            <w:pPr>
              <w:pStyle w:val="TableContents"/>
              <w:bidi w:val="0"/>
              <w:spacing w:before="0" w:after="283"/>
              <w:jc w:val="right"/>
              <w:rPr/>
            </w:pPr>
            <w:r>
              <w:rPr/>
              <w:t>5,715,605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0" w:type="dxa"/>
            <w:tcBorders/>
            <w:shd w:fill="CCEEFF" w:val="clear"/>
            <w:vAlign w:val="center"/>
          </w:tcPr>
          <w:p>
            <w:pPr>
              <w:pStyle w:val="TableContents"/>
              <w:bidi w:val="0"/>
              <w:spacing w:before="0" w:after="283"/>
              <w:jc w:val="left"/>
              <w:rPr/>
            </w:pPr>
            <w:r>
              <w:rPr/>
              <w:t> </w:t>
            </w:r>
          </w:p>
        </w:tc>
        <w:tc>
          <w:tcPr>
            <w:tcW w:w="1187" w:type="dxa"/>
            <w:tcBorders/>
            <w:shd w:fill="CCEEFF" w:val="clear"/>
            <w:vAlign w:val="center"/>
          </w:tcPr>
          <w:p>
            <w:pPr>
              <w:pStyle w:val="TableContents"/>
              <w:bidi w:val="0"/>
              <w:spacing w:before="0" w:after="283"/>
              <w:jc w:val="right"/>
              <w:rPr/>
            </w:pPr>
            <w:r>
              <w:rPr/>
              <w:t>4,601,890</w:t>
            </w:r>
          </w:p>
        </w:tc>
        <w:tc>
          <w:tcPr>
            <w:tcW w:w="112" w:type="dxa"/>
            <w:tcBorders/>
            <w:shd w:fill="CCEEFF" w:val="clear"/>
            <w:vAlign w:val="center"/>
          </w:tcPr>
          <w:p>
            <w:pPr>
              <w:pStyle w:val="TableContents"/>
              <w:bidi w:val="0"/>
              <w:spacing w:before="0" w:after="283"/>
              <w:jc w:val="left"/>
              <w:rPr/>
            </w:pPr>
            <w:r>
              <w:rPr/>
              <w:t> </w:t>
            </w:r>
          </w:p>
        </w:tc>
      </w:tr>
      <w:tr>
        <w:trPr/>
        <w:tc>
          <w:tcPr>
            <w:tcW w:w="7136" w:type="dxa"/>
            <w:tcBorders/>
            <w:shd w:fill="FFFFFF" w:val="clear"/>
            <w:vAlign w:val="center"/>
          </w:tcPr>
          <w:p>
            <w:pPr>
              <w:pStyle w:val="TableContents"/>
              <w:bidi w:val="0"/>
              <w:spacing w:before="0" w:after="283"/>
              <w:jc w:val="left"/>
              <w:rPr/>
            </w:pPr>
            <w:r>
              <w:rPr/>
              <w:t>Other receivables</w:t>
            </w:r>
          </w:p>
        </w:tc>
        <w:tc>
          <w:tcPr>
            <w:tcW w:w="60" w:type="dxa"/>
            <w:tcBorders/>
            <w:shd w:fill="FFFFFF" w:val="clear"/>
            <w:vAlign w:val="center"/>
          </w:tcPr>
          <w:p>
            <w:pPr>
              <w:pStyle w:val="TableContents"/>
              <w:bidi w:val="0"/>
              <w:spacing w:before="0" w:after="283"/>
              <w:jc w:val="left"/>
              <w:rPr/>
            </w:pPr>
            <w:r>
              <w:rPr/>
              <w:t> </w:t>
            </w:r>
          </w:p>
        </w:tc>
        <w:tc>
          <w:tcPr>
            <w:tcW w:w="158" w:type="dxa"/>
            <w:tcBorders/>
            <w:shd w:fill="FFFFFF" w:val="clear"/>
            <w:vAlign w:val="center"/>
          </w:tcPr>
          <w:p>
            <w:pPr>
              <w:pStyle w:val="TableContents"/>
              <w:bidi w:val="0"/>
              <w:spacing w:before="0" w:after="283"/>
              <w:jc w:val="left"/>
              <w:rPr/>
            </w:pPr>
            <w:r>
              <w:rPr/>
              <w:t> </w:t>
            </w:r>
          </w:p>
        </w:tc>
        <w:tc>
          <w:tcPr>
            <w:tcW w:w="1247" w:type="dxa"/>
            <w:tcBorders/>
            <w:shd w:fill="FFFFFF" w:val="clear"/>
            <w:vAlign w:val="center"/>
          </w:tcPr>
          <w:p>
            <w:pPr>
              <w:pStyle w:val="TableContents"/>
              <w:bidi w:val="0"/>
              <w:spacing w:before="0" w:after="283"/>
              <w:jc w:val="right"/>
              <w:rPr/>
            </w:pPr>
            <w:r>
              <w:rPr/>
              <w:t>485,863</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0" w:type="dxa"/>
            <w:tcBorders/>
            <w:shd w:fill="FFFFFF" w:val="clear"/>
            <w:vAlign w:val="center"/>
          </w:tcPr>
          <w:p>
            <w:pPr>
              <w:pStyle w:val="TableContents"/>
              <w:bidi w:val="0"/>
              <w:spacing w:before="0" w:after="283"/>
              <w:jc w:val="left"/>
              <w:rPr/>
            </w:pPr>
            <w:r>
              <w:rPr/>
              <w:t> </w:t>
            </w:r>
          </w:p>
        </w:tc>
        <w:tc>
          <w:tcPr>
            <w:tcW w:w="1187" w:type="dxa"/>
            <w:tcBorders/>
            <w:shd w:fill="FFFFFF" w:val="clear"/>
            <w:vAlign w:val="center"/>
          </w:tcPr>
          <w:p>
            <w:pPr>
              <w:pStyle w:val="TableContents"/>
              <w:bidi w:val="0"/>
              <w:spacing w:before="0" w:after="283"/>
              <w:jc w:val="right"/>
              <w:rPr/>
            </w:pPr>
            <w:r>
              <w:rPr/>
              <w:t>366,027</w:t>
            </w:r>
          </w:p>
        </w:tc>
        <w:tc>
          <w:tcPr>
            <w:tcW w:w="112" w:type="dxa"/>
            <w:tcBorders/>
            <w:shd w:fill="FFFFFF" w:val="clear"/>
            <w:vAlign w:val="center"/>
          </w:tcPr>
          <w:p>
            <w:pPr>
              <w:pStyle w:val="TableContents"/>
              <w:bidi w:val="0"/>
              <w:spacing w:before="0" w:after="283"/>
              <w:jc w:val="left"/>
              <w:rPr/>
            </w:pPr>
            <w:r>
              <w:rPr/>
              <w:t> </w:t>
            </w:r>
          </w:p>
        </w:tc>
      </w:tr>
      <w:tr>
        <w:trPr/>
        <w:tc>
          <w:tcPr>
            <w:tcW w:w="7136" w:type="dxa"/>
            <w:tcBorders/>
            <w:shd w:fill="CCEEFF" w:val="clear"/>
            <w:vAlign w:val="center"/>
          </w:tcPr>
          <w:p>
            <w:pPr>
              <w:pStyle w:val="TableContents"/>
              <w:bidi w:val="0"/>
              <w:spacing w:before="0" w:after="283"/>
              <w:jc w:val="left"/>
              <w:rPr/>
            </w:pPr>
            <w:r>
              <w:rPr/>
              <w:t>Sales commissions receivable, net of allowance of $760,413</w:t>
            </w:r>
          </w:p>
        </w:tc>
        <w:tc>
          <w:tcPr>
            <w:tcW w:w="60" w:type="dxa"/>
            <w:tcBorders/>
            <w:shd w:fill="CCEEFF" w:val="clear"/>
            <w:vAlign w:val="center"/>
          </w:tcPr>
          <w:p>
            <w:pPr>
              <w:pStyle w:val="TableContents"/>
              <w:bidi w:val="0"/>
              <w:spacing w:before="0" w:after="283"/>
              <w:jc w:val="left"/>
              <w:rPr/>
            </w:pPr>
            <w:r>
              <w:rPr/>
              <w:t> </w:t>
            </w:r>
          </w:p>
        </w:tc>
        <w:tc>
          <w:tcPr>
            <w:tcW w:w="158" w:type="dxa"/>
            <w:tcBorders/>
            <w:shd w:fill="CCEEFF" w:val="clear"/>
            <w:vAlign w:val="center"/>
          </w:tcPr>
          <w:p>
            <w:pPr>
              <w:pStyle w:val="TableContents"/>
              <w:bidi w:val="0"/>
              <w:spacing w:before="0" w:after="283"/>
              <w:jc w:val="left"/>
              <w:rPr/>
            </w:pPr>
            <w:r>
              <w:rPr/>
              <w:t> </w:t>
            </w:r>
          </w:p>
        </w:tc>
        <w:tc>
          <w:tcPr>
            <w:tcW w:w="1247" w:type="dxa"/>
            <w:tcBorders/>
            <w:shd w:fill="CCEEFF" w:val="clear"/>
            <w:vAlign w:val="center"/>
          </w:tcPr>
          <w:p>
            <w:pPr>
              <w:pStyle w:val="TableContents"/>
              <w:bidi w:val="0"/>
              <w:spacing w:before="0" w:after="283"/>
              <w:jc w:val="right"/>
              <w:rPr/>
            </w:pPr>
            <w:r>
              <w:rPr/>
              <w:t>1,580,974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0" w:type="dxa"/>
            <w:tcBorders/>
            <w:shd w:fill="CCEEFF" w:val="clear"/>
            <w:vAlign w:val="center"/>
          </w:tcPr>
          <w:p>
            <w:pPr>
              <w:pStyle w:val="TableContents"/>
              <w:bidi w:val="0"/>
              <w:spacing w:before="0" w:after="283"/>
              <w:jc w:val="left"/>
              <w:rPr/>
            </w:pPr>
            <w:r>
              <w:rPr/>
              <w:t> </w:t>
            </w:r>
          </w:p>
        </w:tc>
        <w:tc>
          <w:tcPr>
            <w:tcW w:w="1187" w:type="dxa"/>
            <w:tcBorders/>
            <w:shd w:fill="CCEEFF" w:val="clear"/>
            <w:vAlign w:val="center"/>
          </w:tcPr>
          <w:p>
            <w:pPr>
              <w:pStyle w:val="TableContents"/>
              <w:bidi w:val="0"/>
              <w:spacing w:before="0" w:after="283"/>
              <w:jc w:val="right"/>
              <w:rPr/>
            </w:pPr>
            <w:r>
              <w:rPr/>
              <w:t>423,719</w:t>
            </w:r>
          </w:p>
        </w:tc>
        <w:tc>
          <w:tcPr>
            <w:tcW w:w="112" w:type="dxa"/>
            <w:tcBorders/>
            <w:shd w:fill="CCEEFF" w:val="clear"/>
            <w:vAlign w:val="center"/>
          </w:tcPr>
          <w:p>
            <w:pPr>
              <w:pStyle w:val="TableContents"/>
              <w:bidi w:val="0"/>
              <w:spacing w:before="0" w:after="283"/>
              <w:jc w:val="left"/>
              <w:rPr/>
            </w:pPr>
            <w:r>
              <w:rPr/>
              <w:t> </w:t>
            </w:r>
          </w:p>
        </w:tc>
      </w:tr>
      <w:tr>
        <w:trPr/>
        <w:tc>
          <w:tcPr>
            <w:tcW w:w="7136" w:type="dxa"/>
            <w:tcBorders/>
            <w:shd w:fill="FFFFFF" w:val="clear"/>
            <w:vAlign w:val="center"/>
          </w:tcPr>
          <w:p>
            <w:pPr>
              <w:pStyle w:val="TableContents"/>
              <w:bidi w:val="0"/>
              <w:spacing w:before="0" w:after="283"/>
              <w:jc w:val="left"/>
              <w:rPr/>
            </w:pPr>
            <w:r>
              <w:rPr/>
              <w:t>Deferred commissions</w:t>
            </w:r>
          </w:p>
        </w:tc>
        <w:tc>
          <w:tcPr>
            <w:tcW w:w="60" w:type="dxa"/>
            <w:tcBorders/>
            <w:shd w:fill="FFFFFF" w:val="clear"/>
            <w:vAlign w:val="center"/>
          </w:tcPr>
          <w:p>
            <w:pPr>
              <w:pStyle w:val="TableContents"/>
              <w:bidi w:val="0"/>
              <w:spacing w:before="0" w:after="283"/>
              <w:jc w:val="left"/>
              <w:rPr/>
            </w:pPr>
            <w:r>
              <w:rPr/>
              <w:t> </w:t>
            </w:r>
          </w:p>
        </w:tc>
        <w:tc>
          <w:tcPr>
            <w:tcW w:w="158" w:type="dxa"/>
            <w:tcBorders/>
            <w:shd w:fill="FFFFFF" w:val="clear"/>
            <w:vAlign w:val="center"/>
          </w:tcPr>
          <w:p>
            <w:pPr>
              <w:pStyle w:val="TableContents"/>
              <w:bidi w:val="0"/>
              <w:spacing w:before="0" w:after="283"/>
              <w:jc w:val="left"/>
              <w:rPr/>
            </w:pPr>
            <w:r>
              <w:rPr/>
              <w:t> </w:t>
            </w:r>
          </w:p>
        </w:tc>
        <w:tc>
          <w:tcPr>
            <w:tcW w:w="1247" w:type="dxa"/>
            <w:tcBorders/>
            <w:shd w:fill="FFFFFF" w:val="clear"/>
            <w:vAlign w:val="center"/>
          </w:tcPr>
          <w:p>
            <w:pPr>
              <w:pStyle w:val="TableContents"/>
              <w:bidi w:val="0"/>
              <w:spacing w:before="0" w:after="283"/>
              <w:jc w:val="right"/>
              <w:rPr/>
            </w:pPr>
            <w:r>
              <w:rPr/>
              <w:t>1,145,672</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0" w:type="dxa"/>
            <w:tcBorders/>
            <w:shd w:fill="FFFFFF" w:val="clear"/>
            <w:vAlign w:val="center"/>
          </w:tcPr>
          <w:p>
            <w:pPr>
              <w:pStyle w:val="TableContents"/>
              <w:bidi w:val="0"/>
              <w:spacing w:before="0" w:after="283"/>
              <w:jc w:val="left"/>
              <w:rPr/>
            </w:pPr>
            <w:r>
              <w:rPr/>
              <w:t> </w:t>
            </w:r>
          </w:p>
        </w:tc>
        <w:tc>
          <w:tcPr>
            <w:tcW w:w="1187" w:type="dxa"/>
            <w:tcBorders/>
            <w:shd w:fill="FFFFFF" w:val="clear"/>
            <w:vAlign w:val="center"/>
          </w:tcPr>
          <w:p>
            <w:pPr>
              <w:pStyle w:val="TableContents"/>
              <w:bidi w:val="0"/>
              <w:spacing w:before="0" w:after="283"/>
              <w:jc w:val="right"/>
              <w:rPr/>
            </w:pPr>
            <w:r>
              <w:rPr/>
              <w:t>3,511,328</w:t>
            </w:r>
          </w:p>
        </w:tc>
        <w:tc>
          <w:tcPr>
            <w:tcW w:w="112" w:type="dxa"/>
            <w:tcBorders/>
            <w:shd w:fill="FFFFFF" w:val="clear"/>
            <w:vAlign w:val="center"/>
          </w:tcPr>
          <w:p>
            <w:pPr>
              <w:pStyle w:val="TableContents"/>
              <w:bidi w:val="0"/>
              <w:spacing w:before="0" w:after="283"/>
              <w:jc w:val="left"/>
              <w:rPr/>
            </w:pPr>
            <w:r>
              <w:rPr/>
              <w:t> </w:t>
            </w:r>
          </w:p>
        </w:tc>
      </w:tr>
      <w:tr>
        <w:trPr/>
        <w:tc>
          <w:tcPr>
            <w:tcW w:w="7136" w:type="dxa"/>
            <w:tcBorders/>
            <w:shd w:fill="CCEEFF" w:val="clear"/>
            <w:vAlign w:val="center"/>
          </w:tcPr>
          <w:p>
            <w:pPr>
              <w:pStyle w:val="TableContents"/>
              <w:bidi w:val="0"/>
              <w:spacing w:before="0" w:after="283"/>
              <w:jc w:val="left"/>
              <w:rPr/>
            </w:pPr>
            <w:r>
              <w:rPr/>
              <w:t>Deferred costs</w:t>
            </w:r>
          </w:p>
        </w:tc>
        <w:tc>
          <w:tcPr>
            <w:tcW w:w="60" w:type="dxa"/>
            <w:tcBorders/>
            <w:shd w:fill="CCEEFF" w:val="clear"/>
            <w:vAlign w:val="center"/>
          </w:tcPr>
          <w:p>
            <w:pPr>
              <w:pStyle w:val="TableContents"/>
              <w:bidi w:val="0"/>
              <w:spacing w:before="0" w:after="283"/>
              <w:jc w:val="left"/>
              <w:rPr/>
            </w:pPr>
            <w:r>
              <w:rPr/>
              <w:t> </w:t>
            </w:r>
          </w:p>
        </w:tc>
        <w:tc>
          <w:tcPr>
            <w:tcW w:w="158" w:type="dxa"/>
            <w:tcBorders/>
            <w:shd w:fill="CCEEFF" w:val="clear"/>
            <w:vAlign w:val="center"/>
          </w:tcPr>
          <w:p>
            <w:pPr>
              <w:pStyle w:val="TableContents"/>
              <w:bidi w:val="0"/>
              <w:spacing w:before="0" w:after="283"/>
              <w:jc w:val="left"/>
              <w:rPr/>
            </w:pPr>
            <w:r>
              <w:rPr/>
              <w:t> </w:t>
            </w:r>
          </w:p>
        </w:tc>
        <w:tc>
          <w:tcPr>
            <w:tcW w:w="1247" w:type="dxa"/>
            <w:tcBorders/>
            <w:shd w:fill="CCEEFF" w:val="clear"/>
            <w:vAlign w:val="center"/>
          </w:tcPr>
          <w:p>
            <w:pPr>
              <w:pStyle w:val="TableContents"/>
              <w:bidi w:val="0"/>
              <w:spacing w:before="0" w:after="283"/>
              <w:jc w:val="right"/>
              <w:rPr/>
            </w:pPr>
            <w:r>
              <w:rPr/>
              <w:t>3,943,059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0" w:type="dxa"/>
            <w:tcBorders/>
            <w:shd w:fill="CCEEFF" w:val="clear"/>
            <w:vAlign w:val="center"/>
          </w:tcPr>
          <w:p>
            <w:pPr>
              <w:pStyle w:val="TableContents"/>
              <w:bidi w:val="0"/>
              <w:spacing w:before="0" w:after="283"/>
              <w:jc w:val="left"/>
              <w:rPr/>
            </w:pPr>
            <w:r>
              <w:rPr/>
              <w:t> </w:t>
            </w:r>
          </w:p>
        </w:tc>
        <w:tc>
          <w:tcPr>
            <w:tcW w:w="1187" w:type="dxa"/>
            <w:tcBorders/>
            <w:shd w:fill="CCEEFF" w:val="clear"/>
            <w:vAlign w:val="center"/>
          </w:tcPr>
          <w:p>
            <w:pPr>
              <w:pStyle w:val="TableContents"/>
              <w:bidi w:val="0"/>
              <w:spacing w:before="0" w:after="283"/>
              <w:jc w:val="right"/>
              <w:rPr/>
            </w:pPr>
            <w:r>
              <w:rPr/>
              <w:t>6,137,615</w:t>
            </w:r>
          </w:p>
        </w:tc>
        <w:tc>
          <w:tcPr>
            <w:tcW w:w="112" w:type="dxa"/>
            <w:tcBorders/>
            <w:shd w:fill="CCEEFF" w:val="clear"/>
            <w:vAlign w:val="center"/>
          </w:tcPr>
          <w:p>
            <w:pPr>
              <w:pStyle w:val="TableContents"/>
              <w:bidi w:val="0"/>
              <w:spacing w:before="0" w:after="283"/>
              <w:jc w:val="left"/>
              <w:rPr/>
            </w:pPr>
            <w:r>
              <w:rPr/>
              <w:t> </w:t>
            </w:r>
          </w:p>
        </w:tc>
      </w:tr>
      <w:tr>
        <w:trPr/>
        <w:tc>
          <w:tcPr>
            <w:tcW w:w="7136" w:type="dxa"/>
            <w:tcBorders/>
            <w:shd w:fill="FFFFFF" w:val="clear"/>
            <w:vAlign w:val="center"/>
          </w:tcPr>
          <w:p>
            <w:pPr>
              <w:pStyle w:val="TableContents"/>
              <w:bidi w:val="0"/>
              <w:spacing w:before="0" w:after="283"/>
              <w:jc w:val="left"/>
              <w:rPr/>
            </w:pPr>
            <w:r>
              <w:rPr/>
              <w:t>Prepaid expenses and other current assets</w:t>
            </w:r>
          </w:p>
        </w:tc>
        <w:tc>
          <w:tcPr>
            <w:tcW w:w="60" w:type="dxa"/>
            <w:tcBorders/>
            <w:shd w:fill="FFFFFF" w:val="clear"/>
            <w:vAlign w:val="center"/>
          </w:tcPr>
          <w:p>
            <w:pPr>
              <w:pStyle w:val="TableContents"/>
              <w:bidi w:val="0"/>
              <w:spacing w:before="0" w:after="283"/>
              <w:jc w:val="left"/>
              <w:rPr/>
            </w:pPr>
            <w:r>
              <w:rPr/>
              <w:t> </w:t>
            </w:r>
          </w:p>
        </w:tc>
        <w:tc>
          <w:tcPr>
            <w:tcW w:w="158"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47" w:type="dxa"/>
            <w:tcBorders>
              <w:bottom w:val="single" w:sz="12" w:space="0" w:color="000000"/>
            </w:tcBorders>
            <w:shd w:fill="FFFFFF" w:val="clear"/>
            <w:tcMar>
              <w:bottom w:w="28" w:type="dxa"/>
            </w:tcMar>
            <w:vAlign w:val="center"/>
          </w:tcPr>
          <w:p>
            <w:pPr>
              <w:pStyle w:val="TableContents"/>
              <w:bidi w:val="0"/>
              <w:spacing w:before="0" w:after="283"/>
              <w:jc w:val="right"/>
              <w:rPr/>
            </w:pPr>
            <w:r>
              <w:rPr/>
              <w:t>343,410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87" w:type="dxa"/>
            <w:tcBorders>
              <w:bottom w:val="single" w:sz="12" w:space="0" w:color="000000"/>
            </w:tcBorders>
            <w:shd w:fill="FFFFFF" w:val="clear"/>
            <w:tcMar>
              <w:bottom w:w="28" w:type="dxa"/>
            </w:tcMar>
            <w:vAlign w:val="center"/>
          </w:tcPr>
          <w:p>
            <w:pPr>
              <w:pStyle w:val="TableContents"/>
              <w:bidi w:val="0"/>
              <w:spacing w:before="0" w:after="283"/>
              <w:jc w:val="right"/>
              <w:rPr/>
            </w:pPr>
            <w:r>
              <w:rPr/>
              <w:t>531,238</w:t>
            </w:r>
          </w:p>
        </w:tc>
        <w:tc>
          <w:tcPr>
            <w:tcW w:w="112" w:type="dxa"/>
            <w:tcBorders/>
            <w:shd w:fill="FFFFFF" w:val="clear"/>
            <w:vAlign w:val="center"/>
          </w:tcPr>
          <w:p>
            <w:pPr>
              <w:pStyle w:val="TableContents"/>
              <w:bidi w:val="0"/>
              <w:spacing w:before="0" w:after="283"/>
              <w:jc w:val="left"/>
              <w:rPr/>
            </w:pPr>
            <w:r>
              <w:rPr/>
              <w:t> </w:t>
            </w:r>
          </w:p>
        </w:tc>
      </w:tr>
      <w:tr>
        <w:trPr/>
        <w:tc>
          <w:tcPr>
            <w:tcW w:w="7136"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8" w:type="dxa"/>
            <w:tcBorders/>
            <w:shd w:fill="CCEEFF" w:val="clear"/>
            <w:vAlign w:val="center"/>
          </w:tcPr>
          <w:p>
            <w:pPr>
              <w:pStyle w:val="TableContents"/>
              <w:bidi w:val="0"/>
              <w:spacing w:before="0" w:after="283"/>
              <w:jc w:val="left"/>
              <w:rPr/>
            </w:pPr>
            <w:r>
              <w:rPr/>
              <w:t> </w:t>
            </w:r>
          </w:p>
        </w:tc>
        <w:tc>
          <w:tcPr>
            <w:tcW w:w="1247"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0" w:type="dxa"/>
            <w:tcBorders/>
            <w:shd w:fill="CCEEFF" w:val="clear"/>
            <w:vAlign w:val="center"/>
          </w:tcPr>
          <w:p>
            <w:pPr>
              <w:pStyle w:val="TableContents"/>
              <w:bidi w:val="0"/>
              <w:spacing w:before="0" w:after="283"/>
              <w:jc w:val="left"/>
              <w:rPr/>
            </w:pPr>
            <w:r>
              <w:rPr/>
              <w:t> </w:t>
            </w:r>
          </w:p>
        </w:tc>
        <w:tc>
          <w:tcPr>
            <w:tcW w:w="1187" w:type="dxa"/>
            <w:tcBorders/>
            <w:shd w:fill="CCEEFF" w:val="clear"/>
            <w:vAlign w:val="center"/>
          </w:tcPr>
          <w:p>
            <w:pPr>
              <w:pStyle w:val="TableContents"/>
              <w:bidi w:val="0"/>
              <w:spacing w:before="0" w:after="283"/>
              <w:jc w:val="right"/>
              <w:rPr/>
            </w:pPr>
            <w:r>
              <w:rPr/>
              <w:t> </w:t>
            </w:r>
          </w:p>
        </w:tc>
        <w:tc>
          <w:tcPr>
            <w:tcW w:w="112" w:type="dxa"/>
            <w:tcBorders/>
            <w:shd w:fill="CCEEFF" w:val="clear"/>
            <w:vAlign w:val="center"/>
          </w:tcPr>
          <w:p>
            <w:pPr>
              <w:pStyle w:val="TableContents"/>
              <w:bidi w:val="0"/>
              <w:spacing w:before="0" w:after="283"/>
              <w:jc w:val="left"/>
              <w:rPr/>
            </w:pPr>
            <w:r>
              <w:rPr/>
              <w:t> </w:t>
            </w:r>
          </w:p>
        </w:tc>
      </w:tr>
      <w:tr>
        <w:trPr/>
        <w:tc>
          <w:tcPr>
            <w:tcW w:w="7136" w:type="dxa"/>
            <w:tcBorders/>
            <w:shd w:fill="FFFFFF" w:val="clear"/>
            <w:vAlign w:val="center"/>
          </w:tcPr>
          <w:p>
            <w:pPr>
              <w:pStyle w:val="TableContents"/>
              <w:bidi w:val="0"/>
              <w:spacing w:before="0" w:after="283"/>
              <w:jc w:val="left"/>
              <w:rPr/>
            </w:pPr>
            <w:r>
              <w:rPr/>
              <w:t>Total current assets</w:t>
            </w:r>
          </w:p>
        </w:tc>
        <w:tc>
          <w:tcPr>
            <w:tcW w:w="60" w:type="dxa"/>
            <w:tcBorders/>
            <w:shd w:fill="FFFFFF" w:val="clear"/>
            <w:vAlign w:val="center"/>
          </w:tcPr>
          <w:p>
            <w:pPr>
              <w:pStyle w:val="TableContents"/>
              <w:bidi w:val="0"/>
              <w:spacing w:before="0" w:after="283"/>
              <w:jc w:val="left"/>
              <w:rPr/>
            </w:pPr>
            <w:r>
              <w:rPr/>
              <w:t> </w:t>
            </w:r>
          </w:p>
        </w:tc>
        <w:tc>
          <w:tcPr>
            <w:tcW w:w="158" w:type="dxa"/>
            <w:tcBorders/>
            <w:shd w:fill="FFFFFF" w:val="clear"/>
            <w:vAlign w:val="center"/>
          </w:tcPr>
          <w:p>
            <w:pPr>
              <w:pStyle w:val="TableContents"/>
              <w:bidi w:val="0"/>
              <w:spacing w:before="0" w:after="283"/>
              <w:jc w:val="left"/>
              <w:rPr/>
            </w:pPr>
            <w:r>
              <w:rPr/>
              <w:t> </w:t>
            </w:r>
          </w:p>
        </w:tc>
        <w:tc>
          <w:tcPr>
            <w:tcW w:w="1247" w:type="dxa"/>
            <w:tcBorders/>
            <w:shd w:fill="FFFFFF" w:val="clear"/>
            <w:vAlign w:val="center"/>
          </w:tcPr>
          <w:p>
            <w:pPr>
              <w:pStyle w:val="TableContents"/>
              <w:bidi w:val="0"/>
              <w:spacing w:before="0" w:after="283"/>
              <w:jc w:val="right"/>
              <w:rPr/>
            </w:pPr>
            <w:r>
              <w:rPr/>
              <w:t>15,201,277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0" w:type="dxa"/>
            <w:tcBorders/>
            <w:shd w:fill="FFFFFF" w:val="clear"/>
            <w:vAlign w:val="center"/>
          </w:tcPr>
          <w:p>
            <w:pPr>
              <w:pStyle w:val="TableContents"/>
              <w:bidi w:val="0"/>
              <w:spacing w:before="0" w:after="283"/>
              <w:jc w:val="left"/>
              <w:rPr/>
            </w:pPr>
            <w:r>
              <w:rPr/>
              <w:t> </w:t>
            </w:r>
          </w:p>
        </w:tc>
        <w:tc>
          <w:tcPr>
            <w:tcW w:w="1187" w:type="dxa"/>
            <w:tcBorders/>
            <w:shd w:fill="FFFFFF" w:val="clear"/>
            <w:vAlign w:val="center"/>
          </w:tcPr>
          <w:p>
            <w:pPr>
              <w:pStyle w:val="TableContents"/>
              <w:bidi w:val="0"/>
              <w:spacing w:before="0" w:after="283"/>
              <w:jc w:val="right"/>
              <w:rPr/>
            </w:pPr>
            <w:r>
              <w:rPr/>
              <w:t>17,625,381</w:t>
            </w:r>
          </w:p>
        </w:tc>
        <w:tc>
          <w:tcPr>
            <w:tcW w:w="112" w:type="dxa"/>
            <w:tcBorders/>
            <w:shd w:fill="FFFFFF" w:val="clear"/>
            <w:vAlign w:val="center"/>
          </w:tcPr>
          <w:p>
            <w:pPr>
              <w:pStyle w:val="TableContents"/>
              <w:bidi w:val="0"/>
              <w:spacing w:before="0" w:after="283"/>
              <w:jc w:val="left"/>
              <w:rPr/>
            </w:pPr>
            <w:r>
              <w:rPr/>
              <w:t> </w:t>
            </w:r>
          </w:p>
        </w:tc>
      </w:tr>
      <w:tr>
        <w:trPr/>
        <w:tc>
          <w:tcPr>
            <w:tcW w:w="7136"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8" w:type="dxa"/>
            <w:tcBorders/>
            <w:shd w:fill="CCEEFF" w:val="clear"/>
            <w:vAlign w:val="center"/>
          </w:tcPr>
          <w:p>
            <w:pPr>
              <w:pStyle w:val="TableContents"/>
              <w:bidi w:val="0"/>
              <w:spacing w:before="0" w:after="283"/>
              <w:jc w:val="left"/>
              <w:rPr/>
            </w:pPr>
            <w:r>
              <w:rPr/>
              <w:t> </w:t>
            </w:r>
          </w:p>
        </w:tc>
        <w:tc>
          <w:tcPr>
            <w:tcW w:w="1247"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0" w:type="dxa"/>
            <w:tcBorders/>
            <w:shd w:fill="CCEEFF" w:val="clear"/>
            <w:vAlign w:val="center"/>
          </w:tcPr>
          <w:p>
            <w:pPr>
              <w:pStyle w:val="TableContents"/>
              <w:bidi w:val="0"/>
              <w:spacing w:before="0" w:after="283"/>
              <w:jc w:val="left"/>
              <w:rPr/>
            </w:pPr>
            <w:r>
              <w:rPr/>
              <w:t> </w:t>
            </w:r>
          </w:p>
        </w:tc>
        <w:tc>
          <w:tcPr>
            <w:tcW w:w="1187" w:type="dxa"/>
            <w:tcBorders/>
            <w:shd w:fill="CCEEFF" w:val="clear"/>
            <w:vAlign w:val="center"/>
          </w:tcPr>
          <w:p>
            <w:pPr>
              <w:pStyle w:val="TableContents"/>
              <w:bidi w:val="0"/>
              <w:spacing w:before="0" w:after="283"/>
              <w:jc w:val="right"/>
              <w:rPr/>
            </w:pPr>
            <w:r>
              <w:rPr/>
              <w:t> </w:t>
            </w:r>
          </w:p>
        </w:tc>
        <w:tc>
          <w:tcPr>
            <w:tcW w:w="112" w:type="dxa"/>
            <w:tcBorders/>
            <w:shd w:fill="CCEEFF" w:val="clear"/>
            <w:vAlign w:val="center"/>
          </w:tcPr>
          <w:p>
            <w:pPr>
              <w:pStyle w:val="TableContents"/>
              <w:bidi w:val="0"/>
              <w:spacing w:before="0" w:after="283"/>
              <w:jc w:val="left"/>
              <w:rPr/>
            </w:pPr>
            <w:r>
              <w:rPr/>
              <w:t> </w:t>
            </w:r>
          </w:p>
        </w:tc>
      </w:tr>
      <w:tr>
        <w:trPr/>
        <w:tc>
          <w:tcPr>
            <w:tcW w:w="7136" w:type="dxa"/>
            <w:tcBorders/>
            <w:shd w:fill="FFFFFF" w:val="clear"/>
            <w:vAlign w:val="center"/>
          </w:tcPr>
          <w:p>
            <w:pPr>
              <w:pStyle w:val="TableContents"/>
              <w:bidi w:val="0"/>
              <w:spacing w:before="0" w:after="283"/>
              <w:jc w:val="left"/>
              <w:rPr/>
            </w:pPr>
            <w:r>
              <w:rPr/>
              <w:t>Property and equipment, net</w:t>
            </w:r>
          </w:p>
        </w:tc>
        <w:tc>
          <w:tcPr>
            <w:tcW w:w="60" w:type="dxa"/>
            <w:tcBorders/>
            <w:shd w:fill="FFFFFF" w:val="clear"/>
            <w:vAlign w:val="center"/>
          </w:tcPr>
          <w:p>
            <w:pPr>
              <w:pStyle w:val="TableContents"/>
              <w:bidi w:val="0"/>
              <w:spacing w:before="0" w:after="283"/>
              <w:jc w:val="left"/>
              <w:rPr/>
            </w:pPr>
            <w:r>
              <w:rPr/>
              <w:t> </w:t>
            </w:r>
          </w:p>
        </w:tc>
        <w:tc>
          <w:tcPr>
            <w:tcW w:w="158" w:type="dxa"/>
            <w:tcBorders/>
            <w:shd w:fill="FFFFFF" w:val="clear"/>
            <w:vAlign w:val="center"/>
          </w:tcPr>
          <w:p>
            <w:pPr>
              <w:pStyle w:val="TableContents"/>
              <w:bidi w:val="0"/>
              <w:spacing w:before="0" w:after="283"/>
              <w:jc w:val="left"/>
              <w:rPr/>
            </w:pPr>
            <w:r>
              <w:rPr/>
              <w:t> </w:t>
            </w:r>
          </w:p>
        </w:tc>
        <w:tc>
          <w:tcPr>
            <w:tcW w:w="1247" w:type="dxa"/>
            <w:tcBorders/>
            <w:shd w:fill="FFFFFF" w:val="clear"/>
            <w:vAlign w:val="center"/>
          </w:tcPr>
          <w:p>
            <w:pPr>
              <w:pStyle w:val="TableContents"/>
              <w:bidi w:val="0"/>
              <w:spacing w:before="0" w:after="283"/>
              <w:jc w:val="right"/>
              <w:rPr/>
            </w:pPr>
            <w:r>
              <w:rPr/>
              <w:t>424,031</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0" w:type="dxa"/>
            <w:tcBorders/>
            <w:shd w:fill="FFFFFF" w:val="clear"/>
            <w:vAlign w:val="center"/>
          </w:tcPr>
          <w:p>
            <w:pPr>
              <w:pStyle w:val="TableContents"/>
              <w:bidi w:val="0"/>
              <w:spacing w:before="0" w:after="283"/>
              <w:jc w:val="left"/>
              <w:rPr/>
            </w:pPr>
            <w:r>
              <w:rPr/>
              <w:t> </w:t>
            </w:r>
          </w:p>
        </w:tc>
        <w:tc>
          <w:tcPr>
            <w:tcW w:w="1187" w:type="dxa"/>
            <w:tcBorders/>
            <w:shd w:fill="FFFFFF" w:val="clear"/>
            <w:vAlign w:val="center"/>
          </w:tcPr>
          <w:p>
            <w:pPr>
              <w:pStyle w:val="TableContents"/>
              <w:bidi w:val="0"/>
              <w:spacing w:before="0" w:after="283"/>
              <w:jc w:val="right"/>
              <w:rPr/>
            </w:pPr>
            <w:r>
              <w:rPr/>
              <w:t>385,192</w:t>
            </w:r>
          </w:p>
        </w:tc>
        <w:tc>
          <w:tcPr>
            <w:tcW w:w="112" w:type="dxa"/>
            <w:tcBorders/>
            <w:shd w:fill="FFFFFF" w:val="clear"/>
            <w:vAlign w:val="center"/>
          </w:tcPr>
          <w:p>
            <w:pPr>
              <w:pStyle w:val="TableContents"/>
              <w:bidi w:val="0"/>
              <w:spacing w:before="0" w:after="283"/>
              <w:jc w:val="left"/>
              <w:rPr/>
            </w:pPr>
            <w:r>
              <w:rPr/>
              <w:t> </w:t>
            </w:r>
          </w:p>
        </w:tc>
      </w:tr>
      <w:tr>
        <w:trPr/>
        <w:tc>
          <w:tcPr>
            <w:tcW w:w="7136" w:type="dxa"/>
            <w:tcBorders/>
            <w:shd w:fill="CCEEFF" w:val="clear"/>
            <w:vAlign w:val="center"/>
          </w:tcPr>
          <w:p>
            <w:pPr>
              <w:pStyle w:val="TableContents"/>
              <w:bidi w:val="0"/>
              <w:spacing w:before="0" w:after="283"/>
              <w:jc w:val="left"/>
              <w:rPr/>
            </w:pPr>
            <w:r>
              <w:rPr/>
              <w:t>Operating lease right-of-use assets</w:t>
            </w:r>
          </w:p>
        </w:tc>
        <w:tc>
          <w:tcPr>
            <w:tcW w:w="60" w:type="dxa"/>
            <w:tcBorders/>
            <w:shd w:fill="CCEEFF" w:val="clear"/>
            <w:vAlign w:val="center"/>
          </w:tcPr>
          <w:p>
            <w:pPr>
              <w:pStyle w:val="TableContents"/>
              <w:bidi w:val="0"/>
              <w:spacing w:before="0" w:after="283"/>
              <w:jc w:val="left"/>
              <w:rPr/>
            </w:pPr>
            <w:r>
              <w:rPr/>
              <w:t> </w:t>
            </w:r>
          </w:p>
        </w:tc>
        <w:tc>
          <w:tcPr>
            <w:tcW w:w="158" w:type="dxa"/>
            <w:tcBorders/>
            <w:shd w:fill="CCEEFF" w:val="clear"/>
            <w:vAlign w:val="center"/>
          </w:tcPr>
          <w:p>
            <w:pPr>
              <w:pStyle w:val="TableContents"/>
              <w:bidi w:val="0"/>
              <w:spacing w:before="0" w:after="283"/>
              <w:jc w:val="left"/>
              <w:rPr/>
            </w:pPr>
            <w:r>
              <w:rPr/>
              <w:t> </w:t>
            </w:r>
          </w:p>
        </w:tc>
        <w:tc>
          <w:tcPr>
            <w:tcW w:w="1247" w:type="dxa"/>
            <w:tcBorders/>
            <w:shd w:fill="CCEEFF" w:val="clear"/>
            <w:vAlign w:val="center"/>
          </w:tcPr>
          <w:p>
            <w:pPr>
              <w:pStyle w:val="TableContents"/>
              <w:bidi w:val="0"/>
              <w:spacing w:before="0" w:after="283"/>
              <w:jc w:val="right"/>
              <w:rPr/>
            </w:pPr>
            <w:r>
              <w:rPr/>
              <w:t>2,856,409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0" w:type="dxa"/>
            <w:tcBorders/>
            <w:shd w:fill="CCEEFF" w:val="clear"/>
            <w:vAlign w:val="center"/>
          </w:tcPr>
          <w:p>
            <w:pPr>
              <w:pStyle w:val="TableContents"/>
              <w:bidi w:val="0"/>
              <w:spacing w:before="0" w:after="283"/>
              <w:jc w:val="left"/>
              <w:rPr/>
            </w:pPr>
            <w:r>
              <w:rPr/>
              <w:t> </w:t>
            </w:r>
          </w:p>
        </w:tc>
        <w:tc>
          <w:tcPr>
            <w:tcW w:w="1187" w:type="dxa"/>
            <w:tcBorders/>
            <w:shd w:fill="CCEEFF" w:val="clear"/>
            <w:vAlign w:val="center"/>
          </w:tcPr>
          <w:p>
            <w:pPr>
              <w:pStyle w:val="TableContents"/>
              <w:bidi w:val="0"/>
              <w:spacing w:before="0" w:after="283"/>
              <w:jc w:val="right"/>
              <w:rPr/>
            </w:pPr>
            <w:r>
              <w:rPr/>
              <w:t>740,654</w:t>
            </w:r>
          </w:p>
        </w:tc>
        <w:tc>
          <w:tcPr>
            <w:tcW w:w="112" w:type="dxa"/>
            <w:tcBorders/>
            <w:shd w:fill="CCEEFF" w:val="clear"/>
            <w:vAlign w:val="center"/>
          </w:tcPr>
          <w:p>
            <w:pPr>
              <w:pStyle w:val="TableContents"/>
              <w:bidi w:val="0"/>
              <w:spacing w:before="0" w:after="283"/>
              <w:jc w:val="left"/>
              <w:rPr/>
            </w:pPr>
            <w:r>
              <w:rPr/>
              <w:t> </w:t>
            </w:r>
          </w:p>
        </w:tc>
      </w:tr>
      <w:tr>
        <w:trPr/>
        <w:tc>
          <w:tcPr>
            <w:tcW w:w="7136" w:type="dxa"/>
            <w:tcBorders/>
            <w:shd w:fill="FFFFFF" w:val="clear"/>
            <w:vAlign w:val="center"/>
          </w:tcPr>
          <w:p>
            <w:pPr>
              <w:pStyle w:val="TableContents"/>
              <w:bidi w:val="0"/>
              <w:spacing w:before="0" w:after="283"/>
              <w:jc w:val="left"/>
              <w:rPr/>
            </w:pPr>
            <w:r>
              <w:rPr/>
              <w:t>Finance lease right-of-use assets</w:t>
            </w:r>
          </w:p>
        </w:tc>
        <w:tc>
          <w:tcPr>
            <w:tcW w:w="60" w:type="dxa"/>
            <w:tcBorders/>
            <w:shd w:fill="FFFFFF" w:val="clear"/>
            <w:vAlign w:val="center"/>
          </w:tcPr>
          <w:p>
            <w:pPr>
              <w:pStyle w:val="TableContents"/>
              <w:bidi w:val="0"/>
              <w:spacing w:before="0" w:after="283"/>
              <w:jc w:val="left"/>
              <w:rPr/>
            </w:pPr>
            <w:r>
              <w:rPr/>
              <w:t> </w:t>
            </w:r>
          </w:p>
        </w:tc>
        <w:tc>
          <w:tcPr>
            <w:tcW w:w="158" w:type="dxa"/>
            <w:tcBorders/>
            <w:shd w:fill="FFFFFF" w:val="clear"/>
            <w:vAlign w:val="center"/>
          </w:tcPr>
          <w:p>
            <w:pPr>
              <w:pStyle w:val="TableContents"/>
              <w:bidi w:val="0"/>
              <w:spacing w:before="0" w:after="283"/>
              <w:jc w:val="left"/>
              <w:rPr/>
            </w:pPr>
            <w:r>
              <w:rPr/>
              <w:t> </w:t>
            </w:r>
          </w:p>
        </w:tc>
        <w:tc>
          <w:tcPr>
            <w:tcW w:w="1247" w:type="dxa"/>
            <w:tcBorders/>
            <w:shd w:fill="FFFFFF" w:val="clear"/>
            <w:vAlign w:val="center"/>
          </w:tcPr>
          <w:p>
            <w:pPr>
              <w:pStyle w:val="TableContents"/>
              <w:bidi w:val="0"/>
              <w:spacing w:before="0" w:after="283"/>
              <w:jc w:val="right"/>
              <w:rPr/>
            </w:pPr>
            <w:r>
              <w:rPr/>
              <w:t>1,602,376</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0" w:type="dxa"/>
            <w:tcBorders/>
            <w:shd w:fill="FFFFFF" w:val="clear"/>
            <w:vAlign w:val="center"/>
          </w:tcPr>
          <w:p>
            <w:pPr>
              <w:pStyle w:val="TableContents"/>
              <w:bidi w:val="0"/>
              <w:spacing w:before="0" w:after="283"/>
              <w:jc w:val="left"/>
              <w:rPr/>
            </w:pPr>
            <w:r>
              <w:rPr/>
              <w:t> </w:t>
            </w:r>
          </w:p>
        </w:tc>
        <w:tc>
          <w:tcPr>
            <w:tcW w:w="1187" w:type="dxa"/>
            <w:tcBorders/>
            <w:shd w:fill="FFFFFF" w:val="clear"/>
            <w:vAlign w:val="center"/>
          </w:tcPr>
          <w:p>
            <w:pPr>
              <w:pStyle w:val="TableContents"/>
              <w:bidi w:val="0"/>
              <w:spacing w:before="0" w:after="283"/>
              <w:jc w:val="right"/>
              <w:rPr/>
            </w:pPr>
            <w:r>
              <w:rPr/>
              <w:t>1,971,170</w:t>
            </w:r>
          </w:p>
        </w:tc>
        <w:tc>
          <w:tcPr>
            <w:tcW w:w="112" w:type="dxa"/>
            <w:tcBorders/>
            <w:shd w:fill="FFFFFF" w:val="clear"/>
            <w:vAlign w:val="center"/>
          </w:tcPr>
          <w:p>
            <w:pPr>
              <w:pStyle w:val="TableContents"/>
              <w:bidi w:val="0"/>
              <w:spacing w:before="0" w:after="283"/>
              <w:jc w:val="left"/>
              <w:rPr/>
            </w:pPr>
            <w:r>
              <w:rPr/>
              <w:t> </w:t>
            </w:r>
          </w:p>
        </w:tc>
      </w:tr>
      <w:tr>
        <w:trPr/>
        <w:tc>
          <w:tcPr>
            <w:tcW w:w="7136" w:type="dxa"/>
            <w:tcBorders/>
            <w:shd w:fill="CCEEFF" w:val="clear"/>
            <w:vAlign w:val="center"/>
          </w:tcPr>
          <w:p>
            <w:pPr>
              <w:pStyle w:val="TableContents"/>
              <w:bidi w:val="0"/>
              <w:spacing w:before="0" w:after="283"/>
              <w:jc w:val="left"/>
              <w:rPr/>
            </w:pPr>
            <w:r>
              <w:rPr/>
              <w:t>Deposits</w:t>
            </w:r>
          </w:p>
        </w:tc>
        <w:tc>
          <w:tcPr>
            <w:tcW w:w="60" w:type="dxa"/>
            <w:tcBorders/>
            <w:shd w:fill="CCEEFF" w:val="clear"/>
            <w:vAlign w:val="center"/>
          </w:tcPr>
          <w:p>
            <w:pPr>
              <w:pStyle w:val="TableContents"/>
              <w:bidi w:val="0"/>
              <w:spacing w:before="0" w:after="283"/>
              <w:jc w:val="left"/>
              <w:rPr/>
            </w:pPr>
            <w:r>
              <w:rPr/>
              <w:t> </w:t>
            </w:r>
          </w:p>
        </w:tc>
        <w:tc>
          <w:tcPr>
            <w:tcW w:w="158"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47" w:type="dxa"/>
            <w:tcBorders>
              <w:bottom w:val="single" w:sz="12" w:space="0" w:color="000000"/>
            </w:tcBorders>
            <w:shd w:fill="CCEEFF" w:val="clear"/>
            <w:tcMar>
              <w:bottom w:w="28" w:type="dxa"/>
            </w:tcMar>
            <w:vAlign w:val="center"/>
          </w:tcPr>
          <w:p>
            <w:pPr>
              <w:pStyle w:val="TableContents"/>
              <w:bidi w:val="0"/>
              <w:spacing w:before="0" w:after="283"/>
              <w:jc w:val="right"/>
              <w:rPr/>
            </w:pPr>
            <w:r>
              <w:rPr/>
              <w:t>181,510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87" w:type="dxa"/>
            <w:tcBorders>
              <w:bottom w:val="single" w:sz="12" w:space="0" w:color="000000"/>
            </w:tcBorders>
            <w:shd w:fill="CCEEFF" w:val="clear"/>
            <w:tcMar>
              <w:bottom w:w="28" w:type="dxa"/>
            </w:tcMar>
            <w:vAlign w:val="center"/>
          </w:tcPr>
          <w:p>
            <w:pPr>
              <w:pStyle w:val="TableContents"/>
              <w:bidi w:val="0"/>
              <w:spacing w:before="0" w:after="283"/>
              <w:jc w:val="right"/>
              <w:rPr/>
            </w:pPr>
            <w:r>
              <w:rPr/>
              <w:t>116,819</w:t>
            </w:r>
          </w:p>
        </w:tc>
        <w:tc>
          <w:tcPr>
            <w:tcW w:w="112" w:type="dxa"/>
            <w:tcBorders/>
            <w:shd w:fill="CCEEFF" w:val="clear"/>
            <w:vAlign w:val="center"/>
          </w:tcPr>
          <w:p>
            <w:pPr>
              <w:pStyle w:val="TableContents"/>
              <w:bidi w:val="0"/>
              <w:spacing w:before="0" w:after="283"/>
              <w:jc w:val="left"/>
              <w:rPr/>
            </w:pPr>
            <w:r>
              <w:rPr/>
              <w:t> </w:t>
            </w:r>
          </w:p>
        </w:tc>
      </w:tr>
      <w:tr>
        <w:trPr/>
        <w:tc>
          <w:tcPr>
            <w:tcW w:w="7136"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8" w:type="dxa"/>
            <w:tcBorders/>
            <w:shd w:fill="FFFFFF" w:val="clear"/>
            <w:vAlign w:val="center"/>
          </w:tcPr>
          <w:p>
            <w:pPr>
              <w:pStyle w:val="TableContents"/>
              <w:bidi w:val="0"/>
              <w:spacing w:before="0" w:after="283"/>
              <w:jc w:val="left"/>
              <w:rPr/>
            </w:pPr>
            <w:r>
              <w:rPr/>
              <w:t> </w:t>
            </w:r>
          </w:p>
        </w:tc>
        <w:tc>
          <w:tcPr>
            <w:tcW w:w="1247"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0" w:type="dxa"/>
            <w:tcBorders/>
            <w:shd w:fill="FFFFFF" w:val="clear"/>
            <w:vAlign w:val="center"/>
          </w:tcPr>
          <w:p>
            <w:pPr>
              <w:pStyle w:val="TableContents"/>
              <w:bidi w:val="0"/>
              <w:spacing w:before="0" w:after="283"/>
              <w:jc w:val="left"/>
              <w:rPr/>
            </w:pPr>
            <w:r>
              <w:rPr/>
              <w:t> </w:t>
            </w:r>
          </w:p>
        </w:tc>
        <w:tc>
          <w:tcPr>
            <w:tcW w:w="1187" w:type="dxa"/>
            <w:tcBorders/>
            <w:shd w:fill="FFFFFF" w:val="clear"/>
            <w:vAlign w:val="center"/>
          </w:tcPr>
          <w:p>
            <w:pPr>
              <w:pStyle w:val="TableContents"/>
              <w:bidi w:val="0"/>
              <w:spacing w:before="0" w:after="283"/>
              <w:jc w:val="right"/>
              <w:rPr/>
            </w:pPr>
            <w:r>
              <w:rPr/>
              <w:t> </w:t>
            </w:r>
          </w:p>
        </w:tc>
        <w:tc>
          <w:tcPr>
            <w:tcW w:w="112" w:type="dxa"/>
            <w:tcBorders/>
            <w:shd w:fill="FFFFFF" w:val="clear"/>
            <w:vAlign w:val="center"/>
          </w:tcPr>
          <w:p>
            <w:pPr>
              <w:pStyle w:val="TableContents"/>
              <w:bidi w:val="0"/>
              <w:spacing w:before="0" w:after="283"/>
              <w:jc w:val="left"/>
              <w:rPr/>
            </w:pPr>
            <w:r>
              <w:rPr/>
              <w:t> </w:t>
            </w:r>
          </w:p>
        </w:tc>
      </w:tr>
      <w:tr>
        <w:trPr/>
        <w:tc>
          <w:tcPr>
            <w:tcW w:w="7136" w:type="dxa"/>
            <w:tcBorders/>
            <w:shd w:fill="CCEEFF" w:val="clear"/>
            <w:vAlign w:val="center"/>
          </w:tcPr>
          <w:p>
            <w:pPr>
              <w:pStyle w:val="TableContents"/>
              <w:bidi w:val="0"/>
              <w:spacing w:before="0" w:after="283"/>
              <w:jc w:val="left"/>
              <w:rPr/>
            </w:pPr>
            <w:r>
              <w:rPr/>
              <w:t>Total assets</w:t>
            </w:r>
          </w:p>
        </w:tc>
        <w:tc>
          <w:tcPr>
            <w:tcW w:w="60" w:type="dxa"/>
            <w:tcBorders/>
            <w:shd w:fill="CCEEFF" w:val="clear"/>
            <w:vAlign w:val="center"/>
          </w:tcPr>
          <w:p>
            <w:pPr>
              <w:pStyle w:val="TableContents"/>
              <w:bidi w:val="0"/>
              <w:spacing w:before="0" w:after="283"/>
              <w:jc w:val="left"/>
              <w:rPr/>
            </w:pPr>
            <w:r>
              <w:rPr/>
              <w:t> </w:t>
            </w:r>
          </w:p>
        </w:tc>
        <w:tc>
          <w:tcPr>
            <w:tcW w:w="158" w:type="dxa"/>
            <w:tcBorders>
              <w:bottom w:val="single" w:sz="12" w:space="0" w:color="000000"/>
            </w:tcBorders>
            <w:shd w:fill="CCEEFF" w:val="clear"/>
            <w:tcMar>
              <w:bottom w:w="28" w:type="dxa"/>
            </w:tcMar>
            <w:vAlign w:val="center"/>
          </w:tcPr>
          <w:p>
            <w:pPr>
              <w:pStyle w:val="TableContents"/>
              <w:bidi w:val="0"/>
              <w:spacing w:before="0" w:after="283"/>
              <w:jc w:val="left"/>
              <w:rPr/>
            </w:pPr>
            <w:r>
              <w:rPr/>
              <w:t>$</w:t>
            </w:r>
          </w:p>
        </w:tc>
        <w:tc>
          <w:tcPr>
            <w:tcW w:w="1247" w:type="dxa"/>
            <w:tcBorders>
              <w:bottom w:val="single" w:sz="12" w:space="0" w:color="000000"/>
            </w:tcBorders>
            <w:shd w:fill="CCEEFF" w:val="clear"/>
            <w:tcMar>
              <w:bottom w:w="28" w:type="dxa"/>
            </w:tcMar>
            <w:vAlign w:val="center"/>
          </w:tcPr>
          <w:p>
            <w:pPr>
              <w:pStyle w:val="TableContents"/>
              <w:bidi w:val="0"/>
              <w:spacing w:before="0" w:after="283"/>
              <w:jc w:val="right"/>
              <w:rPr/>
            </w:pPr>
            <w:r>
              <w:rPr/>
              <w:t>20,265,603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0" w:type="dxa"/>
            <w:tcBorders>
              <w:bottom w:val="single" w:sz="12" w:space="0" w:color="000000"/>
            </w:tcBorders>
            <w:shd w:fill="CCEEFF" w:val="clear"/>
            <w:tcMar>
              <w:bottom w:w="28" w:type="dxa"/>
            </w:tcMar>
            <w:vAlign w:val="center"/>
          </w:tcPr>
          <w:p>
            <w:pPr>
              <w:pStyle w:val="TableContents"/>
              <w:bidi w:val="0"/>
              <w:spacing w:before="0" w:after="283"/>
              <w:jc w:val="left"/>
              <w:rPr/>
            </w:pPr>
            <w:r>
              <w:rPr/>
              <w:t>$</w:t>
            </w:r>
          </w:p>
        </w:tc>
        <w:tc>
          <w:tcPr>
            <w:tcW w:w="1187" w:type="dxa"/>
            <w:tcBorders>
              <w:bottom w:val="single" w:sz="12" w:space="0" w:color="000000"/>
            </w:tcBorders>
            <w:shd w:fill="CCEEFF" w:val="clear"/>
            <w:tcMar>
              <w:bottom w:w="28" w:type="dxa"/>
            </w:tcMar>
            <w:vAlign w:val="center"/>
          </w:tcPr>
          <w:p>
            <w:pPr>
              <w:pStyle w:val="TableContents"/>
              <w:bidi w:val="0"/>
              <w:spacing w:before="0" w:after="283"/>
              <w:jc w:val="right"/>
              <w:rPr/>
            </w:pPr>
            <w:r>
              <w:rPr/>
              <w:t>20,839,216</w:t>
            </w:r>
          </w:p>
        </w:tc>
        <w:tc>
          <w:tcPr>
            <w:tcW w:w="112" w:type="dxa"/>
            <w:tcBorders/>
            <w:shd w:fill="CCEEFF" w:val="clear"/>
            <w:vAlign w:val="center"/>
          </w:tcPr>
          <w:p>
            <w:pPr>
              <w:pStyle w:val="TableContents"/>
              <w:bidi w:val="0"/>
              <w:spacing w:before="0" w:after="283"/>
              <w:jc w:val="left"/>
              <w:rPr/>
            </w:pPr>
            <w:r>
              <w:rPr/>
              <w:t> </w:t>
            </w:r>
          </w:p>
        </w:tc>
      </w:tr>
      <w:tr>
        <w:trPr/>
        <w:tc>
          <w:tcPr>
            <w:tcW w:w="7136"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8" w:type="dxa"/>
            <w:tcBorders/>
            <w:shd w:fill="FFFFFF" w:val="clear"/>
            <w:vAlign w:val="center"/>
          </w:tcPr>
          <w:p>
            <w:pPr>
              <w:pStyle w:val="TableContents"/>
              <w:bidi w:val="0"/>
              <w:spacing w:before="0" w:after="283"/>
              <w:jc w:val="left"/>
              <w:rPr/>
            </w:pPr>
            <w:r>
              <w:rPr/>
              <w:t> </w:t>
            </w:r>
          </w:p>
        </w:tc>
        <w:tc>
          <w:tcPr>
            <w:tcW w:w="1247"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0" w:type="dxa"/>
            <w:tcBorders/>
            <w:shd w:fill="FFFFFF" w:val="clear"/>
            <w:vAlign w:val="center"/>
          </w:tcPr>
          <w:p>
            <w:pPr>
              <w:pStyle w:val="TableContents"/>
              <w:bidi w:val="0"/>
              <w:spacing w:before="0" w:after="283"/>
              <w:jc w:val="left"/>
              <w:rPr/>
            </w:pPr>
            <w:r>
              <w:rPr/>
              <w:t> </w:t>
            </w:r>
          </w:p>
        </w:tc>
        <w:tc>
          <w:tcPr>
            <w:tcW w:w="1187" w:type="dxa"/>
            <w:tcBorders/>
            <w:shd w:fill="FFFFFF" w:val="clear"/>
            <w:vAlign w:val="center"/>
          </w:tcPr>
          <w:p>
            <w:pPr>
              <w:pStyle w:val="TableContents"/>
              <w:bidi w:val="0"/>
              <w:spacing w:before="0" w:after="283"/>
              <w:jc w:val="right"/>
              <w:rPr/>
            </w:pPr>
            <w:r>
              <w:rPr/>
              <w:t> </w:t>
            </w:r>
          </w:p>
        </w:tc>
        <w:tc>
          <w:tcPr>
            <w:tcW w:w="112" w:type="dxa"/>
            <w:tcBorders/>
            <w:shd w:fill="FFFFFF" w:val="clear"/>
            <w:vAlign w:val="center"/>
          </w:tcPr>
          <w:p>
            <w:pPr>
              <w:pStyle w:val="TableContents"/>
              <w:bidi w:val="0"/>
              <w:spacing w:before="0" w:after="283"/>
              <w:jc w:val="left"/>
              <w:rPr/>
            </w:pPr>
            <w:r>
              <w:rPr/>
              <w:t> </w:t>
            </w:r>
          </w:p>
        </w:tc>
      </w:tr>
      <w:tr>
        <w:trPr/>
        <w:tc>
          <w:tcPr>
            <w:tcW w:w="7136" w:type="dxa"/>
            <w:tcBorders/>
            <w:shd w:fill="CCEEFF" w:val="clear"/>
            <w:vAlign w:val="center"/>
          </w:tcPr>
          <w:p>
            <w:pPr>
              <w:pStyle w:val="TableContents"/>
              <w:bidi w:val="0"/>
              <w:spacing w:before="0" w:after="283"/>
              <w:jc w:val="left"/>
              <w:rPr>
                <w:b/>
                <w:u w:val="single"/>
              </w:rPr>
            </w:pPr>
            <w:r>
              <w:rPr>
                <w:b/>
                <w:u w:val="single"/>
              </w:rPr>
              <w:t>Liabilities and Member’s Deficit</w:t>
            </w:r>
          </w:p>
        </w:tc>
        <w:tc>
          <w:tcPr>
            <w:tcW w:w="60" w:type="dxa"/>
            <w:tcBorders/>
            <w:shd w:fill="CCEEFF" w:val="clear"/>
            <w:vAlign w:val="center"/>
          </w:tcPr>
          <w:p>
            <w:pPr>
              <w:pStyle w:val="TableContents"/>
              <w:bidi w:val="0"/>
              <w:spacing w:before="0" w:after="283"/>
              <w:jc w:val="left"/>
              <w:rPr/>
            </w:pPr>
            <w:r>
              <w:rPr/>
              <w:t> </w:t>
            </w:r>
          </w:p>
        </w:tc>
        <w:tc>
          <w:tcPr>
            <w:tcW w:w="158" w:type="dxa"/>
            <w:tcBorders/>
            <w:shd w:fill="CCEEFF" w:val="clear"/>
            <w:vAlign w:val="center"/>
          </w:tcPr>
          <w:p>
            <w:pPr>
              <w:pStyle w:val="TableContents"/>
              <w:bidi w:val="0"/>
              <w:spacing w:before="0" w:after="283"/>
              <w:jc w:val="left"/>
              <w:rPr/>
            </w:pPr>
            <w:r>
              <w:rPr/>
              <w:t> </w:t>
            </w:r>
          </w:p>
        </w:tc>
        <w:tc>
          <w:tcPr>
            <w:tcW w:w="1247"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0" w:type="dxa"/>
            <w:tcBorders/>
            <w:shd w:fill="CCEEFF" w:val="clear"/>
            <w:vAlign w:val="center"/>
          </w:tcPr>
          <w:p>
            <w:pPr>
              <w:pStyle w:val="TableContents"/>
              <w:bidi w:val="0"/>
              <w:spacing w:before="0" w:after="283"/>
              <w:jc w:val="left"/>
              <w:rPr/>
            </w:pPr>
            <w:r>
              <w:rPr/>
              <w:t> </w:t>
            </w:r>
          </w:p>
        </w:tc>
        <w:tc>
          <w:tcPr>
            <w:tcW w:w="1187" w:type="dxa"/>
            <w:tcBorders/>
            <w:shd w:fill="CCEEFF" w:val="clear"/>
            <w:vAlign w:val="center"/>
          </w:tcPr>
          <w:p>
            <w:pPr>
              <w:pStyle w:val="TableContents"/>
              <w:bidi w:val="0"/>
              <w:spacing w:before="0" w:after="283"/>
              <w:jc w:val="right"/>
              <w:rPr/>
            </w:pPr>
            <w:r>
              <w:rPr/>
              <w:t> </w:t>
            </w:r>
          </w:p>
        </w:tc>
        <w:tc>
          <w:tcPr>
            <w:tcW w:w="112" w:type="dxa"/>
            <w:tcBorders/>
            <w:shd w:fill="CCEEFF" w:val="clear"/>
            <w:vAlign w:val="center"/>
          </w:tcPr>
          <w:p>
            <w:pPr>
              <w:pStyle w:val="TableContents"/>
              <w:bidi w:val="0"/>
              <w:spacing w:before="0" w:after="283"/>
              <w:jc w:val="left"/>
              <w:rPr/>
            </w:pPr>
            <w:r>
              <w:rPr/>
              <w:t> </w:t>
            </w:r>
          </w:p>
        </w:tc>
      </w:tr>
      <w:tr>
        <w:trPr/>
        <w:tc>
          <w:tcPr>
            <w:tcW w:w="7136"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158" w:type="dxa"/>
            <w:tcBorders/>
            <w:shd w:fill="FFFFFF" w:val="clear"/>
            <w:vAlign w:val="center"/>
          </w:tcPr>
          <w:p>
            <w:pPr>
              <w:pStyle w:val="TableContents"/>
              <w:bidi w:val="0"/>
              <w:spacing w:before="0" w:after="283"/>
              <w:jc w:val="left"/>
              <w:rPr/>
            </w:pPr>
            <w:r>
              <w:rPr/>
              <w:t> </w:t>
            </w:r>
          </w:p>
        </w:tc>
        <w:tc>
          <w:tcPr>
            <w:tcW w:w="1247"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0" w:type="dxa"/>
            <w:tcBorders/>
            <w:shd w:fill="FFFFFF" w:val="clear"/>
            <w:vAlign w:val="center"/>
          </w:tcPr>
          <w:p>
            <w:pPr>
              <w:pStyle w:val="TableContents"/>
              <w:bidi w:val="0"/>
              <w:spacing w:before="0" w:after="283"/>
              <w:jc w:val="left"/>
              <w:rPr/>
            </w:pPr>
            <w:r>
              <w:rPr/>
              <w:t> </w:t>
            </w:r>
          </w:p>
        </w:tc>
        <w:tc>
          <w:tcPr>
            <w:tcW w:w="1187" w:type="dxa"/>
            <w:tcBorders/>
            <w:shd w:fill="FFFFFF" w:val="clear"/>
            <w:vAlign w:val="center"/>
          </w:tcPr>
          <w:p>
            <w:pPr>
              <w:pStyle w:val="TableContents"/>
              <w:bidi w:val="0"/>
              <w:spacing w:before="0" w:after="283"/>
              <w:jc w:val="right"/>
              <w:rPr/>
            </w:pPr>
            <w:r>
              <w:rPr/>
              <w:t> </w:t>
            </w:r>
          </w:p>
        </w:tc>
        <w:tc>
          <w:tcPr>
            <w:tcW w:w="112" w:type="dxa"/>
            <w:tcBorders/>
            <w:shd w:fill="FFFFFF" w:val="clear"/>
            <w:vAlign w:val="center"/>
          </w:tcPr>
          <w:p>
            <w:pPr>
              <w:pStyle w:val="TableContents"/>
              <w:bidi w:val="0"/>
              <w:spacing w:before="0" w:after="283"/>
              <w:jc w:val="left"/>
              <w:rPr/>
            </w:pPr>
            <w:r>
              <w:rPr/>
              <w:t> </w:t>
            </w:r>
          </w:p>
        </w:tc>
      </w:tr>
      <w:tr>
        <w:trPr/>
        <w:tc>
          <w:tcPr>
            <w:tcW w:w="7136" w:type="dxa"/>
            <w:tcBorders/>
            <w:shd w:fill="CCEEFF" w:val="clear"/>
            <w:vAlign w:val="center"/>
          </w:tcPr>
          <w:p>
            <w:pPr>
              <w:pStyle w:val="TableContents"/>
              <w:bidi w:val="0"/>
              <w:spacing w:before="0" w:after="283"/>
              <w:jc w:val="left"/>
              <w:rPr/>
            </w:pPr>
            <w:r>
              <w:rPr/>
              <w:t>Current liabilities:</w:t>
            </w:r>
          </w:p>
        </w:tc>
        <w:tc>
          <w:tcPr>
            <w:tcW w:w="60" w:type="dxa"/>
            <w:tcBorders/>
            <w:shd w:fill="CCEEFF" w:val="clear"/>
            <w:vAlign w:val="center"/>
          </w:tcPr>
          <w:p>
            <w:pPr>
              <w:pStyle w:val="TableContents"/>
              <w:bidi w:val="0"/>
              <w:spacing w:before="0" w:after="283"/>
              <w:jc w:val="left"/>
              <w:rPr/>
            </w:pPr>
            <w:r>
              <w:rPr/>
              <w:t> </w:t>
            </w:r>
          </w:p>
        </w:tc>
        <w:tc>
          <w:tcPr>
            <w:tcW w:w="158" w:type="dxa"/>
            <w:tcBorders/>
            <w:shd w:fill="CCEEFF" w:val="clear"/>
            <w:vAlign w:val="center"/>
          </w:tcPr>
          <w:p>
            <w:pPr>
              <w:pStyle w:val="TableContents"/>
              <w:bidi w:val="0"/>
              <w:spacing w:before="0" w:after="283"/>
              <w:jc w:val="left"/>
              <w:rPr/>
            </w:pPr>
            <w:r>
              <w:rPr/>
              <w:t> </w:t>
            </w:r>
          </w:p>
        </w:tc>
        <w:tc>
          <w:tcPr>
            <w:tcW w:w="1247"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0" w:type="dxa"/>
            <w:tcBorders/>
            <w:shd w:fill="CCEEFF" w:val="clear"/>
            <w:vAlign w:val="center"/>
          </w:tcPr>
          <w:p>
            <w:pPr>
              <w:pStyle w:val="TableContents"/>
              <w:bidi w:val="0"/>
              <w:spacing w:before="0" w:after="283"/>
              <w:jc w:val="left"/>
              <w:rPr/>
            </w:pPr>
            <w:r>
              <w:rPr/>
              <w:t> </w:t>
            </w:r>
          </w:p>
        </w:tc>
        <w:tc>
          <w:tcPr>
            <w:tcW w:w="1187" w:type="dxa"/>
            <w:tcBorders/>
            <w:shd w:fill="CCEEFF" w:val="clear"/>
            <w:vAlign w:val="center"/>
          </w:tcPr>
          <w:p>
            <w:pPr>
              <w:pStyle w:val="TableContents"/>
              <w:bidi w:val="0"/>
              <w:spacing w:before="0" w:after="283"/>
              <w:jc w:val="right"/>
              <w:rPr/>
            </w:pPr>
            <w:r>
              <w:rPr/>
              <w:t> </w:t>
            </w:r>
          </w:p>
        </w:tc>
        <w:tc>
          <w:tcPr>
            <w:tcW w:w="112" w:type="dxa"/>
            <w:tcBorders/>
            <w:shd w:fill="CCEEFF" w:val="clear"/>
            <w:vAlign w:val="center"/>
          </w:tcPr>
          <w:p>
            <w:pPr>
              <w:pStyle w:val="TableContents"/>
              <w:bidi w:val="0"/>
              <w:spacing w:before="0" w:after="283"/>
              <w:jc w:val="left"/>
              <w:rPr/>
            </w:pPr>
            <w:r>
              <w:rPr/>
              <w:t> </w:t>
            </w:r>
          </w:p>
        </w:tc>
      </w:tr>
      <w:tr>
        <w:trPr/>
        <w:tc>
          <w:tcPr>
            <w:tcW w:w="7136" w:type="dxa"/>
            <w:tcBorders/>
            <w:shd w:fill="FFFFFF" w:val="clear"/>
            <w:vAlign w:val="center"/>
          </w:tcPr>
          <w:p>
            <w:pPr>
              <w:pStyle w:val="TableContents"/>
              <w:bidi w:val="0"/>
              <w:spacing w:before="0" w:after="283"/>
              <w:jc w:val="left"/>
              <w:rPr/>
            </w:pPr>
            <w:r>
              <w:rPr/>
              <w:t>Accounts payable</w:t>
            </w:r>
          </w:p>
        </w:tc>
        <w:tc>
          <w:tcPr>
            <w:tcW w:w="60" w:type="dxa"/>
            <w:tcBorders/>
            <w:shd w:fill="FFFFFF" w:val="clear"/>
            <w:vAlign w:val="center"/>
          </w:tcPr>
          <w:p>
            <w:pPr>
              <w:pStyle w:val="TableContents"/>
              <w:bidi w:val="0"/>
              <w:spacing w:before="0" w:after="283"/>
              <w:jc w:val="left"/>
              <w:rPr/>
            </w:pPr>
            <w:r>
              <w:rPr/>
              <w:t> </w:t>
            </w:r>
          </w:p>
        </w:tc>
        <w:tc>
          <w:tcPr>
            <w:tcW w:w="158" w:type="dxa"/>
            <w:tcBorders/>
            <w:shd w:fill="FFFFFF" w:val="clear"/>
            <w:vAlign w:val="center"/>
          </w:tcPr>
          <w:p>
            <w:pPr>
              <w:pStyle w:val="TableContents"/>
              <w:bidi w:val="0"/>
              <w:spacing w:before="0" w:after="283"/>
              <w:jc w:val="left"/>
              <w:rPr/>
            </w:pPr>
            <w:r>
              <w:rPr/>
              <w:t>$</w:t>
            </w:r>
          </w:p>
        </w:tc>
        <w:tc>
          <w:tcPr>
            <w:tcW w:w="1247" w:type="dxa"/>
            <w:tcBorders/>
            <w:shd w:fill="FFFFFF" w:val="clear"/>
            <w:vAlign w:val="center"/>
          </w:tcPr>
          <w:p>
            <w:pPr>
              <w:pStyle w:val="TableContents"/>
              <w:bidi w:val="0"/>
              <w:spacing w:before="0" w:after="283"/>
              <w:jc w:val="right"/>
              <w:rPr/>
            </w:pPr>
            <w:r>
              <w:rPr/>
              <w:t>2,489,153</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0" w:type="dxa"/>
            <w:tcBorders/>
            <w:shd w:fill="FFFFFF" w:val="clear"/>
            <w:vAlign w:val="center"/>
          </w:tcPr>
          <w:p>
            <w:pPr>
              <w:pStyle w:val="TableContents"/>
              <w:bidi w:val="0"/>
              <w:spacing w:before="0" w:after="283"/>
              <w:jc w:val="left"/>
              <w:rPr/>
            </w:pPr>
            <w:r>
              <w:rPr/>
              <w:t>$</w:t>
            </w:r>
          </w:p>
        </w:tc>
        <w:tc>
          <w:tcPr>
            <w:tcW w:w="1187" w:type="dxa"/>
            <w:tcBorders/>
            <w:shd w:fill="FFFFFF" w:val="clear"/>
            <w:vAlign w:val="center"/>
          </w:tcPr>
          <w:p>
            <w:pPr>
              <w:pStyle w:val="TableContents"/>
              <w:bidi w:val="0"/>
              <w:spacing w:before="0" w:after="283"/>
              <w:jc w:val="right"/>
              <w:rPr/>
            </w:pPr>
            <w:r>
              <w:rPr/>
              <w:t>2,168,566</w:t>
            </w:r>
          </w:p>
        </w:tc>
        <w:tc>
          <w:tcPr>
            <w:tcW w:w="112" w:type="dxa"/>
            <w:tcBorders/>
            <w:shd w:fill="FFFFFF" w:val="clear"/>
            <w:vAlign w:val="center"/>
          </w:tcPr>
          <w:p>
            <w:pPr>
              <w:pStyle w:val="TableContents"/>
              <w:bidi w:val="0"/>
              <w:spacing w:before="0" w:after="283"/>
              <w:jc w:val="left"/>
              <w:rPr/>
            </w:pPr>
            <w:r>
              <w:rPr/>
              <w:t> </w:t>
            </w:r>
          </w:p>
        </w:tc>
      </w:tr>
      <w:tr>
        <w:trPr/>
        <w:tc>
          <w:tcPr>
            <w:tcW w:w="7136" w:type="dxa"/>
            <w:tcBorders/>
            <w:shd w:fill="CCEEFF" w:val="clear"/>
            <w:vAlign w:val="center"/>
          </w:tcPr>
          <w:p>
            <w:pPr>
              <w:pStyle w:val="TableContents"/>
              <w:bidi w:val="0"/>
              <w:spacing w:before="0" w:after="283"/>
              <w:jc w:val="left"/>
              <w:rPr/>
            </w:pPr>
            <w:r>
              <w:rPr/>
              <w:t>Accrued expenses</w:t>
            </w:r>
          </w:p>
        </w:tc>
        <w:tc>
          <w:tcPr>
            <w:tcW w:w="60" w:type="dxa"/>
            <w:tcBorders/>
            <w:shd w:fill="CCEEFF" w:val="clear"/>
            <w:vAlign w:val="center"/>
          </w:tcPr>
          <w:p>
            <w:pPr>
              <w:pStyle w:val="TableContents"/>
              <w:bidi w:val="0"/>
              <w:spacing w:before="0" w:after="283"/>
              <w:jc w:val="left"/>
              <w:rPr/>
            </w:pPr>
            <w:r>
              <w:rPr/>
              <w:t> </w:t>
            </w:r>
          </w:p>
        </w:tc>
        <w:tc>
          <w:tcPr>
            <w:tcW w:w="158" w:type="dxa"/>
            <w:tcBorders/>
            <w:shd w:fill="CCEEFF" w:val="clear"/>
            <w:vAlign w:val="center"/>
          </w:tcPr>
          <w:p>
            <w:pPr>
              <w:pStyle w:val="TableContents"/>
              <w:bidi w:val="0"/>
              <w:spacing w:before="0" w:after="283"/>
              <w:jc w:val="left"/>
              <w:rPr/>
            </w:pPr>
            <w:r>
              <w:rPr/>
              <w:t> </w:t>
            </w:r>
          </w:p>
        </w:tc>
        <w:tc>
          <w:tcPr>
            <w:tcW w:w="1247" w:type="dxa"/>
            <w:tcBorders/>
            <w:shd w:fill="CCEEFF" w:val="clear"/>
            <w:vAlign w:val="center"/>
          </w:tcPr>
          <w:p>
            <w:pPr>
              <w:pStyle w:val="TableContents"/>
              <w:bidi w:val="0"/>
              <w:spacing w:before="0" w:after="283"/>
              <w:jc w:val="right"/>
              <w:rPr/>
            </w:pPr>
            <w:r>
              <w:rPr/>
              <w:t>3,431,906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0" w:type="dxa"/>
            <w:tcBorders/>
            <w:shd w:fill="CCEEFF" w:val="clear"/>
            <w:vAlign w:val="center"/>
          </w:tcPr>
          <w:p>
            <w:pPr>
              <w:pStyle w:val="TableContents"/>
              <w:bidi w:val="0"/>
              <w:spacing w:before="0" w:after="283"/>
              <w:jc w:val="left"/>
              <w:rPr/>
            </w:pPr>
            <w:r>
              <w:rPr/>
              <w:t> </w:t>
            </w:r>
          </w:p>
        </w:tc>
        <w:tc>
          <w:tcPr>
            <w:tcW w:w="1187" w:type="dxa"/>
            <w:tcBorders/>
            <w:shd w:fill="CCEEFF" w:val="clear"/>
            <w:vAlign w:val="center"/>
          </w:tcPr>
          <w:p>
            <w:pPr>
              <w:pStyle w:val="TableContents"/>
              <w:bidi w:val="0"/>
              <w:spacing w:before="0" w:after="283"/>
              <w:jc w:val="right"/>
              <w:rPr/>
            </w:pPr>
            <w:r>
              <w:rPr/>
              <w:t>2,799,860</w:t>
            </w:r>
          </w:p>
        </w:tc>
        <w:tc>
          <w:tcPr>
            <w:tcW w:w="112" w:type="dxa"/>
            <w:tcBorders/>
            <w:shd w:fill="CCEEFF" w:val="clear"/>
            <w:vAlign w:val="center"/>
          </w:tcPr>
          <w:p>
            <w:pPr>
              <w:pStyle w:val="TableContents"/>
              <w:bidi w:val="0"/>
              <w:spacing w:before="0" w:after="283"/>
              <w:jc w:val="left"/>
              <w:rPr/>
            </w:pPr>
            <w:r>
              <w:rPr/>
              <w:t> </w:t>
            </w:r>
          </w:p>
        </w:tc>
      </w:tr>
      <w:tr>
        <w:trPr/>
        <w:tc>
          <w:tcPr>
            <w:tcW w:w="7136" w:type="dxa"/>
            <w:tcBorders/>
            <w:shd w:fill="FFFFFF" w:val="clear"/>
            <w:vAlign w:val="center"/>
          </w:tcPr>
          <w:p>
            <w:pPr>
              <w:pStyle w:val="TableContents"/>
              <w:bidi w:val="0"/>
              <w:spacing w:before="0" w:after="283"/>
              <w:jc w:val="left"/>
              <w:rPr/>
            </w:pPr>
            <w:r>
              <w:rPr/>
              <w:t>Accrued commissions</w:t>
            </w:r>
          </w:p>
        </w:tc>
        <w:tc>
          <w:tcPr>
            <w:tcW w:w="60" w:type="dxa"/>
            <w:tcBorders/>
            <w:shd w:fill="FFFFFF" w:val="clear"/>
            <w:vAlign w:val="center"/>
          </w:tcPr>
          <w:p>
            <w:pPr>
              <w:pStyle w:val="TableContents"/>
              <w:bidi w:val="0"/>
              <w:spacing w:before="0" w:after="283"/>
              <w:jc w:val="left"/>
              <w:rPr/>
            </w:pPr>
            <w:r>
              <w:rPr/>
              <w:t> </w:t>
            </w:r>
          </w:p>
        </w:tc>
        <w:tc>
          <w:tcPr>
            <w:tcW w:w="158" w:type="dxa"/>
            <w:tcBorders/>
            <w:shd w:fill="FFFFFF" w:val="clear"/>
            <w:vAlign w:val="center"/>
          </w:tcPr>
          <w:p>
            <w:pPr>
              <w:pStyle w:val="TableContents"/>
              <w:bidi w:val="0"/>
              <w:spacing w:before="0" w:after="283"/>
              <w:jc w:val="left"/>
              <w:rPr/>
            </w:pPr>
            <w:r>
              <w:rPr/>
              <w:t> </w:t>
            </w:r>
          </w:p>
        </w:tc>
        <w:tc>
          <w:tcPr>
            <w:tcW w:w="1247" w:type="dxa"/>
            <w:tcBorders/>
            <w:shd w:fill="FFFFFF" w:val="clear"/>
            <w:vAlign w:val="center"/>
          </w:tcPr>
          <w:p>
            <w:pPr>
              <w:pStyle w:val="TableContents"/>
              <w:bidi w:val="0"/>
              <w:spacing w:before="0" w:after="283"/>
              <w:jc w:val="right"/>
              <w:rPr/>
            </w:pPr>
            <w:r>
              <w:rPr/>
              <w:t>212,469</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0" w:type="dxa"/>
            <w:tcBorders/>
            <w:shd w:fill="FFFFFF" w:val="clear"/>
            <w:vAlign w:val="center"/>
          </w:tcPr>
          <w:p>
            <w:pPr>
              <w:pStyle w:val="TableContents"/>
              <w:bidi w:val="0"/>
              <w:spacing w:before="0" w:after="283"/>
              <w:jc w:val="left"/>
              <w:rPr/>
            </w:pPr>
            <w:r>
              <w:rPr/>
              <w:t> </w:t>
            </w:r>
          </w:p>
        </w:tc>
        <w:tc>
          <w:tcPr>
            <w:tcW w:w="1187" w:type="dxa"/>
            <w:tcBorders/>
            <w:shd w:fill="FFFFFF" w:val="clear"/>
            <w:vAlign w:val="center"/>
          </w:tcPr>
          <w:p>
            <w:pPr>
              <w:pStyle w:val="TableContents"/>
              <w:bidi w:val="0"/>
              <w:spacing w:before="0" w:after="283"/>
              <w:jc w:val="right"/>
              <w:rPr/>
            </w:pPr>
            <w:r>
              <w:rPr/>
              <w:t>180,114</w:t>
            </w:r>
          </w:p>
        </w:tc>
        <w:tc>
          <w:tcPr>
            <w:tcW w:w="112" w:type="dxa"/>
            <w:tcBorders/>
            <w:shd w:fill="FFFFFF" w:val="clear"/>
            <w:vAlign w:val="center"/>
          </w:tcPr>
          <w:p>
            <w:pPr>
              <w:pStyle w:val="TableContents"/>
              <w:bidi w:val="0"/>
              <w:spacing w:before="0" w:after="283"/>
              <w:jc w:val="left"/>
              <w:rPr/>
            </w:pPr>
            <w:r>
              <w:rPr/>
              <w:t> </w:t>
            </w:r>
          </w:p>
        </w:tc>
      </w:tr>
      <w:tr>
        <w:trPr/>
        <w:tc>
          <w:tcPr>
            <w:tcW w:w="7136" w:type="dxa"/>
            <w:tcBorders/>
            <w:shd w:fill="CCEEFF" w:val="clear"/>
            <w:vAlign w:val="center"/>
          </w:tcPr>
          <w:p>
            <w:pPr>
              <w:pStyle w:val="TableContents"/>
              <w:bidi w:val="0"/>
              <w:spacing w:before="0" w:after="283"/>
              <w:jc w:val="left"/>
              <w:rPr/>
            </w:pPr>
            <w:r>
              <w:rPr/>
              <w:t>Merchant cash advance, net of debt discount</w:t>
            </w:r>
          </w:p>
        </w:tc>
        <w:tc>
          <w:tcPr>
            <w:tcW w:w="60" w:type="dxa"/>
            <w:tcBorders/>
            <w:shd w:fill="CCEEFF" w:val="clear"/>
            <w:vAlign w:val="center"/>
          </w:tcPr>
          <w:p>
            <w:pPr>
              <w:pStyle w:val="TableContents"/>
              <w:bidi w:val="0"/>
              <w:spacing w:before="0" w:after="283"/>
              <w:jc w:val="left"/>
              <w:rPr/>
            </w:pPr>
            <w:r>
              <w:rPr/>
              <w:t> </w:t>
            </w:r>
          </w:p>
        </w:tc>
        <w:tc>
          <w:tcPr>
            <w:tcW w:w="158" w:type="dxa"/>
            <w:tcBorders/>
            <w:shd w:fill="CCEEFF" w:val="clear"/>
            <w:vAlign w:val="center"/>
          </w:tcPr>
          <w:p>
            <w:pPr>
              <w:pStyle w:val="TableContents"/>
              <w:bidi w:val="0"/>
              <w:spacing w:before="0" w:after="283"/>
              <w:jc w:val="left"/>
              <w:rPr/>
            </w:pPr>
            <w:r>
              <w:rPr/>
              <w:t> </w:t>
            </w:r>
          </w:p>
        </w:tc>
        <w:tc>
          <w:tcPr>
            <w:tcW w:w="1247" w:type="dxa"/>
            <w:tcBorders/>
            <w:shd w:fill="CCEEFF" w:val="clear"/>
            <w:vAlign w:val="center"/>
          </w:tcPr>
          <w:p>
            <w:pPr>
              <w:pStyle w:val="TableContents"/>
              <w:bidi w:val="0"/>
              <w:spacing w:before="0" w:after="283"/>
              <w:jc w:val="right"/>
              <w:rPr/>
            </w:pPr>
            <w:r>
              <w:rPr/>
              <w:t>487,500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0" w:type="dxa"/>
            <w:tcBorders/>
            <w:shd w:fill="CCEEFF" w:val="clear"/>
            <w:vAlign w:val="center"/>
          </w:tcPr>
          <w:p>
            <w:pPr>
              <w:pStyle w:val="TableContents"/>
              <w:bidi w:val="0"/>
              <w:spacing w:before="0" w:after="283"/>
              <w:jc w:val="left"/>
              <w:rPr/>
            </w:pPr>
            <w:r>
              <w:rPr/>
              <w:t> </w:t>
            </w:r>
          </w:p>
        </w:tc>
        <w:tc>
          <w:tcPr>
            <w:tcW w:w="1187" w:type="dxa"/>
            <w:tcBorders/>
            <w:shd w:fill="CCEEFF" w:val="clear"/>
            <w:vAlign w:val="center"/>
          </w:tcPr>
          <w:p>
            <w:pPr>
              <w:pStyle w:val="TableContents"/>
              <w:bidi w:val="0"/>
              <w:spacing w:before="0" w:after="283"/>
              <w:jc w:val="right"/>
              <w:rPr/>
            </w:pPr>
            <w:r>
              <w:rPr/>
              <w:t>-</w:t>
            </w:r>
          </w:p>
        </w:tc>
        <w:tc>
          <w:tcPr>
            <w:tcW w:w="112" w:type="dxa"/>
            <w:tcBorders/>
            <w:shd w:fill="CCEEFF" w:val="clear"/>
            <w:vAlign w:val="center"/>
          </w:tcPr>
          <w:p>
            <w:pPr>
              <w:pStyle w:val="TableContents"/>
              <w:bidi w:val="0"/>
              <w:spacing w:before="0" w:after="283"/>
              <w:jc w:val="left"/>
              <w:rPr/>
            </w:pPr>
            <w:r>
              <w:rPr/>
              <w:t> </w:t>
            </w:r>
          </w:p>
        </w:tc>
      </w:tr>
      <w:tr>
        <w:trPr/>
        <w:tc>
          <w:tcPr>
            <w:tcW w:w="7136" w:type="dxa"/>
            <w:tcBorders/>
            <w:shd w:fill="FFFFFF" w:val="clear"/>
            <w:vAlign w:val="center"/>
          </w:tcPr>
          <w:p>
            <w:pPr>
              <w:pStyle w:val="TableContents"/>
              <w:bidi w:val="0"/>
              <w:spacing w:before="0" w:after="283"/>
              <w:jc w:val="left"/>
              <w:rPr/>
            </w:pPr>
            <w:r>
              <w:rPr/>
              <w:t>Related-party accounts payable</w:t>
            </w:r>
          </w:p>
        </w:tc>
        <w:tc>
          <w:tcPr>
            <w:tcW w:w="60" w:type="dxa"/>
            <w:tcBorders/>
            <w:shd w:fill="FFFFFF" w:val="clear"/>
            <w:vAlign w:val="center"/>
          </w:tcPr>
          <w:p>
            <w:pPr>
              <w:pStyle w:val="TableContents"/>
              <w:bidi w:val="0"/>
              <w:spacing w:before="0" w:after="283"/>
              <w:jc w:val="left"/>
              <w:rPr/>
            </w:pPr>
            <w:r>
              <w:rPr/>
              <w:t> </w:t>
            </w:r>
          </w:p>
        </w:tc>
        <w:tc>
          <w:tcPr>
            <w:tcW w:w="158" w:type="dxa"/>
            <w:tcBorders/>
            <w:shd w:fill="FFFFFF" w:val="clear"/>
            <w:vAlign w:val="center"/>
          </w:tcPr>
          <w:p>
            <w:pPr>
              <w:pStyle w:val="TableContents"/>
              <w:bidi w:val="0"/>
              <w:spacing w:before="0" w:after="283"/>
              <w:jc w:val="left"/>
              <w:rPr/>
            </w:pPr>
            <w:r>
              <w:rPr/>
              <w:t> </w:t>
            </w:r>
          </w:p>
        </w:tc>
        <w:tc>
          <w:tcPr>
            <w:tcW w:w="1247" w:type="dxa"/>
            <w:tcBorders/>
            <w:shd w:fill="FFFFFF" w:val="clear"/>
            <w:vAlign w:val="center"/>
          </w:tcPr>
          <w:p>
            <w:pPr>
              <w:pStyle w:val="TableContents"/>
              <w:bidi w:val="0"/>
              <w:spacing w:before="0" w:after="283"/>
              <w:jc w:val="right"/>
              <w:rPr/>
            </w:pPr>
            <w:r>
              <w:rPr/>
              <w:t>294,384</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0" w:type="dxa"/>
            <w:tcBorders/>
            <w:shd w:fill="FFFFFF" w:val="clear"/>
            <w:vAlign w:val="center"/>
          </w:tcPr>
          <w:p>
            <w:pPr>
              <w:pStyle w:val="TableContents"/>
              <w:bidi w:val="0"/>
              <w:spacing w:before="0" w:after="283"/>
              <w:jc w:val="left"/>
              <w:rPr/>
            </w:pPr>
            <w:r>
              <w:rPr/>
              <w:t> </w:t>
            </w:r>
          </w:p>
        </w:tc>
        <w:tc>
          <w:tcPr>
            <w:tcW w:w="1187" w:type="dxa"/>
            <w:tcBorders/>
            <w:shd w:fill="FFFFFF" w:val="clear"/>
            <w:vAlign w:val="center"/>
          </w:tcPr>
          <w:p>
            <w:pPr>
              <w:pStyle w:val="TableContents"/>
              <w:bidi w:val="0"/>
              <w:spacing w:before="0" w:after="283"/>
              <w:jc w:val="right"/>
              <w:rPr/>
            </w:pPr>
            <w:r>
              <w:rPr/>
              <w:t>509,649</w:t>
            </w:r>
          </w:p>
        </w:tc>
        <w:tc>
          <w:tcPr>
            <w:tcW w:w="112" w:type="dxa"/>
            <w:tcBorders/>
            <w:shd w:fill="FFFFFF" w:val="clear"/>
            <w:vAlign w:val="center"/>
          </w:tcPr>
          <w:p>
            <w:pPr>
              <w:pStyle w:val="TableContents"/>
              <w:bidi w:val="0"/>
              <w:spacing w:before="0" w:after="283"/>
              <w:jc w:val="left"/>
              <w:rPr/>
            </w:pPr>
            <w:r>
              <w:rPr/>
              <w:t> </w:t>
            </w:r>
          </w:p>
        </w:tc>
      </w:tr>
      <w:tr>
        <w:trPr/>
        <w:tc>
          <w:tcPr>
            <w:tcW w:w="7136" w:type="dxa"/>
            <w:tcBorders/>
            <w:shd w:fill="CCEEFF" w:val="clear"/>
            <w:vAlign w:val="center"/>
          </w:tcPr>
          <w:p>
            <w:pPr>
              <w:pStyle w:val="TableContents"/>
              <w:bidi w:val="0"/>
              <w:spacing w:before="0" w:after="283"/>
              <w:jc w:val="left"/>
              <w:rPr/>
            </w:pPr>
            <w:r>
              <w:rPr/>
              <w:t>Deferred revenue</w:t>
            </w:r>
          </w:p>
        </w:tc>
        <w:tc>
          <w:tcPr>
            <w:tcW w:w="60" w:type="dxa"/>
            <w:tcBorders/>
            <w:shd w:fill="CCEEFF" w:val="clear"/>
            <w:vAlign w:val="center"/>
          </w:tcPr>
          <w:p>
            <w:pPr>
              <w:pStyle w:val="TableContents"/>
              <w:bidi w:val="0"/>
              <w:spacing w:before="0" w:after="283"/>
              <w:jc w:val="left"/>
              <w:rPr/>
            </w:pPr>
            <w:r>
              <w:rPr/>
              <w:t> </w:t>
            </w:r>
          </w:p>
        </w:tc>
        <w:tc>
          <w:tcPr>
            <w:tcW w:w="158" w:type="dxa"/>
            <w:tcBorders/>
            <w:shd w:fill="CCEEFF" w:val="clear"/>
            <w:vAlign w:val="center"/>
          </w:tcPr>
          <w:p>
            <w:pPr>
              <w:pStyle w:val="TableContents"/>
              <w:bidi w:val="0"/>
              <w:spacing w:before="0" w:after="283"/>
              <w:jc w:val="left"/>
              <w:rPr/>
            </w:pPr>
            <w:r>
              <w:rPr/>
              <w:t> </w:t>
            </w:r>
          </w:p>
        </w:tc>
        <w:tc>
          <w:tcPr>
            <w:tcW w:w="1247" w:type="dxa"/>
            <w:tcBorders/>
            <w:shd w:fill="CCEEFF" w:val="clear"/>
            <w:vAlign w:val="center"/>
          </w:tcPr>
          <w:p>
            <w:pPr>
              <w:pStyle w:val="TableContents"/>
              <w:bidi w:val="0"/>
              <w:spacing w:before="0" w:after="283"/>
              <w:jc w:val="right"/>
              <w:rPr/>
            </w:pPr>
            <w:r>
              <w:rPr/>
              <w:t>7,701,532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0" w:type="dxa"/>
            <w:tcBorders/>
            <w:shd w:fill="CCEEFF" w:val="clear"/>
            <w:vAlign w:val="center"/>
          </w:tcPr>
          <w:p>
            <w:pPr>
              <w:pStyle w:val="TableContents"/>
              <w:bidi w:val="0"/>
              <w:spacing w:before="0" w:after="283"/>
              <w:jc w:val="left"/>
              <w:rPr/>
            </w:pPr>
            <w:r>
              <w:rPr/>
              <w:t> </w:t>
            </w:r>
          </w:p>
        </w:tc>
        <w:tc>
          <w:tcPr>
            <w:tcW w:w="1187" w:type="dxa"/>
            <w:tcBorders/>
            <w:shd w:fill="CCEEFF" w:val="clear"/>
            <w:vAlign w:val="center"/>
          </w:tcPr>
          <w:p>
            <w:pPr>
              <w:pStyle w:val="TableContents"/>
              <w:bidi w:val="0"/>
              <w:spacing w:before="0" w:after="283"/>
              <w:jc w:val="right"/>
              <w:rPr/>
            </w:pPr>
            <w:r>
              <w:rPr/>
              <w:t>10,585,293</w:t>
            </w:r>
          </w:p>
        </w:tc>
        <w:tc>
          <w:tcPr>
            <w:tcW w:w="112" w:type="dxa"/>
            <w:tcBorders/>
            <w:shd w:fill="CCEEFF" w:val="clear"/>
            <w:vAlign w:val="center"/>
          </w:tcPr>
          <w:p>
            <w:pPr>
              <w:pStyle w:val="TableContents"/>
              <w:bidi w:val="0"/>
              <w:spacing w:before="0" w:after="283"/>
              <w:jc w:val="left"/>
              <w:rPr/>
            </w:pPr>
            <w:r>
              <w:rPr/>
              <w:t> </w:t>
            </w:r>
          </w:p>
        </w:tc>
      </w:tr>
      <w:tr>
        <w:trPr/>
        <w:tc>
          <w:tcPr>
            <w:tcW w:w="7136" w:type="dxa"/>
            <w:tcBorders/>
            <w:shd w:fill="FFFFFF" w:val="clear"/>
            <w:vAlign w:val="center"/>
          </w:tcPr>
          <w:p>
            <w:pPr>
              <w:pStyle w:val="TableContents"/>
              <w:bidi w:val="0"/>
              <w:spacing w:before="0" w:after="283"/>
              <w:jc w:val="left"/>
              <w:rPr/>
            </w:pPr>
            <w:r>
              <w:rPr/>
              <w:t>Current portion of operating lease liabilities</w:t>
            </w:r>
          </w:p>
        </w:tc>
        <w:tc>
          <w:tcPr>
            <w:tcW w:w="60" w:type="dxa"/>
            <w:tcBorders/>
            <w:shd w:fill="FFFFFF" w:val="clear"/>
            <w:vAlign w:val="center"/>
          </w:tcPr>
          <w:p>
            <w:pPr>
              <w:pStyle w:val="TableContents"/>
              <w:bidi w:val="0"/>
              <w:spacing w:before="0" w:after="283"/>
              <w:jc w:val="left"/>
              <w:rPr/>
            </w:pPr>
            <w:r>
              <w:rPr/>
              <w:t> </w:t>
            </w:r>
          </w:p>
        </w:tc>
        <w:tc>
          <w:tcPr>
            <w:tcW w:w="158" w:type="dxa"/>
            <w:tcBorders/>
            <w:shd w:fill="FFFFFF" w:val="clear"/>
            <w:vAlign w:val="center"/>
          </w:tcPr>
          <w:p>
            <w:pPr>
              <w:pStyle w:val="TableContents"/>
              <w:bidi w:val="0"/>
              <w:spacing w:before="0" w:after="283"/>
              <w:jc w:val="left"/>
              <w:rPr/>
            </w:pPr>
            <w:r>
              <w:rPr/>
              <w:t> </w:t>
            </w:r>
          </w:p>
        </w:tc>
        <w:tc>
          <w:tcPr>
            <w:tcW w:w="1247" w:type="dxa"/>
            <w:tcBorders/>
            <w:shd w:fill="FFFFFF" w:val="clear"/>
            <w:vAlign w:val="center"/>
          </w:tcPr>
          <w:p>
            <w:pPr>
              <w:pStyle w:val="TableContents"/>
              <w:bidi w:val="0"/>
              <w:spacing w:before="0" w:after="283"/>
              <w:jc w:val="right"/>
              <w:rPr/>
            </w:pPr>
            <w:r>
              <w:rPr/>
              <w:t>622,419</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0" w:type="dxa"/>
            <w:tcBorders/>
            <w:shd w:fill="FFFFFF" w:val="clear"/>
            <w:vAlign w:val="center"/>
          </w:tcPr>
          <w:p>
            <w:pPr>
              <w:pStyle w:val="TableContents"/>
              <w:bidi w:val="0"/>
              <w:spacing w:before="0" w:after="283"/>
              <w:jc w:val="left"/>
              <w:rPr/>
            </w:pPr>
            <w:r>
              <w:rPr/>
              <w:t> </w:t>
            </w:r>
          </w:p>
        </w:tc>
        <w:tc>
          <w:tcPr>
            <w:tcW w:w="1187" w:type="dxa"/>
            <w:tcBorders/>
            <w:shd w:fill="FFFFFF" w:val="clear"/>
            <w:vAlign w:val="center"/>
          </w:tcPr>
          <w:p>
            <w:pPr>
              <w:pStyle w:val="TableContents"/>
              <w:bidi w:val="0"/>
              <w:spacing w:before="0" w:after="283"/>
              <w:jc w:val="right"/>
              <w:rPr/>
            </w:pPr>
            <w:r>
              <w:rPr/>
              <w:t>401,456</w:t>
            </w:r>
          </w:p>
        </w:tc>
        <w:tc>
          <w:tcPr>
            <w:tcW w:w="112" w:type="dxa"/>
            <w:tcBorders/>
            <w:shd w:fill="FFFFFF" w:val="clear"/>
            <w:vAlign w:val="center"/>
          </w:tcPr>
          <w:p>
            <w:pPr>
              <w:pStyle w:val="TableContents"/>
              <w:bidi w:val="0"/>
              <w:spacing w:before="0" w:after="283"/>
              <w:jc w:val="left"/>
              <w:rPr/>
            </w:pPr>
            <w:r>
              <w:rPr/>
              <w:t> </w:t>
            </w:r>
          </w:p>
        </w:tc>
      </w:tr>
      <w:tr>
        <w:trPr/>
        <w:tc>
          <w:tcPr>
            <w:tcW w:w="7136" w:type="dxa"/>
            <w:tcBorders/>
            <w:shd w:fill="CCEEFF" w:val="clear"/>
            <w:vAlign w:val="center"/>
          </w:tcPr>
          <w:p>
            <w:pPr>
              <w:pStyle w:val="TableContents"/>
              <w:bidi w:val="0"/>
              <w:spacing w:before="0" w:after="283"/>
              <w:jc w:val="left"/>
              <w:rPr/>
            </w:pPr>
            <w:r>
              <w:rPr/>
              <w:t>Current portion of finance lease liabilities</w:t>
            </w:r>
          </w:p>
        </w:tc>
        <w:tc>
          <w:tcPr>
            <w:tcW w:w="60" w:type="dxa"/>
            <w:tcBorders/>
            <w:shd w:fill="CCEEFF" w:val="clear"/>
            <w:vAlign w:val="center"/>
          </w:tcPr>
          <w:p>
            <w:pPr>
              <w:pStyle w:val="TableContents"/>
              <w:bidi w:val="0"/>
              <w:spacing w:before="0" w:after="283"/>
              <w:jc w:val="left"/>
              <w:rPr/>
            </w:pPr>
            <w:r>
              <w:rPr/>
              <w:t> </w:t>
            </w:r>
          </w:p>
        </w:tc>
        <w:tc>
          <w:tcPr>
            <w:tcW w:w="158"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47" w:type="dxa"/>
            <w:tcBorders>
              <w:bottom w:val="single" w:sz="12" w:space="0" w:color="000000"/>
            </w:tcBorders>
            <w:shd w:fill="CCEEFF" w:val="clear"/>
            <w:tcMar>
              <w:bottom w:w="28" w:type="dxa"/>
            </w:tcMar>
            <w:vAlign w:val="center"/>
          </w:tcPr>
          <w:p>
            <w:pPr>
              <w:pStyle w:val="TableContents"/>
              <w:bidi w:val="0"/>
              <w:spacing w:before="0" w:after="283"/>
              <w:jc w:val="right"/>
              <w:rPr/>
            </w:pPr>
            <w:r>
              <w:rPr/>
              <w:t>308,794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87" w:type="dxa"/>
            <w:tcBorders>
              <w:bottom w:val="single" w:sz="12" w:space="0" w:color="000000"/>
            </w:tcBorders>
            <w:shd w:fill="CCEEFF" w:val="clear"/>
            <w:tcMar>
              <w:bottom w:w="28" w:type="dxa"/>
            </w:tcMar>
            <w:vAlign w:val="center"/>
          </w:tcPr>
          <w:p>
            <w:pPr>
              <w:pStyle w:val="TableContents"/>
              <w:bidi w:val="0"/>
              <w:spacing w:before="0" w:after="283"/>
              <w:jc w:val="right"/>
              <w:rPr/>
            </w:pPr>
            <w:r>
              <w:rPr/>
              <w:t>315,541</w:t>
            </w:r>
          </w:p>
        </w:tc>
        <w:tc>
          <w:tcPr>
            <w:tcW w:w="112" w:type="dxa"/>
            <w:tcBorders/>
            <w:shd w:fill="CCEEFF" w:val="clear"/>
            <w:vAlign w:val="center"/>
          </w:tcPr>
          <w:p>
            <w:pPr>
              <w:pStyle w:val="TableContents"/>
              <w:bidi w:val="0"/>
              <w:spacing w:before="0" w:after="283"/>
              <w:jc w:val="left"/>
              <w:rPr/>
            </w:pPr>
            <w:r>
              <w:rPr/>
              <w:t> </w:t>
            </w:r>
          </w:p>
        </w:tc>
      </w:tr>
      <w:tr>
        <w:trPr/>
        <w:tc>
          <w:tcPr>
            <w:tcW w:w="7136"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8" w:type="dxa"/>
            <w:tcBorders/>
            <w:shd w:fill="FFFFFF" w:val="clear"/>
            <w:vAlign w:val="center"/>
          </w:tcPr>
          <w:p>
            <w:pPr>
              <w:pStyle w:val="TableContents"/>
              <w:bidi w:val="0"/>
              <w:spacing w:before="0" w:after="283"/>
              <w:jc w:val="left"/>
              <w:rPr/>
            </w:pPr>
            <w:r>
              <w:rPr/>
              <w:t> </w:t>
            </w:r>
          </w:p>
        </w:tc>
        <w:tc>
          <w:tcPr>
            <w:tcW w:w="1247"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0" w:type="dxa"/>
            <w:tcBorders/>
            <w:shd w:fill="FFFFFF" w:val="clear"/>
            <w:vAlign w:val="center"/>
          </w:tcPr>
          <w:p>
            <w:pPr>
              <w:pStyle w:val="TableContents"/>
              <w:bidi w:val="0"/>
              <w:spacing w:before="0" w:after="283"/>
              <w:jc w:val="left"/>
              <w:rPr/>
            </w:pPr>
            <w:r>
              <w:rPr/>
              <w:t> </w:t>
            </w:r>
          </w:p>
        </w:tc>
        <w:tc>
          <w:tcPr>
            <w:tcW w:w="1187" w:type="dxa"/>
            <w:tcBorders/>
            <w:shd w:fill="FFFFFF" w:val="clear"/>
            <w:vAlign w:val="center"/>
          </w:tcPr>
          <w:p>
            <w:pPr>
              <w:pStyle w:val="TableContents"/>
              <w:bidi w:val="0"/>
              <w:spacing w:before="0" w:after="283"/>
              <w:jc w:val="right"/>
              <w:rPr/>
            </w:pPr>
            <w:r>
              <w:rPr/>
              <w:t> </w:t>
            </w:r>
          </w:p>
        </w:tc>
        <w:tc>
          <w:tcPr>
            <w:tcW w:w="112" w:type="dxa"/>
            <w:tcBorders/>
            <w:shd w:fill="FFFFFF" w:val="clear"/>
            <w:vAlign w:val="center"/>
          </w:tcPr>
          <w:p>
            <w:pPr>
              <w:pStyle w:val="TableContents"/>
              <w:bidi w:val="0"/>
              <w:spacing w:before="0" w:after="283"/>
              <w:jc w:val="left"/>
              <w:rPr/>
            </w:pPr>
            <w:r>
              <w:rPr/>
              <w:t> </w:t>
            </w:r>
          </w:p>
        </w:tc>
      </w:tr>
      <w:tr>
        <w:trPr/>
        <w:tc>
          <w:tcPr>
            <w:tcW w:w="7136" w:type="dxa"/>
            <w:tcBorders/>
            <w:shd w:fill="CCEEFF" w:val="clear"/>
            <w:vAlign w:val="center"/>
          </w:tcPr>
          <w:p>
            <w:pPr>
              <w:pStyle w:val="TableContents"/>
              <w:bidi w:val="0"/>
              <w:spacing w:before="0" w:after="283"/>
              <w:jc w:val="left"/>
              <w:rPr/>
            </w:pPr>
            <w:r>
              <w:rPr/>
              <w:t>Total current liabilities</w:t>
            </w:r>
          </w:p>
        </w:tc>
        <w:tc>
          <w:tcPr>
            <w:tcW w:w="60" w:type="dxa"/>
            <w:tcBorders/>
            <w:shd w:fill="CCEEFF" w:val="clear"/>
            <w:vAlign w:val="center"/>
          </w:tcPr>
          <w:p>
            <w:pPr>
              <w:pStyle w:val="TableContents"/>
              <w:bidi w:val="0"/>
              <w:spacing w:before="0" w:after="283"/>
              <w:jc w:val="left"/>
              <w:rPr/>
            </w:pPr>
            <w:r>
              <w:rPr/>
              <w:t> </w:t>
            </w:r>
          </w:p>
        </w:tc>
        <w:tc>
          <w:tcPr>
            <w:tcW w:w="158" w:type="dxa"/>
            <w:tcBorders/>
            <w:shd w:fill="CCEEFF" w:val="clear"/>
            <w:vAlign w:val="center"/>
          </w:tcPr>
          <w:p>
            <w:pPr>
              <w:pStyle w:val="TableContents"/>
              <w:bidi w:val="0"/>
              <w:spacing w:before="0" w:after="283"/>
              <w:jc w:val="left"/>
              <w:rPr/>
            </w:pPr>
            <w:r>
              <w:rPr/>
              <w:t> </w:t>
            </w:r>
          </w:p>
        </w:tc>
        <w:tc>
          <w:tcPr>
            <w:tcW w:w="1247" w:type="dxa"/>
            <w:tcBorders/>
            <w:shd w:fill="CCEEFF" w:val="clear"/>
            <w:vAlign w:val="center"/>
          </w:tcPr>
          <w:p>
            <w:pPr>
              <w:pStyle w:val="TableContents"/>
              <w:bidi w:val="0"/>
              <w:spacing w:before="0" w:after="283"/>
              <w:jc w:val="right"/>
              <w:rPr/>
            </w:pPr>
            <w:r>
              <w:rPr/>
              <w:t>15,548,157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0" w:type="dxa"/>
            <w:tcBorders/>
            <w:shd w:fill="CCEEFF" w:val="clear"/>
            <w:vAlign w:val="center"/>
          </w:tcPr>
          <w:p>
            <w:pPr>
              <w:pStyle w:val="TableContents"/>
              <w:bidi w:val="0"/>
              <w:spacing w:before="0" w:after="283"/>
              <w:jc w:val="left"/>
              <w:rPr/>
            </w:pPr>
            <w:r>
              <w:rPr/>
              <w:t> </w:t>
            </w:r>
          </w:p>
        </w:tc>
        <w:tc>
          <w:tcPr>
            <w:tcW w:w="1187" w:type="dxa"/>
            <w:tcBorders/>
            <w:shd w:fill="CCEEFF" w:val="clear"/>
            <w:vAlign w:val="center"/>
          </w:tcPr>
          <w:p>
            <w:pPr>
              <w:pStyle w:val="TableContents"/>
              <w:bidi w:val="0"/>
              <w:spacing w:before="0" w:after="283"/>
              <w:jc w:val="right"/>
              <w:rPr/>
            </w:pPr>
            <w:r>
              <w:rPr/>
              <w:t>16,960,479</w:t>
            </w:r>
          </w:p>
        </w:tc>
        <w:tc>
          <w:tcPr>
            <w:tcW w:w="112" w:type="dxa"/>
            <w:tcBorders/>
            <w:shd w:fill="CCEEFF" w:val="clear"/>
            <w:vAlign w:val="center"/>
          </w:tcPr>
          <w:p>
            <w:pPr>
              <w:pStyle w:val="TableContents"/>
              <w:bidi w:val="0"/>
              <w:spacing w:before="0" w:after="283"/>
              <w:jc w:val="left"/>
              <w:rPr/>
            </w:pPr>
            <w:r>
              <w:rPr/>
              <w:t> </w:t>
            </w:r>
          </w:p>
        </w:tc>
      </w:tr>
      <w:tr>
        <w:trPr/>
        <w:tc>
          <w:tcPr>
            <w:tcW w:w="7136"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8" w:type="dxa"/>
            <w:tcBorders/>
            <w:shd w:fill="FFFFFF" w:val="clear"/>
            <w:vAlign w:val="center"/>
          </w:tcPr>
          <w:p>
            <w:pPr>
              <w:pStyle w:val="TableContents"/>
              <w:bidi w:val="0"/>
              <w:spacing w:before="0" w:after="283"/>
              <w:jc w:val="left"/>
              <w:rPr/>
            </w:pPr>
            <w:r>
              <w:rPr/>
              <w:t> </w:t>
            </w:r>
          </w:p>
        </w:tc>
        <w:tc>
          <w:tcPr>
            <w:tcW w:w="1247"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0" w:type="dxa"/>
            <w:tcBorders/>
            <w:shd w:fill="FFFFFF" w:val="clear"/>
            <w:vAlign w:val="center"/>
          </w:tcPr>
          <w:p>
            <w:pPr>
              <w:pStyle w:val="TableContents"/>
              <w:bidi w:val="0"/>
              <w:spacing w:before="0" w:after="283"/>
              <w:jc w:val="left"/>
              <w:rPr/>
            </w:pPr>
            <w:r>
              <w:rPr/>
              <w:t> </w:t>
            </w:r>
          </w:p>
        </w:tc>
        <w:tc>
          <w:tcPr>
            <w:tcW w:w="1187" w:type="dxa"/>
            <w:tcBorders/>
            <w:shd w:fill="FFFFFF" w:val="clear"/>
            <w:vAlign w:val="center"/>
          </w:tcPr>
          <w:p>
            <w:pPr>
              <w:pStyle w:val="TableContents"/>
              <w:bidi w:val="0"/>
              <w:spacing w:before="0" w:after="283"/>
              <w:jc w:val="right"/>
              <w:rPr/>
            </w:pPr>
            <w:r>
              <w:rPr/>
              <w:t> </w:t>
            </w:r>
          </w:p>
        </w:tc>
        <w:tc>
          <w:tcPr>
            <w:tcW w:w="112" w:type="dxa"/>
            <w:tcBorders/>
            <w:shd w:fill="FFFFFF" w:val="clear"/>
            <w:vAlign w:val="center"/>
          </w:tcPr>
          <w:p>
            <w:pPr>
              <w:pStyle w:val="TableContents"/>
              <w:bidi w:val="0"/>
              <w:spacing w:before="0" w:after="283"/>
              <w:jc w:val="left"/>
              <w:rPr/>
            </w:pPr>
            <w:r>
              <w:rPr/>
              <w:t> </w:t>
            </w:r>
          </w:p>
        </w:tc>
      </w:tr>
      <w:tr>
        <w:trPr/>
        <w:tc>
          <w:tcPr>
            <w:tcW w:w="7136" w:type="dxa"/>
            <w:tcBorders/>
            <w:shd w:fill="CCEEFF" w:val="clear"/>
            <w:vAlign w:val="center"/>
          </w:tcPr>
          <w:p>
            <w:pPr>
              <w:pStyle w:val="TableContents"/>
              <w:bidi w:val="0"/>
              <w:spacing w:before="0" w:after="283"/>
              <w:jc w:val="left"/>
              <w:rPr/>
            </w:pPr>
            <w:r>
              <w:rPr/>
              <w:t>Operating lease liabilities, net of current portion</w:t>
            </w:r>
          </w:p>
        </w:tc>
        <w:tc>
          <w:tcPr>
            <w:tcW w:w="60" w:type="dxa"/>
            <w:tcBorders/>
            <w:shd w:fill="CCEEFF" w:val="clear"/>
            <w:vAlign w:val="center"/>
          </w:tcPr>
          <w:p>
            <w:pPr>
              <w:pStyle w:val="TableContents"/>
              <w:bidi w:val="0"/>
              <w:spacing w:before="0" w:after="283"/>
              <w:jc w:val="left"/>
              <w:rPr/>
            </w:pPr>
            <w:r>
              <w:rPr/>
              <w:t> </w:t>
            </w:r>
          </w:p>
        </w:tc>
        <w:tc>
          <w:tcPr>
            <w:tcW w:w="158" w:type="dxa"/>
            <w:tcBorders/>
            <w:shd w:fill="CCEEFF" w:val="clear"/>
            <w:vAlign w:val="center"/>
          </w:tcPr>
          <w:p>
            <w:pPr>
              <w:pStyle w:val="TableContents"/>
              <w:bidi w:val="0"/>
              <w:spacing w:before="0" w:after="283"/>
              <w:jc w:val="left"/>
              <w:rPr/>
            </w:pPr>
            <w:r>
              <w:rPr/>
              <w:t> </w:t>
            </w:r>
          </w:p>
        </w:tc>
        <w:tc>
          <w:tcPr>
            <w:tcW w:w="1247" w:type="dxa"/>
            <w:tcBorders/>
            <w:shd w:fill="CCEEFF" w:val="clear"/>
            <w:vAlign w:val="center"/>
          </w:tcPr>
          <w:p>
            <w:pPr>
              <w:pStyle w:val="TableContents"/>
              <w:bidi w:val="0"/>
              <w:spacing w:before="0" w:after="283"/>
              <w:jc w:val="right"/>
              <w:rPr/>
            </w:pPr>
            <w:r>
              <w:rPr/>
              <w:t>2,145,929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0" w:type="dxa"/>
            <w:tcBorders/>
            <w:shd w:fill="CCEEFF" w:val="clear"/>
            <w:vAlign w:val="center"/>
          </w:tcPr>
          <w:p>
            <w:pPr>
              <w:pStyle w:val="TableContents"/>
              <w:bidi w:val="0"/>
              <w:spacing w:before="0" w:after="283"/>
              <w:jc w:val="left"/>
              <w:rPr/>
            </w:pPr>
            <w:r>
              <w:rPr/>
              <w:t> </w:t>
            </w:r>
          </w:p>
        </w:tc>
        <w:tc>
          <w:tcPr>
            <w:tcW w:w="1187" w:type="dxa"/>
            <w:tcBorders/>
            <w:shd w:fill="CCEEFF" w:val="clear"/>
            <w:vAlign w:val="center"/>
          </w:tcPr>
          <w:p>
            <w:pPr>
              <w:pStyle w:val="TableContents"/>
              <w:bidi w:val="0"/>
              <w:spacing w:before="0" w:after="283"/>
              <w:jc w:val="right"/>
              <w:rPr/>
            </w:pPr>
            <w:r>
              <w:rPr/>
              <w:t>367,346</w:t>
            </w:r>
          </w:p>
        </w:tc>
        <w:tc>
          <w:tcPr>
            <w:tcW w:w="112" w:type="dxa"/>
            <w:tcBorders/>
            <w:shd w:fill="CCEEFF" w:val="clear"/>
            <w:vAlign w:val="center"/>
          </w:tcPr>
          <w:p>
            <w:pPr>
              <w:pStyle w:val="TableContents"/>
              <w:bidi w:val="0"/>
              <w:spacing w:before="0" w:after="283"/>
              <w:jc w:val="left"/>
              <w:rPr/>
            </w:pPr>
            <w:r>
              <w:rPr/>
              <w:t> </w:t>
            </w:r>
          </w:p>
        </w:tc>
      </w:tr>
      <w:tr>
        <w:trPr/>
        <w:tc>
          <w:tcPr>
            <w:tcW w:w="7136" w:type="dxa"/>
            <w:tcBorders/>
            <w:shd w:fill="FFFFFF" w:val="clear"/>
            <w:vAlign w:val="center"/>
          </w:tcPr>
          <w:p>
            <w:pPr>
              <w:pStyle w:val="TableContents"/>
              <w:bidi w:val="0"/>
              <w:spacing w:before="0" w:after="283"/>
              <w:jc w:val="left"/>
              <w:rPr/>
            </w:pPr>
            <w:r>
              <w:rPr/>
              <w:t>Finance lease liabilities, net of current portion</w:t>
            </w:r>
          </w:p>
        </w:tc>
        <w:tc>
          <w:tcPr>
            <w:tcW w:w="60" w:type="dxa"/>
            <w:tcBorders/>
            <w:shd w:fill="FFFFFF" w:val="clear"/>
            <w:vAlign w:val="center"/>
          </w:tcPr>
          <w:p>
            <w:pPr>
              <w:pStyle w:val="TableContents"/>
              <w:bidi w:val="0"/>
              <w:spacing w:before="0" w:after="283"/>
              <w:jc w:val="left"/>
              <w:rPr/>
            </w:pPr>
            <w:r>
              <w:rPr/>
              <w:t> </w:t>
            </w:r>
          </w:p>
        </w:tc>
        <w:tc>
          <w:tcPr>
            <w:tcW w:w="158" w:type="dxa"/>
            <w:tcBorders/>
            <w:shd w:fill="FFFFFF" w:val="clear"/>
            <w:vAlign w:val="center"/>
          </w:tcPr>
          <w:p>
            <w:pPr>
              <w:pStyle w:val="TableContents"/>
              <w:bidi w:val="0"/>
              <w:spacing w:before="0" w:after="283"/>
              <w:jc w:val="left"/>
              <w:rPr/>
            </w:pPr>
            <w:r>
              <w:rPr/>
              <w:t> </w:t>
            </w:r>
          </w:p>
        </w:tc>
        <w:tc>
          <w:tcPr>
            <w:tcW w:w="1247" w:type="dxa"/>
            <w:tcBorders/>
            <w:shd w:fill="FFFFFF" w:val="clear"/>
            <w:vAlign w:val="center"/>
          </w:tcPr>
          <w:p>
            <w:pPr>
              <w:pStyle w:val="TableContents"/>
              <w:bidi w:val="0"/>
              <w:spacing w:before="0" w:after="283"/>
              <w:jc w:val="right"/>
              <w:rPr/>
            </w:pPr>
            <w:r>
              <w:rPr/>
              <w:t>985,849</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0" w:type="dxa"/>
            <w:tcBorders/>
            <w:shd w:fill="FFFFFF" w:val="clear"/>
            <w:vAlign w:val="center"/>
          </w:tcPr>
          <w:p>
            <w:pPr>
              <w:pStyle w:val="TableContents"/>
              <w:bidi w:val="0"/>
              <w:spacing w:before="0" w:after="283"/>
              <w:jc w:val="left"/>
              <w:rPr/>
            </w:pPr>
            <w:r>
              <w:rPr/>
              <w:t> </w:t>
            </w:r>
          </w:p>
        </w:tc>
        <w:tc>
          <w:tcPr>
            <w:tcW w:w="1187" w:type="dxa"/>
            <w:tcBorders/>
            <w:shd w:fill="FFFFFF" w:val="clear"/>
            <w:vAlign w:val="center"/>
          </w:tcPr>
          <w:p>
            <w:pPr>
              <w:pStyle w:val="TableContents"/>
              <w:bidi w:val="0"/>
              <w:spacing w:before="0" w:after="283"/>
              <w:jc w:val="right"/>
              <w:rPr/>
            </w:pPr>
            <w:r>
              <w:rPr/>
              <w:t>1,228,546</w:t>
            </w:r>
          </w:p>
        </w:tc>
        <w:tc>
          <w:tcPr>
            <w:tcW w:w="112" w:type="dxa"/>
            <w:tcBorders/>
            <w:shd w:fill="FFFFFF" w:val="clear"/>
            <w:vAlign w:val="center"/>
          </w:tcPr>
          <w:p>
            <w:pPr>
              <w:pStyle w:val="TableContents"/>
              <w:bidi w:val="0"/>
              <w:spacing w:before="0" w:after="283"/>
              <w:jc w:val="left"/>
              <w:rPr/>
            </w:pPr>
            <w:r>
              <w:rPr/>
              <w:t> </w:t>
            </w:r>
          </w:p>
        </w:tc>
      </w:tr>
      <w:tr>
        <w:trPr/>
        <w:tc>
          <w:tcPr>
            <w:tcW w:w="7136" w:type="dxa"/>
            <w:tcBorders/>
            <w:shd w:fill="CCEEFF" w:val="clear"/>
            <w:vAlign w:val="center"/>
          </w:tcPr>
          <w:p>
            <w:pPr>
              <w:pStyle w:val="TableContents"/>
              <w:bidi w:val="0"/>
              <w:spacing w:before="0" w:after="283"/>
              <w:jc w:val="left"/>
              <w:rPr/>
            </w:pPr>
            <w:r>
              <w:rPr/>
              <w:t>Related-party lines of credit</w:t>
            </w:r>
          </w:p>
        </w:tc>
        <w:tc>
          <w:tcPr>
            <w:tcW w:w="60" w:type="dxa"/>
            <w:tcBorders/>
            <w:shd w:fill="CCEEFF" w:val="clear"/>
            <w:vAlign w:val="center"/>
          </w:tcPr>
          <w:p>
            <w:pPr>
              <w:pStyle w:val="TableContents"/>
              <w:bidi w:val="0"/>
              <w:spacing w:before="0" w:after="283"/>
              <w:jc w:val="left"/>
              <w:rPr/>
            </w:pPr>
            <w:r>
              <w:rPr/>
              <w:t> </w:t>
            </w:r>
          </w:p>
        </w:tc>
        <w:tc>
          <w:tcPr>
            <w:tcW w:w="158" w:type="dxa"/>
            <w:tcBorders/>
            <w:shd w:fill="CCEEFF" w:val="clear"/>
            <w:vAlign w:val="center"/>
          </w:tcPr>
          <w:p>
            <w:pPr>
              <w:pStyle w:val="TableContents"/>
              <w:bidi w:val="0"/>
              <w:spacing w:before="0" w:after="283"/>
              <w:jc w:val="left"/>
              <w:rPr/>
            </w:pPr>
            <w:r>
              <w:rPr/>
              <w:t> </w:t>
            </w:r>
          </w:p>
        </w:tc>
        <w:tc>
          <w:tcPr>
            <w:tcW w:w="1247" w:type="dxa"/>
            <w:tcBorders/>
            <w:shd w:fill="CCEEFF" w:val="clear"/>
            <w:vAlign w:val="center"/>
          </w:tcPr>
          <w:p>
            <w:pPr>
              <w:pStyle w:val="TableContents"/>
              <w:bidi w:val="0"/>
              <w:spacing w:before="0" w:after="283"/>
              <w:jc w:val="right"/>
              <w:rPr/>
            </w:pPr>
            <w:r>
              <w:rPr/>
              <w:t>2,675,000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0" w:type="dxa"/>
            <w:tcBorders/>
            <w:shd w:fill="CCEEFF" w:val="clear"/>
            <w:vAlign w:val="center"/>
          </w:tcPr>
          <w:p>
            <w:pPr>
              <w:pStyle w:val="TableContents"/>
              <w:bidi w:val="0"/>
              <w:spacing w:before="0" w:after="283"/>
              <w:jc w:val="left"/>
              <w:rPr/>
            </w:pPr>
            <w:r>
              <w:rPr/>
              <w:t> </w:t>
            </w:r>
          </w:p>
        </w:tc>
        <w:tc>
          <w:tcPr>
            <w:tcW w:w="1187" w:type="dxa"/>
            <w:tcBorders/>
            <w:shd w:fill="CCEEFF" w:val="clear"/>
            <w:vAlign w:val="center"/>
          </w:tcPr>
          <w:p>
            <w:pPr>
              <w:pStyle w:val="TableContents"/>
              <w:bidi w:val="0"/>
              <w:spacing w:before="0" w:after="283"/>
              <w:jc w:val="right"/>
              <w:rPr/>
            </w:pPr>
            <w:r>
              <w:rPr/>
              <w:t>2,175,000</w:t>
            </w:r>
          </w:p>
        </w:tc>
        <w:tc>
          <w:tcPr>
            <w:tcW w:w="112" w:type="dxa"/>
            <w:tcBorders/>
            <w:shd w:fill="CCEEFF" w:val="clear"/>
            <w:vAlign w:val="center"/>
          </w:tcPr>
          <w:p>
            <w:pPr>
              <w:pStyle w:val="TableContents"/>
              <w:bidi w:val="0"/>
              <w:spacing w:before="0" w:after="283"/>
              <w:jc w:val="left"/>
              <w:rPr/>
            </w:pPr>
            <w:r>
              <w:rPr/>
              <w:t> </w:t>
            </w:r>
          </w:p>
        </w:tc>
      </w:tr>
      <w:tr>
        <w:trPr/>
        <w:tc>
          <w:tcPr>
            <w:tcW w:w="7136" w:type="dxa"/>
            <w:tcBorders/>
            <w:shd w:fill="FFFFFF" w:val="clear"/>
            <w:vAlign w:val="center"/>
          </w:tcPr>
          <w:p>
            <w:pPr>
              <w:pStyle w:val="TableContents"/>
              <w:bidi w:val="0"/>
              <w:spacing w:before="0" w:after="283"/>
              <w:jc w:val="left"/>
              <w:rPr/>
            </w:pPr>
            <w:r>
              <w:rPr/>
              <w:t>Related-party notes payable</w:t>
            </w:r>
          </w:p>
        </w:tc>
        <w:tc>
          <w:tcPr>
            <w:tcW w:w="60" w:type="dxa"/>
            <w:tcBorders/>
            <w:shd w:fill="FFFFFF" w:val="clear"/>
            <w:vAlign w:val="center"/>
          </w:tcPr>
          <w:p>
            <w:pPr>
              <w:pStyle w:val="TableContents"/>
              <w:bidi w:val="0"/>
              <w:spacing w:before="0" w:after="283"/>
              <w:jc w:val="left"/>
              <w:rPr/>
            </w:pPr>
            <w:r>
              <w:rPr/>
              <w:t> </w:t>
            </w:r>
          </w:p>
        </w:tc>
        <w:tc>
          <w:tcPr>
            <w:tcW w:w="158"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47" w:type="dxa"/>
            <w:tcBorders>
              <w:bottom w:val="single" w:sz="12" w:space="0" w:color="000000"/>
            </w:tcBorders>
            <w:shd w:fill="FFFFFF" w:val="clear"/>
            <w:tcMar>
              <w:bottom w:w="28" w:type="dxa"/>
            </w:tcMar>
            <w:vAlign w:val="center"/>
          </w:tcPr>
          <w:p>
            <w:pPr>
              <w:pStyle w:val="TableContents"/>
              <w:bidi w:val="0"/>
              <w:spacing w:before="0" w:after="283"/>
              <w:jc w:val="right"/>
              <w:rPr/>
            </w:pPr>
            <w:r>
              <w:rPr/>
              <w:t>7,140,109</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87" w:type="dxa"/>
            <w:tcBorders>
              <w:bottom w:val="single" w:sz="12" w:space="0" w:color="000000"/>
            </w:tcBorders>
            <w:shd w:fill="FFFFFF" w:val="clear"/>
            <w:tcMar>
              <w:bottom w:w="28" w:type="dxa"/>
            </w:tcMar>
            <w:vAlign w:val="center"/>
          </w:tcPr>
          <w:p>
            <w:pPr>
              <w:pStyle w:val="TableContents"/>
              <w:bidi w:val="0"/>
              <w:spacing w:before="0" w:after="283"/>
              <w:jc w:val="right"/>
              <w:rPr/>
            </w:pPr>
            <w:r>
              <w:rPr/>
              <w:t>7,140,109</w:t>
            </w:r>
          </w:p>
        </w:tc>
        <w:tc>
          <w:tcPr>
            <w:tcW w:w="112" w:type="dxa"/>
            <w:tcBorders/>
            <w:shd w:fill="FFFFFF" w:val="clear"/>
            <w:vAlign w:val="center"/>
          </w:tcPr>
          <w:p>
            <w:pPr>
              <w:pStyle w:val="TableContents"/>
              <w:bidi w:val="0"/>
              <w:spacing w:before="0" w:after="283"/>
              <w:jc w:val="left"/>
              <w:rPr/>
            </w:pPr>
            <w:r>
              <w:rPr/>
              <w:t> </w:t>
            </w:r>
          </w:p>
        </w:tc>
      </w:tr>
      <w:tr>
        <w:trPr/>
        <w:tc>
          <w:tcPr>
            <w:tcW w:w="7136"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8" w:type="dxa"/>
            <w:tcBorders/>
            <w:shd w:fill="CCEEFF" w:val="clear"/>
            <w:vAlign w:val="center"/>
          </w:tcPr>
          <w:p>
            <w:pPr>
              <w:pStyle w:val="TableContents"/>
              <w:bidi w:val="0"/>
              <w:spacing w:before="0" w:after="283"/>
              <w:jc w:val="left"/>
              <w:rPr/>
            </w:pPr>
            <w:r>
              <w:rPr/>
              <w:t> </w:t>
            </w:r>
          </w:p>
        </w:tc>
        <w:tc>
          <w:tcPr>
            <w:tcW w:w="1247"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0" w:type="dxa"/>
            <w:tcBorders/>
            <w:shd w:fill="CCEEFF" w:val="clear"/>
            <w:vAlign w:val="center"/>
          </w:tcPr>
          <w:p>
            <w:pPr>
              <w:pStyle w:val="TableContents"/>
              <w:bidi w:val="0"/>
              <w:spacing w:before="0" w:after="283"/>
              <w:jc w:val="left"/>
              <w:rPr/>
            </w:pPr>
            <w:r>
              <w:rPr/>
              <w:t> </w:t>
            </w:r>
          </w:p>
        </w:tc>
        <w:tc>
          <w:tcPr>
            <w:tcW w:w="1187" w:type="dxa"/>
            <w:tcBorders/>
            <w:shd w:fill="CCEEFF" w:val="clear"/>
            <w:vAlign w:val="center"/>
          </w:tcPr>
          <w:p>
            <w:pPr>
              <w:pStyle w:val="TableContents"/>
              <w:bidi w:val="0"/>
              <w:spacing w:before="0" w:after="283"/>
              <w:jc w:val="right"/>
              <w:rPr/>
            </w:pPr>
            <w:r>
              <w:rPr/>
              <w:t> </w:t>
            </w:r>
          </w:p>
        </w:tc>
        <w:tc>
          <w:tcPr>
            <w:tcW w:w="112" w:type="dxa"/>
            <w:tcBorders/>
            <w:shd w:fill="CCEEFF" w:val="clear"/>
            <w:vAlign w:val="center"/>
          </w:tcPr>
          <w:p>
            <w:pPr>
              <w:pStyle w:val="TableContents"/>
              <w:bidi w:val="0"/>
              <w:spacing w:before="0" w:after="283"/>
              <w:jc w:val="left"/>
              <w:rPr/>
            </w:pPr>
            <w:r>
              <w:rPr/>
              <w:t> </w:t>
            </w:r>
          </w:p>
        </w:tc>
      </w:tr>
      <w:tr>
        <w:trPr/>
        <w:tc>
          <w:tcPr>
            <w:tcW w:w="7136" w:type="dxa"/>
            <w:tcBorders/>
            <w:shd w:fill="FFFFFF" w:val="clear"/>
            <w:vAlign w:val="center"/>
          </w:tcPr>
          <w:p>
            <w:pPr>
              <w:pStyle w:val="TableContents"/>
              <w:bidi w:val="0"/>
              <w:spacing w:before="0" w:after="283"/>
              <w:jc w:val="left"/>
              <w:rPr/>
            </w:pPr>
            <w:r>
              <w:rPr/>
              <w:t>Total liabilities</w:t>
            </w:r>
          </w:p>
        </w:tc>
        <w:tc>
          <w:tcPr>
            <w:tcW w:w="60" w:type="dxa"/>
            <w:tcBorders/>
            <w:shd w:fill="FFFFFF" w:val="clear"/>
            <w:vAlign w:val="center"/>
          </w:tcPr>
          <w:p>
            <w:pPr>
              <w:pStyle w:val="TableContents"/>
              <w:bidi w:val="0"/>
              <w:spacing w:before="0" w:after="283"/>
              <w:jc w:val="left"/>
              <w:rPr/>
            </w:pPr>
            <w:r>
              <w:rPr/>
              <w:t> </w:t>
            </w:r>
          </w:p>
        </w:tc>
        <w:tc>
          <w:tcPr>
            <w:tcW w:w="158"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47" w:type="dxa"/>
            <w:tcBorders>
              <w:bottom w:val="single" w:sz="12" w:space="0" w:color="000000"/>
            </w:tcBorders>
            <w:shd w:fill="FFFFFF" w:val="clear"/>
            <w:tcMar>
              <w:bottom w:w="28" w:type="dxa"/>
            </w:tcMar>
            <w:vAlign w:val="center"/>
          </w:tcPr>
          <w:p>
            <w:pPr>
              <w:pStyle w:val="TableContents"/>
              <w:bidi w:val="0"/>
              <w:spacing w:before="0" w:after="283"/>
              <w:jc w:val="right"/>
              <w:rPr/>
            </w:pPr>
            <w:r>
              <w:rPr/>
              <w:t>28,495,044</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87" w:type="dxa"/>
            <w:tcBorders>
              <w:bottom w:val="single" w:sz="12" w:space="0" w:color="000000"/>
            </w:tcBorders>
            <w:shd w:fill="FFFFFF" w:val="clear"/>
            <w:tcMar>
              <w:bottom w:w="28" w:type="dxa"/>
            </w:tcMar>
            <w:vAlign w:val="center"/>
          </w:tcPr>
          <w:p>
            <w:pPr>
              <w:pStyle w:val="TableContents"/>
              <w:bidi w:val="0"/>
              <w:spacing w:before="0" w:after="283"/>
              <w:jc w:val="right"/>
              <w:rPr/>
            </w:pPr>
            <w:r>
              <w:rPr/>
              <w:t>27,871,480</w:t>
            </w:r>
          </w:p>
        </w:tc>
        <w:tc>
          <w:tcPr>
            <w:tcW w:w="112" w:type="dxa"/>
            <w:tcBorders/>
            <w:shd w:fill="FFFFFF" w:val="clear"/>
            <w:vAlign w:val="center"/>
          </w:tcPr>
          <w:p>
            <w:pPr>
              <w:pStyle w:val="TableContents"/>
              <w:bidi w:val="0"/>
              <w:spacing w:before="0" w:after="283"/>
              <w:jc w:val="left"/>
              <w:rPr/>
            </w:pPr>
            <w:r>
              <w:rPr/>
              <w:t> </w:t>
            </w:r>
          </w:p>
        </w:tc>
      </w:tr>
      <w:tr>
        <w:trPr/>
        <w:tc>
          <w:tcPr>
            <w:tcW w:w="7136"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8" w:type="dxa"/>
            <w:tcBorders/>
            <w:shd w:fill="CCEEFF" w:val="clear"/>
            <w:vAlign w:val="center"/>
          </w:tcPr>
          <w:p>
            <w:pPr>
              <w:pStyle w:val="TableContents"/>
              <w:bidi w:val="0"/>
              <w:spacing w:before="0" w:after="283"/>
              <w:jc w:val="left"/>
              <w:rPr/>
            </w:pPr>
            <w:r>
              <w:rPr/>
              <w:t> </w:t>
            </w:r>
          </w:p>
        </w:tc>
        <w:tc>
          <w:tcPr>
            <w:tcW w:w="1247"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0" w:type="dxa"/>
            <w:tcBorders/>
            <w:shd w:fill="CCEEFF" w:val="clear"/>
            <w:vAlign w:val="center"/>
          </w:tcPr>
          <w:p>
            <w:pPr>
              <w:pStyle w:val="TableContents"/>
              <w:bidi w:val="0"/>
              <w:spacing w:before="0" w:after="283"/>
              <w:jc w:val="left"/>
              <w:rPr/>
            </w:pPr>
            <w:r>
              <w:rPr/>
              <w:t> </w:t>
            </w:r>
          </w:p>
        </w:tc>
        <w:tc>
          <w:tcPr>
            <w:tcW w:w="1187" w:type="dxa"/>
            <w:tcBorders/>
            <w:shd w:fill="CCEEFF" w:val="clear"/>
            <w:vAlign w:val="center"/>
          </w:tcPr>
          <w:p>
            <w:pPr>
              <w:pStyle w:val="TableContents"/>
              <w:bidi w:val="0"/>
              <w:spacing w:before="0" w:after="283"/>
              <w:jc w:val="right"/>
              <w:rPr/>
            </w:pPr>
            <w:r>
              <w:rPr/>
              <w:t> </w:t>
            </w:r>
          </w:p>
        </w:tc>
        <w:tc>
          <w:tcPr>
            <w:tcW w:w="112" w:type="dxa"/>
            <w:tcBorders/>
            <w:shd w:fill="CCEEFF" w:val="clear"/>
            <w:vAlign w:val="center"/>
          </w:tcPr>
          <w:p>
            <w:pPr>
              <w:pStyle w:val="TableContents"/>
              <w:bidi w:val="0"/>
              <w:spacing w:before="0" w:after="283"/>
              <w:jc w:val="left"/>
              <w:rPr/>
            </w:pPr>
            <w:r>
              <w:rPr/>
              <w:t> </w:t>
            </w:r>
          </w:p>
        </w:tc>
      </w:tr>
      <w:tr>
        <w:trPr/>
        <w:tc>
          <w:tcPr>
            <w:tcW w:w="7136" w:type="dxa"/>
            <w:tcBorders/>
            <w:shd w:fill="FFFFFF" w:val="clear"/>
            <w:vAlign w:val="center"/>
          </w:tcPr>
          <w:p>
            <w:pPr>
              <w:pStyle w:val="TableContents"/>
              <w:bidi w:val="0"/>
              <w:spacing w:before="0" w:after="283"/>
              <w:jc w:val="left"/>
              <w:rPr/>
            </w:pPr>
            <w:r>
              <w:rPr/>
              <w:t>Commitments and contingencies</w:t>
            </w:r>
          </w:p>
        </w:tc>
        <w:tc>
          <w:tcPr>
            <w:tcW w:w="60" w:type="dxa"/>
            <w:tcBorders/>
            <w:shd w:fill="FFFFFF" w:val="clear"/>
            <w:vAlign w:val="center"/>
          </w:tcPr>
          <w:p>
            <w:pPr>
              <w:pStyle w:val="TableContents"/>
              <w:bidi w:val="0"/>
              <w:spacing w:before="0" w:after="283"/>
              <w:jc w:val="left"/>
              <w:rPr/>
            </w:pPr>
            <w:r>
              <w:rPr/>
              <w:t> </w:t>
            </w:r>
          </w:p>
        </w:tc>
        <w:tc>
          <w:tcPr>
            <w:tcW w:w="158" w:type="dxa"/>
            <w:tcBorders/>
            <w:shd w:fill="FFFFFF" w:val="clear"/>
            <w:vAlign w:val="center"/>
          </w:tcPr>
          <w:p>
            <w:pPr>
              <w:pStyle w:val="TableContents"/>
              <w:bidi w:val="0"/>
              <w:spacing w:before="0" w:after="283"/>
              <w:jc w:val="left"/>
              <w:rPr/>
            </w:pPr>
            <w:r>
              <w:rPr/>
              <w:t> </w:t>
            </w:r>
          </w:p>
        </w:tc>
        <w:tc>
          <w:tcPr>
            <w:tcW w:w="1247"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0" w:type="dxa"/>
            <w:tcBorders/>
            <w:shd w:fill="FFFFFF" w:val="clear"/>
            <w:vAlign w:val="center"/>
          </w:tcPr>
          <w:p>
            <w:pPr>
              <w:pStyle w:val="TableContents"/>
              <w:bidi w:val="0"/>
              <w:spacing w:before="0" w:after="283"/>
              <w:jc w:val="left"/>
              <w:rPr/>
            </w:pPr>
            <w:r>
              <w:rPr/>
              <w:t> </w:t>
            </w:r>
          </w:p>
        </w:tc>
        <w:tc>
          <w:tcPr>
            <w:tcW w:w="1187" w:type="dxa"/>
            <w:tcBorders/>
            <w:shd w:fill="FFFFFF" w:val="clear"/>
            <w:vAlign w:val="center"/>
          </w:tcPr>
          <w:p>
            <w:pPr>
              <w:pStyle w:val="TableContents"/>
              <w:bidi w:val="0"/>
              <w:spacing w:before="0" w:after="283"/>
              <w:jc w:val="right"/>
              <w:rPr/>
            </w:pPr>
            <w:r>
              <w:rPr/>
              <w:t> </w:t>
            </w:r>
          </w:p>
        </w:tc>
        <w:tc>
          <w:tcPr>
            <w:tcW w:w="112" w:type="dxa"/>
            <w:tcBorders/>
            <w:shd w:fill="FFFFFF" w:val="clear"/>
            <w:vAlign w:val="center"/>
          </w:tcPr>
          <w:p>
            <w:pPr>
              <w:pStyle w:val="TableContents"/>
              <w:bidi w:val="0"/>
              <w:spacing w:before="0" w:after="283"/>
              <w:jc w:val="left"/>
              <w:rPr/>
            </w:pPr>
            <w:r>
              <w:rPr/>
              <w:t> </w:t>
            </w:r>
          </w:p>
        </w:tc>
      </w:tr>
      <w:tr>
        <w:trPr/>
        <w:tc>
          <w:tcPr>
            <w:tcW w:w="7136"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8" w:type="dxa"/>
            <w:tcBorders/>
            <w:shd w:fill="CCEEFF" w:val="clear"/>
            <w:vAlign w:val="center"/>
          </w:tcPr>
          <w:p>
            <w:pPr>
              <w:pStyle w:val="TableContents"/>
              <w:bidi w:val="0"/>
              <w:spacing w:before="0" w:after="283"/>
              <w:jc w:val="left"/>
              <w:rPr/>
            </w:pPr>
            <w:r>
              <w:rPr/>
              <w:t> </w:t>
            </w:r>
          </w:p>
        </w:tc>
        <w:tc>
          <w:tcPr>
            <w:tcW w:w="1247"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0" w:type="dxa"/>
            <w:tcBorders/>
            <w:shd w:fill="CCEEFF" w:val="clear"/>
            <w:vAlign w:val="center"/>
          </w:tcPr>
          <w:p>
            <w:pPr>
              <w:pStyle w:val="TableContents"/>
              <w:bidi w:val="0"/>
              <w:spacing w:before="0" w:after="283"/>
              <w:jc w:val="left"/>
              <w:rPr/>
            </w:pPr>
            <w:r>
              <w:rPr/>
              <w:t> </w:t>
            </w:r>
          </w:p>
        </w:tc>
        <w:tc>
          <w:tcPr>
            <w:tcW w:w="1187" w:type="dxa"/>
            <w:tcBorders/>
            <w:shd w:fill="CCEEFF" w:val="clear"/>
            <w:vAlign w:val="center"/>
          </w:tcPr>
          <w:p>
            <w:pPr>
              <w:pStyle w:val="TableContents"/>
              <w:bidi w:val="0"/>
              <w:spacing w:before="0" w:after="283"/>
              <w:jc w:val="right"/>
              <w:rPr/>
            </w:pPr>
            <w:r>
              <w:rPr/>
              <w:t> </w:t>
            </w:r>
          </w:p>
        </w:tc>
        <w:tc>
          <w:tcPr>
            <w:tcW w:w="112" w:type="dxa"/>
            <w:tcBorders/>
            <w:shd w:fill="CCEEFF" w:val="clear"/>
            <w:vAlign w:val="center"/>
          </w:tcPr>
          <w:p>
            <w:pPr>
              <w:pStyle w:val="TableContents"/>
              <w:bidi w:val="0"/>
              <w:spacing w:before="0" w:after="283"/>
              <w:jc w:val="left"/>
              <w:rPr/>
            </w:pPr>
            <w:r>
              <w:rPr/>
              <w:t> </w:t>
            </w:r>
          </w:p>
        </w:tc>
      </w:tr>
      <w:tr>
        <w:trPr/>
        <w:tc>
          <w:tcPr>
            <w:tcW w:w="7136" w:type="dxa"/>
            <w:tcBorders/>
            <w:shd w:fill="FFFFFF" w:val="clear"/>
            <w:vAlign w:val="center"/>
          </w:tcPr>
          <w:p>
            <w:pPr>
              <w:pStyle w:val="TableContents"/>
              <w:bidi w:val="0"/>
              <w:spacing w:before="0" w:after="283"/>
              <w:jc w:val="left"/>
              <w:rPr/>
            </w:pPr>
            <w:r>
              <w:rPr/>
              <w:t>Member’s deficit</w:t>
            </w:r>
          </w:p>
        </w:tc>
        <w:tc>
          <w:tcPr>
            <w:tcW w:w="60" w:type="dxa"/>
            <w:tcBorders/>
            <w:shd w:fill="FFFFFF" w:val="clear"/>
            <w:vAlign w:val="center"/>
          </w:tcPr>
          <w:p>
            <w:pPr>
              <w:pStyle w:val="TableContents"/>
              <w:bidi w:val="0"/>
              <w:spacing w:before="0" w:after="283"/>
              <w:jc w:val="left"/>
              <w:rPr/>
            </w:pPr>
            <w:r>
              <w:rPr/>
              <w:t> </w:t>
            </w:r>
          </w:p>
        </w:tc>
        <w:tc>
          <w:tcPr>
            <w:tcW w:w="158"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47" w:type="dxa"/>
            <w:tcBorders>
              <w:bottom w:val="single" w:sz="12" w:space="0" w:color="000000"/>
            </w:tcBorders>
            <w:shd w:fill="FFFFFF" w:val="clear"/>
            <w:tcMar>
              <w:bottom w:w="28" w:type="dxa"/>
            </w:tcMar>
            <w:vAlign w:val="center"/>
          </w:tcPr>
          <w:p>
            <w:pPr>
              <w:pStyle w:val="TableContents"/>
              <w:bidi w:val="0"/>
              <w:spacing w:before="0" w:after="283"/>
              <w:jc w:val="right"/>
              <w:rPr/>
            </w:pPr>
            <w:r>
              <w:rPr/>
              <w:t>(8,229,441</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5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87" w:type="dxa"/>
            <w:tcBorders>
              <w:bottom w:val="single" w:sz="12" w:space="0" w:color="000000"/>
            </w:tcBorders>
            <w:shd w:fill="FFFFFF" w:val="clear"/>
            <w:tcMar>
              <w:bottom w:w="28" w:type="dxa"/>
            </w:tcMar>
            <w:vAlign w:val="center"/>
          </w:tcPr>
          <w:p>
            <w:pPr>
              <w:pStyle w:val="TableContents"/>
              <w:bidi w:val="0"/>
              <w:spacing w:before="0" w:after="283"/>
              <w:jc w:val="right"/>
              <w:rPr/>
            </w:pPr>
            <w:r>
              <w:rPr/>
              <w:t>(7,032,264</w:t>
            </w:r>
          </w:p>
        </w:tc>
        <w:tc>
          <w:tcPr>
            <w:tcW w:w="112" w:type="dxa"/>
            <w:tcBorders/>
            <w:shd w:fill="FFFFFF" w:val="clear"/>
            <w:vAlign w:val="center"/>
          </w:tcPr>
          <w:p>
            <w:pPr>
              <w:pStyle w:val="TableContents"/>
              <w:bidi w:val="0"/>
              <w:spacing w:before="0" w:after="283"/>
              <w:jc w:val="left"/>
              <w:rPr/>
            </w:pPr>
            <w:r>
              <w:rPr/>
              <w:t>)</w:t>
            </w:r>
          </w:p>
        </w:tc>
      </w:tr>
      <w:tr>
        <w:trPr/>
        <w:tc>
          <w:tcPr>
            <w:tcW w:w="7136"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8" w:type="dxa"/>
            <w:tcBorders/>
            <w:shd w:fill="CCEEFF" w:val="clear"/>
            <w:vAlign w:val="center"/>
          </w:tcPr>
          <w:p>
            <w:pPr>
              <w:pStyle w:val="TableContents"/>
              <w:bidi w:val="0"/>
              <w:spacing w:before="0" w:after="283"/>
              <w:jc w:val="left"/>
              <w:rPr/>
            </w:pPr>
            <w:r>
              <w:rPr/>
              <w:t> </w:t>
            </w:r>
          </w:p>
        </w:tc>
        <w:tc>
          <w:tcPr>
            <w:tcW w:w="1247"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0" w:type="dxa"/>
            <w:tcBorders/>
            <w:shd w:fill="CCEEFF" w:val="clear"/>
            <w:vAlign w:val="center"/>
          </w:tcPr>
          <w:p>
            <w:pPr>
              <w:pStyle w:val="TableContents"/>
              <w:bidi w:val="0"/>
              <w:spacing w:before="0" w:after="283"/>
              <w:jc w:val="left"/>
              <w:rPr/>
            </w:pPr>
            <w:r>
              <w:rPr/>
              <w:t> </w:t>
            </w:r>
          </w:p>
        </w:tc>
        <w:tc>
          <w:tcPr>
            <w:tcW w:w="1187" w:type="dxa"/>
            <w:tcBorders/>
            <w:shd w:fill="CCEEFF" w:val="clear"/>
            <w:vAlign w:val="center"/>
          </w:tcPr>
          <w:p>
            <w:pPr>
              <w:pStyle w:val="TableContents"/>
              <w:bidi w:val="0"/>
              <w:spacing w:before="0" w:after="283"/>
              <w:jc w:val="right"/>
              <w:rPr/>
            </w:pPr>
            <w:r>
              <w:rPr/>
              <w:t> </w:t>
            </w:r>
          </w:p>
        </w:tc>
        <w:tc>
          <w:tcPr>
            <w:tcW w:w="112" w:type="dxa"/>
            <w:tcBorders/>
            <w:shd w:fill="CCEEFF" w:val="clear"/>
            <w:vAlign w:val="center"/>
          </w:tcPr>
          <w:p>
            <w:pPr>
              <w:pStyle w:val="TableContents"/>
              <w:bidi w:val="0"/>
              <w:spacing w:before="0" w:after="283"/>
              <w:jc w:val="left"/>
              <w:rPr/>
            </w:pPr>
            <w:r>
              <w:rPr/>
              <w:t> </w:t>
            </w:r>
          </w:p>
        </w:tc>
      </w:tr>
      <w:tr>
        <w:trPr/>
        <w:tc>
          <w:tcPr>
            <w:tcW w:w="7136" w:type="dxa"/>
            <w:tcBorders/>
            <w:shd w:fill="FFFFFF" w:val="clear"/>
            <w:vAlign w:val="center"/>
          </w:tcPr>
          <w:p>
            <w:pPr>
              <w:pStyle w:val="TableContents"/>
              <w:bidi w:val="0"/>
              <w:spacing w:before="0" w:after="283"/>
              <w:jc w:val="left"/>
              <w:rPr/>
            </w:pPr>
            <w:r>
              <w:rPr/>
              <w:t>Total liabilities and member’s deficit</w:t>
            </w:r>
          </w:p>
        </w:tc>
        <w:tc>
          <w:tcPr>
            <w:tcW w:w="60" w:type="dxa"/>
            <w:tcBorders/>
            <w:shd w:fill="FFFFFF" w:val="clear"/>
            <w:vAlign w:val="center"/>
          </w:tcPr>
          <w:p>
            <w:pPr>
              <w:pStyle w:val="TableContents"/>
              <w:bidi w:val="0"/>
              <w:spacing w:before="0" w:after="283"/>
              <w:jc w:val="left"/>
              <w:rPr/>
            </w:pPr>
            <w:r>
              <w:rPr/>
              <w:t> </w:t>
            </w:r>
          </w:p>
        </w:tc>
        <w:tc>
          <w:tcPr>
            <w:tcW w:w="158" w:type="dxa"/>
            <w:tcBorders>
              <w:bottom w:val="single" w:sz="12" w:space="0" w:color="000000"/>
            </w:tcBorders>
            <w:shd w:fill="FFFFFF" w:val="clear"/>
            <w:tcMar>
              <w:bottom w:w="28" w:type="dxa"/>
            </w:tcMar>
            <w:vAlign w:val="center"/>
          </w:tcPr>
          <w:p>
            <w:pPr>
              <w:pStyle w:val="TableContents"/>
              <w:bidi w:val="0"/>
              <w:spacing w:before="0" w:after="283"/>
              <w:jc w:val="left"/>
              <w:rPr/>
            </w:pPr>
            <w:r>
              <w:rPr/>
              <w:t>$</w:t>
            </w:r>
          </w:p>
        </w:tc>
        <w:tc>
          <w:tcPr>
            <w:tcW w:w="1247" w:type="dxa"/>
            <w:tcBorders>
              <w:bottom w:val="single" w:sz="12" w:space="0" w:color="000000"/>
            </w:tcBorders>
            <w:shd w:fill="FFFFFF" w:val="clear"/>
            <w:tcMar>
              <w:bottom w:w="28" w:type="dxa"/>
            </w:tcMar>
            <w:vAlign w:val="center"/>
          </w:tcPr>
          <w:p>
            <w:pPr>
              <w:pStyle w:val="TableContents"/>
              <w:bidi w:val="0"/>
              <w:spacing w:before="0" w:after="283"/>
              <w:jc w:val="right"/>
              <w:rPr/>
            </w:pPr>
            <w:r>
              <w:rPr/>
              <w:t>20,265,603</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0" w:type="dxa"/>
            <w:tcBorders>
              <w:bottom w:val="single" w:sz="12" w:space="0" w:color="000000"/>
            </w:tcBorders>
            <w:shd w:fill="FFFFFF" w:val="clear"/>
            <w:tcMar>
              <w:bottom w:w="28" w:type="dxa"/>
            </w:tcMar>
            <w:vAlign w:val="center"/>
          </w:tcPr>
          <w:p>
            <w:pPr>
              <w:pStyle w:val="TableContents"/>
              <w:bidi w:val="0"/>
              <w:spacing w:before="0" w:after="283"/>
              <w:jc w:val="left"/>
              <w:rPr/>
            </w:pPr>
            <w:r>
              <w:rPr/>
              <w:t>$</w:t>
            </w:r>
          </w:p>
        </w:tc>
        <w:tc>
          <w:tcPr>
            <w:tcW w:w="1187" w:type="dxa"/>
            <w:tcBorders>
              <w:bottom w:val="single" w:sz="12" w:space="0" w:color="000000"/>
            </w:tcBorders>
            <w:shd w:fill="FFFFFF" w:val="clear"/>
            <w:tcMar>
              <w:bottom w:w="28" w:type="dxa"/>
            </w:tcMar>
            <w:vAlign w:val="center"/>
          </w:tcPr>
          <w:p>
            <w:pPr>
              <w:pStyle w:val="TableContents"/>
              <w:bidi w:val="0"/>
              <w:spacing w:before="0" w:after="283"/>
              <w:jc w:val="right"/>
              <w:rPr/>
            </w:pPr>
            <w:r>
              <w:rPr/>
              <w:t>20,839,216</w:t>
            </w:r>
          </w:p>
        </w:tc>
        <w:tc>
          <w:tcPr>
            <w:tcW w:w="112"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See accompanying notes to financial statements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sz w:val="20"/>
          <w:bdr w:val="single" w:sz="12" w:space="1" w:color="000000"/>
        </w:rPr>
      </w:pPr>
      <w:r>
        <w:rPr>
          <w:sz w:val="20"/>
          <w:bdr w:val="single" w:sz="12" w:space="1" w:color="000000"/>
        </w:rPr>
        <w:t>F-163</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bookmarkStart w:id="50" w:name="H_002"/>
      <w:bookmarkEnd w:id="50"/>
      <w:r>
        <w:rPr>
          <w:rFonts w:ascii="Times New Roman;Times;Serif" w:hAnsi="Times New Roman;Times;Serif"/>
          <w:b/>
          <w:i/>
          <w:caps w:val="false"/>
          <w:smallCaps w:val="false"/>
          <w:sz w:val="20"/>
        </w:rPr>
        <w:t xml:space="preserve">Unaudited Statements of Operations and Member’s Deficit </w:t>
      </w:r>
    </w:p>
    <w:p>
      <w:pPr>
        <w:pStyle w:val="TextBody"/>
        <w:bidi w:val="0"/>
        <w:spacing w:before="0" w:after="0"/>
        <w:ind w:left="0" w:right="0" w:hanging="0"/>
        <w:jc w:val="both"/>
        <w:rPr>
          <w:caps w:val="false"/>
          <w:smallCaps w:val="false"/>
        </w:rPr>
      </w:pPr>
      <w:r>
        <w:rPr>
          <w:caps w:val="false"/>
          <w:smallCaps w:val="false"/>
        </w:rPr>
        <w:t> </w:t>
      </w:r>
    </w:p>
    <w:tbl>
      <w:tblPr>
        <w:tblW w:w="8165" w:type="dxa"/>
        <w:jc w:val="left"/>
        <w:tblInd w:w="0" w:type="dxa"/>
        <w:tblLayout w:type="fixed"/>
        <w:tblCellMar>
          <w:top w:w="0" w:type="dxa"/>
          <w:left w:w="0" w:type="dxa"/>
          <w:bottom w:w="0" w:type="dxa"/>
          <w:right w:w="0" w:type="dxa"/>
        </w:tblCellMar>
      </w:tblPr>
      <w:tblGrid>
        <w:gridCol w:w="5660"/>
        <w:gridCol w:w="60"/>
        <w:gridCol w:w="125"/>
        <w:gridCol w:w="950"/>
        <w:gridCol w:w="80"/>
        <w:gridCol w:w="60"/>
        <w:gridCol w:w="125"/>
        <w:gridCol w:w="1010"/>
        <w:gridCol w:w="95"/>
      </w:tblGrid>
      <w:tr>
        <w:trPr/>
        <w:tc>
          <w:tcPr>
            <w:tcW w:w="56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350" w:type="dxa"/>
            <w:gridSpan w:val="6"/>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i/>
                <w:sz w:val="20"/>
              </w:rPr>
            </w:pPr>
            <w:r>
              <w:rPr>
                <w:rFonts w:ascii="Times New Roman;Times;Serif" w:hAnsi="Times New Roman;Times;Serif"/>
                <w:b/>
                <w:i/>
                <w:sz w:val="20"/>
              </w:rPr>
              <w:t>Nine Months Ended</w:t>
              <w:br/>
              <w:t>September 30,</w:t>
            </w:r>
          </w:p>
        </w:tc>
        <w:tc>
          <w:tcPr>
            <w:tcW w:w="95" w:type="dxa"/>
            <w:tcBorders/>
            <w:vAlign w:val="center"/>
          </w:tcPr>
          <w:p>
            <w:pPr>
              <w:pStyle w:val="TableContents"/>
              <w:bidi w:val="0"/>
              <w:spacing w:before="0" w:after="283"/>
              <w:jc w:val="left"/>
              <w:rPr/>
            </w:pPr>
            <w:r>
              <w:rPr/>
              <w:t> </w:t>
            </w:r>
          </w:p>
        </w:tc>
      </w:tr>
      <w:tr>
        <w:trPr/>
        <w:tc>
          <w:tcPr>
            <w:tcW w:w="56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75"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2025</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35"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2024</w:t>
            </w:r>
          </w:p>
        </w:tc>
        <w:tc>
          <w:tcPr>
            <w:tcW w:w="95" w:type="dxa"/>
            <w:tcBorders/>
            <w:vAlign w:val="center"/>
          </w:tcPr>
          <w:p>
            <w:pPr>
              <w:pStyle w:val="TableContents"/>
              <w:bidi w:val="0"/>
              <w:spacing w:before="0" w:after="283"/>
              <w:jc w:val="left"/>
              <w:rPr/>
            </w:pPr>
            <w:r>
              <w:rPr/>
              <w:t> </w:t>
            </w:r>
          </w:p>
        </w:tc>
      </w:tr>
      <w:tr>
        <w:trPr/>
        <w:tc>
          <w:tcPr>
            <w:tcW w:w="566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Revenues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95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61,075,725</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01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28,114,668</w:t>
            </w:r>
          </w:p>
        </w:tc>
        <w:tc>
          <w:tcPr>
            <w:tcW w:w="95" w:type="dxa"/>
            <w:tcBorders/>
            <w:shd w:fill="CCEEFF" w:val="clear"/>
            <w:vAlign w:val="center"/>
          </w:tcPr>
          <w:p>
            <w:pPr>
              <w:pStyle w:val="TableContents"/>
              <w:bidi w:val="0"/>
              <w:spacing w:before="0" w:after="283"/>
              <w:jc w:val="left"/>
              <w:rPr/>
            </w:pPr>
            <w:r>
              <w:rPr/>
              <w:t> </w:t>
            </w:r>
          </w:p>
        </w:tc>
      </w:tr>
      <w:tr>
        <w:trPr/>
        <w:tc>
          <w:tcPr>
            <w:tcW w:w="566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Cost of revenues</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950"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32,622,179</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010"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20,517,813</w:t>
            </w:r>
          </w:p>
        </w:tc>
        <w:tc>
          <w:tcPr>
            <w:tcW w:w="95" w:type="dxa"/>
            <w:tcBorders/>
            <w:shd w:fill="FFFFFF" w:val="clear"/>
            <w:vAlign w:val="center"/>
          </w:tcPr>
          <w:p>
            <w:pPr>
              <w:pStyle w:val="TableContents"/>
              <w:bidi w:val="0"/>
              <w:spacing w:before="0" w:after="283"/>
              <w:jc w:val="left"/>
              <w:rPr/>
            </w:pPr>
            <w:r>
              <w:rPr/>
              <w:t> </w:t>
            </w:r>
          </w:p>
        </w:tc>
      </w:tr>
      <w:tr>
        <w:trPr/>
        <w:tc>
          <w:tcPr>
            <w:tcW w:w="56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950"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101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r>
      <w:tr>
        <w:trPr/>
        <w:tc>
          <w:tcPr>
            <w:tcW w:w="566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Gross profit</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950"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28,453,546</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010"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7,596,855</w:t>
            </w:r>
          </w:p>
        </w:tc>
        <w:tc>
          <w:tcPr>
            <w:tcW w:w="95" w:type="dxa"/>
            <w:tcBorders/>
            <w:shd w:fill="FFFFFF" w:val="clear"/>
            <w:vAlign w:val="center"/>
          </w:tcPr>
          <w:p>
            <w:pPr>
              <w:pStyle w:val="TableContents"/>
              <w:bidi w:val="0"/>
              <w:spacing w:before="0" w:after="283"/>
              <w:jc w:val="left"/>
              <w:rPr/>
            </w:pPr>
            <w:r>
              <w:rPr/>
              <w:t> </w:t>
            </w:r>
          </w:p>
        </w:tc>
      </w:tr>
      <w:tr>
        <w:trPr/>
        <w:tc>
          <w:tcPr>
            <w:tcW w:w="56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950"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101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r>
      <w:tr>
        <w:trPr/>
        <w:tc>
          <w:tcPr>
            <w:tcW w:w="566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Operating expenses: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950"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101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r>
      <w:tr>
        <w:trPr/>
        <w:tc>
          <w:tcPr>
            <w:tcW w:w="566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General and administrative</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95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10,845,446</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101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7,303,877</w:t>
            </w:r>
          </w:p>
        </w:tc>
        <w:tc>
          <w:tcPr>
            <w:tcW w:w="95" w:type="dxa"/>
            <w:tcBorders/>
            <w:shd w:fill="CCEEFF" w:val="clear"/>
            <w:vAlign w:val="center"/>
          </w:tcPr>
          <w:p>
            <w:pPr>
              <w:pStyle w:val="TableContents"/>
              <w:bidi w:val="0"/>
              <w:spacing w:before="0" w:after="283"/>
              <w:jc w:val="left"/>
              <w:rPr/>
            </w:pPr>
            <w:r>
              <w:rPr/>
              <w:t> </w:t>
            </w:r>
          </w:p>
        </w:tc>
      </w:tr>
      <w:tr>
        <w:trPr/>
        <w:tc>
          <w:tcPr>
            <w:tcW w:w="566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Commissions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950"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16,003,211</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1010"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8,043,929</w:t>
            </w:r>
          </w:p>
        </w:tc>
        <w:tc>
          <w:tcPr>
            <w:tcW w:w="95" w:type="dxa"/>
            <w:tcBorders/>
            <w:shd w:fill="FFFFFF" w:val="clear"/>
            <w:vAlign w:val="center"/>
          </w:tcPr>
          <w:p>
            <w:pPr>
              <w:pStyle w:val="TableContents"/>
              <w:bidi w:val="0"/>
              <w:spacing w:before="0" w:after="283"/>
              <w:jc w:val="left"/>
              <w:rPr/>
            </w:pPr>
            <w:r>
              <w:rPr/>
              <w:t> </w:t>
            </w:r>
          </w:p>
        </w:tc>
      </w:tr>
      <w:tr>
        <w:trPr/>
        <w:tc>
          <w:tcPr>
            <w:tcW w:w="566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Rent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95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1,038,258</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101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888,362</w:t>
            </w:r>
          </w:p>
        </w:tc>
        <w:tc>
          <w:tcPr>
            <w:tcW w:w="95" w:type="dxa"/>
            <w:tcBorders/>
            <w:shd w:fill="CCEEFF" w:val="clear"/>
            <w:vAlign w:val="center"/>
          </w:tcPr>
          <w:p>
            <w:pPr>
              <w:pStyle w:val="TableContents"/>
              <w:bidi w:val="0"/>
              <w:spacing w:before="0" w:after="283"/>
              <w:jc w:val="left"/>
              <w:rPr/>
            </w:pPr>
            <w:r>
              <w:rPr/>
              <w:t> </w:t>
            </w:r>
          </w:p>
        </w:tc>
      </w:tr>
      <w:tr>
        <w:trPr/>
        <w:tc>
          <w:tcPr>
            <w:tcW w:w="566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Depreciation and amortization</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950"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494,567</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010"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236,304</w:t>
            </w:r>
          </w:p>
        </w:tc>
        <w:tc>
          <w:tcPr>
            <w:tcW w:w="95" w:type="dxa"/>
            <w:tcBorders/>
            <w:shd w:fill="FFFFFF" w:val="clear"/>
            <w:vAlign w:val="center"/>
          </w:tcPr>
          <w:p>
            <w:pPr>
              <w:pStyle w:val="TableContents"/>
              <w:bidi w:val="0"/>
              <w:spacing w:before="0" w:after="283"/>
              <w:jc w:val="left"/>
              <w:rPr/>
            </w:pPr>
            <w:r>
              <w:rPr/>
              <w:t> </w:t>
            </w:r>
          </w:p>
        </w:tc>
      </w:tr>
      <w:tr>
        <w:trPr/>
        <w:tc>
          <w:tcPr>
            <w:tcW w:w="56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950"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101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r>
      <w:tr>
        <w:trPr/>
        <w:tc>
          <w:tcPr>
            <w:tcW w:w="566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Total operating expenses</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950"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28,381,482</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010"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16,472,472</w:t>
            </w:r>
          </w:p>
        </w:tc>
        <w:tc>
          <w:tcPr>
            <w:tcW w:w="95" w:type="dxa"/>
            <w:tcBorders/>
            <w:shd w:fill="FFFFFF" w:val="clear"/>
            <w:vAlign w:val="center"/>
          </w:tcPr>
          <w:p>
            <w:pPr>
              <w:pStyle w:val="TableContents"/>
              <w:bidi w:val="0"/>
              <w:spacing w:before="0" w:after="283"/>
              <w:jc w:val="left"/>
              <w:rPr/>
            </w:pPr>
            <w:r>
              <w:rPr/>
              <w:t> </w:t>
            </w:r>
          </w:p>
        </w:tc>
      </w:tr>
      <w:tr>
        <w:trPr/>
        <w:tc>
          <w:tcPr>
            <w:tcW w:w="56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950"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101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r>
      <w:tr>
        <w:trPr/>
        <w:tc>
          <w:tcPr>
            <w:tcW w:w="566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Income from operations</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950"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72,064</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010"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(8,875,617</w:t>
            </w:r>
          </w:p>
        </w:tc>
        <w:tc>
          <w:tcPr>
            <w:tcW w:w="9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56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950"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101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r>
      <w:tr>
        <w:trPr/>
        <w:tc>
          <w:tcPr>
            <w:tcW w:w="566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Other income (expense):</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950"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101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r>
      <w:tr>
        <w:trPr/>
        <w:tc>
          <w:tcPr>
            <w:tcW w:w="566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Interest expense</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95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(1,285,993</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101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(925,263</w:t>
            </w:r>
          </w:p>
        </w:tc>
        <w:tc>
          <w:tcPr>
            <w:tcW w:w="9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566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Other income, net</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950"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16,752</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010"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(10,970</w:t>
            </w:r>
          </w:p>
        </w:tc>
        <w:tc>
          <w:tcPr>
            <w:tcW w:w="9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56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950"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101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r>
      <w:tr>
        <w:trPr/>
        <w:tc>
          <w:tcPr>
            <w:tcW w:w="566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Total other income (expense), net</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950"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(1,269,241</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010"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(936,233</w:t>
            </w:r>
          </w:p>
        </w:tc>
        <w:tc>
          <w:tcPr>
            <w:tcW w:w="9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56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950"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101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r>
      <w:tr>
        <w:trPr/>
        <w:tc>
          <w:tcPr>
            <w:tcW w:w="566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Net loss</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12"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950"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(1,197,177</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12"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010"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(9,811,850</w:t>
            </w:r>
          </w:p>
        </w:tc>
        <w:tc>
          <w:tcPr>
            <w:tcW w:w="9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56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950"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101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r>
      <w:tr>
        <w:trPr/>
        <w:tc>
          <w:tcPr>
            <w:tcW w:w="566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Member’s deficit, beginning of the period</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950"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(7,032,264</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010"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(5,112,377</w:t>
            </w:r>
          </w:p>
        </w:tc>
        <w:tc>
          <w:tcPr>
            <w:tcW w:w="9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566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Net loss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95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(1,197,177</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101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(9,811,850</w:t>
            </w:r>
          </w:p>
        </w:tc>
        <w:tc>
          <w:tcPr>
            <w:tcW w:w="9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566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Member’s contribution and conversion of related-party notes payable</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950"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010"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4,333,164</w:t>
            </w:r>
          </w:p>
        </w:tc>
        <w:tc>
          <w:tcPr>
            <w:tcW w:w="95" w:type="dxa"/>
            <w:tcBorders/>
            <w:shd w:fill="FFFFFF" w:val="clear"/>
            <w:vAlign w:val="center"/>
          </w:tcPr>
          <w:p>
            <w:pPr>
              <w:pStyle w:val="TableContents"/>
              <w:bidi w:val="0"/>
              <w:spacing w:before="0" w:after="283"/>
              <w:jc w:val="left"/>
              <w:rPr/>
            </w:pPr>
            <w:r>
              <w:rPr/>
              <w:t> </w:t>
            </w:r>
          </w:p>
        </w:tc>
      </w:tr>
      <w:tr>
        <w:trPr/>
        <w:tc>
          <w:tcPr>
            <w:tcW w:w="56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950"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101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r>
      <w:tr>
        <w:trPr/>
        <w:tc>
          <w:tcPr>
            <w:tcW w:w="566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Member’s deficit, end of the period</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12"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950"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(8,229,441</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12"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010"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(10,591,063</w:t>
            </w:r>
          </w:p>
        </w:tc>
        <w:tc>
          <w:tcPr>
            <w:tcW w:w="9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See accompanying notes to financial statements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sz w:val="20"/>
          <w:bdr w:val="single" w:sz="12" w:space="1" w:color="000000"/>
        </w:rPr>
      </w:pPr>
      <w:r>
        <w:rPr>
          <w:sz w:val="20"/>
          <w:bdr w:val="single" w:sz="12" w:space="1" w:color="000000"/>
        </w:rPr>
        <w:t>F-164</w:t>
      </w:r>
    </w:p>
    <w:p>
      <w:pPr>
        <w:pStyle w:val="TextBody"/>
        <w:bidi w:val="0"/>
        <w:spacing w:before="0" w:after="0"/>
        <w:ind w:left="0" w:right="0" w:hanging="0"/>
        <w:jc w:val="left"/>
        <w:rPr/>
      </w:pPr>
      <w:r>
        <w:rPr/>
        <w:t> </w:t>
      </w:r>
    </w:p>
    <w:p>
      <w:pPr>
        <w:pStyle w:val="TextBody"/>
        <w:bidi w:val="0"/>
        <w:spacing w:before="0" w:after="0"/>
        <w:ind w:left="0" w:right="0" w:hanging="0"/>
        <w:jc w:val="righ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bookmarkStart w:id="51" w:name="H_003"/>
      <w:bookmarkEnd w:id="51"/>
      <w:r>
        <w:rPr>
          <w:rFonts w:ascii="Times New Roman;Times;Serif" w:hAnsi="Times New Roman;Times;Serif"/>
          <w:b/>
          <w:i/>
          <w:caps w:val="false"/>
          <w:smallCaps w:val="false"/>
          <w:sz w:val="20"/>
        </w:rPr>
        <w:t>Unaudited Statements of Cash Flows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850"/>
        <w:gridCol w:w="60"/>
        <w:gridCol w:w="125"/>
        <w:gridCol w:w="905"/>
        <w:gridCol w:w="80"/>
        <w:gridCol w:w="60"/>
        <w:gridCol w:w="125"/>
        <w:gridCol w:w="905"/>
        <w:gridCol w:w="95"/>
      </w:tblGrid>
      <w:tr>
        <w:trPr/>
        <w:tc>
          <w:tcPr>
            <w:tcW w:w="785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200" w:type="dxa"/>
            <w:gridSpan w:val="6"/>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i/>
                <w:sz w:val="20"/>
              </w:rPr>
            </w:pPr>
            <w:r>
              <w:rPr>
                <w:rFonts w:ascii="Times New Roman;Times;Serif" w:hAnsi="Times New Roman;Times;Serif"/>
                <w:b/>
                <w:i/>
                <w:sz w:val="20"/>
              </w:rPr>
              <w:t>Nine Months Ended</w:t>
              <w:br/>
              <w:t>September 30,</w:t>
            </w:r>
          </w:p>
        </w:tc>
        <w:tc>
          <w:tcPr>
            <w:tcW w:w="95" w:type="dxa"/>
            <w:tcBorders/>
            <w:vAlign w:val="center"/>
          </w:tcPr>
          <w:p>
            <w:pPr>
              <w:pStyle w:val="TableContents"/>
              <w:bidi w:val="0"/>
              <w:spacing w:before="0" w:after="283"/>
              <w:jc w:val="left"/>
              <w:rPr/>
            </w:pPr>
            <w:r>
              <w:rPr/>
              <w:t> </w:t>
            </w:r>
          </w:p>
        </w:tc>
      </w:tr>
      <w:tr>
        <w:trPr/>
        <w:tc>
          <w:tcPr>
            <w:tcW w:w="785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30"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2025</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30"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2024</w:t>
            </w:r>
          </w:p>
        </w:tc>
        <w:tc>
          <w:tcPr>
            <w:tcW w:w="95" w:type="dxa"/>
            <w:tcBorders/>
            <w:vAlign w:val="center"/>
          </w:tcPr>
          <w:p>
            <w:pPr>
              <w:pStyle w:val="TableContents"/>
              <w:bidi w:val="0"/>
              <w:spacing w:before="0" w:after="283"/>
              <w:jc w:val="left"/>
              <w:rPr/>
            </w:pPr>
            <w:r>
              <w:rPr/>
              <w:t> </w:t>
            </w:r>
          </w:p>
        </w:tc>
      </w:tr>
      <w:tr>
        <w:trPr/>
        <w:tc>
          <w:tcPr>
            <w:tcW w:w="785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Cash flows from operating activities:</w:t>
            </w:r>
          </w:p>
        </w:tc>
        <w:tc>
          <w:tcPr>
            <w:tcW w:w="60" w:type="dxa"/>
            <w:tcBorders/>
            <w:vAlign w:val="center"/>
          </w:tcPr>
          <w:p>
            <w:pPr>
              <w:pStyle w:val="TableContents"/>
              <w:bidi w:val="0"/>
              <w:spacing w:before="0" w:after="283"/>
              <w:jc w:val="left"/>
              <w:rPr/>
            </w:pPr>
            <w:r>
              <w:rPr/>
              <w:t> </w:t>
            </w:r>
          </w:p>
        </w:tc>
        <w:tc>
          <w:tcPr>
            <w:tcW w:w="1030" w:type="dxa"/>
            <w:gridSpan w:val="2"/>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30" w:type="dxa"/>
            <w:gridSpan w:val="2"/>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pPr>
            <w:r>
              <w:rPr/>
              <w:t> </w:t>
            </w:r>
          </w:p>
        </w:tc>
      </w:tr>
      <w:tr>
        <w:trPr/>
        <w:tc>
          <w:tcPr>
            <w:tcW w:w="785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Net loss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90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(1,197,177</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90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(9,811,850</w:t>
            </w:r>
          </w:p>
        </w:tc>
        <w:tc>
          <w:tcPr>
            <w:tcW w:w="9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785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Adjustments to reconcile net loss to net cash used in operating activities: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905"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90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r>
      <w:tr>
        <w:trPr/>
        <w:tc>
          <w:tcPr>
            <w:tcW w:w="785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Amortization of operating right-of-use assets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90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523,352</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90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643,603</w:t>
            </w:r>
          </w:p>
        </w:tc>
        <w:tc>
          <w:tcPr>
            <w:tcW w:w="95" w:type="dxa"/>
            <w:tcBorders/>
            <w:shd w:fill="CCEEFF" w:val="clear"/>
            <w:vAlign w:val="center"/>
          </w:tcPr>
          <w:p>
            <w:pPr>
              <w:pStyle w:val="TableContents"/>
              <w:bidi w:val="0"/>
              <w:spacing w:before="0" w:after="283"/>
              <w:jc w:val="left"/>
              <w:rPr/>
            </w:pPr>
            <w:r>
              <w:rPr/>
              <w:t> </w:t>
            </w:r>
          </w:p>
        </w:tc>
      </w:tr>
      <w:tr>
        <w:trPr/>
        <w:tc>
          <w:tcPr>
            <w:tcW w:w="785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Depreciation and amortization</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90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494,567</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90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236,304</w:t>
            </w:r>
          </w:p>
        </w:tc>
        <w:tc>
          <w:tcPr>
            <w:tcW w:w="95" w:type="dxa"/>
            <w:tcBorders/>
            <w:shd w:fill="FFFFFF" w:val="clear"/>
            <w:vAlign w:val="center"/>
          </w:tcPr>
          <w:p>
            <w:pPr>
              <w:pStyle w:val="TableContents"/>
              <w:bidi w:val="0"/>
              <w:spacing w:before="0" w:after="283"/>
              <w:jc w:val="left"/>
              <w:rPr/>
            </w:pPr>
            <w:r>
              <w:rPr/>
              <w:t> </w:t>
            </w:r>
          </w:p>
        </w:tc>
      </w:tr>
      <w:tr>
        <w:trPr/>
        <w:tc>
          <w:tcPr>
            <w:tcW w:w="785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Changes in operating assets and liabilities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905"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90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r>
      <w:tr>
        <w:trPr/>
        <w:tc>
          <w:tcPr>
            <w:tcW w:w="785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Accounts receivable</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90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(282,879</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90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(413,593</w:t>
            </w:r>
          </w:p>
        </w:tc>
        <w:tc>
          <w:tcPr>
            <w:tcW w:w="9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785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Contract assets - unbilled revenues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90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(1,113,715</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90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739,308</w:t>
            </w:r>
          </w:p>
        </w:tc>
        <w:tc>
          <w:tcPr>
            <w:tcW w:w="95" w:type="dxa"/>
            <w:tcBorders/>
            <w:shd w:fill="CCEEFF" w:val="clear"/>
            <w:vAlign w:val="center"/>
          </w:tcPr>
          <w:p>
            <w:pPr>
              <w:pStyle w:val="TableContents"/>
              <w:bidi w:val="0"/>
              <w:spacing w:before="0" w:after="283"/>
              <w:jc w:val="left"/>
              <w:rPr/>
            </w:pPr>
            <w:r>
              <w:rPr/>
              <w:t> </w:t>
            </w:r>
          </w:p>
        </w:tc>
      </w:tr>
      <w:tr>
        <w:trPr/>
        <w:tc>
          <w:tcPr>
            <w:tcW w:w="785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Other receivables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90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(119,836</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90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295,812</w:t>
            </w:r>
          </w:p>
        </w:tc>
        <w:tc>
          <w:tcPr>
            <w:tcW w:w="95" w:type="dxa"/>
            <w:tcBorders/>
            <w:shd w:fill="FFFFFF" w:val="clear"/>
            <w:vAlign w:val="center"/>
          </w:tcPr>
          <w:p>
            <w:pPr>
              <w:pStyle w:val="TableContents"/>
              <w:bidi w:val="0"/>
              <w:spacing w:before="0" w:after="283"/>
              <w:jc w:val="left"/>
              <w:rPr/>
            </w:pPr>
            <w:r>
              <w:rPr/>
              <w:t> </w:t>
            </w:r>
          </w:p>
        </w:tc>
      </w:tr>
      <w:tr>
        <w:trPr/>
        <w:tc>
          <w:tcPr>
            <w:tcW w:w="785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Sales commissions receivable</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90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(1,157,255</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90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(134,894</w:t>
            </w:r>
          </w:p>
        </w:tc>
        <w:tc>
          <w:tcPr>
            <w:tcW w:w="9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785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Inventories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90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90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74,447</w:t>
            </w:r>
          </w:p>
        </w:tc>
        <w:tc>
          <w:tcPr>
            <w:tcW w:w="95" w:type="dxa"/>
            <w:tcBorders/>
            <w:shd w:fill="FFFFFF" w:val="clear"/>
            <w:vAlign w:val="center"/>
          </w:tcPr>
          <w:p>
            <w:pPr>
              <w:pStyle w:val="TableContents"/>
              <w:bidi w:val="0"/>
              <w:spacing w:before="0" w:after="283"/>
              <w:jc w:val="left"/>
              <w:rPr/>
            </w:pPr>
            <w:r>
              <w:rPr/>
              <w:t> </w:t>
            </w:r>
          </w:p>
        </w:tc>
      </w:tr>
      <w:tr>
        <w:trPr/>
        <w:tc>
          <w:tcPr>
            <w:tcW w:w="785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Deferred costs and commissions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90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4,560,212</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90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(848,215</w:t>
            </w:r>
          </w:p>
        </w:tc>
        <w:tc>
          <w:tcPr>
            <w:tcW w:w="9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785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Prepaid expenses and other assets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90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187,828</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90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(427,389</w:t>
            </w:r>
          </w:p>
        </w:tc>
        <w:tc>
          <w:tcPr>
            <w:tcW w:w="9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785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Deposits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90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(64,691</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90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(13,337</w:t>
            </w:r>
          </w:p>
        </w:tc>
        <w:tc>
          <w:tcPr>
            <w:tcW w:w="9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785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Accounts payable</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90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106,122</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90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539,602</w:t>
            </w:r>
          </w:p>
        </w:tc>
        <w:tc>
          <w:tcPr>
            <w:tcW w:w="95" w:type="dxa"/>
            <w:tcBorders/>
            <w:shd w:fill="FFFFFF" w:val="clear"/>
            <w:vAlign w:val="center"/>
          </w:tcPr>
          <w:p>
            <w:pPr>
              <w:pStyle w:val="TableContents"/>
              <w:bidi w:val="0"/>
              <w:spacing w:before="0" w:after="283"/>
              <w:jc w:val="left"/>
              <w:rPr/>
            </w:pPr>
            <w:r>
              <w:rPr/>
              <w:t> </w:t>
            </w:r>
          </w:p>
        </w:tc>
      </w:tr>
      <w:tr>
        <w:trPr/>
        <w:tc>
          <w:tcPr>
            <w:tcW w:w="785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Accrued expenses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90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369,546</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90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3,229,015</w:t>
            </w:r>
          </w:p>
        </w:tc>
        <w:tc>
          <w:tcPr>
            <w:tcW w:w="95" w:type="dxa"/>
            <w:tcBorders/>
            <w:shd w:fill="CCEEFF" w:val="clear"/>
            <w:vAlign w:val="center"/>
          </w:tcPr>
          <w:p>
            <w:pPr>
              <w:pStyle w:val="TableContents"/>
              <w:bidi w:val="0"/>
              <w:spacing w:before="0" w:after="283"/>
              <w:jc w:val="left"/>
              <w:rPr/>
            </w:pPr>
            <w:r>
              <w:rPr/>
              <w:t> </w:t>
            </w:r>
          </w:p>
        </w:tc>
      </w:tr>
      <w:tr>
        <w:trPr/>
        <w:tc>
          <w:tcPr>
            <w:tcW w:w="785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Accrued commissions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90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32,355</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90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395,000</w:t>
            </w:r>
          </w:p>
        </w:tc>
        <w:tc>
          <w:tcPr>
            <w:tcW w:w="95" w:type="dxa"/>
            <w:tcBorders/>
            <w:shd w:fill="FFFFFF" w:val="clear"/>
            <w:vAlign w:val="center"/>
          </w:tcPr>
          <w:p>
            <w:pPr>
              <w:pStyle w:val="TableContents"/>
              <w:bidi w:val="0"/>
              <w:spacing w:before="0" w:after="283"/>
              <w:jc w:val="left"/>
              <w:rPr/>
            </w:pPr>
            <w:r>
              <w:rPr/>
              <w:t> </w:t>
            </w:r>
          </w:p>
        </w:tc>
      </w:tr>
      <w:tr>
        <w:trPr/>
        <w:tc>
          <w:tcPr>
            <w:tcW w:w="785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Related-party accounts payable</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90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(215,265</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90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51,411</w:t>
            </w:r>
          </w:p>
        </w:tc>
        <w:tc>
          <w:tcPr>
            <w:tcW w:w="95" w:type="dxa"/>
            <w:tcBorders/>
            <w:shd w:fill="CCEEFF" w:val="clear"/>
            <w:vAlign w:val="center"/>
          </w:tcPr>
          <w:p>
            <w:pPr>
              <w:pStyle w:val="TableContents"/>
              <w:bidi w:val="0"/>
              <w:spacing w:before="0" w:after="283"/>
              <w:jc w:val="left"/>
              <w:rPr/>
            </w:pPr>
            <w:r>
              <w:rPr/>
              <w:t> </w:t>
            </w:r>
          </w:p>
        </w:tc>
      </w:tr>
      <w:tr>
        <w:trPr/>
        <w:tc>
          <w:tcPr>
            <w:tcW w:w="785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Deferred revenue</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90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(2,883,761</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90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(1,314,260</w:t>
            </w:r>
          </w:p>
        </w:tc>
        <w:tc>
          <w:tcPr>
            <w:tcW w:w="9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785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Operating lease liabilities</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05"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(425,096</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05"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(618,953</w:t>
            </w:r>
          </w:p>
        </w:tc>
        <w:tc>
          <w:tcPr>
            <w:tcW w:w="9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785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905"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90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r>
      <w:tr>
        <w:trPr/>
        <w:tc>
          <w:tcPr>
            <w:tcW w:w="785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Net cash used in operating activities</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05"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(1,185,693</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05"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(7,377,989</w:t>
            </w:r>
          </w:p>
        </w:tc>
        <w:tc>
          <w:tcPr>
            <w:tcW w:w="9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785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905"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90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r>
      <w:tr>
        <w:trPr/>
        <w:tc>
          <w:tcPr>
            <w:tcW w:w="7850" w:type="dxa"/>
            <w:tcBorders/>
            <w:shd w:fill="CCEEFF" w:val="cle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Cash flows from investing activities: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905"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90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r>
      <w:tr>
        <w:trPr/>
        <w:tc>
          <w:tcPr>
            <w:tcW w:w="785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Purchase of property and equipment</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905"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(191,243</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905"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(222,908</w:t>
            </w:r>
          </w:p>
        </w:tc>
        <w:tc>
          <w:tcPr>
            <w:tcW w:w="9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785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905"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90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r>
      <w:tr>
        <w:trPr/>
        <w:tc>
          <w:tcPr>
            <w:tcW w:w="7850" w:type="dxa"/>
            <w:tcBorders/>
            <w:shd w:fill="FFFFFF" w:val="cle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Cash flows from financing activities: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905"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90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r>
      <w:tr>
        <w:trPr/>
        <w:tc>
          <w:tcPr>
            <w:tcW w:w="785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Proceeds from related-party revolving lines of credit and notes payable</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90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500,000</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90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8,925,000</w:t>
            </w:r>
          </w:p>
        </w:tc>
        <w:tc>
          <w:tcPr>
            <w:tcW w:w="95" w:type="dxa"/>
            <w:tcBorders/>
            <w:shd w:fill="CCEEFF" w:val="clear"/>
            <w:vAlign w:val="center"/>
          </w:tcPr>
          <w:p>
            <w:pPr>
              <w:pStyle w:val="TableContents"/>
              <w:bidi w:val="0"/>
              <w:spacing w:before="0" w:after="283"/>
              <w:jc w:val="left"/>
              <w:rPr/>
            </w:pPr>
            <w:r>
              <w:rPr/>
              <w:t> </w:t>
            </w:r>
          </w:p>
        </w:tc>
      </w:tr>
      <w:tr>
        <w:trPr/>
        <w:tc>
          <w:tcPr>
            <w:tcW w:w="785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Payments on related-party revolving lines of credits and notes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90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90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(3,305,747</w:t>
            </w:r>
          </w:p>
        </w:tc>
        <w:tc>
          <w:tcPr>
            <w:tcW w:w="9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785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Proceeds from member’s contribution</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90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90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1,883,164</w:t>
            </w:r>
          </w:p>
        </w:tc>
        <w:tc>
          <w:tcPr>
            <w:tcW w:w="95" w:type="dxa"/>
            <w:tcBorders/>
            <w:shd w:fill="CCEEFF" w:val="clear"/>
            <w:vAlign w:val="center"/>
          </w:tcPr>
          <w:p>
            <w:pPr>
              <w:pStyle w:val="TableContents"/>
              <w:bidi w:val="0"/>
              <w:spacing w:before="0" w:after="283"/>
              <w:jc w:val="left"/>
              <w:rPr/>
            </w:pPr>
            <w:r>
              <w:rPr/>
              <w:t> </w:t>
            </w:r>
          </w:p>
        </w:tc>
      </w:tr>
      <w:tr>
        <w:trPr/>
        <w:tc>
          <w:tcPr>
            <w:tcW w:w="785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Merchant cash advance</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90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1,750,000</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90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95" w:type="dxa"/>
            <w:tcBorders/>
            <w:shd w:fill="FFFFFF" w:val="clear"/>
            <w:vAlign w:val="center"/>
          </w:tcPr>
          <w:p>
            <w:pPr>
              <w:pStyle w:val="TableContents"/>
              <w:bidi w:val="0"/>
              <w:spacing w:before="0" w:after="283"/>
              <w:jc w:val="left"/>
              <w:rPr/>
            </w:pPr>
            <w:r>
              <w:rPr/>
              <w:t> </w:t>
            </w:r>
          </w:p>
        </w:tc>
      </w:tr>
      <w:tr>
        <w:trPr/>
        <w:tc>
          <w:tcPr>
            <w:tcW w:w="785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Merchant cash repayments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90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(1,000,000</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90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95" w:type="dxa"/>
            <w:tcBorders/>
            <w:shd w:fill="CCEEFF" w:val="clear"/>
            <w:vAlign w:val="center"/>
          </w:tcPr>
          <w:p>
            <w:pPr>
              <w:pStyle w:val="TableContents"/>
              <w:bidi w:val="0"/>
              <w:spacing w:before="0" w:after="283"/>
              <w:jc w:val="left"/>
              <w:rPr/>
            </w:pPr>
            <w:r>
              <w:rPr/>
              <w:t> </w:t>
            </w:r>
          </w:p>
        </w:tc>
      </w:tr>
      <w:tr>
        <w:trPr/>
        <w:tc>
          <w:tcPr>
            <w:tcW w:w="785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Payments on finance lease liabilities</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905"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(222,813</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905"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(363,900</w:t>
            </w:r>
          </w:p>
        </w:tc>
        <w:tc>
          <w:tcPr>
            <w:tcW w:w="9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785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905"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90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r>
      <w:tr>
        <w:trPr/>
        <w:tc>
          <w:tcPr>
            <w:tcW w:w="785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Net cash provided by financing activities</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905"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1,027,187</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905"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7,138,517</w:t>
            </w:r>
          </w:p>
        </w:tc>
        <w:tc>
          <w:tcPr>
            <w:tcW w:w="95" w:type="dxa"/>
            <w:tcBorders/>
            <w:shd w:fill="FFFFFF" w:val="clear"/>
            <w:vAlign w:val="center"/>
          </w:tcPr>
          <w:p>
            <w:pPr>
              <w:pStyle w:val="TableContents"/>
              <w:bidi w:val="0"/>
              <w:spacing w:before="0" w:after="283"/>
              <w:jc w:val="left"/>
              <w:rPr/>
            </w:pPr>
            <w:r>
              <w:rPr/>
              <w:t> </w:t>
            </w:r>
          </w:p>
        </w:tc>
      </w:tr>
      <w:tr>
        <w:trPr/>
        <w:tc>
          <w:tcPr>
            <w:tcW w:w="785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905"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90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r>
      <w:tr>
        <w:trPr/>
        <w:tc>
          <w:tcPr>
            <w:tcW w:w="785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Net change in cash</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90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(349,749</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90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(462,380</w:t>
            </w:r>
          </w:p>
        </w:tc>
        <w:tc>
          <w:tcPr>
            <w:tcW w:w="9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785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905"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90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r>
      <w:tr>
        <w:trPr/>
        <w:tc>
          <w:tcPr>
            <w:tcW w:w="785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Cash at beginning of period</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905"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1,043,269</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905"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728,639</w:t>
            </w:r>
          </w:p>
        </w:tc>
        <w:tc>
          <w:tcPr>
            <w:tcW w:w="95" w:type="dxa"/>
            <w:tcBorders/>
            <w:shd w:fill="FFFFFF" w:val="clear"/>
            <w:vAlign w:val="center"/>
          </w:tcPr>
          <w:p>
            <w:pPr>
              <w:pStyle w:val="TableContents"/>
              <w:bidi w:val="0"/>
              <w:spacing w:before="0" w:after="283"/>
              <w:jc w:val="left"/>
              <w:rPr/>
            </w:pPr>
            <w:r>
              <w:rPr/>
              <w:t> </w:t>
            </w:r>
          </w:p>
        </w:tc>
      </w:tr>
      <w:tr>
        <w:trPr/>
        <w:tc>
          <w:tcPr>
            <w:tcW w:w="785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905"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90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r>
      <w:tr>
        <w:trPr/>
        <w:tc>
          <w:tcPr>
            <w:tcW w:w="785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Cash at end of period</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12"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905"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693,520</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12"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905"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266,259</w:t>
            </w:r>
          </w:p>
        </w:tc>
        <w:tc>
          <w:tcPr>
            <w:tcW w:w="95" w:type="dxa"/>
            <w:tcBorders/>
            <w:shd w:fill="FFFFFF" w:val="clear"/>
            <w:vAlign w:val="center"/>
          </w:tcPr>
          <w:p>
            <w:pPr>
              <w:pStyle w:val="TableContents"/>
              <w:bidi w:val="0"/>
              <w:spacing w:before="0" w:after="283"/>
              <w:jc w:val="left"/>
              <w:rPr/>
            </w:pPr>
            <w:r>
              <w:rPr/>
              <w:t> </w:t>
            </w:r>
          </w:p>
        </w:tc>
      </w:tr>
      <w:tr>
        <w:trPr/>
        <w:tc>
          <w:tcPr>
            <w:tcW w:w="785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905"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90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r>
      <w:tr>
        <w:trPr/>
        <w:tc>
          <w:tcPr>
            <w:tcW w:w="7850" w:type="dxa"/>
            <w:tcBorders/>
            <w:shd w:fill="FFFFFF" w:val="cle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Supplemental disclosure of cash flow information:</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905"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90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r>
      <w:tr>
        <w:trPr/>
        <w:tc>
          <w:tcPr>
            <w:tcW w:w="785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905"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90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r>
      <w:tr>
        <w:trPr/>
        <w:tc>
          <w:tcPr>
            <w:tcW w:w="785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Cash paid for interest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90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703,167</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90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50,441</w:t>
            </w:r>
          </w:p>
        </w:tc>
        <w:tc>
          <w:tcPr>
            <w:tcW w:w="95" w:type="dxa"/>
            <w:tcBorders/>
            <w:shd w:fill="FFFFFF" w:val="clear"/>
            <w:vAlign w:val="center"/>
          </w:tcPr>
          <w:p>
            <w:pPr>
              <w:pStyle w:val="TableContents"/>
              <w:bidi w:val="0"/>
              <w:spacing w:before="0" w:after="283"/>
              <w:jc w:val="left"/>
              <w:rPr/>
            </w:pPr>
            <w:r>
              <w:rPr/>
              <w:t> </w:t>
            </w:r>
          </w:p>
        </w:tc>
      </w:tr>
      <w:tr>
        <w:trPr/>
        <w:tc>
          <w:tcPr>
            <w:tcW w:w="785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905"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90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r>
      <w:tr>
        <w:trPr/>
        <w:tc>
          <w:tcPr>
            <w:tcW w:w="7850" w:type="dxa"/>
            <w:tcBorders/>
            <w:shd w:fill="FFFFFF" w:val="cle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Supplemental disclosure of non-cash investing and financing activities: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905"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90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ind w:left="0" w:right="0" w:hanging="180"/>
              <w:jc w:val="left"/>
              <w:rPr/>
            </w:pPr>
            <w:r>
              <w:rPr/>
              <w:t> </w:t>
            </w:r>
          </w:p>
        </w:tc>
      </w:tr>
      <w:tr>
        <w:trPr/>
        <w:tc>
          <w:tcPr>
            <w:tcW w:w="785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Operating lease right-of-use assets obtained in exchange for operating lease liabilities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90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2,424,642</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90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125,849</w:t>
            </w:r>
          </w:p>
        </w:tc>
        <w:tc>
          <w:tcPr>
            <w:tcW w:w="95" w:type="dxa"/>
            <w:tcBorders/>
            <w:shd w:fill="CCEEFF" w:val="clear"/>
            <w:vAlign w:val="center"/>
          </w:tcPr>
          <w:p>
            <w:pPr>
              <w:pStyle w:val="TableContents"/>
              <w:bidi w:val="0"/>
              <w:spacing w:before="0" w:after="283"/>
              <w:ind w:left="0" w:right="0" w:hanging="180"/>
              <w:jc w:val="left"/>
              <w:rPr/>
            </w:pPr>
            <w:r>
              <w:rPr/>
              <w:t> </w:t>
            </w:r>
          </w:p>
        </w:tc>
      </w:tr>
      <w:tr>
        <w:trPr/>
        <w:tc>
          <w:tcPr>
            <w:tcW w:w="785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Increase in operating right-of-use assets and accounts payable for lessor owned tenant improvements paid by the Company</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90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214,465</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90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95" w:type="dxa"/>
            <w:tcBorders/>
            <w:shd w:fill="FFFFFF" w:val="clear"/>
            <w:vAlign w:val="center"/>
          </w:tcPr>
          <w:p>
            <w:pPr>
              <w:pStyle w:val="TableContents"/>
              <w:bidi w:val="0"/>
              <w:spacing w:before="0" w:after="283"/>
              <w:ind w:left="0" w:right="0" w:hanging="180"/>
              <w:jc w:val="left"/>
              <w:rPr/>
            </w:pPr>
            <w:r>
              <w:rPr/>
              <w:t> </w:t>
            </w:r>
          </w:p>
        </w:tc>
      </w:tr>
      <w:tr>
        <w:trPr/>
        <w:tc>
          <w:tcPr>
            <w:tcW w:w="785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Finance lease right-of-use assets obtained in exchange for finance lease liabilities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90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90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1,169,095</w:t>
            </w:r>
          </w:p>
        </w:tc>
        <w:tc>
          <w:tcPr>
            <w:tcW w:w="95" w:type="dxa"/>
            <w:tcBorders/>
            <w:shd w:fill="CCEEFF" w:val="clear"/>
            <w:vAlign w:val="center"/>
          </w:tcPr>
          <w:p>
            <w:pPr>
              <w:pStyle w:val="TableContents"/>
              <w:bidi w:val="0"/>
              <w:spacing w:before="0" w:after="283"/>
              <w:jc w:val="left"/>
              <w:rPr/>
            </w:pPr>
            <w:r>
              <w:rPr/>
              <w:t> </w:t>
            </w:r>
          </w:p>
        </w:tc>
      </w:tr>
      <w:tr>
        <w:trPr/>
        <w:tc>
          <w:tcPr>
            <w:tcW w:w="785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Finance lease terminations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90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26,631</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90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95" w:type="dxa"/>
            <w:tcBorders/>
            <w:shd w:fill="FFFFFF" w:val="clear"/>
            <w:vAlign w:val="center"/>
          </w:tcPr>
          <w:p>
            <w:pPr>
              <w:pStyle w:val="TableContents"/>
              <w:bidi w:val="0"/>
              <w:spacing w:before="0" w:after="283"/>
              <w:jc w:val="left"/>
              <w:rPr/>
            </w:pPr>
            <w:r>
              <w:rPr/>
              <w:t> </w:t>
            </w:r>
          </w:p>
        </w:tc>
      </w:tr>
      <w:tr>
        <w:trPr/>
        <w:tc>
          <w:tcPr>
            <w:tcW w:w="785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Conversion of related-party notes payable to member’s equity</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90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90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2,450,000</w:t>
            </w:r>
          </w:p>
        </w:tc>
        <w:tc>
          <w:tcPr>
            <w:tcW w:w="95" w:type="dxa"/>
            <w:tcBorders/>
            <w:shd w:fill="CCEEFF" w:val="clear"/>
            <w:vAlign w:val="center"/>
          </w:tcPr>
          <w:p>
            <w:pPr>
              <w:pStyle w:val="TableContents"/>
              <w:bidi w:val="0"/>
              <w:spacing w:before="0" w:after="283"/>
              <w:jc w:val="left"/>
              <w:rPr/>
            </w:pPr>
            <w:r>
              <w:rPr/>
              <w:t> </w:t>
            </w:r>
          </w:p>
        </w:tc>
      </w:tr>
      <w:tr>
        <w:trPr/>
        <w:tc>
          <w:tcPr>
            <w:tcW w:w="785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Merchant cash advance accrued guaranteed interest payment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90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262,500</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90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95" w:type="dxa"/>
            <w:tcBorders/>
            <w:shd w:fill="FFFFFF" w:val="clear"/>
            <w:vAlign w:val="center"/>
          </w:tcPr>
          <w:p>
            <w:pPr>
              <w:pStyle w:val="TableContents"/>
              <w:bidi w:val="0"/>
              <w:spacing w:before="0" w:after="283"/>
              <w:jc w:val="left"/>
              <w:rPr/>
            </w:pPr>
            <w:r>
              <w:rPr/>
              <w:t> </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See accompanying notes to financial statements</w:t>
      </w:r>
    </w:p>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sz w:val="20"/>
          <w:bdr w:val="single" w:sz="12" w:space="1" w:color="000000"/>
        </w:rPr>
      </w:pPr>
      <w:r>
        <w:rPr>
          <w:sz w:val="20"/>
          <w:bdr w:val="single" w:sz="12" w:space="1" w:color="000000"/>
        </w:rPr>
        <w:t>F-165</w:t>
      </w:r>
    </w:p>
    <w:p>
      <w:pPr>
        <w:pStyle w:val="TextBody"/>
        <w:bidi w:val="0"/>
        <w:spacing w:before="0" w:after="0"/>
        <w:ind w:left="0" w:right="0" w:hanging="0"/>
        <w:jc w:val="left"/>
        <w:rPr/>
      </w:pPr>
      <w:r>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i/>
          <w:caps w:val="false"/>
          <w:smallCaps w:val="false"/>
          <w:sz w:val="20"/>
        </w:rPr>
      </w:pPr>
      <w:bookmarkStart w:id="52" w:name="H_004"/>
      <w:bookmarkEnd w:id="52"/>
      <w:r>
        <w:rPr>
          <w:rFonts w:ascii="Times New Roman;Times;Serif" w:hAnsi="Times New Roman;Times;Serif"/>
          <w:b/>
          <w:i/>
          <w:caps w:val="false"/>
          <w:smallCaps w:val="false"/>
          <w:sz w:val="20"/>
        </w:rPr>
        <w:t>Notes to Unaudited Financial Statements</w:t>
      </w:r>
    </w:p>
    <w:p>
      <w:pPr>
        <w:pStyle w:val="TextBody"/>
        <w:bidi w:val="0"/>
        <w:spacing w:before="0" w:after="0"/>
        <w:jc w:val="left"/>
        <w:rPr>
          <w:caps w:val="false"/>
          <w:smallCaps w:val="false"/>
        </w:rPr>
      </w:pPr>
      <w:r>
        <w:rPr>
          <w:caps w:val="false"/>
          <w:smallCaps w:val="false"/>
        </w:rPr>
        <w:t> </w:t>
      </w:r>
    </w:p>
    <w:tbl>
      <w:tblPr>
        <w:tblW w:w="2005" w:type="dxa"/>
        <w:jc w:val="left"/>
        <w:tblInd w:w="0" w:type="dxa"/>
        <w:tblLayout w:type="fixed"/>
        <w:tblCellMar>
          <w:top w:w="0" w:type="dxa"/>
          <w:left w:w="0" w:type="dxa"/>
          <w:bottom w:w="0" w:type="dxa"/>
          <w:right w:w="0" w:type="dxa"/>
        </w:tblCellMar>
      </w:tblPr>
      <w:tblGrid>
        <w:gridCol w:w="185"/>
        <w:gridCol w:w="1820"/>
      </w:tblGrid>
      <w:tr>
        <w:trPr/>
        <w:tc>
          <w:tcPr>
            <w:tcW w:w="18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1.</w:t>
            </w:r>
          </w:p>
        </w:tc>
        <w:tc>
          <w:tcPr>
            <w:tcW w:w="1820" w:type="dxa"/>
            <w:tcBorders/>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Nature of Operations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Organization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Ambia Energy, LLC was organized on March 24, 2021 as a Utah limited liability company. The Company is a residential solar energy system installer and operates in various markets throughout the United States. The Company is a wholly owned subsidiary of Ambia Holdings, Inc.</w:t>
      </w:r>
    </w:p>
    <w:p>
      <w:pPr>
        <w:pStyle w:val="TextBody"/>
        <w:bidi w:val="0"/>
        <w:spacing w:before="0" w:after="0"/>
        <w:ind w:left="0" w:right="0" w:hanging="0"/>
        <w:jc w:val="both"/>
        <w:rPr>
          <w:caps w:val="false"/>
          <w:smallCaps w:val="false"/>
        </w:rPr>
      </w:pPr>
      <w:r>
        <w:rPr>
          <w:caps w:val="false"/>
          <w:smallCaps w:val="false"/>
        </w:rPr>
        <w:t> </w:t>
      </w:r>
    </w:p>
    <w:tbl>
      <w:tblPr>
        <w:tblW w:w="3940" w:type="dxa"/>
        <w:jc w:val="left"/>
        <w:tblInd w:w="0" w:type="dxa"/>
        <w:tblLayout w:type="fixed"/>
        <w:tblCellMar>
          <w:top w:w="0" w:type="dxa"/>
          <w:left w:w="0" w:type="dxa"/>
          <w:bottom w:w="0" w:type="dxa"/>
          <w:right w:w="0" w:type="dxa"/>
        </w:tblCellMar>
      </w:tblPr>
      <w:tblGrid>
        <w:gridCol w:w="185"/>
        <w:gridCol w:w="3755"/>
      </w:tblGrid>
      <w:tr>
        <w:trPr/>
        <w:tc>
          <w:tcPr>
            <w:tcW w:w="18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2.</w:t>
            </w:r>
          </w:p>
        </w:tc>
        <w:tc>
          <w:tcPr>
            <w:tcW w:w="3755" w:type="dxa"/>
            <w:tcBorders/>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Summary of Significant Accounting Policies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Use of Estimates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preparation of financial statements in conformity with US GAAP requires management to make estimates and assumptions that affect reported amounts and disclosures. Accordingly, actual results could differ from those estimates.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Concentrations of Credit Risk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maintains its cash in bank deposit accounts which, at times, exceeds federally insured limits. To date, the Company has not experienced a loss or lack of access to its invested cash; however, no assurance can be provided that access to the Company’s invested cash will not be impacted by adverse conditions in the financial markets.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normal course of business, the Company provides credit terms to its customers and generally requires no collateral. Customers that comprise more than 10% of the Company’s accounts receivable or annual net sales are considered to be major customers. No residential customer accounted for more than 10% of sales or accounts receivable as of and for the nine months ended September 30, 2025 and 2024.</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residential customers generally pay for the transaction with financing. Significant lenders were as follows for the nine months ended September 30, 2025 and 2024:</w:t>
      </w:r>
    </w:p>
    <w:p>
      <w:pPr>
        <w:pStyle w:val="TextBody"/>
        <w:bidi w:val="0"/>
        <w:spacing w:before="0" w:after="0"/>
        <w:ind w:left="0" w:right="0" w:hanging="0"/>
        <w:jc w:val="both"/>
        <w:rPr>
          <w:caps w:val="false"/>
          <w:smallCaps w:val="false"/>
        </w:rPr>
      </w:pPr>
      <w:r>
        <w:rPr>
          <w:caps w:val="false"/>
          <w:smallCaps w:val="false"/>
        </w:rPr>
        <w:t> </w:t>
      </w:r>
    </w:p>
    <w:tbl>
      <w:tblPr>
        <w:tblW w:w="2170" w:type="dxa"/>
        <w:jc w:val="left"/>
        <w:tblInd w:w="0" w:type="dxa"/>
        <w:tblLayout w:type="fixed"/>
        <w:tblCellMar>
          <w:top w:w="0" w:type="dxa"/>
          <w:left w:w="0" w:type="dxa"/>
          <w:bottom w:w="0" w:type="dxa"/>
          <w:right w:w="0" w:type="dxa"/>
        </w:tblCellMar>
      </w:tblPr>
      <w:tblGrid>
        <w:gridCol w:w="785"/>
        <w:gridCol w:w="60"/>
        <w:gridCol w:w="91"/>
        <w:gridCol w:w="349"/>
        <w:gridCol w:w="185"/>
        <w:gridCol w:w="60"/>
        <w:gridCol w:w="91"/>
        <w:gridCol w:w="349"/>
        <w:gridCol w:w="200"/>
      </w:tblGrid>
      <w:tr>
        <w:trPr/>
        <w:tc>
          <w:tcPr>
            <w:tcW w:w="7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40"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2025</w:t>
            </w:r>
          </w:p>
        </w:tc>
        <w:tc>
          <w:tcPr>
            <w:tcW w:w="1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40"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2024</w:t>
            </w:r>
          </w:p>
        </w:tc>
        <w:tc>
          <w:tcPr>
            <w:tcW w:w="200" w:type="dxa"/>
            <w:tcBorders/>
            <w:vAlign w:val="center"/>
          </w:tcPr>
          <w:p>
            <w:pPr>
              <w:pStyle w:val="TableContents"/>
              <w:bidi w:val="0"/>
              <w:spacing w:before="0" w:after="283"/>
              <w:jc w:val="left"/>
              <w:rPr/>
            </w:pPr>
            <w:r>
              <w:rPr/>
              <w:t> </w:t>
            </w:r>
          </w:p>
        </w:tc>
      </w:tr>
      <w:tr>
        <w:trPr/>
        <w:tc>
          <w:tcPr>
            <w:tcW w:w="7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Lender A</w:t>
            </w:r>
          </w:p>
        </w:tc>
        <w:tc>
          <w:tcPr>
            <w:tcW w:w="60" w:type="dxa"/>
            <w:tcBorders/>
            <w:shd w:fill="CCEEFF" w:val="clear"/>
            <w:vAlign w:val="center"/>
          </w:tcPr>
          <w:p>
            <w:pPr>
              <w:pStyle w:val="TableContents"/>
              <w:bidi w:val="0"/>
              <w:spacing w:before="0" w:after="283"/>
              <w:jc w:val="left"/>
              <w:rPr/>
            </w:pPr>
            <w:r>
              <w:rPr/>
              <w:t> </w:t>
            </w:r>
          </w:p>
        </w:tc>
        <w:tc>
          <w:tcPr>
            <w:tcW w:w="91" w:type="dxa"/>
            <w:tcBorders/>
            <w:shd w:fill="CCEEFF" w:val="clear"/>
            <w:vAlign w:val="center"/>
          </w:tcPr>
          <w:p>
            <w:pPr>
              <w:pStyle w:val="TableContents"/>
              <w:bidi w:val="0"/>
              <w:spacing w:before="0" w:after="283"/>
              <w:jc w:val="left"/>
              <w:rPr/>
            </w:pPr>
            <w:r>
              <w:rPr/>
              <w:t> </w:t>
            </w:r>
          </w:p>
        </w:tc>
        <w:tc>
          <w:tcPr>
            <w:tcW w:w="349"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27</w:t>
            </w:r>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91" w:type="dxa"/>
            <w:tcBorders/>
            <w:shd w:fill="CCEEFF" w:val="clear"/>
            <w:vAlign w:val="center"/>
          </w:tcPr>
          <w:p>
            <w:pPr>
              <w:pStyle w:val="TableContents"/>
              <w:bidi w:val="0"/>
              <w:spacing w:before="0" w:after="283"/>
              <w:jc w:val="left"/>
              <w:rPr/>
            </w:pPr>
            <w:r>
              <w:rPr/>
              <w:t> </w:t>
            </w:r>
          </w:p>
        </w:tc>
        <w:tc>
          <w:tcPr>
            <w:tcW w:w="349"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200" w:type="dxa"/>
            <w:tcBorders/>
            <w:shd w:fill="CCEEFF" w:val="clear"/>
            <w:vAlign w:val="center"/>
          </w:tcPr>
          <w:p>
            <w:pPr>
              <w:pStyle w:val="TableContents"/>
              <w:bidi w:val="0"/>
              <w:spacing w:before="0" w:after="283"/>
              <w:jc w:val="left"/>
              <w:rPr/>
            </w:pPr>
            <w:r>
              <w:rPr/>
              <w:t> </w:t>
            </w:r>
          </w:p>
        </w:tc>
      </w:tr>
      <w:tr>
        <w:trPr/>
        <w:tc>
          <w:tcPr>
            <w:tcW w:w="7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Lender B</w:t>
            </w:r>
          </w:p>
        </w:tc>
        <w:tc>
          <w:tcPr>
            <w:tcW w:w="60" w:type="dxa"/>
            <w:tcBorders/>
            <w:shd w:fill="FFFFFF" w:val="clear"/>
            <w:vAlign w:val="center"/>
          </w:tcPr>
          <w:p>
            <w:pPr>
              <w:pStyle w:val="TableContents"/>
              <w:bidi w:val="0"/>
              <w:spacing w:before="0" w:after="283"/>
              <w:jc w:val="left"/>
              <w:rPr/>
            </w:pPr>
            <w:r>
              <w:rPr/>
              <w:t> </w:t>
            </w:r>
          </w:p>
        </w:tc>
        <w:tc>
          <w:tcPr>
            <w:tcW w:w="91" w:type="dxa"/>
            <w:tcBorders/>
            <w:shd w:fill="FFFFFF" w:val="clear"/>
            <w:vAlign w:val="center"/>
          </w:tcPr>
          <w:p>
            <w:pPr>
              <w:pStyle w:val="TableContents"/>
              <w:bidi w:val="0"/>
              <w:spacing w:before="0" w:after="283"/>
              <w:jc w:val="left"/>
              <w:rPr/>
            </w:pPr>
            <w:r>
              <w:rPr/>
              <w:t> </w:t>
            </w:r>
          </w:p>
        </w:tc>
        <w:tc>
          <w:tcPr>
            <w:tcW w:w="349"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19</w:t>
            </w:r>
          </w:p>
        </w:tc>
        <w:tc>
          <w:tcPr>
            <w:tcW w:w="1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91" w:type="dxa"/>
            <w:tcBorders/>
            <w:shd w:fill="FFFFFF" w:val="clear"/>
            <w:vAlign w:val="center"/>
          </w:tcPr>
          <w:p>
            <w:pPr>
              <w:pStyle w:val="TableContents"/>
              <w:bidi w:val="0"/>
              <w:spacing w:before="0" w:after="283"/>
              <w:jc w:val="left"/>
              <w:rPr/>
            </w:pPr>
            <w:r>
              <w:rPr/>
              <w:t> </w:t>
            </w:r>
          </w:p>
        </w:tc>
        <w:tc>
          <w:tcPr>
            <w:tcW w:w="349"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18</w:t>
            </w:r>
          </w:p>
        </w:tc>
        <w:tc>
          <w:tcPr>
            <w:tcW w:w="20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7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Lender C</w:t>
            </w:r>
          </w:p>
        </w:tc>
        <w:tc>
          <w:tcPr>
            <w:tcW w:w="60" w:type="dxa"/>
            <w:tcBorders/>
            <w:shd w:fill="CCEEFF" w:val="clear"/>
            <w:vAlign w:val="center"/>
          </w:tcPr>
          <w:p>
            <w:pPr>
              <w:pStyle w:val="TableContents"/>
              <w:bidi w:val="0"/>
              <w:spacing w:before="0" w:after="283"/>
              <w:jc w:val="left"/>
              <w:rPr/>
            </w:pPr>
            <w:r>
              <w:rPr/>
              <w:t> </w:t>
            </w:r>
          </w:p>
        </w:tc>
        <w:tc>
          <w:tcPr>
            <w:tcW w:w="91" w:type="dxa"/>
            <w:tcBorders/>
            <w:shd w:fill="CCEEFF" w:val="clear"/>
            <w:vAlign w:val="center"/>
          </w:tcPr>
          <w:p>
            <w:pPr>
              <w:pStyle w:val="TableContents"/>
              <w:bidi w:val="0"/>
              <w:spacing w:before="0" w:after="283"/>
              <w:jc w:val="left"/>
              <w:rPr/>
            </w:pPr>
            <w:r>
              <w:rPr/>
              <w:t> </w:t>
            </w:r>
          </w:p>
        </w:tc>
        <w:tc>
          <w:tcPr>
            <w:tcW w:w="349"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17</w:t>
            </w:r>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91" w:type="dxa"/>
            <w:tcBorders/>
            <w:shd w:fill="CCEEFF" w:val="clear"/>
            <w:vAlign w:val="center"/>
          </w:tcPr>
          <w:p>
            <w:pPr>
              <w:pStyle w:val="TableContents"/>
              <w:bidi w:val="0"/>
              <w:spacing w:before="0" w:after="283"/>
              <w:jc w:val="left"/>
              <w:rPr/>
            </w:pPr>
            <w:r>
              <w:rPr/>
              <w:t> </w:t>
            </w:r>
          </w:p>
        </w:tc>
        <w:tc>
          <w:tcPr>
            <w:tcW w:w="349"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200" w:type="dxa"/>
            <w:tcBorders/>
            <w:shd w:fill="CCEEFF" w:val="clear"/>
            <w:vAlign w:val="center"/>
          </w:tcPr>
          <w:p>
            <w:pPr>
              <w:pStyle w:val="TableContents"/>
              <w:bidi w:val="0"/>
              <w:spacing w:before="0" w:after="283"/>
              <w:jc w:val="left"/>
              <w:rPr/>
            </w:pPr>
            <w:r>
              <w:rPr/>
              <w:t> </w:t>
            </w:r>
          </w:p>
        </w:tc>
      </w:tr>
      <w:tr>
        <w:trPr/>
        <w:tc>
          <w:tcPr>
            <w:tcW w:w="7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Lender D</w:t>
            </w:r>
          </w:p>
        </w:tc>
        <w:tc>
          <w:tcPr>
            <w:tcW w:w="60" w:type="dxa"/>
            <w:tcBorders/>
            <w:shd w:fill="FFFFFF" w:val="clear"/>
            <w:vAlign w:val="center"/>
          </w:tcPr>
          <w:p>
            <w:pPr>
              <w:pStyle w:val="TableContents"/>
              <w:bidi w:val="0"/>
              <w:spacing w:before="0" w:after="283"/>
              <w:jc w:val="left"/>
              <w:rPr/>
            </w:pPr>
            <w:r>
              <w:rPr/>
              <w:t> </w:t>
            </w:r>
          </w:p>
        </w:tc>
        <w:tc>
          <w:tcPr>
            <w:tcW w:w="91" w:type="dxa"/>
            <w:tcBorders/>
            <w:shd w:fill="FFFFFF" w:val="clear"/>
            <w:vAlign w:val="center"/>
          </w:tcPr>
          <w:p>
            <w:pPr>
              <w:pStyle w:val="TableContents"/>
              <w:bidi w:val="0"/>
              <w:spacing w:before="0" w:after="283"/>
              <w:jc w:val="left"/>
              <w:rPr/>
            </w:pPr>
            <w:r>
              <w:rPr/>
              <w:t> </w:t>
            </w:r>
          </w:p>
        </w:tc>
        <w:tc>
          <w:tcPr>
            <w:tcW w:w="349"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12</w:t>
            </w:r>
          </w:p>
        </w:tc>
        <w:tc>
          <w:tcPr>
            <w:tcW w:w="1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91" w:type="dxa"/>
            <w:tcBorders/>
            <w:shd w:fill="FFFFFF" w:val="clear"/>
            <w:vAlign w:val="center"/>
          </w:tcPr>
          <w:p>
            <w:pPr>
              <w:pStyle w:val="TableContents"/>
              <w:bidi w:val="0"/>
              <w:spacing w:before="0" w:after="283"/>
              <w:jc w:val="left"/>
              <w:rPr/>
            </w:pPr>
            <w:r>
              <w:rPr/>
              <w:t> </w:t>
            </w:r>
          </w:p>
        </w:tc>
        <w:tc>
          <w:tcPr>
            <w:tcW w:w="349"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200" w:type="dxa"/>
            <w:tcBorders/>
            <w:shd w:fill="FFFFFF" w:val="clear"/>
            <w:vAlign w:val="center"/>
          </w:tcPr>
          <w:p>
            <w:pPr>
              <w:pStyle w:val="TableContents"/>
              <w:bidi w:val="0"/>
              <w:spacing w:before="0" w:after="283"/>
              <w:jc w:val="left"/>
              <w:rPr/>
            </w:pPr>
            <w:r>
              <w:rPr/>
              <w:t> </w:t>
            </w:r>
          </w:p>
        </w:tc>
      </w:tr>
      <w:tr>
        <w:trPr/>
        <w:tc>
          <w:tcPr>
            <w:tcW w:w="7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Lender E</w:t>
            </w:r>
          </w:p>
        </w:tc>
        <w:tc>
          <w:tcPr>
            <w:tcW w:w="60" w:type="dxa"/>
            <w:tcBorders/>
            <w:shd w:fill="CCEEFF" w:val="clear"/>
            <w:vAlign w:val="center"/>
          </w:tcPr>
          <w:p>
            <w:pPr>
              <w:pStyle w:val="TableContents"/>
              <w:bidi w:val="0"/>
              <w:spacing w:before="0" w:after="283"/>
              <w:jc w:val="left"/>
              <w:rPr/>
            </w:pPr>
            <w:r>
              <w:rPr/>
              <w:t> </w:t>
            </w:r>
          </w:p>
        </w:tc>
        <w:tc>
          <w:tcPr>
            <w:tcW w:w="91" w:type="dxa"/>
            <w:tcBorders/>
            <w:shd w:fill="CCEEFF" w:val="clear"/>
            <w:vAlign w:val="center"/>
          </w:tcPr>
          <w:p>
            <w:pPr>
              <w:pStyle w:val="TableContents"/>
              <w:bidi w:val="0"/>
              <w:spacing w:before="0" w:after="283"/>
              <w:jc w:val="left"/>
              <w:rPr/>
            </w:pPr>
            <w:r>
              <w:rPr/>
              <w:t> </w:t>
            </w:r>
          </w:p>
        </w:tc>
        <w:tc>
          <w:tcPr>
            <w:tcW w:w="349"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11</w:t>
            </w:r>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91" w:type="dxa"/>
            <w:tcBorders/>
            <w:shd w:fill="CCEEFF" w:val="clear"/>
            <w:vAlign w:val="center"/>
          </w:tcPr>
          <w:p>
            <w:pPr>
              <w:pStyle w:val="TableContents"/>
              <w:bidi w:val="0"/>
              <w:spacing w:before="0" w:after="283"/>
              <w:jc w:val="left"/>
              <w:rPr/>
            </w:pPr>
            <w:r>
              <w:rPr/>
              <w:t> </w:t>
            </w:r>
          </w:p>
        </w:tc>
        <w:tc>
          <w:tcPr>
            <w:tcW w:w="349"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72</w:t>
            </w:r>
          </w:p>
        </w:tc>
        <w:tc>
          <w:tcPr>
            <w:tcW w:w="20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bl>
    <w:p>
      <w:pPr>
        <w:pStyle w:val="TextBody"/>
        <w:bidi w:val="0"/>
        <w:spacing w:before="0" w:after="0"/>
        <w:ind w:left="0" w:right="0" w:hanging="0"/>
        <w:jc w:val="both"/>
        <w:rPr>
          <w:caps w:val="false"/>
          <w:smallCaps w:val="false"/>
        </w:rPr>
      </w:pPr>
      <w:r>
        <w:rPr>
          <w:caps w:val="false"/>
          <w:smallCaps w:val="false"/>
        </w:rPr>
        <w:t> </w:t>
      </w:r>
    </w:p>
    <w:tbl>
      <w:tblPr>
        <w:tblW w:w="4240" w:type="dxa"/>
        <w:jc w:val="left"/>
        <w:tblInd w:w="0" w:type="dxa"/>
        <w:tblLayout w:type="fixed"/>
        <w:tblCellMar>
          <w:top w:w="0" w:type="dxa"/>
          <w:left w:w="0" w:type="dxa"/>
          <w:bottom w:w="0" w:type="dxa"/>
          <w:right w:w="0" w:type="dxa"/>
        </w:tblCellMar>
      </w:tblPr>
      <w:tblGrid>
        <w:gridCol w:w="140"/>
        <w:gridCol w:w="4100"/>
      </w:tblGrid>
      <w:tr>
        <w:trPr/>
        <w:tc>
          <w:tcPr>
            <w:tcW w:w="140" w:type="dxa"/>
            <w:tcBorders/>
            <w:vAlign w:val="center"/>
          </w:tcPr>
          <w:p>
            <w:pPr>
              <w:pStyle w:val="TableContents"/>
              <w:bidi w:val="0"/>
              <w:spacing w:before="0" w:after="283"/>
              <w:jc w:val="left"/>
              <w:rPr>
                <w:rFonts w:ascii="Times New Roman;Times;Serif" w:hAnsi="Times New Roman;Times;Serif"/>
                <w:i/>
                <w:sz w:val="20"/>
              </w:rPr>
            </w:pPr>
            <w:r>
              <w:rPr>
                <w:rFonts w:ascii="Times New Roman;Times;Serif" w:hAnsi="Times New Roman;Times;Serif"/>
                <w:i/>
                <w:sz w:val="20"/>
              </w:rPr>
              <w:t>*</w:t>
            </w:r>
          </w:p>
        </w:tc>
        <w:tc>
          <w:tcPr>
            <w:tcW w:w="4100" w:type="dxa"/>
            <w:tcBorders/>
            <w:vAlign w:val="center"/>
          </w:tcPr>
          <w:p>
            <w:pPr>
              <w:pStyle w:val="TableContents"/>
              <w:bidi w:val="0"/>
              <w:spacing w:before="0" w:after="283"/>
              <w:jc w:val="both"/>
              <w:rPr>
                <w:rFonts w:ascii="Times New Roman;Times;Serif" w:hAnsi="Times New Roman;Times;Serif"/>
                <w:i/>
                <w:sz w:val="20"/>
              </w:rPr>
            </w:pPr>
            <w:r>
              <w:rPr>
                <w:rFonts w:ascii="Times New Roman;Times;Serif" w:hAnsi="Times New Roman;Times;Serif"/>
                <w:i/>
                <w:sz w:val="20"/>
              </w:rPr>
              <w:t>Lender funded less than 10% of sales for the year.</w:t>
            </w:r>
          </w:p>
        </w:tc>
      </w:tr>
    </w:tbl>
    <w:p>
      <w:pPr>
        <w:pStyle w:val="TextBody"/>
        <w:bidi w:val="0"/>
        <w:spacing w:before="0" w:after="0"/>
        <w:ind w:left="0" w:right="0" w:hanging="0"/>
        <w:jc w:val="righ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Additionally, the following lenders owed a significant portion of the Company’s account receivable balance as of September 30, 2025 and 2024:</w:t>
      </w:r>
    </w:p>
    <w:p>
      <w:pPr>
        <w:pStyle w:val="TextBody"/>
        <w:bidi w:val="0"/>
        <w:spacing w:before="0" w:after="0"/>
        <w:ind w:left="0" w:right="0" w:hanging="0"/>
        <w:jc w:val="both"/>
        <w:rPr>
          <w:caps w:val="false"/>
          <w:smallCaps w:val="false"/>
        </w:rPr>
      </w:pPr>
      <w:r>
        <w:rPr>
          <w:caps w:val="false"/>
          <w:smallCaps w:val="false"/>
        </w:rPr>
        <w:t> </w:t>
      </w:r>
    </w:p>
    <w:tbl>
      <w:tblPr>
        <w:tblW w:w="2170" w:type="dxa"/>
        <w:jc w:val="left"/>
        <w:tblInd w:w="0" w:type="dxa"/>
        <w:tblLayout w:type="fixed"/>
        <w:tblCellMar>
          <w:top w:w="0" w:type="dxa"/>
          <w:left w:w="0" w:type="dxa"/>
          <w:bottom w:w="0" w:type="dxa"/>
          <w:right w:w="0" w:type="dxa"/>
        </w:tblCellMar>
      </w:tblPr>
      <w:tblGrid>
        <w:gridCol w:w="785"/>
        <w:gridCol w:w="60"/>
        <w:gridCol w:w="91"/>
        <w:gridCol w:w="349"/>
        <w:gridCol w:w="185"/>
        <w:gridCol w:w="60"/>
        <w:gridCol w:w="91"/>
        <w:gridCol w:w="349"/>
        <w:gridCol w:w="200"/>
      </w:tblGrid>
      <w:tr>
        <w:trPr/>
        <w:tc>
          <w:tcPr>
            <w:tcW w:w="7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40"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2025</w:t>
            </w:r>
          </w:p>
        </w:tc>
        <w:tc>
          <w:tcPr>
            <w:tcW w:w="1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40"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2024</w:t>
            </w:r>
          </w:p>
        </w:tc>
        <w:tc>
          <w:tcPr>
            <w:tcW w:w="200" w:type="dxa"/>
            <w:tcBorders/>
            <w:vAlign w:val="center"/>
          </w:tcPr>
          <w:p>
            <w:pPr>
              <w:pStyle w:val="TableContents"/>
              <w:bidi w:val="0"/>
              <w:spacing w:before="0" w:after="283"/>
              <w:jc w:val="left"/>
              <w:rPr/>
            </w:pPr>
            <w:r>
              <w:rPr/>
              <w:t> </w:t>
            </w:r>
          </w:p>
        </w:tc>
      </w:tr>
      <w:tr>
        <w:trPr/>
        <w:tc>
          <w:tcPr>
            <w:tcW w:w="7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Lender B</w:t>
            </w:r>
          </w:p>
        </w:tc>
        <w:tc>
          <w:tcPr>
            <w:tcW w:w="60" w:type="dxa"/>
            <w:tcBorders/>
            <w:shd w:fill="CCEEFF" w:val="clear"/>
            <w:vAlign w:val="center"/>
          </w:tcPr>
          <w:p>
            <w:pPr>
              <w:pStyle w:val="TableContents"/>
              <w:bidi w:val="0"/>
              <w:spacing w:before="0" w:after="283"/>
              <w:jc w:val="left"/>
              <w:rPr/>
            </w:pPr>
            <w:r>
              <w:rPr/>
              <w:t> </w:t>
            </w:r>
          </w:p>
        </w:tc>
        <w:tc>
          <w:tcPr>
            <w:tcW w:w="91" w:type="dxa"/>
            <w:tcBorders/>
            <w:shd w:fill="CCEEFF" w:val="clear"/>
            <w:vAlign w:val="center"/>
          </w:tcPr>
          <w:p>
            <w:pPr>
              <w:pStyle w:val="TableContents"/>
              <w:bidi w:val="0"/>
              <w:spacing w:before="0" w:after="283"/>
              <w:jc w:val="left"/>
              <w:rPr/>
            </w:pPr>
            <w:r>
              <w:rPr/>
              <w:t> </w:t>
            </w:r>
          </w:p>
        </w:tc>
        <w:tc>
          <w:tcPr>
            <w:tcW w:w="349"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27</w:t>
            </w:r>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91" w:type="dxa"/>
            <w:tcBorders/>
            <w:shd w:fill="CCEEFF" w:val="clear"/>
            <w:vAlign w:val="center"/>
          </w:tcPr>
          <w:p>
            <w:pPr>
              <w:pStyle w:val="TableContents"/>
              <w:bidi w:val="0"/>
              <w:spacing w:before="0" w:after="283"/>
              <w:jc w:val="left"/>
              <w:rPr/>
            </w:pPr>
            <w:r>
              <w:rPr/>
              <w:t> </w:t>
            </w:r>
          </w:p>
        </w:tc>
        <w:tc>
          <w:tcPr>
            <w:tcW w:w="349"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47</w:t>
            </w:r>
          </w:p>
        </w:tc>
        <w:tc>
          <w:tcPr>
            <w:tcW w:w="20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7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Lender E</w:t>
            </w:r>
          </w:p>
        </w:tc>
        <w:tc>
          <w:tcPr>
            <w:tcW w:w="60" w:type="dxa"/>
            <w:tcBorders/>
            <w:shd w:fill="FFFFFF" w:val="clear"/>
            <w:vAlign w:val="center"/>
          </w:tcPr>
          <w:p>
            <w:pPr>
              <w:pStyle w:val="TableContents"/>
              <w:bidi w:val="0"/>
              <w:spacing w:before="0" w:after="283"/>
              <w:jc w:val="left"/>
              <w:rPr/>
            </w:pPr>
            <w:r>
              <w:rPr/>
              <w:t> </w:t>
            </w:r>
          </w:p>
        </w:tc>
        <w:tc>
          <w:tcPr>
            <w:tcW w:w="91" w:type="dxa"/>
            <w:tcBorders/>
            <w:shd w:fill="FFFFFF" w:val="clear"/>
            <w:vAlign w:val="center"/>
          </w:tcPr>
          <w:p>
            <w:pPr>
              <w:pStyle w:val="TableContents"/>
              <w:bidi w:val="0"/>
              <w:spacing w:before="0" w:after="283"/>
              <w:jc w:val="left"/>
              <w:rPr/>
            </w:pPr>
            <w:r>
              <w:rPr/>
              <w:t> </w:t>
            </w:r>
          </w:p>
        </w:tc>
        <w:tc>
          <w:tcPr>
            <w:tcW w:w="349"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1" w:type="dxa"/>
            <w:tcBorders/>
            <w:shd w:fill="FFFFFF" w:val="clear"/>
            <w:vAlign w:val="center"/>
          </w:tcPr>
          <w:p>
            <w:pPr>
              <w:pStyle w:val="TableContents"/>
              <w:bidi w:val="0"/>
              <w:spacing w:before="0" w:after="283"/>
              <w:jc w:val="left"/>
              <w:rPr/>
            </w:pPr>
            <w:r>
              <w:rPr/>
              <w:t> </w:t>
            </w:r>
          </w:p>
        </w:tc>
        <w:tc>
          <w:tcPr>
            <w:tcW w:w="349"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32</w:t>
            </w:r>
          </w:p>
        </w:tc>
        <w:tc>
          <w:tcPr>
            <w:tcW w:w="20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7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Lender A</w:t>
            </w:r>
          </w:p>
        </w:tc>
        <w:tc>
          <w:tcPr>
            <w:tcW w:w="60" w:type="dxa"/>
            <w:tcBorders/>
            <w:shd w:fill="CCEEFF" w:val="clear"/>
            <w:vAlign w:val="center"/>
          </w:tcPr>
          <w:p>
            <w:pPr>
              <w:pStyle w:val="TableContents"/>
              <w:bidi w:val="0"/>
              <w:spacing w:before="0" w:after="283"/>
              <w:jc w:val="left"/>
              <w:rPr/>
            </w:pPr>
            <w:r>
              <w:rPr/>
              <w:t> </w:t>
            </w:r>
          </w:p>
        </w:tc>
        <w:tc>
          <w:tcPr>
            <w:tcW w:w="91" w:type="dxa"/>
            <w:tcBorders/>
            <w:shd w:fill="CCEEFF" w:val="clear"/>
            <w:vAlign w:val="center"/>
          </w:tcPr>
          <w:p>
            <w:pPr>
              <w:pStyle w:val="TableContents"/>
              <w:bidi w:val="0"/>
              <w:spacing w:before="0" w:after="283"/>
              <w:jc w:val="left"/>
              <w:rPr/>
            </w:pPr>
            <w:r>
              <w:rPr/>
              <w:t> </w:t>
            </w:r>
          </w:p>
        </w:tc>
        <w:tc>
          <w:tcPr>
            <w:tcW w:w="349"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1" w:type="dxa"/>
            <w:tcBorders/>
            <w:shd w:fill="CCEEFF" w:val="clear"/>
            <w:vAlign w:val="center"/>
          </w:tcPr>
          <w:p>
            <w:pPr>
              <w:pStyle w:val="TableContents"/>
              <w:bidi w:val="0"/>
              <w:spacing w:before="0" w:after="283"/>
              <w:jc w:val="left"/>
              <w:rPr/>
            </w:pPr>
            <w:r>
              <w:rPr/>
              <w:t> </w:t>
            </w:r>
          </w:p>
        </w:tc>
        <w:tc>
          <w:tcPr>
            <w:tcW w:w="349"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10</w:t>
            </w:r>
          </w:p>
        </w:tc>
        <w:tc>
          <w:tcPr>
            <w:tcW w:w="20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bl>
    <w:p>
      <w:pPr>
        <w:pStyle w:val="TextBody"/>
        <w:bidi w:val="0"/>
        <w:spacing w:before="0" w:after="0"/>
        <w:ind w:left="0" w:right="0" w:hanging="0"/>
        <w:jc w:val="both"/>
        <w:rPr>
          <w:caps w:val="false"/>
          <w:smallCaps w:val="false"/>
        </w:rPr>
      </w:pPr>
      <w:r>
        <w:rPr>
          <w:caps w:val="false"/>
          <w:smallCaps w:val="false"/>
        </w:rPr>
        <w:t> </w:t>
      </w:r>
    </w:p>
    <w:tbl>
      <w:tblPr>
        <w:tblW w:w="6055" w:type="dxa"/>
        <w:jc w:val="left"/>
        <w:tblInd w:w="0" w:type="dxa"/>
        <w:tblLayout w:type="fixed"/>
        <w:tblCellMar>
          <w:top w:w="0" w:type="dxa"/>
          <w:left w:w="0" w:type="dxa"/>
          <w:bottom w:w="0" w:type="dxa"/>
          <w:right w:w="0" w:type="dxa"/>
        </w:tblCellMar>
      </w:tblPr>
      <w:tblGrid>
        <w:gridCol w:w="140"/>
        <w:gridCol w:w="5915"/>
      </w:tblGrid>
      <w:tr>
        <w:trPr/>
        <w:tc>
          <w:tcPr>
            <w:tcW w:w="140" w:type="dxa"/>
            <w:tcBorders/>
            <w:vAlign w:val="center"/>
          </w:tcPr>
          <w:p>
            <w:pPr>
              <w:pStyle w:val="TableContents"/>
              <w:bidi w:val="0"/>
              <w:spacing w:before="0" w:after="283"/>
              <w:jc w:val="left"/>
              <w:rPr>
                <w:rFonts w:ascii="Times New Roman;Times;Serif" w:hAnsi="Times New Roman;Times;Serif"/>
                <w:i/>
                <w:sz w:val="20"/>
              </w:rPr>
            </w:pPr>
            <w:r>
              <w:rPr>
                <w:rFonts w:ascii="Times New Roman;Times;Serif" w:hAnsi="Times New Roman;Times;Serif"/>
                <w:i/>
                <w:sz w:val="20"/>
              </w:rPr>
              <w:t>*</w:t>
            </w:r>
          </w:p>
        </w:tc>
        <w:tc>
          <w:tcPr>
            <w:tcW w:w="5915" w:type="dxa"/>
            <w:tcBorders/>
            <w:vAlign w:val="center"/>
          </w:tcPr>
          <w:p>
            <w:pPr>
              <w:pStyle w:val="TableContents"/>
              <w:bidi w:val="0"/>
              <w:spacing w:before="0" w:after="283"/>
              <w:jc w:val="both"/>
              <w:rPr>
                <w:rFonts w:ascii="Times New Roman;Times;Serif" w:hAnsi="Times New Roman;Times;Serif"/>
                <w:i/>
                <w:sz w:val="20"/>
              </w:rPr>
            </w:pPr>
            <w:r>
              <w:rPr>
                <w:rFonts w:ascii="Times New Roman;Times;Serif" w:hAnsi="Times New Roman;Times;Serif"/>
                <w:i/>
                <w:sz w:val="20"/>
              </w:rPr>
              <w:t>Lender accounted for less than 10% of the accounts receivable balance.</w:t>
            </w:r>
          </w:p>
        </w:tc>
      </w:tr>
    </w:tbl>
    <w:p>
      <w:pPr>
        <w:pStyle w:val="TextBody"/>
        <w:bidi w:val="0"/>
        <w:spacing w:before="0" w:after="0"/>
        <w:ind w:left="0" w:right="0" w:hanging="0"/>
        <w:jc w:val="right"/>
        <w:rPr>
          <w:caps w:val="false"/>
          <w:smallCaps w:val="false"/>
        </w:rPr>
      </w:pPr>
      <w:r>
        <w:rPr>
          <w:caps w:val="false"/>
          <w:smallCaps w:val="false"/>
        </w:rPr>
        <w:t> </w:t>
      </w:r>
    </w:p>
    <w:p>
      <w:pPr>
        <w:pStyle w:val="TextBody"/>
        <w:bidi w:val="0"/>
        <w:spacing w:before="0" w:after="0"/>
        <w:ind w:left="0" w:right="0" w:hanging="0"/>
        <w:jc w:val="center"/>
        <w:rPr>
          <w:sz w:val="20"/>
          <w:bdr w:val="single" w:sz="12" w:space="1" w:color="000000"/>
        </w:rPr>
      </w:pPr>
      <w:r>
        <w:rPr>
          <w:sz w:val="20"/>
          <w:bdr w:val="single" w:sz="12" w:space="1" w:color="000000"/>
        </w:rPr>
        <w:t>F-166</w:t>
      </w:r>
    </w:p>
    <w:p>
      <w:pPr>
        <w:pStyle w:val="TextBody"/>
        <w:bidi w:val="0"/>
        <w:spacing w:before="0" w:after="0"/>
        <w:ind w:left="0" w:right="0" w:hanging="0"/>
        <w:jc w:val="left"/>
        <w:rPr/>
      </w:pPr>
      <w:r>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Major vendors are defined as those vendors to which expenditures made by the Company are 10% or more of the Company’s total solar materials costs. The following was a major vendor for the nine months ended September 30, 2025 and 2024:</w:t>
      </w:r>
    </w:p>
    <w:p>
      <w:pPr>
        <w:pStyle w:val="TextBody"/>
        <w:bidi w:val="0"/>
        <w:spacing w:before="0" w:after="0"/>
        <w:ind w:left="0" w:right="0" w:hanging="0"/>
        <w:jc w:val="both"/>
        <w:rPr>
          <w:caps w:val="false"/>
          <w:smallCaps w:val="false"/>
        </w:rPr>
      </w:pPr>
      <w:r>
        <w:rPr>
          <w:caps w:val="false"/>
          <w:smallCaps w:val="false"/>
        </w:rPr>
        <w:t> </w:t>
      </w:r>
    </w:p>
    <w:tbl>
      <w:tblPr>
        <w:tblW w:w="2200" w:type="dxa"/>
        <w:jc w:val="left"/>
        <w:tblInd w:w="0" w:type="dxa"/>
        <w:tblLayout w:type="fixed"/>
        <w:tblCellMar>
          <w:top w:w="0" w:type="dxa"/>
          <w:left w:w="0" w:type="dxa"/>
          <w:bottom w:w="0" w:type="dxa"/>
          <w:right w:w="0" w:type="dxa"/>
        </w:tblCellMar>
      </w:tblPr>
      <w:tblGrid>
        <w:gridCol w:w="815"/>
        <w:gridCol w:w="60"/>
        <w:gridCol w:w="91"/>
        <w:gridCol w:w="349"/>
        <w:gridCol w:w="185"/>
        <w:gridCol w:w="60"/>
        <w:gridCol w:w="91"/>
        <w:gridCol w:w="349"/>
        <w:gridCol w:w="200"/>
      </w:tblGrid>
      <w:tr>
        <w:trPr/>
        <w:tc>
          <w:tcPr>
            <w:tcW w:w="8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40"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2025</w:t>
            </w:r>
          </w:p>
        </w:tc>
        <w:tc>
          <w:tcPr>
            <w:tcW w:w="1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40"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2024</w:t>
            </w:r>
          </w:p>
        </w:tc>
        <w:tc>
          <w:tcPr>
            <w:tcW w:w="200" w:type="dxa"/>
            <w:tcBorders/>
            <w:vAlign w:val="center"/>
          </w:tcPr>
          <w:p>
            <w:pPr>
              <w:pStyle w:val="TableContents"/>
              <w:bidi w:val="0"/>
              <w:spacing w:before="0" w:after="283"/>
              <w:jc w:val="left"/>
              <w:rPr/>
            </w:pPr>
            <w:r>
              <w:rPr/>
              <w:t> </w:t>
            </w:r>
          </w:p>
        </w:tc>
      </w:tr>
      <w:tr>
        <w:trPr/>
        <w:tc>
          <w:tcPr>
            <w:tcW w:w="81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Vendor A</w:t>
            </w:r>
          </w:p>
        </w:tc>
        <w:tc>
          <w:tcPr>
            <w:tcW w:w="60" w:type="dxa"/>
            <w:tcBorders/>
            <w:shd w:fill="CCEEFF" w:val="clear"/>
            <w:vAlign w:val="center"/>
          </w:tcPr>
          <w:p>
            <w:pPr>
              <w:pStyle w:val="TableContents"/>
              <w:bidi w:val="0"/>
              <w:spacing w:before="0" w:after="283"/>
              <w:jc w:val="left"/>
              <w:rPr/>
            </w:pPr>
            <w:r>
              <w:rPr/>
              <w:t> </w:t>
            </w:r>
          </w:p>
        </w:tc>
        <w:tc>
          <w:tcPr>
            <w:tcW w:w="91" w:type="dxa"/>
            <w:tcBorders/>
            <w:shd w:fill="CCEEFF" w:val="clear"/>
            <w:vAlign w:val="center"/>
          </w:tcPr>
          <w:p>
            <w:pPr>
              <w:pStyle w:val="TableContents"/>
              <w:bidi w:val="0"/>
              <w:spacing w:before="0" w:after="283"/>
              <w:jc w:val="left"/>
              <w:rPr/>
            </w:pPr>
            <w:r>
              <w:rPr/>
              <w:t> </w:t>
            </w:r>
          </w:p>
        </w:tc>
        <w:tc>
          <w:tcPr>
            <w:tcW w:w="349"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89</w:t>
            </w:r>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91" w:type="dxa"/>
            <w:tcBorders/>
            <w:shd w:fill="CCEEFF" w:val="clear"/>
            <w:vAlign w:val="center"/>
          </w:tcPr>
          <w:p>
            <w:pPr>
              <w:pStyle w:val="TableContents"/>
              <w:bidi w:val="0"/>
              <w:spacing w:before="0" w:after="283"/>
              <w:jc w:val="left"/>
              <w:rPr/>
            </w:pPr>
            <w:r>
              <w:rPr/>
              <w:t> </w:t>
            </w:r>
          </w:p>
        </w:tc>
        <w:tc>
          <w:tcPr>
            <w:tcW w:w="349"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29</w:t>
            </w:r>
          </w:p>
        </w:tc>
        <w:tc>
          <w:tcPr>
            <w:tcW w:w="20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81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Vendor B</w:t>
            </w:r>
          </w:p>
        </w:tc>
        <w:tc>
          <w:tcPr>
            <w:tcW w:w="60" w:type="dxa"/>
            <w:tcBorders/>
            <w:shd w:fill="FFFFFF" w:val="clear"/>
            <w:vAlign w:val="center"/>
          </w:tcPr>
          <w:p>
            <w:pPr>
              <w:pStyle w:val="TableContents"/>
              <w:bidi w:val="0"/>
              <w:spacing w:before="0" w:after="283"/>
              <w:jc w:val="left"/>
              <w:rPr/>
            </w:pPr>
            <w:r>
              <w:rPr/>
              <w:t> </w:t>
            </w:r>
          </w:p>
        </w:tc>
        <w:tc>
          <w:tcPr>
            <w:tcW w:w="91" w:type="dxa"/>
            <w:tcBorders/>
            <w:shd w:fill="FFFFFF" w:val="clear"/>
            <w:vAlign w:val="center"/>
          </w:tcPr>
          <w:p>
            <w:pPr>
              <w:pStyle w:val="TableContents"/>
              <w:bidi w:val="0"/>
              <w:spacing w:before="0" w:after="283"/>
              <w:jc w:val="left"/>
              <w:rPr/>
            </w:pPr>
            <w:r>
              <w:rPr/>
              <w:t> </w:t>
            </w:r>
          </w:p>
        </w:tc>
        <w:tc>
          <w:tcPr>
            <w:tcW w:w="349"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1" w:type="dxa"/>
            <w:tcBorders/>
            <w:shd w:fill="FFFFFF" w:val="clear"/>
            <w:vAlign w:val="center"/>
          </w:tcPr>
          <w:p>
            <w:pPr>
              <w:pStyle w:val="TableContents"/>
              <w:bidi w:val="0"/>
              <w:spacing w:before="0" w:after="283"/>
              <w:jc w:val="left"/>
              <w:rPr/>
            </w:pPr>
            <w:r>
              <w:rPr/>
              <w:t> </w:t>
            </w:r>
          </w:p>
        </w:tc>
        <w:tc>
          <w:tcPr>
            <w:tcW w:w="349"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10</w:t>
            </w:r>
          </w:p>
        </w:tc>
        <w:tc>
          <w:tcPr>
            <w:tcW w:w="20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bl>
    <w:p>
      <w:pPr>
        <w:pStyle w:val="TextBody"/>
        <w:bidi w:val="0"/>
        <w:spacing w:before="0" w:after="0"/>
        <w:ind w:left="0" w:right="0" w:hanging="0"/>
        <w:jc w:val="both"/>
        <w:rPr>
          <w:caps w:val="false"/>
          <w:smallCaps w:val="false"/>
        </w:rPr>
      </w:pPr>
      <w:r>
        <w:rPr>
          <w:caps w:val="false"/>
          <w:smallCaps w:val="false"/>
        </w:rPr>
        <w:t> </w:t>
      </w:r>
    </w:p>
    <w:tbl>
      <w:tblPr>
        <w:tblW w:w="4855" w:type="dxa"/>
        <w:jc w:val="left"/>
        <w:tblInd w:w="0" w:type="dxa"/>
        <w:tblLayout w:type="fixed"/>
        <w:tblCellMar>
          <w:top w:w="0" w:type="dxa"/>
          <w:left w:w="0" w:type="dxa"/>
          <w:bottom w:w="0" w:type="dxa"/>
          <w:right w:w="0" w:type="dxa"/>
        </w:tblCellMar>
      </w:tblPr>
      <w:tblGrid>
        <w:gridCol w:w="140"/>
        <w:gridCol w:w="4715"/>
      </w:tblGrid>
      <w:tr>
        <w:trPr/>
        <w:tc>
          <w:tcPr>
            <w:tcW w:w="140" w:type="dxa"/>
            <w:tcBorders/>
            <w:vAlign w:val="center"/>
          </w:tcPr>
          <w:p>
            <w:pPr>
              <w:pStyle w:val="TableContents"/>
              <w:bidi w:val="0"/>
              <w:spacing w:before="0" w:after="283"/>
              <w:jc w:val="left"/>
              <w:rPr>
                <w:rFonts w:ascii="Times New Roman;Times;Serif" w:hAnsi="Times New Roman;Times;Serif"/>
                <w:i/>
                <w:sz w:val="20"/>
              </w:rPr>
            </w:pPr>
            <w:r>
              <w:rPr>
                <w:rFonts w:ascii="Times New Roman;Times;Serif" w:hAnsi="Times New Roman;Times;Serif"/>
                <w:i/>
                <w:sz w:val="20"/>
              </w:rPr>
              <w:t>*</w:t>
            </w:r>
          </w:p>
        </w:tc>
        <w:tc>
          <w:tcPr>
            <w:tcW w:w="4715" w:type="dxa"/>
            <w:tcBorders/>
            <w:vAlign w:val="center"/>
          </w:tcPr>
          <w:p>
            <w:pPr>
              <w:pStyle w:val="TableContents"/>
              <w:bidi w:val="0"/>
              <w:spacing w:before="0" w:after="283"/>
              <w:jc w:val="both"/>
              <w:rPr>
                <w:rFonts w:ascii="Times New Roman;Times;Serif" w:hAnsi="Times New Roman;Times;Serif"/>
                <w:i/>
                <w:sz w:val="20"/>
              </w:rPr>
            </w:pPr>
            <w:r>
              <w:rPr>
                <w:rFonts w:ascii="Times New Roman;Times;Serif" w:hAnsi="Times New Roman;Times;Serif"/>
                <w:i/>
                <w:sz w:val="20"/>
              </w:rPr>
              <w:t>Vendor did not represent more than 10% of expenditures.</w:t>
            </w:r>
          </w:p>
        </w:tc>
      </w:tr>
    </w:tbl>
    <w:p>
      <w:pPr>
        <w:pStyle w:val="TextBody"/>
        <w:bidi w:val="0"/>
        <w:spacing w:before="0" w:after="0"/>
        <w:ind w:left="0" w:right="0" w:hanging="0"/>
        <w:jc w:val="righ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Lease Commitments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leases certain office and warehouse space, and vehicles. The Company assesses whether an arrangement qualifies as a lease (i.e., conveys the right to control the use of an identified asset for a period of time in exchange for consideration) at inception and whether the arrangement is an operating or finance lease, and only reassesses its determination if the terms and conditions of the arrangement are changed. For all arrangements where it is determined that a lease exists, the related right-of-use assets and lease liabilities are recorded within the balance sheet as either operating or finance leases. At inception or modification, the Company calculates the present value of lease payments using the implicit rate determined from the contract or the Company’s incremental borrowing rate applicable to the lease, which is determined by estimating what it would cost the Company to borrow a collateralized amount equal to the total lease payments over the lease term based on the contractual terms of the lease and the location of the leased asset. The present value is adjusted for prepaid lease payments, lease incentives, and initial direct costs (e.g. commissions). The Company’s leases may require fixed rental payments, variable lease payments based on usage or sales and fixed non-lease costs relating to the leased asset.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Variable lease payments are generally not included in the measurement of the right-of-use assets and lease liabilities. Leases with an initial term of 12 months or less are not recorded on the balance sheet. Lease expense is recognized for these leases on a straight-line basis over the lease term. Fixed non-lease costs, for example common-area maintenance costs, taxes, insurance, and maintenance, are excluded from the measurement of the right-of-use asset and lease liability as the Company separates lease and non-lease components.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Some leases include one or more options to renew, with renewal terms that can extend the lease term for up to three years. The exercise of lease renewal options is at the Company’s sole discretion. The depreciable life of the assets and leasehold improvements are limited by the expected term unless there is a transfer of title or purchase option reasonably certain of exercise.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Accounts Receivable, Contract Assets, and Allowance for Credit Losses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records its accounts receivable and contract assets at sales value. The Company’s contract assets consist of revenues recognized by the Company, but for which the Company has not yet been able to contractually invoice for final payment. The Company has tracked historical loss information for its accounts receivable and contract assets and compiled historical credit loss percentages for customers who share similar risk characteristics considering current trends and forecasts. Management believes that the historical loss information it has compiled is a reasonable basis on which to determine expected credit losses for accounts receivable and contract assets held as of period end because the composition of the accounts receivable and contract assets at that date is consistent with that used in developing the historical credit-loss percentages (i.e. the similar risk characteristics of its customers and its lending practices have not changed significantly over time). Final payment of the Company’s accounts receivable is considered past due when payment has not been received within 30 days of the invoice date. Account balances are charged off against the allowance for credit losses when the probability for recovery is remote. Recoveries of receivables previously charged off are recorded when cash payment is received. As of September 30, 2025 and 2024, the allowance for credit losses was $225,000 and $0.</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sz w:val="20"/>
          <w:bdr w:val="single" w:sz="12" w:space="1" w:color="000000"/>
        </w:rPr>
      </w:pPr>
      <w:r>
        <w:rPr>
          <w:sz w:val="20"/>
          <w:bdr w:val="single" w:sz="12" w:space="1" w:color="000000"/>
        </w:rPr>
        <w:t>F-167</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Property and Equipment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Property and equipment are stated at cost less accumulated depreciation and amortization. Depreciation and amortization are calculated using the straight-line method over the estimated economic useful lives of the assets or over the related lease terms (if shorter) as follows:</w:t>
      </w:r>
    </w:p>
    <w:p>
      <w:pPr>
        <w:pStyle w:val="TextBody"/>
        <w:bidi w:val="0"/>
        <w:spacing w:before="0" w:after="0"/>
        <w:ind w:left="0" w:right="0" w:hanging="0"/>
        <w:jc w:val="both"/>
        <w:rPr>
          <w:caps w:val="false"/>
          <w:smallCaps w:val="false"/>
        </w:rPr>
      </w:pPr>
      <w:r>
        <w:rPr>
          <w:caps w:val="false"/>
          <w:smallCaps w:val="false"/>
        </w:rPr>
        <w:t> </w:t>
      </w:r>
    </w:p>
    <w:tbl>
      <w:tblPr>
        <w:tblW w:w="3025" w:type="dxa"/>
        <w:jc w:val="left"/>
        <w:tblInd w:w="0" w:type="dxa"/>
        <w:tblLayout w:type="fixed"/>
        <w:tblCellMar>
          <w:top w:w="0" w:type="dxa"/>
          <w:left w:w="0" w:type="dxa"/>
          <w:bottom w:w="0" w:type="dxa"/>
          <w:right w:w="0" w:type="dxa"/>
        </w:tblCellMar>
      </w:tblPr>
      <w:tblGrid>
        <w:gridCol w:w="2075"/>
        <w:gridCol w:w="60"/>
        <w:gridCol w:w="60"/>
        <w:gridCol w:w="755"/>
        <w:gridCol w:w="75"/>
      </w:tblGrid>
      <w:tr>
        <w:trPr/>
        <w:tc>
          <w:tcPr>
            <w:tcW w:w="207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Tools and gear</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3 years</w:t>
            </w:r>
          </w:p>
        </w:tc>
        <w:tc>
          <w:tcPr>
            <w:tcW w:w="75" w:type="dxa"/>
            <w:tcBorders/>
            <w:shd w:fill="CCEEFF" w:val="clear"/>
            <w:vAlign w:val="center"/>
          </w:tcPr>
          <w:p>
            <w:pPr>
              <w:pStyle w:val="TableContents"/>
              <w:bidi w:val="0"/>
              <w:spacing w:before="0" w:after="283"/>
              <w:jc w:val="left"/>
              <w:rPr/>
            </w:pPr>
            <w:r>
              <w:rPr/>
              <w:t> </w:t>
            </w:r>
          </w:p>
        </w:tc>
      </w:tr>
      <w:tr>
        <w:trPr/>
        <w:tc>
          <w:tcPr>
            <w:tcW w:w="207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Computer equipment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3 years</w:t>
            </w:r>
          </w:p>
        </w:tc>
        <w:tc>
          <w:tcPr>
            <w:tcW w:w="75" w:type="dxa"/>
            <w:tcBorders/>
            <w:shd w:fill="FFFFFF" w:val="clear"/>
            <w:vAlign w:val="center"/>
          </w:tcPr>
          <w:p>
            <w:pPr>
              <w:pStyle w:val="TableContents"/>
              <w:bidi w:val="0"/>
              <w:spacing w:before="0" w:after="283"/>
              <w:jc w:val="left"/>
              <w:rPr/>
            </w:pPr>
            <w:r>
              <w:rPr/>
              <w:t> </w:t>
            </w:r>
          </w:p>
        </w:tc>
      </w:tr>
      <w:tr>
        <w:trPr/>
        <w:tc>
          <w:tcPr>
            <w:tcW w:w="207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Furniture</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5 years</w:t>
            </w:r>
          </w:p>
        </w:tc>
        <w:tc>
          <w:tcPr>
            <w:tcW w:w="75" w:type="dxa"/>
            <w:tcBorders/>
            <w:shd w:fill="CCEEFF" w:val="clear"/>
            <w:vAlign w:val="center"/>
          </w:tcPr>
          <w:p>
            <w:pPr>
              <w:pStyle w:val="TableContents"/>
              <w:bidi w:val="0"/>
              <w:spacing w:before="0" w:after="283"/>
              <w:jc w:val="left"/>
              <w:rPr/>
            </w:pPr>
            <w:r>
              <w:rPr/>
              <w:t> </w:t>
            </w:r>
          </w:p>
        </w:tc>
      </w:tr>
      <w:tr>
        <w:trPr/>
        <w:tc>
          <w:tcPr>
            <w:tcW w:w="207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Vehicles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3 years</w:t>
            </w:r>
          </w:p>
        </w:tc>
        <w:tc>
          <w:tcPr>
            <w:tcW w:w="75" w:type="dxa"/>
            <w:tcBorders/>
            <w:shd w:fill="FFFFFF" w:val="clear"/>
            <w:vAlign w:val="center"/>
          </w:tcPr>
          <w:p>
            <w:pPr>
              <w:pStyle w:val="TableContents"/>
              <w:bidi w:val="0"/>
              <w:spacing w:before="0" w:after="283"/>
              <w:jc w:val="left"/>
              <w:rPr/>
            </w:pPr>
            <w:r>
              <w:rPr/>
              <w:t> </w:t>
            </w:r>
          </w:p>
        </w:tc>
      </w:tr>
      <w:tr>
        <w:trPr/>
        <w:tc>
          <w:tcPr>
            <w:tcW w:w="207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Office equipment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3 years</w:t>
            </w:r>
          </w:p>
        </w:tc>
        <w:tc>
          <w:tcPr>
            <w:tcW w:w="75" w:type="dxa"/>
            <w:tcBorders/>
            <w:shd w:fill="CCEEFF" w:val="clear"/>
            <w:vAlign w:val="center"/>
          </w:tcPr>
          <w:p>
            <w:pPr>
              <w:pStyle w:val="TableContents"/>
              <w:bidi w:val="0"/>
              <w:spacing w:before="0" w:after="283"/>
              <w:jc w:val="left"/>
              <w:rPr/>
            </w:pPr>
            <w:r>
              <w:rPr/>
              <w:t> </w:t>
            </w:r>
          </w:p>
        </w:tc>
      </w:tr>
      <w:tr>
        <w:trPr/>
        <w:tc>
          <w:tcPr>
            <w:tcW w:w="207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Leasehold improvements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1-5 years</w:t>
            </w:r>
          </w:p>
        </w:tc>
        <w:tc>
          <w:tcPr>
            <w:tcW w:w="75"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Expenditures that materially increase values or capacities or extend useful lives of property and equipment are capitalized. Routine maintenance, repairs, and renewal costs are expensed as incurred. Upon sale or retirement of depreciable property, the costs and accumulated depreciation and amortization are removed from the related accounts, and any gain or loss is reflected in the statements of operations and member’s deficit.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Impairment of Long-Lived Tangible Assets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Long-lived assets held and used by the Company are reviewed for impairment whenever events or changes in circumstances indicate that the carrying amount of the assets may be impaired. When such factors and circumstances exist, the Company compares the estimated undiscounted future cash flows associated with the related asset or group of assets over their estimated useful lives against their respective carrying amounts. Impairment, if any, is based on the excess of the carrying amounts over the fair values of those assets and is recorded in the period in which the determination is made. As of September 30, 2025 and 2024, management determined that the Company’s tangible assets were not impaired.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Income Taxes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is organized as a limited liability company and is generally not subject to income taxes pertaining to operations; rather, the members of the limited liability company are taxed on their proportionate share of the Company’s taxable income. Therefore, no provision for income taxes has been included in the accompanying financial statements. The Company makes distributions to its member to pay income tax liabilities.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Generally accepted accounting principles require tax effects from an uncertain tax position to be recognized in the financial statements only if the position is more likely than not to be sustained if the position were to be challenged by a taxing authority. The assessment of the tax position is based solely on the technical merits of the position, without regard to the likelihood that the tax position may be challenged. If an uncertain tax position meets the more-likely-than-not threshold, the largest amount of tax benefit that is greater than 50% likely to be recognized upon ultimate settlement with the taxing authority is recorded. As of September 30, 2025 and 2024, the Company had no uncertain tax positions that qualified for either recognition or disclosure in the financial statements. The Company is subject to routine audits by tax jurisdictions; however, there are currently no audits in progress.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Revenue Recognition and Deferred Revenue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primarily generates its revenues from selling and installing solar energy systems. Revenues are recognized when control of installed solar systems is transferred to customers in an amount that reflects the consideration expected to be received by the Company in exchange for the installed solar system. The Company determines revenue recognition through the following steps:</w:t>
      </w:r>
    </w:p>
    <w:p>
      <w:pPr>
        <w:pStyle w:val="TextBody"/>
        <w:bidi w:val="0"/>
        <w:spacing w:before="0" w:after="0"/>
        <w:ind w:left="0" w:right="0" w:hanging="0"/>
        <w:jc w:val="both"/>
        <w:rPr>
          <w:caps w:val="false"/>
          <w:smallCaps w:val="false"/>
        </w:rPr>
      </w:pPr>
      <w:r>
        <w:rPr>
          <w:caps w:val="false"/>
          <w:smallCaps w:val="false"/>
        </w:rPr>
        <w:t> </w:t>
      </w:r>
    </w:p>
    <w:tbl>
      <w:tblPr>
        <w:tblW w:w="4968" w:type="dxa"/>
        <w:jc w:val="left"/>
        <w:tblInd w:w="0" w:type="dxa"/>
        <w:tblLayout w:type="fixed"/>
        <w:tblCellMar>
          <w:top w:w="0" w:type="dxa"/>
          <w:left w:w="0" w:type="dxa"/>
          <w:bottom w:w="0" w:type="dxa"/>
          <w:right w:w="0" w:type="dxa"/>
        </w:tblCellMar>
      </w:tblPr>
      <w:tblGrid>
        <w:gridCol w:w="38"/>
        <w:gridCol w:w="170"/>
        <w:gridCol w:w="476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47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Identification of the contract, or contracts, with a customer</w:t>
            </w:r>
          </w:p>
        </w:tc>
      </w:tr>
    </w:tbl>
    <w:p>
      <w:pPr>
        <w:pStyle w:val="TextBody"/>
        <w:bidi w:val="0"/>
        <w:spacing w:before="0" w:after="283"/>
        <w:jc w:val="left"/>
        <w:rPr/>
      </w:pPr>
      <w:r>
        <w:rPr/>
        <w:t> </w:t>
      </w:r>
    </w:p>
    <w:tbl>
      <w:tblPr>
        <w:tblW w:w="5000" w:type="pct"/>
        <w:jc w:val="left"/>
        <w:tblInd w:w="0" w:type="dxa"/>
        <w:tblLayout w:type="fixed"/>
        <w:tblCellMar>
          <w:top w:w="0" w:type="dxa"/>
          <w:left w:w="0" w:type="dxa"/>
          <w:bottom w:w="0" w:type="dxa"/>
          <w:right w:w="0" w:type="dxa"/>
        </w:tblCellMar>
      </w:tblPr>
      <w:tblGrid>
        <w:gridCol w:w="75"/>
        <w:gridCol w:w="340"/>
        <w:gridCol w:w="9790"/>
      </w:tblGrid>
      <w:tr>
        <w:trPr/>
        <w:tc>
          <w:tcPr>
            <w:tcW w:w="75" w:type="dxa"/>
            <w:tcBorders/>
            <w:vAlign w:val="center"/>
          </w:tcPr>
          <w:p>
            <w:pPr>
              <w:pStyle w:val="TableContents"/>
              <w:bidi w:val="0"/>
              <w:spacing w:before="0" w:after="283"/>
              <w:jc w:val="left"/>
              <w:rPr>
                <w:sz w:val="4"/>
                <w:szCs w:val="4"/>
              </w:rPr>
            </w:pPr>
            <w:r>
              <w:rPr>
                <w:sz w:val="4"/>
                <w:szCs w:val="4"/>
              </w:rPr>
            </w:r>
          </w:p>
        </w:tc>
        <w:tc>
          <w:tcPr>
            <w:tcW w:w="340" w:type="dxa"/>
            <w:tcBorders/>
            <w:vAlign w:val="center"/>
          </w:tcPr>
          <w:p>
            <w:pPr>
              <w:pStyle w:val="TableContents"/>
              <w:bidi w:val="0"/>
              <w:spacing w:before="0" w:after="283"/>
              <w:jc w:val="left"/>
              <w:rPr/>
            </w:pPr>
            <w:r>
              <w:rPr/>
              <w:t>●</w:t>
            </w:r>
          </w:p>
        </w:tc>
        <w:tc>
          <w:tcPr>
            <w:tcW w:w="979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Identification of the performance obligations in the contract</w:t>
            </w:r>
          </w:p>
        </w:tc>
      </w:tr>
    </w:tbl>
    <w:p>
      <w:pPr>
        <w:pStyle w:val="TextBody"/>
        <w:bidi w:val="0"/>
        <w:spacing w:before="0" w:after="283"/>
        <w:jc w:val="left"/>
        <w:rPr/>
      </w:pPr>
      <w:r>
        <w:rPr/>
        <w:t> </w:t>
      </w:r>
    </w:p>
    <w:tbl>
      <w:tblPr>
        <w:tblW w:w="5000" w:type="pct"/>
        <w:jc w:val="left"/>
        <w:tblInd w:w="0" w:type="dxa"/>
        <w:tblLayout w:type="fixed"/>
        <w:tblCellMar>
          <w:top w:w="0" w:type="dxa"/>
          <w:left w:w="0" w:type="dxa"/>
          <w:bottom w:w="0" w:type="dxa"/>
          <w:right w:w="0" w:type="dxa"/>
        </w:tblCellMar>
      </w:tblPr>
      <w:tblGrid>
        <w:gridCol w:w="116"/>
        <w:gridCol w:w="523"/>
        <w:gridCol w:w="9566"/>
      </w:tblGrid>
      <w:tr>
        <w:trPr/>
        <w:tc>
          <w:tcPr>
            <w:tcW w:w="116" w:type="dxa"/>
            <w:tcBorders/>
            <w:vAlign w:val="center"/>
          </w:tcPr>
          <w:p>
            <w:pPr>
              <w:pStyle w:val="TableContents"/>
              <w:bidi w:val="0"/>
              <w:spacing w:before="0" w:after="283"/>
              <w:jc w:val="left"/>
              <w:rPr>
                <w:sz w:val="4"/>
                <w:szCs w:val="4"/>
              </w:rPr>
            </w:pPr>
            <w:r>
              <w:rPr>
                <w:sz w:val="4"/>
                <w:szCs w:val="4"/>
              </w:rPr>
            </w:r>
          </w:p>
        </w:tc>
        <w:tc>
          <w:tcPr>
            <w:tcW w:w="523" w:type="dxa"/>
            <w:tcBorders/>
            <w:vAlign w:val="center"/>
          </w:tcPr>
          <w:p>
            <w:pPr>
              <w:pStyle w:val="TableContents"/>
              <w:bidi w:val="0"/>
              <w:spacing w:before="0" w:after="283"/>
              <w:jc w:val="left"/>
              <w:rPr/>
            </w:pPr>
            <w:r>
              <w:rPr/>
              <w:t>●</w:t>
            </w:r>
          </w:p>
        </w:tc>
        <w:tc>
          <w:tcPr>
            <w:tcW w:w="9566"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Determination of the transaction price</w:t>
            </w:r>
          </w:p>
        </w:tc>
      </w:tr>
    </w:tbl>
    <w:p>
      <w:pPr>
        <w:pStyle w:val="TextBody"/>
        <w:bidi w:val="0"/>
        <w:spacing w:before="0" w:after="283"/>
        <w:jc w:val="left"/>
        <w:rPr/>
      </w:pPr>
      <w:r>
        <w:rPr/>
        <w:t> </w:t>
      </w:r>
    </w:p>
    <w:tbl>
      <w:tblPr>
        <w:tblW w:w="5000" w:type="pct"/>
        <w:jc w:val="left"/>
        <w:tblInd w:w="0" w:type="dxa"/>
        <w:tblLayout w:type="fixed"/>
        <w:tblCellMar>
          <w:top w:w="0" w:type="dxa"/>
          <w:left w:w="0" w:type="dxa"/>
          <w:bottom w:w="0" w:type="dxa"/>
          <w:right w:w="0" w:type="dxa"/>
        </w:tblCellMar>
      </w:tblPr>
      <w:tblGrid>
        <w:gridCol w:w="57"/>
        <w:gridCol w:w="256"/>
        <w:gridCol w:w="9892"/>
      </w:tblGrid>
      <w:tr>
        <w:trPr/>
        <w:tc>
          <w:tcPr>
            <w:tcW w:w="57"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pPr>
            <w:r>
              <w:rPr/>
              <w:t>●</w:t>
            </w:r>
          </w:p>
        </w:tc>
        <w:tc>
          <w:tcPr>
            <w:tcW w:w="9892"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Allocation of the transaction price to the performance obligations in the contract</w:t>
            </w:r>
          </w:p>
        </w:tc>
      </w:tr>
    </w:tbl>
    <w:p>
      <w:pPr>
        <w:pStyle w:val="TextBody"/>
        <w:bidi w:val="0"/>
        <w:spacing w:before="0" w:after="283"/>
        <w:jc w:val="left"/>
        <w:rPr/>
      </w:pPr>
      <w:r>
        <w:rPr/>
        <w:t> </w:t>
      </w:r>
    </w:p>
    <w:tbl>
      <w:tblPr>
        <w:tblW w:w="5000" w:type="pct"/>
        <w:jc w:val="left"/>
        <w:tblInd w:w="0" w:type="dxa"/>
        <w:tblLayout w:type="fixed"/>
        <w:tblCellMar>
          <w:top w:w="0" w:type="dxa"/>
          <w:left w:w="0" w:type="dxa"/>
          <w:bottom w:w="0" w:type="dxa"/>
          <w:right w:w="0" w:type="dxa"/>
        </w:tblCellMar>
      </w:tblPr>
      <w:tblGrid>
        <w:gridCol w:w="60"/>
        <w:gridCol w:w="270"/>
        <w:gridCol w:w="9875"/>
      </w:tblGrid>
      <w:tr>
        <w:trPr/>
        <w:tc>
          <w:tcPr>
            <w:tcW w:w="60"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pPr>
            <w:r>
              <w:rPr/>
              <w:t>●</w:t>
            </w:r>
          </w:p>
        </w:tc>
        <w:tc>
          <w:tcPr>
            <w:tcW w:w="987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Recognition of revenue when, or as, each performance obligation is satisfied</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performance obligation is a promise in a contract to transfer a distinct service or product to the client, and it is the unit of account in the guidance for revenue recognition. The Company’s contracts have a single performance obligation, which is to either a) install a solar energy system or b) orchestrate the sale of a solar energy system which will be installed by a third party. The promise to transfer the services is not separately identifiable from other promises in those contracts, and therefore, those other promises are not distinct performance obligations.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sz w:val="20"/>
          <w:bdr w:val="single" w:sz="12" w:space="1" w:color="000000"/>
        </w:rPr>
      </w:pPr>
      <w:r>
        <w:rPr>
          <w:sz w:val="20"/>
          <w:bdr w:val="single" w:sz="12" w:space="1" w:color="000000"/>
        </w:rPr>
        <w:t>F-168</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Installation Services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principal performance obligation is to install a solar energy system. The Company recognizes revenue upon receiving notice of the completion of the final inspection of the respective solar energy system.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Revenue is recognized at the total contract price that the end residential customer has agreed to pay before any cost of financing incurred by the customer. The Company arranges financing for the customer with third-party financing companies. These third-party financing companies often withhold amounts to pay for solar panels and other materials for added security. The Company is the primary obligor in the transaction as it controls the price charged to end residential customers, bears the responsibility to install solar panels that meet regulatory requirements, and bears collection risk unless the customer is approved to finance the transaction with a third-party financing company.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HVAC and Roofing Services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principal performance obligation is to complete the installation of the HVAC system or roof. The Company recognizes revenue upon the completion of the HVAC system or roof installation.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presents the Company’s revenue disaggregated by revenue source (recognized at a point in time) for the nine months ended September 30, 2025 and 2024:</w:t>
      </w:r>
    </w:p>
    <w:p>
      <w:pPr>
        <w:pStyle w:val="TextBody"/>
        <w:bidi w:val="0"/>
        <w:spacing w:before="0" w:after="0"/>
        <w:ind w:left="0" w:right="0" w:hanging="0"/>
        <w:jc w:val="both"/>
        <w:rPr>
          <w:caps w:val="false"/>
          <w:smallCaps w:val="false"/>
        </w:rPr>
      </w:pPr>
      <w:r>
        <w:rPr>
          <w:caps w:val="false"/>
          <w:smallCaps w:val="false"/>
        </w:rPr>
        <w:t> </w:t>
      </w:r>
    </w:p>
    <w:tbl>
      <w:tblPr>
        <w:tblW w:w="5425" w:type="dxa"/>
        <w:jc w:val="left"/>
        <w:tblInd w:w="0" w:type="dxa"/>
        <w:tblLayout w:type="fixed"/>
        <w:tblCellMar>
          <w:top w:w="0" w:type="dxa"/>
          <w:left w:w="0" w:type="dxa"/>
          <w:bottom w:w="0" w:type="dxa"/>
          <w:right w:w="0" w:type="dxa"/>
        </w:tblCellMar>
      </w:tblPr>
      <w:tblGrid>
        <w:gridCol w:w="2690"/>
        <w:gridCol w:w="60"/>
        <w:gridCol w:w="140"/>
        <w:gridCol w:w="1100"/>
        <w:gridCol w:w="60"/>
        <w:gridCol w:w="60"/>
        <w:gridCol w:w="140"/>
        <w:gridCol w:w="1100"/>
        <w:gridCol w:w="75"/>
      </w:tblGrid>
      <w:tr>
        <w:trPr/>
        <w:tc>
          <w:tcPr>
            <w:tcW w:w="269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4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4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2024</w:t>
            </w:r>
          </w:p>
        </w:tc>
        <w:tc>
          <w:tcPr>
            <w:tcW w:w="75" w:type="dxa"/>
            <w:tcBorders/>
            <w:vAlign w:val="center"/>
          </w:tcPr>
          <w:p>
            <w:pPr>
              <w:pStyle w:val="TableContents"/>
              <w:bidi w:val="0"/>
              <w:spacing w:before="0" w:after="283"/>
              <w:jc w:val="left"/>
              <w:rPr/>
            </w:pPr>
            <w:r>
              <w:rPr/>
              <w:t> </w:t>
            </w:r>
          </w:p>
        </w:tc>
      </w:tr>
      <w:tr>
        <w:trPr/>
        <w:tc>
          <w:tcPr>
            <w:tcW w:w="2690" w:type="dxa"/>
            <w:tcBorders/>
            <w:shd w:fill="CCEEFF" w:val="clear"/>
            <w:vAlign w:val="center"/>
          </w:tcPr>
          <w:p>
            <w:pPr>
              <w:pStyle w:val="TableContents"/>
              <w:bidi w:val="0"/>
              <w:spacing w:before="0" w:after="283"/>
              <w:jc w:val="left"/>
              <w:rPr/>
            </w:pPr>
            <w:r>
              <w:rPr/>
              <w:t>Installation services revenue</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100" w:type="dxa"/>
            <w:tcBorders/>
            <w:shd w:fill="CCEEFF" w:val="clear"/>
            <w:vAlign w:val="center"/>
          </w:tcPr>
          <w:p>
            <w:pPr>
              <w:pStyle w:val="TableContents"/>
              <w:bidi w:val="0"/>
              <w:spacing w:before="0" w:after="283"/>
              <w:jc w:val="right"/>
              <w:rPr/>
            </w:pPr>
            <w:r>
              <w:rPr/>
              <w:t>59,438,442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100" w:type="dxa"/>
            <w:tcBorders/>
            <w:shd w:fill="CCEEFF" w:val="clear"/>
            <w:vAlign w:val="center"/>
          </w:tcPr>
          <w:p>
            <w:pPr>
              <w:pStyle w:val="TableContents"/>
              <w:bidi w:val="0"/>
              <w:spacing w:before="0" w:after="283"/>
              <w:jc w:val="right"/>
              <w:rPr/>
            </w:pPr>
            <w:r>
              <w:rPr/>
              <w:t>28,114,668</w:t>
            </w:r>
          </w:p>
        </w:tc>
        <w:tc>
          <w:tcPr>
            <w:tcW w:w="75" w:type="dxa"/>
            <w:tcBorders/>
            <w:shd w:fill="CCEEFF" w:val="clear"/>
            <w:vAlign w:val="center"/>
          </w:tcPr>
          <w:p>
            <w:pPr>
              <w:pStyle w:val="TableContents"/>
              <w:bidi w:val="0"/>
              <w:spacing w:before="0" w:after="283"/>
              <w:jc w:val="left"/>
              <w:rPr/>
            </w:pPr>
            <w:r>
              <w:rPr/>
              <w:t> </w:t>
            </w:r>
          </w:p>
        </w:tc>
      </w:tr>
      <w:tr>
        <w:trPr/>
        <w:tc>
          <w:tcPr>
            <w:tcW w:w="2690" w:type="dxa"/>
            <w:tcBorders/>
            <w:shd w:fill="FFFFFF" w:val="clear"/>
            <w:vAlign w:val="center"/>
          </w:tcPr>
          <w:p>
            <w:pPr>
              <w:pStyle w:val="TableContents"/>
              <w:bidi w:val="0"/>
              <w:spacing w:before="0" w:after="283"/>
              <w:jc w:val="left"/>
              <w:rPr/>
            </w:pPr>
            <w:r>
              <w:rPr/>
              <w:t>HVAC revenue</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990,177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w:t>
            </w:r>
          </w:p>
        </w:tc>
        <w:tc>
          <w:tcPr>
            <w:tcW w:w="75" w:type="dxa"/>
            <w:tcBorders/>
            <w:shd w:fill="FFFFFF" w:val="clear"/>
            <w:vAlign w:val="center"/>
          </w:tcPr>
          <w:p>
            <w:pPr>
              <w:pStyle w:val="TableContents"/>
              <w:bidi w:val="0"/>
              <w:spacing w:before="0" w:after="283"/>
              <w:jc w:val="left"/>
              <w:rPr/>
            </w:pPr>
            <w:r>
              <w:rPr/>
              <w:t> </w:t>
            </w:r>
          </w:p>
        </w:tc>
      </w:tr>
      <w:tr>
        <w:trPr/>
        <w:tc>
          <w:tcPr>
            <w:tcW w:w="2690" w:type="dxa"/>
            <w:tcBorders/>
            <w:shd w:fill="CCEEFF" w:val="clear"/>
            <w:vAlign w:val="center"/>
          </w:tcPr>
          <w:p>
            <w:pPr>
              <w:pStyle w:val="TableContents"/>
              <w:bidi w:val="0"/>
              <w:spacing w:before="0" w:after="283"/>
              <w:jc w:val="left"/>
              <w:rPr/>
            </w:pPr>
            <w:r>
              <w:rPr/>
              <w:t>Roofing revenue</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single" w:sz="12" w:space="0" w:color="000000"/>
            </w:tcBorders>
            <w:shd w:fill="CCEEFF" w:val="clear"/>
            <w:tcMar>
              <w:bottom w:w="28" w:type="dxa"/>
            </w:tcMar>
            <w:vAlign w:val="center"/>
          </w:tcPr>
          <w:p>
            <w:pPr>
              <w:pStyle w:val="TableContents"/>
              <w:bidi w:val="0"/>
              <w:spacing w:before="0" w:after="283"/>
              <w:jc w:val="right"/>
              <w:rPr/>
            </w:pPr>
            <w:r>
              <w:rPr/>
              <w:t>647,106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75" w:type="dxa"/>
            <w:tcBorders/>
            <w:shd w:fill="CCEEFF" w:val="clear"/>
            <w:vAlign w:val="center"/>
          </w:tcPr>
          <w:p>
            <w:pPr>
              <w:pStyle w:val="TableContents"/>
              <w:bidi w:val="0"/>
              <w:spacing w:before="0" w:after="283"/>
              <w:jc w:val="left"/>
              <w:rPr/>
            </w:pPr>
            <w:r>
              <w:rPr/>
              <w:t> </w:t>
            </w:r>
          </w:p>
        </w:tc>
      </w:tr>
      <w:tr>
        <w:trPr/>
        <w:tc>
          <w:tcPr>
            <w:tcW w:w="269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w:t>
            </w:r>
          </w:p>
        </w:tc>
        <w:tc>
          <w:tcPr>
            <w:tcW w:w="1100" w:type="dxa"/>
            <w:tcBorders>
              <w:bottom w:val="single" w:sz="12" w:space="0" w:color="000000"/>
            </w:tcBorders>
            <w:shd w:fill="FFFFFF" w:val="clear"/>
            <w:tcMar>
              <w:bottom w:w="28" w:type="dxa"/>
            </w:tcMar>
            <w:vAlign w:val="center"/>
          </w:tcPr>
          <w:p>
            <w:pPr>
              <w:pStyle w:val="TableContents"/>
              <w:bidi w:val="0"/>
              <w:spacing w:before="0" w:after="283"/>
              <w:jc w:val="right"/>
              <w:rPr/>
            </w:pPr>
            <w:r>
              <w:rPr/>
              <w:t>61,075,725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w:t>
            </w:r>
          </w:p>
        </w:tc>
        <w:tc>
          <w:tcPr>
            <w:tcW w:w="1100" w:type="dxa"/>
            <w:tcBorders>
              <w:bottom w:val="single" w:sz="12" w:space="0" w:color="000000"/>
            </w:tcBorders>
            <w:shd w:fill="FFFFFF" w:val="clear"/>
            <w:tcMar>
              <w:bottom w:w="28" w:type="dxa"/>
            </w:tcMar>
            <w:vAlign w:val="center"/>
          </w:tcPr>
          <w:p>
            <w:pPr>
              <w:pStyle w:val="TableContents"/>
              <w:bidi w:val="0"/>
              <w:spacing w:before="0" w:after="283"/>
              <w:jc w:val="right"/>
              <w:rPr/>
            </w:pPr>
            <w:r>
              <w:rPr/>
              <w:t>28,114,668</w:t>
            </w:r>
          </w:p>
        </w:tc>
        <w:tc>
          <w:tcPr>
            <w:tcW w:w="75"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Contract Balances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timing of revenue recognition, billings and cash collections results in billed accounts receivable, unbilled revenue (contract assets), and deferred revenue (contract liabilities) on the balance sheet. Amounts are billed as specific milestones are met, which may or may not align with when revenue is recognized. Specific billing milestones include: 1) 10% - 20% of the contract value is billed to the third-party lender upon contract signing; 2) an additional 70% of the contract value is billed to the third-party lender upon the solar system being installed; and 3) the final 10% - 20% of the contract value is billed to the third-party lender upon system receiving its permission to operate from the local jurisdiction. All revenue from solar system installations is recognized upon the system passing inspection by the local jurisdiction, which generally does not coincide with receiving a permission to operate and as a result the third payment for the final 10% - 20% from the lender is recorded as a contract asset – unbilled revenue until the permission to operate is received from the local jurisdiction.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beginning and ending contract balances were as follows:</w:t>
      </w:r>
    </w:p>
    <w:p>
      <w:pPr>
        <w:pStyle w:val="TextBody"/>
        <w:bidi w:val="0"/>
        <w:spacing w:before="0" w:after="0"/>
        <w:ind w:left="0" w:right="0" w:hanging="0"/>
        <w:jc w:val="both"/>
        <w:rPr>
          <w:caps w:val="false"/>
          <w:smallCaps w:val="false"/>
        </w:rPr>
      </w:pPr>
      <w:r>
        <w:rPr>
          <w:caps w:val="false"/>
          <w:smallCaps w:val="false"/>
        </w:rPr>
        <w:t> </w:t>
      </w:r>
    </w:p>
    <w:tbl>
      <w:tblPr>
        <w:tblW w:w="6323" w:type="dxa"/>
        <w:jc w:val="left"/>
        <w:tblInd w:w="0" w:type="dxa"/>
        <w:tblLayout w:type="fixed"/>
        <w:tblCellMar>
          <w:top w:w="0" w:type="dxa"/>
          <w:left w:w="0" w:type="dxa"/>
          <w:bottom w:w="28" w:type="dxa"/>
          <w:right w:w="0" w:type="dxa"/>
        </w:tblCellMar>
      </w:tblPr>
      <w:tblGrid>
        <w:gridCol w:w="1970"/>
        <w:gridCol w:w="60"/>
        <w:gridCol w:w="158"/>
        <w:gridCol w:w="1106"/>
        <w:gridCol w:w="60"/>
        <w:gridCol w:w="60"/>
        <w:gridCol w:w="140"/>
        <w:gridCol w:w="1100"/>
        <w:gridCol w:w="60"/>
        <w:gridCol w:w="60"/>
        <w:gridCol w:w="166"/>
        <w:gridCol w:w="1308"/>
        <w:gridCol w:w="75"/>
      </w:tblGrid>
      <w:tr>
        <w:trPr/>
        <w:tc>
          <w:tcPr>
            <w:tcW w:w="1970" w:type="dxa"/>
            <w:tcBorders>
              <w:bottom w:val="single" w:sz="12" w:space="0" w:color="000000"/>
            </w:tcBorders>
            <w:vAlign w:val="center"/>
          </w:tcPr>
          <w:p>
            <w:pPr>
              <w:pStyle w:val="TableContents"/>
              <w:bidi w:val="0"/>
              <w:spacing w:before="0" w:after="283"/>
              <w:jc w:val="left"/>
              <w:rPr>
                <w:b/>
              </w:rPr>
            </w:pPr>
            <w:r>
              <w:rPr>
                <w:b/>
              </w:rPr>
              <w:t>As of:</w:t>
            </w:r>
          </w:p>
        </w:tc>
        <w:tc>
          <w:tcPr>
            <w:tcW w:w="60" w:type="dxa"/>
            <w:tcBorders/>
            <w:tcMar>
              <w:bottom w:w="0" w:type="dxa"/>
            </w:tcMar>
            <w:vAlign w:val="center"/>
          </w:tcPr>
          <w:p>
            <w:pPr>
              <w:pStyle w:val="TableContents"/>
              <w:bidi w:val="0"/>
              <w:spacing w:before="0" w:after="283"/>
              <w:jc w:val="left"/>
              <w:rPr/>
            </w:pPr>
            <w:r>
              <w:rPr/>
              <w:t> </w:t>
            </w:r>
          </w:p>
        </w:tc>
        <w:tc>
          <w:tcPr>
            <w:tcW w:w="1264" w:type="dxa"/>
            <w:gridSpan w:val="2"/>
            <w:tcBorders>
              <w:bottom w:val="single" w:sz="12"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 xml:space="preserve">September 30, </w:t>
              <w:br/>
              <w:t>2025</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240" w:type="dxa"/>
            <w:gridSpan w:val="2"/>
            <w:tcBorders>
              <w:bottom w:val="single" w:sz="12"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 xml:space="preserve">December 31, </w:t>
              <w:br/>
              <w:t>2024 </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474" w:type="dxa"/>
            <w:gridSpan w:val="2"/>
            <w:tcBorders>
              <w:bottom w:val="single" w:sz="12" w:space="0" w:color="000000"/>
            </w:tcBorders>
            <w:vAlign w:val="center"/>
          </w:tcPr>
          <w:p>
            <w:pPr>
              <w:pStyle w:val="TableContents"/>
              <w:bidi w:val="0"/>
              <w:spacing w:before="0" w:after="283"/>
              <w:jc w:val="center"/>
              <w:rPr>
                <w:b/>
              </w:rPr>
            </w:pPr>
            <w:r>
              <w:rPr>
                <w:b/>
              </w:rPr>
              <w:t xml:space="preserve">December 31, </w:t>
              <w:br/>
              <w:t>2023</w:t>
            </w:r>
          </w:p>
        </w:tc>
        <w:tc>
          <w:tcPr>
            <w:tcW w:w="75" w:type="dxa"/>
            <w:tcBorders/>
            <w:tcMar>
              <w:bottom w:w="0" w:type="dxa"/>
            </w:tcMar>
            <w:vAlign w:val="center"/>
          </w:tcPr>
          <w:p>
            <w:pPr>
              <w:pStyle w:val="TableContents"/>
              <w:bidi w:val="0"/>
              <w:spacing w:before="0" w:after="283"/>
              <w:jc w:val="left"/>
              <w:rPr/>
            </w:pPr>
            <w:r>
              <w:rPr/>
              <w:t> </w:t>
            </w:r>
          </w:p>
        </w:tc>
      </w:tr>
      <w:tr>
        <w:trPr/>
        <w:tc>
          <w:tcPr>
            <w:tcW w:w="1970" w:type="dxa"/>
            <w:tcBorders/>
            <w:shd w:fill="CCEEFF" w:val="clear"/>
            <w:tcMar>
              <w:bottom w:w="0" w:type="dxa"/>
            </w:tcMar>
            <w:vAlign w:val="center"/>
          </w:tcPr>
          <w:p>
            <w:pPr>
              <w:pStyle w:val="TableContents"/>
              <w:bidi w:val="0"/>
              <w:spacing w:before="0" w:after="283"/>
              <w:jc w:val="left"/>
              <w:rPr/>
            </w:pPr>
            <w:r>
              <w:rPr/>
              <w:t>Accounts receivable</w:t>
            </w:r>
          </w:p>
        </w:tc>
        <w:tc>
          <w:tcPr>
            <w:tcW w:w="60" w:type="dxa"/>
            <w:tcBorders/>
            <w:shd w:fill="CCEEFF" w:val="clear"/>
            <w:tcMar>
              <w:bottom w:w="0" w:type="dxa"/>
            </w:tcMar>
            <w:vAlign w:val="center"/>
          </w:tcPr>
          <w:p>
            <w:pPr>
              <w:pStyle w:val="TableContents"/>
              <w:bidi w:val="0"/>
              <w:spacing w:before="0" w:after="283"/>
              <w:jc w:val="left"/>
              <w:rPr/>
            </w:pPr>
            <w:r>
              <w:rPr/>
              <w:t> </w:t>
            </w:r>
          </w:p>
        </w:tc>
        <w:tc>
          <w:tcPr>
            <w:tcW w:w="158" w:type="dxa"/>
            <w:tcBorders/>
            <w:shd w:fill="CCEEFF" w:val="clear"/>
            <w:tcMar>
              <w:bottom w:w="0" w:type="dxa"/>
            </w:tcMar>
            <w:vAlign w:val="center"/>
          </w:tcPr>
          <w:p>
            <w:pPr>
              <w:pStyle w:val="TableContents"/>
              <w:bidi w:val="0"/>
              <w:spacing w:before="0" w:after="283"/>
              <w:jc w:val="left"/>
              <w:rPr/>
            </w:pPr>
            <w:r>
              <w:rPr/>
              <w:t>$</w:t>
            </w:r>
          </w:p>
        </w:tc>
        <w:tc>
          <w:tcPr>
            <w:tcW w:w="1106" w:type="dxa"/>
            <w:tcBorders/>
            <w:shd w:fill="CCEEFF" w:val="clear"/>
            <w:tcMar>
              <w:bottom w:w="0" w:type="dxa"/>
            </w:tcMar>
            <w:vAlign w:val="center"/>
          </w:tcPr>
          <w:p>
            <w:pPr>
              <w:pStyle w:val="TableContents"/>
              <w:bidi w:val="0"/>
              <w:spacing w:before="0" w:after="283"/>
              <w:jc w:val="right"/>
              <w:rPr/>
            </w:pPr>
            <w:r>
              <w:rPr/>
              <w:t>1,293,174</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w:t>
            </w:r>
          </w:p>
        </w:tc>
        <w:tc>
          <w:tcPr>
            <w:tcW w:w="1100" w:type="dxa"/>
            <w:tcBorders/>
            <w:shd w:fill="CCEEFF" w:val="clear"/>
            <w:tcMar>
              <w:bottom w:w="0" w:type="dxa"/>
            </w:tcMar>
            <w:vAlign w:val="center"/>
          </w:tcPr>
          <w:p>
            <w:pPr>
              <w:pStyle w:val="TableContents"/>
              <w:bidi w:val="0"/>
              <w:spacing w:before="0" w:after="283"/>
              <w:jc w:val="right"/>
              <w:rPr/>
            </w:pPr>
            <w:r>
              <w:rPr/>
              <w:t>1,010,295</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66" w:type="dxa"/>
            <w:tcBorders/>
            <w:shd w:fill="CCEEFF" w:val="clear"/>
            <w:tcMar>
              <w:bottom w:w="0" w:type="dxa"/>
            </w:tcMar>
            <w:vAlign w:val="center"/>
          </w:tcPr>
          <w:p>
            <w:pPr>
              <w:pStyle w:val="TableContents"/>
              <w:bidi w:val="0"/>
              <w:spacing w:before="0" w:after="283"/>
              <w:jc w:val="left"/>
              <w:rPr/>
            </w:pPr>
            <w:r>
              <w:rPr/>
              <w:t>$</w:t>
            </w:r>
          </w:p>
        </w:tc>
        <w:tc>
          <w:tcPr>
            <w:tcW w:w="1308" w:type="dxa"/>
            <w:tcBorders/>
            <w:shd w:fill="CCEEFF" w:val="clear"/>
            <w:tcMar>
              <w:bottom w:w="0" w:type="dxa"/>
            </w:tcMar>
            <w:vAlign w:val="center"/>
          </w:tcPr>
          <w:p>
            <w:pPr>
              <w:pStyle w:val="TableContents"/>
              <w:bidi w:val="0"/>
              <w:spacing w:before="0" w:after="283"/>
              <w:jc w:val="right"/>
              <w:rPr/>
            </w:pPr>
            <w:r>
              <w:rPr/>
              <w:t>155,801</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1970" w:type="dxa"/>
            <w:tcBorders/>
            <w:shd w:fill="FFFFFF" w:val="clear"/>
            <w:tcMar>
              <w:bottom w:w="0" w:type="dxa"/>
            </w:tcMar>
            <w:vAlign w:val="center"/>
          </w:tcPr>
          <w:p>
            <w:pPr>
              <w:pStyle w:val="TableContents"/>
              <w:bidi w:val="0"/>
              <w:spacing w:before="0" w:after="283"/>
              <w:jc w:val="left"/>
              <w:rPr/>
            </w:pPr>
            <w:r>
              <w:rPr/>
              <w:t>Unbilled receivables</w:t>
            </w:r>
          </w:p>
        </w:tc>
        <w:tc>
          <w:tcPr>
            <w:tcW w:w="60" w:type="dxa"/>
            <w:tcBorders/>
            <w:shd w:fill="FFFFFF" w:val="clear"/>
            <w:tcMar>
              <w:bottom w:w="0" w:type="dxa"/>
            </w:tcMar>
            <w:vAlign w:val="center"/>
          </w:tcPr>
          <w:p>
            <w:pPr>
              <w:pStyle w:val="TableContents"/>
              <w:bidi w:val="0"/>
              <w:spacing w:before="0" w:after="283"/>
              <w:jc w:val="left"/>
              <w:rPr/>
            </w:pPr>
            <w:r>
              <w:rPr/>
              <w:t> </w:t>
            </w:r>
          </w:p>
        </w:tc>
        <w:tc>
          <w:tcPr>
            <w:tcW w:w="158" w:type="dxa"/>
            <w:tcBorders/>
            <w:shd w:fill="FFFFFF" w:val="clear"/>
            <w:tcMar>
              <w:bottom w:w="0" w:type="dxa"/>
            </w:tcMar>
            <w:vAlign w:val="center"/>
          </w:tcPr>
          <w:p>
            <w:pPr>
              <w:pStyle w:val="TableContents"/>
              <w:bidi w:val="0"/>
              <w:spacing w:before="0" w:after="283"/>
              <w:jc w:val="left"/>
              <w:rPr/>
            </w:pPr>
            <w:r>
              <w:rPr/>
              <w:t> </w:t>
            </w:r>
          </w:p>
        </w:tc>
        <w:tc>
          <w:tcPr>
            <w:tcW w:w="1106" w:type="dxa"/>
            <w:tcBorders/>
            <w:shd w:fill="FFFFFF" w:val="clear"/>
            <w:tcMar>
              <w:bottom w:w="0" w:type="dxa"/>
            </w:tcMar>
            <w:vAlign w:val="center"/>
          </w:tcPr>
          <w:p>
            <w:pPr>
              <w:pStyle w:val="TableContents"/>
              <w:bidi w:val="0"/>
              <w:spacing w:before="0" w:after="283"/>
              <w:jc w:val="right"/>
              <w:rPr/>
            </w:pPr>
            <w:r>
              <w:rPr/>
              <w:t>5,715,605</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1100" w:type="dxa"/>
            <w:tcBorders/>
            <w:shd w:fill="FFFFFF" w:val="clear"/>
            <w:tcMar>
              <w:bottom w:w="0" w:type="dxa"/>
            </w:tcMar>
            <w:vAlign w:val="center"/>
          </w:tcPr>
          <w:p>
            <w:pPr>
              <w:pStyle w:val="TableContents"/>
              <w:bidi w:val="0"/>
              <w:spacing w:before="0" w:after="283"/>
              <w:jc w:val="right"/>
              <w:rPr/>
            </w:pPr>
            <w:r>
              <w:rPr/>
              <w:t>4,601,890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66" w:type="dxa"/>
            <w:tcBorders/>
            <w:shd w:fill="FFFFFF" w:val="clear"/>
            <w:tcMar>
              <w:bottom w:w="0" w:type="dxa"/>
            </w:tcMar>
            <w:vAlign w:val="center"/>
          </w:tcPr>
          <w:p>
            <w:pPr>
              <w:pStyle w:val="TableContents"/>
              <w:bidi w:val="0"/>
              <w:spacing w:before="0" w:after="283"/>
              <w:jc w:val="left"/>
              <w:rPr/>
            </w:pPr>
            <w:r>
              <w:rPr/>
              <w:t> </w:t>
            </w:r>
          </w:p>
        </w:tc>
        <w:tc>
          <w:tcPr>
            <w:tcW w:w="1308" w:type="dxa"/>
            <w:tcBorders/>
            <w:shd w:fill="FFFFFF" w:val="clear"/>
            <w:tcMar>
              <w:bottom w:w="0" w:type="dxa"/>
            </w:tcMar>
            <w:vAlign w:val="center"/>
          </w:tcPr>
          <w:p>
            <w:pPr>
              <w:pStyle w:val="TableContents"/>
              <w:bidi w:val="0"/>
              <w:spacing w:before="0" w:after="283"/>
              <w:jc w:val="right"/>
              <w:rPr/>
            </w:pPr>
            <w:r>
              <w:rPr/>
              <w:t>3,916,562</w:t>
            </w:r>
          </w:p>
        </w:tc>
        <w:tc>
          <w:tcPr>
            <w:tcW w:w="75" w:type="dxa"/>
            <w:tcBorders/>
            <w:shd w:fill="FFFFFF" w:val="clear"/>
            <w:tcMar>
              <w:bottom w:w="0" w:type="dxa"/>
            </w:tcMar>
            <w:vAlign w:val="center"/>
          </w:tcPr>
          <w:p>
            <w:pPr>
              <w:pStyle w:val="TableContents"/>
              <w:bidi w:val="0"/>
              <w:spacing w:before="0" w:after="283"/>
              <w:jc w:val="left"/>
              <w:rPr/>
            </w:pPr>
            <w:r>
              <w:rPr/>
              <w:t> </w:t>
            </w:r>
          </w:p>
        </w:tc>
      </w:tr>
      <w:tr>
        <w:trPr/>
        <w:tc>
          <w:tcPr>
            <w:tcW w:w="1970" w:type="dxa"/>
            <w:tcBorders/>
            <w:shd w:fill="CCEEFF" w:val="clear"/>
            <w:tcMar>
              <w:bottom w:w="0" w:type="dxa"/>
            </w:tcMar>
            <w:vAlign w:val="center"/>
          </w:tcPr>
          <w:p>
            <w:pPr>
              <w:pStyle w:val="TableContents"/>
              <w:bidi w:val="0"/>
              <w:spacing w:before="0" w:after="283"/>
              <w:jc w:val="left"/>
              <w:rPr/>
            </w:pPr>
            <w:r>
              <w:rPr/>
              <w:t>Deferred revenue</w:t>
            </w:r>
          </w:p>
        </w:tc>
        <w:tc>
          <w:tcPr>
            <w:tcW w:w="60" w:type="dxa"/>
            <w:tcBorders/>
            <w:shd w:fill="CCEEFF" w:val="clear"/>
            <w:tcMar>
              <w:bottom w:w="0" w:type="dxa"/>
            </w:tcMar>
            <w:vAlign w:val="center"/>
          </w:tcPr>
          <w:p>
            <w:pPr>
              <w:pStyle w:val="TableContents"/>
              <w:bidi w:val="0"/>
              <w:spacing w:before="0" w:after="283"/>
              <w:jc w:val="left"/>
              <w:rPr/>
            </w:pPr>
            <w:r>
              <w:rPr/>
              <w:t> </w:t>
            </w:r>
          </w:p>
        </w:tc>
        <w:tc>
          <w:tcPr>
            <w:tcW w:w="158" w:type="dxa"/>
            <w:tcBorders/>
            <w:shd w:fill="CCEEFF" w:val="clear"/>
            <w:tcMar>
              <w:bottom w:w="0" w:type="dxa"/>
            </w:tcMar>
            <w:vAlign w:val="center"/>
          </w:tcPr>
          <w:p>
            <w:pPr>
              <w:pStyle w:val="TableContents"/>
              <w:bidi w:val="0"/>
              <w:spacing w:before="0" w:after="283"/>
              <w:jc w:val="left"/>
              <w:rPr/>
            </w:pPr>
            <w:r>
              <w:rPr/>
              <w:t> </w:t>
            </w:r>
          </w:p>
        </w:tc>
        <w:tc>
          <w:tcPr>
            <w:tcW w:w="1106" w:type="dxa"/>
            <w:tcBorders/>
            <w:shd w:fill="CCEEFF" w:val="clear"/>
            <w:tcMar>
              <w:bottom w:w="0" w:type="dxa"/>
            </w:tcMar>
            <w:vAlign w:val="center"/>
          </w:tcPr>
          <w:p>
            <w:pPr>
              <w:pStyle w:val="TableContents"/>
              <w:bidi w:val="0"/>
              <w:spacing w:before="0" w:after="283"/>
              <w:jc w:val="right"/>
              <w:rPr/>
            </w:pPr>
            <w:r>
              <w:rPr/>
              <w:t>7,701,532</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1100" w:type="dxa"/>
            <w:tcBorders/>
            <w:shd w:fill="CCEEFF" w:val="clear"/>
            <w:tcMar>
              <w:bottom w:w="0" w:type="dxa"/>
            </w:tcMar>
            <w:vAlign w:val="center"/>
          </w:tcPr>
          <w:p>
            <w:pPr>
              <w:pStyle w:val="TableContents"/>
              <w:bidi w:val="0"/>
              <w:spacing w:before="0" w:after="283"/>
              <w:jc w:val="right"/>
              <w:rPr/>
            </w:pPr>
            <w:r>
              <w:rPr/>
              <w:t>10,585,293</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66" w:type="dxa"/>
            <w:tcBorders/>
            <w:shd w:fill="CCEEFF" w:val="clear"/>
            <w:tcMar>
              <w:bottom w:w="0" w:type="dxa"/>
            </w:tcMar>
            <w:vAlign w:val="center"/>
          </w:tcPr>
          <w:p>
            <w:pPr>
              <w:pStyle w:val="TableContents"/>
              <w:bidi w:val="0"/>
              <w:spacing w:before="0" w:after="283"/>
              <w:jc w:val="left"/>
              <w:rPr/>
            </w:pPr>
            <w:r>
              <w:rPr/>
              <w:t> </w:t>
            </w:r>
          </w:p>
        </w:tc>
        <w:tc>
          <w:tcPr>
            <w:tcW w:w="1308" w:type="dxa"/>
            <w:tcBorders/>
            <w:shd w:fill="CCEEFF" w:val="clear"/>
            <w:tcMar>
              <w:bottom w:w="0" w:type="dxa"/>
            </w:tcMar>
            <w:vAlign w:val="center"/>
          </w:tcPr>
          <w:p>
            <w:pPr>
              <w:pStyle w:val="TableContents"/>
              <w:bidi w:val="0"/>
              <w:spacing w:before="0" w:after="283"/>
              <w:jc w:val="right"/>
              <w:rPr/>
            </w:pPr>
            <w:r>
              <w:rPr/>
              <w:t>11,661,448</w:t>
            </w:r>
          </w:p>
        </w:tc>
        <w:tc>
          <w:tcPr>
            <w:tcW w:w="75" w:type="dxa"/>
            <w:tcBorders/>
            <w:shd w:fill="CCEEFF" w:val="clear"/>
            <w:tcMar>
              <w:bottom w:w="0" w:type="dxa"/>
            </w:tcM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Limited Warranty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provides a limited warranty of workmanship on its installation products for a period of ten years beginning on the date of installation completion. This warranty is limited to defects in materials and workmanship caused during installation, and to roof penetrations caused in the installation will be watertight. The Company estimates its liability for warranty claims based historical claim patterns and known conditions at the time. To date, warranty claims have been nominal. Accordingly, there was no warranty accrual recorded as of September 30, 2025 and December 31, 2024.</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sz w:val="20"/>
          <w:bdr w:val="single" w:sz="12" w:space="1" w:color="000000"/>
        </w:rPr>
      </w:pPr>
      <w:r>
        <w:rPr>
          <w:sz w:val="20"/>
          <w:bdr w:val="single" w:sz="12" w:space="1" w:color="000000"/>
        </w:rPr>
        <w:t>F-169</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Deferred Commissions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Costs Incurred to Acquire Customer Contracts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recognizes an asset for incremental costs of obtaining a contract with the customer if management expects to recover these costs. Incremental costs are those that would not have been incurred if the contract had not existed. Examples of incremental costs often capitalized are sales commissions whereas examples of costs that would not be included are internal employee salaries, standard benefits, travel costs, and other / general legal costs. Sales commissions and related payroll taxes are the only incremental contract costs the Company incurs, which are paid out when installation is complete. As installations of customer solar systems are generally installed within 3 months resulting in the commissions being earned at that point-in-time, the Company applies the practical expedient under ASC 340-40, </w:t>
      </w:r>
      <w:r>
        <w:rPr>
          <w:rFonts w:ascii="Times New Roman;Times;Serif" w:hAnsi="Times New Roman;Times;Serif"/>
          <w:b w:val="false"/>
          <w:i/>
          <w:caps w:val="false"/>
          <w:smallCaps w:val="false"/>
          <w:sz w:val="20"/>
        </w:rPr>
        <w:t xml:space="preserve">Other Assets and Deferred Costs: Contracts with Customers </w:t>
      </w:r>
      <w:r>
        <w:rPr>
          <w:rFonts w:ascii="Times New Roman;Times;Serif" w:hAnsi="Times New Roman;Times;Serif"/>
          <w:b w:val="false"/>
          <w:i w:val="false"/>
          <w:caps w:val="false"/>
          <w:smallCaps w:val="false"/>
          <w:sz w:val="20"/>
        </w:rPr>
        <w:t>and expenses all incremental costs to acquire customers contracts upon installation of the solar system.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Deferred Contract Fulfillment Costs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Prior to the installation and final inspection of a customer solar system, the Company incurs costs for design, equipment, permits, and other similar costs. These contract fulfillment costs are contract specific, enhance the asset (solar system) that will eventually be transferred to the customer, and are expected to be recovered as part of the transaction price associated with the contract. As a result, the Company capitalizes these costs as they are incurred and expenses them once the solar system passes final inspection.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Advertising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Advertising costs are expensed as incurred. Advertising expense for the nine months ended September 30, 2025 and 2024 totaled approximately $304,000 and $140,000, respectively.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Sales Tax</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collects sales and other taxes from certain customers and remits those taxes to governmental agencies. The Company reports the collection of these taxes on a net basis and such taxes are excluded from revenues.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Subsequent Events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Management has evaluated events and transactions for potential recognition or disclosure through January 12, 2026, which is the date the financial statements were available to be issued.</w:t>
      </w:r>
    </w:p>
    <w:p>
      <w:pPr>
        <w:pStyle w:val="TextBody"/>
        <w:bidi w:val="0"/>
        <w:spacing w:before="0" w:after="0"/>
        <w:ind w:left="0" w:right="0" w:hanging="0"/>
        <w:jc w:val="both"/>
        <w:rPr>
          <w:caps w:val="false"/>
          <w:smallCaps w:val="false"/>
        </w:rPr>
      </w:pPr>
      <w:r>
        <w:rPr>
          <w:caps w:val="false"/>
          <w:smallCaps w:val="false"/>
        </w:rPr>
        <w:t> </w:t>
      </w:r>
    </w:p>
    <w:tbl>
      <w:tblPr>
        <w:tblW w:w="1015" w:type="dxa"/>
        <w:jc w:val="left"/>
        <w:tblInd w:w="0" w:type="dxa"/>
        <w:tblLayout w:type="fixed"/>
        <w:tblCellMar>
          <w:top w:w="0" w:type="dxa"/>
          <w:left w:w="0" w:type="dxa"/>
          <w:bottom w:w="0" w:type="dxa"/>
          <w:right w:w="0" w:type="dxa"/>
        </w:tblCellMar>
      </w:tblPr>
      <w:tblGrid>
        <w:gridCol w:w="185"/>
        <w:gridCol w:w="830"/>
      </w:tblGrid>
      <w:tr>
        <w:trPr/>
        <w:tc>
          <w:tcPr>
            <w:tcW w:w="18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3.</w:t>
            </w:r>
          </w:p>
        </w:tc>
        <w:tc>
          <w:tcPr>
            <w:tcW w:w="830" w:type="dxa"/>
            <w:tcBorders/>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Liquidity</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assessing the Company’s liquidity, the Company monitors and analyzes its cash and its ability to generate sufficient cash flow to support its operating and capital expenditure commitments. As of September 30, 2025, the Company had a working capital surplus of approximately $347,000 and stockholders’ deficit of approximately $8,229,000. For the nine months ended September 30, 2025, the Company had a net loss of approximately $1,197,000 and used cash in operating activities of approximately $1,186,000.</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November 11, 2025, the Company entered a non-binding letter of intent with SunPower, Inc. to be acquired for $37,500,000. The transaction closed on November 21, 2025, resulting in the Company becoming a wholly owned subsidiary of SunPower, Inc. The acquisition of the Company effectively merged the Company’s operations into SunPower, Inc., which provided the Company with any additional liquidity that may have been needed.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sz w:val="20"/>
          <w:bdr w:val="single" w:sz="12" w:space="1" w:color="000000"/>
        </w:rPr>
      </w:pPr>
      <w:r>
        <w:rPr>
          <w:sz w:val="20"/>
          <w:bdr w:val="single" w:sz="12" w:space="1" w:color="000000"/>
        </w:rPr>
        <w:t>F-170</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tbl>
      <w:tblPr>
        <w:tblW w:w="2320" w:type="dxa"/>
        <w:jc w:val="left"/>
        <w:tblInd w:w="0" w:type="dxa"/>
        <w:tblLayout w:type="fixed"/>
        <w:tblCellMar>
          <w:top w:w="0" w:type="dxa"/>
          <w:left w:w="0" w:type="dxa"/>
          <w:bottom w:w="0" w:type="dxa"/>
          <w:right w:w="0" w:type="dxa"/>
        </w:tblCellMar>
      </w:tblPr>
      <w:tblGrid>
        <w:gridCol w:w="185"/>
        <w:gridCol w:w="2135"/>
      </w:tblGrid>
      <w:tr>
        <w:trPr/>
        <w:tc>
          <w:tcPr>
            <w:tcW w:w="18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4.</w:t>
            </w:r>
          </w:p>
        </w:tc>
        <w:tc>
          <w:tcPr>
            <w:tcW w:w="2135" w:type="dxa"/>
            <w:tcBorders/>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Property and Equipment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Property and equipment consisted of the following as of September 30, 2025 and December 31, 2024:</w:t>
      </w:r>
    </w:p>
    <w:p>
      <w:pPr>
        <w:pStyle w:val="TextBody"/>
        <w:bidi w:val="0"/>
        <w:spacing w:before="0" w:after="0"/>
        <w:ind w:left="0" w:right="0" w:hanging="0"/>
        <w:jc w:val="both"/>
        <w:rPr>
          <w:caps w:val="false"/>
          <w:smallCaps w:val="false"/>
        </w:rPr>
      </w:pPr>
      <w:r>
        <w:rPr>
          <w:caps w:val="false"/>
          <w:smallCaps w:val="false"/>
        </w:rPr>
        <w:t> </w:t>
      </w:r>
    </w:p>
    <w:tbl>
      <w:tblPr>
        <w:tblW w:w="6920" w:type="dxa"/>
        <w:jc w:val="left"/>
        <w:tblInd w:w="0" w:type="dxa"/>
        <w:tblLayout w:type="fixed"/>
        <w:tblCellMar>
          <w:top w:w="0" w:type="dxa"/>
          <w:left w:w="0" w:type="dxa"/>
          <w:bottom w:w="0" w:type="dxa"/>
          <w:right w:w="0" w:type="dxa"/>
        </w:tblCellMar>
      </w:tblPr>
      <w:tblGrid>
        <w:gridCol w:w="4565"/>
        <w:gridCol w:w="60"/>
        <w:gridCol w:w="140"/>
        <w:gridCol w:w="875"/>
        <w:gridCol w:w="95"/>
        <w:gridCol w:w="60"/>
        <w:gridCol w:w="140"/>
        <w:gridCol w:w="875"/>
        <w:gridCol w:w="110"/>
      </w:tblGrid>
      <w:tr>
        <w:trPr/>
        <w:tc>
          <w:tcPr>
            <w:tcW w:w="456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1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2025</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1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2024</w:t>
            </w:r>
          </w:p>
        </w:tc>
        <w:tc>
          <w:tcPr>
            <w:tcW w:w="110" w:type="dxa"/>
            <w:tcBorders/>
            <w:vAlign w:val="center"/>
          </w:tcPr>
          <w:p>
            <w:pPr>
              <w:pStyle w:val="TableContents"/>
              <w:bidi w:val="0"/>
              <w:spacing w:before="0" w:after="283"/>
              <w:jc w:val="left"/>
              <w:rPr/>
            </w:pPr>
            <w:r>
              <w:rPr/>
              <w:t> </w:t>
            </w:r>
          </w:p>
        </w:tc>
      </w:tr>
      <w:tr>
        <w:trPr/>
        <w:tc>
          <w:tcPr>
            <w:tcW w:w="4565" w:type="dxa"/>
            <w:tcBorders/>
            <w:shd w:fill="CCEEFF" w:val="clear"/>
            <w:vAlign w:val="center"/>
          </w:tcPr>
          <w:p>
            <w:pPr>
              <w:pStyle w:val="TableContents"/>
              <w:bidi w:val="0"/>
              <w:spacing w:before="0" w:after="283"/>
              <w:jc w:val="left"/>
              <w:rPr/>
            </w:pPr>
            <w:r>
              <w:rPr/>
              <w:t>Office equipment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875" w:type="dxa"/>
            <w:tcBorders/>
            <w:shd w:fill="CCEEFF" w:val="clear"/>
            <w:vAlign w:val="center"/>
          </w:tcPr>
          <w:p>
            <w:pPr>
              <w:pStyle w:val="TableContents"/>
              <w:bidi w:val="0"/>
              <w:spacing w:before="0" w:after="283"/>
              <w:jc w:val="right"/>
              <w:rPr/>
            </w:pPr>
            <w:r>
              <w:rPr/>
              <w:t>251,199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875" w:type="dxa"/>
            <w:tcBorders/>
            <w:shd w:fill="CCEEFF" w:val="clear"/>
            <w:vAlign w:val="center"/>
          </w:tcPr>
          <w:p>
            <w:pPr>
              <w:pStyle w:val="TableContents"/>
              <w:bidi w:val="0"/>
              <w:spacing w:before="0" w:after="283"/>
              <w:jc w:val="right"/>
              <w:rPr/>
            </w:pPr>
            <w:r>
              <w:rPr/>
              <w:t>-</w:t>
            </w:r>
          </w:p>
        </w:tc>
        <w:tc>
          <w:tcPr>
            <w:tcW w:w="110" w:type="dxa"/>
            <w:tcBorders/>
            <w:shd w:fill="CCEEFF" w:val="clear"/>
            <w:vAlign w:val="center"/>
          </w:tcPr>
          <w:p>
            <w:pPr>
              <w:pStyle w:val="TableContents"/>
              <w:bidi w:val="0"/>
              <w:spacing w:before="0" w:after="283"/>
              <w:jc w:val="left"/>
              <w:rPr/>
            </w:pPr>
            <w:r>
              <w:rPr/>
              <w:t> </w:t>
            </w:r>
          </w:p>
        </w:tc>
      </w:tr>
      <w:tr>
        <w:trPr/>
        <w:tc>
          <w:tcPr>
            <w:tcW w:w="4565" w:type="dxa"/>
            <w:tcBorders/>
            <w:shd w:fill="FFFFFF" w:val="clear"/>
            <w:vAlign w:val="center"/>
          </w:tcPr>
          <w:p>
            <w:pPr>
              <w:pStyle w:val="TableContents"/>
              <w:bidi w:val="0"/>
              <w:spacing w:before="0" w:after="283"/>
              <w:jc w:val="left"/>
              <w:rPr/>
            </w:pPr>
            <w:r>
              <w:rPr/>
              <w:t>Tools and gear</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pPr>
            <w:r>
              <w:rPr/>
              <w:t>152,426</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pPr>
            <w:r>
              <w:rPr/>
              <w:t>296,085</w:t>
            </w:r>
          </w:p>
        </w:tc>
        <w:tc>
          <w:tcPr>
            <w:tcW w:w="110" w:type="dxa"/>
            <w:tcBorders/>
            <w:shd w:fill="FFFFFF" w:val="clear"/>
            <w:vAlign w:val="center"/>
          </w:tcPr>
          <w:p>
            <w:pPr>
              <w:pStyle w:val="TableContents"/>
              <w:bidi w:val="0"/>
              <w:spacing w:before="0" w:after="283"/>
              <w:jc w:val="left"/>
              <w:rPr/>
            </w:pPr>
            <w:r>
              <w:rPr/>
              <w:t> </w:t>
            </w:r>
          </w:p>
        </w:tc>
      </w:tr>
      <w:tr>
        <w:trPr/>
        <w:tc>
          <w:tcPr>
            <w:tcW w:w="4565" w:type="dxa"/>
            <w:tcBorders/>
            <w:shd w:fill="CCEEFF" w:val="clear"/>
            <w:vAlign w:val="center"/>
          </w:tcPr>
          <w:p>
            <w:pPr>
              <w:pStyle w:val="TableContents"/>
              <w:bidi w:val="0"/>
              <w:spacing w:before="0" w:after="283"/>
              <w:jc w:val="left"/>
              <w:rPr/>
            </w:pPr>
            <w:r>
              <w:rPr/>
              <w:t>Computer equipment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95,530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54,392</w:t>
            </w:r>
          </w:p>
        </w:tc>
        <w:tc>
          <w:tcPr>
            <w:tcW w:w="110" w:type="dxa"/>
            <w:tcBorders/>
            <w:shd w:fill="CCEEFF" w:val="clear"/>
            <w:vAlign w:val="center"/>
          </w:tcPr>
          <w:p>
            <w:pPr>
              <w:pStyle w:val="TableContents"/>
              <w:bidi w:val="0"/>
              <w:spacing w:before="0" w:after="283"/>
              <w:jc w:val="left"/>
              <w:rPr/>
            </w:pPr>
            <w:r>
              <w:rPr/>
              <w:t> </w:t>
            </w:r>
          </w:p>
        </w:tc>
      </w:tr>
      <w:tr>
        <w:trPr/>
        <w:tc>
          <w:tcPr>
            <w:tcW w:w="4565" w:type="dxa"/>
            <w:tcBorders/>
            <w:shd w:fill="FFFFFF" w:val="clear"/>
            <w:vAlign w:val="center"/>
          </w:tcPr>
          <w:p>
            <w:pPr>
              <w:pStyle w:val="TableContents"/>
              <w:bidi w:val="0"/>
              <w:spacing w:before="0" w:after="283"/>
              <w:jc w:val="left"/>
              <w:rPr/>
            </w:pPr>
            <w:r>
              <w:rPr/>
              <w:t>Leasehold improvements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pPr>
            <w:r>
              <w:rPr/>
              <w:t>92,373</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pPr>
            <w:r>
              <w:rPr/>
              <w:t>76,701</w:t>
            </w:r>
          </w:p>
        </w:tc>
        <w:tc>
          <w:tcPr>
            <w:tcW w:w="110" w:type="dxa"/>
            <w:tcBorders/>
            <w:shd w:fill="FFFFFF" w:val="clear"/>
            <w:vAlign w:val="center"/>
          </w:tcPr>
          <w:p>
            <w:pPr>
              <w:pStyle w:val="TableContents"/>
              <w:bidi w:val="0"/>
              <w:spacing w:before="0" w:after="283"/>
              <w:jc w:val="left"/>
              <w:rPr/>
            </w:pPr>
            <w:r>
              <w:rPr/>
              <w:t> </w:t>
            </w:r>
          </w:p>
        </w:tc>
      </w:tr>
      <w:tr>
        <w:trPr/>
        <w:tc>
          <w:tcPr>
            <w:tcW w:w="4565" w:type="dxa"/>
            <w:tcBorders/>
            <w:shd w:fill="CCEEFF" w:val="clear"/>
            <w:vAlign w:val="center"/>
          </w:tcPr>
          <w:p>
            <w:pPr>
              <w:pStyle w:val="TableContents"/>
              <w:bidi w:val="0"/>
              <w:spacing w:before="0" w:after="283"/>
              <w:jc w:val="left"/>
              <w:rPr/>
            </w:pPr>
            <w:r>
              <w:rPr/>
              <w:t>Vehicles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77,990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52,552</w:t>
            </w:r>
          </w:p>
        </w:tc>
        <w:tc>
          <w:tcPr>
            <w:tcW w:w="110" w:type="dxa"/>
            <w:tcBorders/>
            <w:shd w:fill="CCEEFF" w:val="clear"/>
            <w:vAlign w:val="center"/>
          </w:tcPr>
          <w:p>
            <w:pPr>
              <w:pStyle w:val="TableContents"/>
              <w:bidi w:val="0"/>
              <w:spacing w:before="0" w:after="283"/>
              <w:jc w:val="left"/>
              <w:rPr/>
            </w:pPr>
            <w:r>
              <w:rPr/>
              <w:t> </w:t>
            </w:r>
          </w:p>
        </w:tc>
      </w:tr>
      <w:tr>
        <w:trPr/>
        <w:tc>
          <w:tcPr>
            <w:tcW w:w="4565" w:type="dxa"/>
            <w:tcBorders/>
            <w:shd w:fill="FFFFFF" w:val="clear"/>
            <w:vAlign w:val="center"/>
          </w:tcPr>
          <w:p>
            <w:pPr>
              <w:pStyle w:val="TableContents"/>
              <w:bidi w:val="0"/>
              <w:spacing w:before="0" w:after="283"/>
              <w:jc w:val="left"/>
              <w:rPr/>
            </w:pPr>
            <w:r>
              <w:rPr/>
              <w:t>Furniture</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875" w:type="dxa"/>
            <w:tcBorders>
              <w:bottom w:val="single" w:sz="12" w:space="0" w:color="000000"/>
            </w:tcBorders>
            <w:shd w:fill="FFFFFF" w:val="clear"/>
            <w:tcMar>
              <w:bottom w:w="28" w:type="dxa"/>
            </w:tcMar>
            <w:vAlign w:val="center"/>
          </w:tcPr>
          <w:p>
            <w:pPr>
              <w:pStyle w:val="TableContents"/>
              <w:bidi w:val="0"/>
              <w:spacing w:before="0" w:after="283"/>
              <w:jc w:val="right"/>
              <w:rPr/>
            </w:pPr>
            <w:r>
              <w:rPr/>
              <w:t>32,400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875" w:type="dxa"/>
            <w:tcBorders>
              <w:bottom w:val="single" w:sz="12" w:space="0" w:color="000000"/>
            </w:tcBorders>
            <w:shd w:fill="FFFFFF" w:val="clear"/>
            <w:tcMar>
              <w:bottom w:w="28" w:type="dxa"/>
            </w:tcMar>
            <w:vAlign w:val="center"/>
          </w:tcPr>
          <w:p>
            <w:pPr>
              <w:pStyle w:val="TableContents"/>
              <w:bidi w:val="0"/>
              <w:spacing w:before="0" w:after="283"/>
              <w:jc w:val="right"/>
              <w:rPr/>
            </w:pPr>
            <w:r>
              <w:rPr/>
              <w:t>30,946</w:t>
            </w:r>
          </w:p>
        </w:tc>
        <w:tc>
          <w:tcPr>
            <w:tcW w:w="110" w:type="dxa"/>
            <w:tcBorders/>
            <w:shd w:fill="FFFFFF" w:val="clear"/>
            <w:vAlign w:val="center"/>
          </w:tcPr>
          <w:p>
            <w:pPr>
              <w:pStyle w:val="TableContents"/>
              <w:bidi w:val="0"/>
              <w:spacing w:before="0" w:after="283"/>
              <w:jc w:val="left"/>
              <w:rPr/>
            </w:pPr>
            <w:r>
              <w:rPr/>
              <w:t> </w:t>
            </w:r>
          </w:p>
        </w:tc>
      </w:tr>
      <w:tr>
        <w:trPr/>
        <w:tc>
          <w:tcPr>
            <w:tcW w:w="4565"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701,918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510,676</w:t>
            </w:r>
          </w:p>
        </w:tc>
        <w:tc>
          <w:tcPr>
            <w:tcW w:w="110" w:type="dxa"/>
            <w:tcBorders/>
            <w:shd w:fill="CCEEFF" w:val="clear"/>
            <w:vAlign w:val="center"/>
          </w:tcPr>
          <w:p>
            <w:pPr>
              <w:pStyle w:val="TableContents"/>
              <w:bidi w:val="0"/>
              <w:spacing w:before="0" w:after="283"/>
              <w:jc w:val="left"/>
              <w:rPr/>
            </w:pPr>
            <w:r>
              <w:rPr/>
              <w:t> </w:t>
            </w:r>
          </w:p>
        </w:tc>
      </w:tr>
      <w:tr>
        <w:trPr/>
        <w:tc>
          <w:tcPr>
            <w:tcW w:w="4565" w:type="dxa"/>
            <w:tcBorders/>
            <w:shd w:fill="FFFFFF" w:val="clear"/>
            <w:vAlign w:val="center"/>
          </w:tcPr>
          <w:p>
            <w:pPr>
              <w:pStyle w:val="TableContents"/>
              <w:bidi w:val="0"/>
              <w:spacing w:before="0" w:after="283"/>
              <w:jc w:val="left"/>
              <w:rPr/>
            </w:pPr>
            <w:r>
              <w:rPr/>
              <w:t>Less accumulated depreciation and amortization</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875" w:type="dxa"/>
            <w:tcBorders>
              <w:bottom w:val="single" w:sz="12" w:space="0" w:color="000000"/>
            </w:tcBorders>
            <w:shd w:fill="FFFFFF" w:val="clear"/>
            <w:tcMar>
              <w:bottom w:w="28" w:type="dxa"/>
            </w:tcMar>
            <w:vAlign w:val="center"/>
          </w:tcPr>
          <w:p>
            <w:pPr>
              <w:pStyle w:val="TableContents"/>
              <w:bidi w:val="0"/>
              <w:spacing w:before="0" w:after="283"/>
              <w:jc w:val="right"/>
              <w:rPr/>
            </w:pPr>
            <w:r>
              <w:rPr/>
              <w:t>(277,887</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875" w:type="dxa"/>
            <w:tcBorders>
              <w:bottom w:val="single" w:sz="12" w:space="0" w:color="000000"/>
            </w:tcBorders>
            <w:shd w:fill="FFFFFF" w:val="clear"/>
            <w:tcMar>
              <w:bottom w:w="28" w:type="dxa"/>
            </w:tcMar>
            <w:vAlign w:val="center"/>
          </w:tcPr>
          <w:p>
            <w:pPr>
              <w:pStyle w:val="TableContents"/>
              <w:bidi w:val="0"/>
              <w:spacing w:before="0" w:after="283"/>
              <w:jc w:val="right"/>
              <w:rPr/>
            </w:pPr>
            <w:r>
              <w:rPr/>
              <w:t>(125,484</w:t>
            </w:r>
          </w:p>
        </w:tc>
        <w:tc>
          <w:tcPr>
            <w:tcW w:w="110" w:type="dxa"/>
            <w:tcBorders/>
            <w:shd w:fill="FFFFFF" w:val="clear"/>
            <w:vAlign w:val="center"/>
          </w:tcPr>
          <w:p>
            <w:pPr>
              <w:pStyle w:val="TableContents"/>
              <w:bidi w:val="0"/>
              <w:spacing w:before="0" w:after="283"/>
              <w:jc w:val="left"/>
              <w:rPr/>
            </w:pPr>
            <w:r>
              <w:rPr/>
              <w:t>)</w:t>
            </w:r>
          </w:p>
        </w:tc>
      </w:tr>
      <w:tr>
        <w:trPr/>
        <w:tc>
          <w:tcPr>
            <w:tcW w:w="4565"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w:t>
            </w:r>
          </w:p>
        </w:tc>
        <w:tc>
          <w:tcPr>
            <w:tcW w:w="875" w:type="dxa"/>
            <w:tcBorders>
              <w:bottom w:val="single" w:sz="12" w:space="0" w:color="000000"/>
            </w:tcBorders>
            <w:shd w:fill="CCEEFF" w:val="clear"/>
            <w:tcMar>
              <w:bottom w:w="28" w:type="dxa"/>
            </w:tcMar>
            <w:vAlign w:val="center"/>
          </w:tcPr>
          <w:p>
            <w:pPr>
              <w:pStyle w:val="TableContents"/>
              <w:bidi w:val="0"/>
              <w:spacing w:before="0" w:after="283"/>
              <w:jc w:val="right"/>
              <w:rPr/>
            </w:pPr>
            <w:r>
              <w:rPr/>
              <w:t>424,031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w:t>
            </w:r>
          </w:p>
        </w:tc>
        <w:tc>
          <w:tcPr>
            <w:tcW w:w="875" w:type="dxa"/>
            <w:tcBorders>
              <w:bottom w:val="single" w:sz="12" w:space="0" w:color="000000"/>
            </w:tcBorders>
            <w:shd w:fill="CCEEFF" w:val="clear"/>
            <w:tcMar>
              <w:bottom w:w="28" w:type="dxa"/>
            </w:tcMar>
            <w:vAlign w:val="center"/>
          </w:tcPr>
          <w:p>
            <w:pPr>
              <w:pStyle w:val="TableContents"/>
              <w:bidi w:val="0"/>
              <w:spacing w:before="0" w:after="283"/>
              <w:jc w:val="right"/>
              <w:rPr/>
            </w:pPr>
            <w:r>
              <w:rPr/>
              <w:t>385,192</w:t>
            </w:r>
          </w:p>
        </w:tc>
        <w:tc>
          <w:tcPr>
            <w:tcW w:w="11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Depreciation and amortization expense on property and equipment was calculated on a straight-line basis and for the nine months ended September 30, 2025 and 2024 was $152,404 and $62,514, respectively. Amortization of right-of-use assets held under finance leases for the nine months ended September 30, 2025 and 2024 was $342,163 and $173,790, respectively; and is included in depreciation and amortization expense in the statements of operations and member’s deficit.</w:t>
      </w:r>
    </w:p>
    <w:p>
      <w:pPr>
        <w:pStyle w:val="TextBody"/>
        <w:bidi w:val="0"/>
        <w:spacing w:before="0" w:after="0"/>
        <w:ind w:left="0" w:right="0" w:hanging="0"/>
        <w:jc w:val="both"/>
        <w:rPr>
          <w:caps w:val="false"/>
          <w:smallCaps w:val="false"/>
        </w:rPr>
      </w:pPr>
      <w:r>
        <w:rPr>
          <w:caps w:val="false"/>
          <w:smallCaps w:val="false"/>
        </w:rPr>
        <w:t> </w:t>
      </w:r>
    </w:p>
    <w:tbl>
      <w:tblPr>
        <w:tblW w:w="2650" w:type="dxa"/>
        <w:jc w:val="left"/>
        <w:tblInd w:w="0" w:type="dxa"/>
        <w:tblLayout w:type="fixed"/>
        <w:tblCellMar>
          <w:top w:w="0" w:type="dxa"/>
          <w:left w:w="0" w:type="dxa"/>
          <w:bottom w:w="0" w:type="dxa"/>
          <w:right w:w="0" w:type="dxa"/>
        </w:tblCellMar>
      </w:tblPr>
      <w:tblGrid>
        <w:gridCol w:w="185"/>
        <w:gridCol w:w="2465"/>
      </w:tblGrid>
      <w:tr>
        <w:trPr/>
        <w:tc>
          <w:tcPr>
            <w:tcW w:w="18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5.</w:t>
            </w:r>
          </w:p>
        </w:tc>
        <w:tc>
          <w:tcPr>
            <w:tcW w:w="2465" w:type="dxa"/>
            <w:tcBorders/>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Related-Party Notes Payable</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has entered into notes payable agreements with various related parties. Interest rates on these notes payable range from 8% to 13%. Some notes require quarterly interest payments, while others do not require interest to be paid until the maturity date. For all related-party notes payable, the principal amounts are not due until the maturity date which ranges from December 2026 to April 2033.</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sz w:val="20"/>
          <w:bdr w:val="single" w:sz="12" w:space="1" w:color="000000"/>
        </w:rPr>
      </w:pPr>
      <w:r>
        <w:rPr>
          <w:sz w:val="20"/>
          <w:bdr w:val="single" w:sz="12" w:space="1" w:color="000000"/>
        </w:rPr>
        <w:t>F-171</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September 30, 2025, the future maturities of related-party notes payable are as follows:</w:t>
      </w:r>
    </w:p>
    <w:p>
      <w:pPr>
        <w:pStyle w:val="TextBody"/>
        <w:bidi w:val="0"/>
        <w:spacing w:before="0" w:after="0"/>
        <w:ind w:left="0" w:right="0" w:hanging="0"/>
        <w:jc w:val="both"/>
        <w:rPr>
          <w:caps w:val="false"/>
          <w:smallCaps w:val="false"/>
        </w:rPr>
      </w:pPr>
      <w:r>
        <w:rPr>
          <w:caps w:val="false"/>
          <w:smallCaps w:val="false"/>
        </w:rPr>
        <w:t> </w:t>
      </w:r>
    </w:p>
    <w:tbl>
      <w:tblPr>
        <w:tblW w:w="4770" w:type="dxa"/>
        <w:jc w:val="left"/>
        <w:tblInd w:w="0" w:type="dxa"/>
        <w:tblLayout w:type="fixed"/>
        <w:tblCellMar>
          <w:top w:w="0" w:type="dxa"/>
          <w:left w:w="0" w:type="dxa"/>
          <w:bottom w:w="28" w:type="dxa"/>
          <w:right w:w="0" w:type="dxa"/>
        </w:tblCellMar>
      </w:tblPr>
      <w:tblGrid>
        <w:gridCol w:w="3515"/>
        <w:gridCol w:w="60"/>
        <w:gridCol w:w="140"/>
        <w:gridCol w:w="980"/>
        <w:gridCol w:w="75"/>
      </w:tblGrid>
      <w:tr>
        <w:trPr/>
        <w:tc>
          <w:tcPr>
            <w:tcW w:w="3515" w:type="dxa"/>
            <w:tcBorders>
              <w:bottom w:val="single" w:sz="12" w:space="0" w:color="000000"/>
            </w:tcBorders>
            <w:vAlign w:val="center"/>
          </w:tcPr>
          <w:p>
            <w:pPr>
              <w:pStyle w:val="TableContents"/>
              <w:bidi w:val="0"/>
              <w:spacing w:before="0" w:after="283"/>
              <w:jc w:val="left"/>
              <w:rPr>
                <w:b/>
              </w:rPr>
            </w:pPr>
            <w:r>
              <w:rPr>
                <w:b/>
              </w:rPr>
              <w:t>For the year ending December 31:</w:t>
            </w:r>
          </w:p>
        </w:tc>
        <w:tc>
          <w:tcPr>
            <w:tcW w:w="60" w:type="dxa"/>
            <w:tcBorders/>
            <w:tcMar>
              <w:bottom w:w="0" w:type="dxa"/>
            </w:tcMar>
            <w:vAlign w:val="center"/>
          </w:tcPr>
          <w:p>
            <w:pPr>
              <w:pStyle w:val="TableContents"/>
              <w:bidi w:val="0"/>
              <w:spacing w:before="0" w:after="283"/>
              <w:jc w:val="left"/>
              <w:rPr/>
            </w:pPr>
            <w:r>
              <w:rPr/>
              <w:t> </w:t>
            </w:r>
          </w:p>
        </w:tc>
        <w:tc>
          <w:tcPr>
            <w:tcW w:w="1120" w:type="dxa"/>
            <w:gridSpan w:val="2"/>
            <w:tcBorders/>
            <w:tcMar>
              <w:bottom w:w="0" w:type="dxa"/>
            </w:tcMar>
            <w:vAlign w:val="center"/>
          </w:tcPr>
          <w:p>
            <w:pPr>
              <w:pStyle w:val="TableContents"/>
              <w:bidi w:val="0"/>
              <w:spacing w:before="0" w:after="283"/>
              <w:jc w:val="center"/>
              <w:rPr/>
            </w:pPr>
            <w:r>
              <w:rPr/>
              <w:t> </w:t>
            </w:r>
          </w:p>
        </w:tc>
        <w:tc>
          <w:tcPr>
            <w:tcW w:w="75" w:type="dxa"/>
            <w:tcBorders/>
            <w:tcMar>
              <w:bottom w:w="0" w:type="dxa"/>
            </w:tcMar>
            <w:vAlign w:val="center"/>
          </w:tcPr>
          <w:p>
            <w:pPr>
              <w:pStyle w:val="TableContents"/>
              <w:bidi w:val="0"/>
              <w:spacing w:before="0" w:after="283"/>
              <w:jc w:val="left"/>
              <w:rPr/>
            </w:pPr>
            <w:r>
              <w:rPr/>
              <w:t> </w:t>
            </w:r>
          </w:p>
        </w:tc>
      </w:tr>
      <w:tr>
        <w:trPr/>
        <w:tc>
          <w:tcPr>
            <w:tcW w:w="3515" w:type="dxa"/>
            <w:tcBorders/>
            <w:shd w:fill="CCEEFF" w:val="clear"/>
            <w:tcMar>
              <w:bottom w:w="0" w:type="dxa"/>
            </w:tcMar>
            <w:vAlign w:val="center"/>
          </w:tcPr>
          <w:p>
            <w:pPr>
              <w:pStyle w:val="TableContents"/>
              <w:bidi w:val="0"/>
              <w:spacing w:before="0" w:after="283"/>
              <w:jc w:val="left"/>
              <w:rPr/>
            </w:pPr>
            <w:r>
              <w:rPr/>
              <w:t>2025 (Remainder)</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w:t>
            </w:r>
          </w:p>
        </w:tc>
        <w:tc>
          <w:tcPr>
            <w:tcW w:w="980" w:type="dxa"/>
            <w:tcBorders/>
            <w:shd w:fill="CCEEFF" w:val="clear"/>
            <w:tcMar>
              <w:bottom w:w="0" w:type="dxa"/>
            </w:tcMar>
            <w:vAlign w:val="center"/>
          </w:tcPr>
          <w:p>
            <w:pPr>
              <w:pStyle w:val="TableContents"/>
              <w:bidi w:val="0"/>
              <w:spacing w:before="0" w:after="283"/>
              <w:jc w:val="right"/>
              <w:rPr/>
            </w:pPr>
            <w:r>
              <w:rPr/>
              <w:t>-</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3515" w:type="dxa"/>
            <w:tcBorders/>
            <w:shd w:fill="FFFFFF" w:val="clear"/>
            <w:tcMar>
              <w:bottom w:w="0" w:type="dxa"/>
            </w:tcMar>
            <w:vAlign w:val="center"/>
          </w:tcPr>
          <w:p>
            <w:pPr>
              <w:pStyle w:val="TableContents"/>
              <w:bidi w:val="0"/>
              <w:spacing w:before="0" w:after="283"/>
              <w:jc w:val="left"/>
              <w:rPr/>
            </w:pPr>
            <w:r>
              <w:rPr/>
              <w:t>2026</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980" w:type="dxa"/>
            <w:tcBorders/>
            <w:shd w:fill="FFFFFF" w:val="clear"/>
            <w:tcMar>
              <w:bottom w:w="0" w:type="dxa"/>
            </w:tcMar>
            <w:vAlign w:val="center"/>
          </w:tcPr>
          <w:p>
            <w:pPr>
              <w:pStyle w:val="TableContents"/>
              <w:bidi w:val="0"/>
              <w:spacing w:before="0" w:after="283"/>
              <w:jc w:val="right"/>
              <w:rPr/>
            </w:pPr>
            <w:r>
              <w:rPr/>
              <w:t>3,100,000</w:t>
            </w:r>
          </w:p>
        </w:tc>
        <w:tc>
          <w:tcPr>
            <w:tcW w:w="75" w:type="dxa"/>
            <w:tcBorders/>
            <w:shd w:fill="FFFFFF" w:val="clear"/>
            <w:tcMar>
              <w:bottom w:w="0" w:type="dxa"/>
            </w:tcMar>
            <w:vAlign w:val="center"/>
          </w:tcPr>
          <w:p>
            <w:pPr>
              <w:pStyle w:val="TableContents"/>
              <w:bidi w:val="0"/>
              <w:spacing w:before="0" w:after="283"/>
              <w:jc w:val="left"/>
              <w:rPr/>
            </w:pPr>
            <w:r>
              <w:rPr/>
              <w:t> </w:t>
            </w:r>
          </w:p>
        </w:tc>
      </w:tr>
      <w:tr>
        <w:trPr/>
        <w:tc>
          <w:tcPr>
            <w:tcW w:w="3515" w:type="dxa"/>
            <w:tcBorders/>
            <w:shd w:fill="CCEEFF" w:val="clear"/>
            <w:tcMar>
              <w:bottom w:w="0" w:type="dxa"/>
            </w:tcMar>
            <w:vAlign w:val="center"/>
          </w:tcPr>
          <w:p>
            <w:pPr>
              <w:pStyle w:val="TableContents"/>
              <w:bidi w:val="0"/>
              <w:spacing w:before="0" w:after="283"/>
              <w:jc w:val="left"/>
              <w:rPr/>
            </w:pPr>
            <w:r>
              <w:rPr/>
              <w:t>2027</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980" w:type="dxa"/>
            <w:tcBorders/>
            <w:shd w:fill="CCEEFF" w:val="clear"/>
            <w:tcMar>
              <w:bottom w:w="0" w:type="dxa"/>
            </w:tcMar>
            <w:vAlign w:val="center"/>
          </w:tcPr>
          <w:p>
            <w:pPr>
              <w:pStyle w:val="TableContents"/>
              <w:bidi w:val="0"/>
              <w:spacing w:before="0" w:after="283"/>
              <w:jc w:val="right"/>
              <w:rPr/>
            </w:pPr>
            <w:r>
              <w:rPr/>
              <w:t>-</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3515" w:type="dxa"/>
            <w:tcBorders/>
            <w:shd w:fill="FFFFFF" w:val="clear"/>
            <w:tcMar>
              <w:bottom w:w="0" w:type="dxa"/>
            </w:tcMar>
            <w:vAlign w:val="center"/>
          </w:tcPr>
          <w:p>
            <w:pPr>
              <w:pStyle w:val="TableContents"/>
              <w:bidi w:val="0"/>
              <w:spacing w:before="0" w:after="283"/>
              <w:jc w:val="left"/>
              <w:rPr/>
            </w:pPr>
            <w:r>
              <w:rPr/>
              <w:t>2028</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980" w:type="dxa"/>
            <w:tcBorders/>
            <w:shd w:fill="FFFFFF" w:val="clear"/>
            <w:tcMar>
              <w:bottom w:w="0" w:type="dxa"/>
            </w:tcMar>
            <w:vAlign w:val="center"/>
          </w:tcPr>
          <w:p>
            <w:pPr>
              <w:pStyle w:val="TableContents"/>
              <w:bidi w:val="0"/>
              <w:spacing w:before="0" w:after="283"/>
              <w:jc w:val="right"/>
              <w:rPr/>
            </w:pPr>
            <w:r>
              <w:rPr/>
              <w:t>-</w:t>
            </w:r>
          </w:p>
        </w:tc>
        <w:tc>
          <w:tcPr>
            <w:tcW w:w="75" w:type="dxa"/>
            <w:tcBorders/>
            <w:shd w:fill="FFFFFF" w:val="clear"/>
            <w:tcMar>
              <w:bottom w:w="0" w:type="dxa"/>
            </w:tcMar>
            <w:vAlign w:val="center"/>
          </w:tcPr>
          <w:p>
            <w:pPr>
              <w:pStyle w:val="TableContents"/>
              <w:bidi w:val="0"/>
              <w:spacing w:before="0" w:after="283"/>
              <w:jc w:val="left"/>
              <w:rPr/>
            </w:pPr>
            <w:r>
              <w:rPr/>
              <w:t> </w:t>
            </w:r>
          </w:p>
        </w:tc>
      </w:tr>
      <w:tr>
        <w:trPr/>
        <w:tc>
          <w:tcPr>
            <w:tcW w:w="3515" w:type="dxa"/>
            <w:tcBorders/>
            <w:shd w:fill="CCEEFF" w:val="clear"/>
            <w:tcMar>
              <w:bottom w:w="0" w:type="dxa"/>
            </w:tcMar>
            <w:vAlign w:val="center"/>
          </w:tcPr>
          <w:p>
            <w:pPr>
              <w:pStyle w:val="TableContents"/>
              <w:bidi w:val="0"/>
              <w:spacing w:before="0" w:after="283"/>
              <w:jc w:val="left"/>
              <w:rPr/>
            </w:pPr>
            <w:r>
              <w:rPr/>
              <w:t>2029</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980" w:type="dxa"/>
            <w:tcBorders/>
            <w:shd w:fill="CCEEFF" w:val="clear"/>
            <w:tcMar>
              <w:bottom w:w="0" w:type="dxa"/>
            </w:tcMar>
            <w:vAlign w:val="center"/>
          </w:tcPr>
          <w:p>
            <w:pPr>
              <w:pStyle w:val="TableContents"/>
              <w:bidi w:val="0"/>
              <w:spacing w:before="0" w:after="283"/>
              <w:jc w:val="right"/>
              <w:rPr/>
            </w:pPr>
            <w:r>
              <w:rPr/>
              <w:t>-</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3515" w:type="dxa"/>
            <w:tcBorders/>
            <w:shd w:fill="FFFFFF" w:val="clear"/>
            <w:tcMar>
              <w:bottom w:w="0" w:type="dxa"/>
            </w:tcMar>
            <w:vAlign w:val="center"/>
          </w:tcPr>
          <w:p>
            <w:pPr>
              <w:pStyle w:val="TableContents"/>
              <w:bidi w:val="0"/>
              <w:spacing w:before="0" w:after="283"/>
              <w:jc w:val="left"/>
              <w:rPr/>
            </w:pPr>
            <w:r>
              <w:rPr/>
              <w:t>Thereafter</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bottom w:val="single" w:sz="12" w:space="0" w:color="000000"/>
            </w:tcBorders>
            <w:shd w:fill="FFFFFF" w:val="clear"/>
            <w:vAlign w:val="center"/>
          </w:tcPr>
          <w:p>
            <w:pPr>
              <w:pStyle w:val="TableContents"/>
              <w:bidi w:val="0"/>
              <w:spacing w:before="0" w:after="283"/>
              <w:jc w:val="left"/>
              <w:rPr/>
            </w:pPr>
            <w:r>
              <w:rPr/>
              <w:t> </w:t>
            </w:r>
          </w:p>
        </w:tc>
        <w:tc>
          <w:tcPr>
            <w:tcW w:w="980" w:type="dxa"/>
            <w:tcBorders>
              <w:bottom w:val="single" w:sz="12" w:space="0" w:color="000000"/>
            </w:tcBorders>
            <w:shd w:fill="FFFFFF" w:val="clear"/>
            <w:vAlign w:val="center"/>
          </w:tcPr>
          <w:p>
            <w:pPr>
              <w:pStyle w:val="TableContents"/>
              <w:bidi w:val="0"/>
              <w:spacing w:before="0" w:after="283"/>
              <w:jc w:val="right"/>
              <w:rPr/>
            </w:pPr>
            <w:r>
              <w:rPr/>
              <w:t>4,040,109</w:t>
            </w:r>
          </w:p>
        </w:tc>
        <w:tc>
          <w:tcPr>
            <w:tcW w:w="75" w:type="dxa"/>
            <w:tcBorders/>
            <w:shd w:fill="FFFFFF" w:val="clear"/>
            <w:tcMar>
              <w:bottom w:w="0" w:type="dxa"/>
            </w:tcMar>
            <w:vAlign w:val="center"/>
          </w:tcPr>
          <w:p>
            <w:pPr>
              <w:pStyle w:val="TableContents"/>
              <w:bidi w:val="0"/>
              <w:spacing w:before="0" w:after="283"/>
              <w:jc w:val="left"/>
              <w:rPr/>
            </w:pPr>
            <w:r>
              <w:rPr/>
              <w:t> </w:t>
            </w:r>
          </w:p>
        </w:tc>
      </w:tr>
      <w:tr>
        <w:trPr/>
        <w:tc>
          <w:tcPr>
            <w:tcW w:w="351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980" w:type="dxa"/>
            <w:tcBorders/>
            <w:shd w:fill="CCEEFF" w:val="clear"/>
            <w:tcMar>
              <w:bottom w:w="0" w:type="dxa"/>
            </w:tcMar>
            <w:vAlign w:val="center"/>
          </w:tcPr>
          <w:p>
            <w:pPr>
              <w:pStyle w:val="TableContents"/>
              <w:bidi w:val="0"/>
              <w:spacing w:before="0" w:after="283"/>
              <w:jc w:val="right"/>
              <w:rPr/>
            </w:pPr>
            <w:r>
              <w:rPr/>
              <w:t> </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351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bottom w:val="single" w:sz="12" w:space="0" w:color="000000"/>
            </w:tcBorders>
            <w:shd w:fill="FFFFFF" w:val="clear"/>
            <w:vAlign w:val="center"/>
          </w:tcPr>
          <w:p>
            <w:pPr>
              <w:pStyle w:val="TableContents"/>
              <w:bidi w:val="0"/>
              <w:spacing w:before="0" w:after="283"/>
              <w:jc w:val="left"/>
              <w:rPr/>
            </w:pPr>
            <w:r>
              <w:rPr/>
              <w:t>$</w:t>
            </w:r>
          </w:p>
        </w:tc>
        <w:tc>
          <w:tcPr>
            <w:tcW w:w="980" w:type="dxa"/>
            <w:tcBorders>
              <w:bottom w:val="single" w:sz="12" w:space="0" w:color="000000"/>
            </w:tcBorders>
            <w:shd w:fill="FFFFFF" w:val="clear"/>
            <w:vAlign w:val="center"/>
          </w:tcPr>
          <w:p>
            <w:pPr>
              <w:pStyle w:val="TableContents"/>
              <w:bidi w:val="0"/>
              <w:spacing w:before="0" w:after="283"/>
              <w:jc w:val="right"/>
              <w:rPr/>
            </w:pPr>
            <w:r>
              <w:rPr/>
              <w:t>7,140,109</w:t>
            </w:r>
          </w:p>
        </w:tc>
        <w:tc>
          <w:tcPr>
            <w:tcW w:w="75" w:type="dxa"/>
            <w:tcBorders/>
            <w:shd w:fill="FFFFFF" w:val="clear"/>
            <w:tcMar>
              <w:bottom w:w="0" w:type="dxa"/>
            </w:tcM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tbl>
      <w:tblPr>
        <w:tblW w:w="2710" w:type="dxa"/>
        <w:jc w:val="left"/>
        <w:tblInd w:w="0" w:type="dxa"/>
        <w:tblLayout w:type="fixed"/>
        <w:tblCellMar>
          <w:top w:w="0" w:type="dxa"/>
          <w:left w:w="0" w:type="dxa"/>
          <w:bottom w:w="0" w:type="dxa"/>
          <w:right w:w="0" w:type="dxa"/>
        </w:tblCellMar>
      </w:tblPr>
      <w:tblGrid>
        <w:gridCol w:w="185"/>
        <w:gridCol w:w="2525"/>
      </w:tblGrid>
      <w:tr>
        <w:trPr/>
        <w:tc>
          <w:tcPr>
            <w:tcW w:w="18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6.</w:t>
            </w:r>
          </w:p>
        </w:tc>
        <w:tc>
          <w:tcPr>
            <w:tcW w:w="2525" w:type="dxa"/>
            <w:tcBorders/>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Related-Party Lines of Credit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has entered into verbal line of credit agreements with related parties. These lines of credit have maximum balances of $500,000 to $1,400,000 and bear interest on their outstanding individual balances at an interest rate of 13%. Principal and interest are not due until the maturity date which range from May to July 2027.</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September 30, 2025, the future maturities of related-party lines of credit are as follows:</w:t>
      </w:r>
    </w:p>
    <w:p>
      <w:pPr>
        <w:pStyle w:val="TextBody"/>
        <w:bidi w:val="0"/>
        <w:spacing w:before="0" w:after="0"/>
        <w:ind w:left="0" w:right="0" w:hanging="0"/>
        <w:jc w:val="both"/>
        <w:rPr>
          <w:caps w:val="false"/>
          <w:smallCaps w:val="false"/>
        </w:rPr>
      </w:pPr>
      <w:r>
        <w:rPr>
          <w:caps w:val="false"/>
          <w:smallCaps w:val="false"/>
        </w:rPr>
        <w:t> </w:t>
      </w:r>
    </w:p>
    <w:tbl>
      <w:tblPr>
        <w:tblW w:w="4770" w:type="dxa"/>
        <w:jc w:val="left"/>
        <w:tblInd w:w="0" w:type="dxa"/>
        <w:tblLayout w:type="fixed"/>
        <w:tblCellMar>
          <w:top w:w="0" w:type="dxa"/>
          <w:left w:w="0" w:type="dxa"/>
          <w:bottom w:w="28" w:type="dxa"/>
          <w:right w:w="0" w:type="dxa"/>
        </w:tblCellMar>
      </w:tblPr>
      <w:tblGrid>
        <w:gridCol w:w="3515"/>
        <w:gridCol w:w="60"/>
        <w:gridCol w:w="140"/>
        <w:gridCol w:w="980"/>
        <w:gridCol w:w="75"/>
      </w:tblGrid>
      <w:tr>
        <w:trPr/>
        <w:tc>
          <w:tcPr>
            <w:tcW w:w="3515" w:type="dxa"/>
            <w:tcBorders>
              <w:bottom w:val="single" w:sz="12" w:space="0" w:color="000000"/>
            </w:tcBorders>
            <w:vAlign w:val="center"/>
          </w:tcPr>
          <w:p>
            <w:pPr>
              <w:pStyle w:val="TableContents"/>
              <w:bidi w:val="0"/>
              <w:spacing w:before="0" w:after="283"/>
              <w:jc w:val="left"/>
              <w:rPr>
                <w:b/>
              </w:rPr>
            </w:pPr>
            <w:r>
              <w:rPr>
                <w:b/>
              </w:rPr>
              <w:t>For the year ending December 31:</w:t>
            </w:r>
          </w:p>
        </w:tc>
        <w:tc>
          <w:tcPr>
            <w:tcW w:w="60" w:type="dxa"/>
            <w:tcBorders/>
            <w:tcMar>
              <w:bottom w:w="0" w:type="dxa"/>
            </w:tcMar>
            <w:vAlign w:val="center"/>
          </w:tcPr>
          <w:p>
            <w:pPr>
              <w:pStyle w:val="TableContents"/>
              <w:bidi w:val="0"/>
              <w:spacing w:before="0" w:after="283"/>
              <w:jc w:val="left"/>
              <w:rPr/>
            </w:pPr>
            <w:r>
              <w:rPr/>
              <w:t> </w:t>
            </w:r>
          </w:p>
        </w:tc>
        <w:tc>
          <w:tcPr>
            <w:tcW w:w="1120" w:type="dxa"/>
            <w:gridSpan w:val="2"/>
            <w:tcBorders/>
            <w:tcMar>
              <w:bottom w:w="0" w:type="dxa"/>
            </w:tcMar>
            <w:vAlign w:val="center"/>
          </w:tcPr>
          <w:p>
            <w:pPr>
              <w:pStyle w:val="TableContents"/>
              <w:bidi w:val="0"/>
              <w:spacing w:before="0" w:after="283"/>
              <w:jc w:val="center"/>
              <w:rPr/>
            </w:pPr>
            <w:r>
              <w:rPr/>
              <w:t> </w:t>
            </w:r>
          </w:p>
        </w:tc>
        <w:tc>
          <w:tcPr>
            <w:tcW w:w="75" w:type="dxa"/>
            <w:tcBorders/>
            <w:tcMar>
              <w:bottom w:w="0" w:type="dxa"/>
            </w:tcMar>
            <w:vAlign w:val="center"/>
          </w:tcPr>
          <w:p>
            <w:pPr>
              <w:pStyle w:val="TableContents"/>
              <w:bidi w:val="0"/>
              <w:spacing w:before="0" w:after="283"/>
              <w:jc w:val="left"/>
              <w:rPr/>
            </w:pPr>
            <w:r>
              <w:rPr/>
              <w:t> </w:t>
            </w:r>
          </w:p>
        </w:tc>
      </w:tr>
      <w:tr>
        <w:trPr/>
        <w:tc>
          <w:tcPr>
            <w:tcW w:w="3515" w:type="dxa"/>
            <w:tcBorders/>
            <w:shd w:fill="CCEEFF" w:val="clear"/>
            <w:tcMar>
              <w:bottom w:w="0" w:type="dxa"/>
            </w:tcMar>
            <w:vAlign w:val="center"/>
          </w:tcPr>
          <w:p>
            <w:pPr>
              <w:pStyle w:val="TableContents"/>
              <w:bidi w:val="0"/>
              <w:spacing w:before="0" w:after="283"/>
              <w:jc w:val="left"/>
              <w:rPr/>
            </w:pPr>
            <w:r>
              <w:rPr/>
              <w:t>2025 (Remainder)</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w:t>
            </w:r>
          </w:p>
        </w:tc>
        <w:tc>
          <w:tcPr>
            <w:tcW w:w="980" w:type="dxa"/>
            <w:tcBorders/>
            <w:shd w:fill="CCEEFF" w:val="clear"/>
            <w:tcMar>
              <w:bottom w:w="0" w:type="dxa"/>
            </w:tcMar>
            <w:vAlign w:val="center"/>
          </w:tcPr>
          <w:p>
            <w:pPr>
              <w:pStyle w:val="TableContents"/>
              <w:bidi w:val="0"/>
              <w:spacing w:before="0" w:after="283"/>
              <w:jc w:val="right"/>
              <w:rPr/>
            </w:pPr>
            <w:r>
              <w:rPr/>
              <w:t>-</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3515" w:type="dxa"/>
            <w:tcBorders/>
            <w:shd w:fill="FFFFFF" w:val="clear"/>
            <w:tcMar>
              <w:bottom w:w="0" w:type="dxa"/>
            </w:tcMar>
            <w:vAlign w:val="center"/>
          </w:tcPr>
          <w:p>
            <w:pPr>
              <w:pStyle w:val="TableContents"/>
              <w:bidi w:val="0"/>
              <w:spacing w:before="0" w:after="283"/>
              <w:jc w:val="left"/>
              <w:rPr/>
            </w:pPr>
            <w:r>
              <w:rPr/>
              <w:t>2026</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980" w:type="dxa"/>
            <w:tcBorders/>
            <w:shd w:fill="FFFFFF" w:val="clear"/>
            <w:tcMar>
              <w:bottom w:w="0" w:type="dxa"/>
            </w:tcMar>
            <w:vAlign w:val="center"/>
          </w:tcPr>
          <w:p>
            <w:pPr>
              <w:pStyle w:val="TableContents"/>
              <w:bidi w:val="0"/>
              <w:spacing w:before="0" w:after="283"/>
              <w:jc w:val="right"/>
              <w:rPr/>
            </w:pPr>
            <w:r>
              <w:rPr/>
              <w:t>-</w:t>
            </w:r>
          </w:p>
        </w:tc>
        <w:tc>
          <w:tcPr>
            <w:tcW w:w="75" w:type="dxa"/>
            <w:tcBorders/>
            <w:shd w:fill="FFFFFF" w:val="clear"/>
            <w:tcMar>
              <w:bottom w:w="0" w:type="dxa"/>
            </w:tcMar>
            <w:vAlign w:val="center"/>
          </w:tcPr>
          <w:p>
            <w:pPr>
              <w:pStyle w:val="TableContents"/>
              <w:bidi w:val="0"/>
              <w:spacing w:before="0" w:after="283"/>
              <w:jc w:val="left"/>
              <w:rPr/>
            </w:pPr>
            <w:r>
              <w:rPr/>
              <w:t> </w:t>
            </w:r>
          </w:p>
        </w:tc>
      </w:tr>
      <w:tr>
        <w:trPr/>
        <w:tc>
          <w:tcPr>
            <w:tcW w:w="3515" w:type="dxa"/>
            <w:tcBorders/>
            <w:shd w:fill="CCEEFF" w:val="clear"/>
            <w:tcMar>
              <w:bottom w:w="0" w:type="dxa"/>
            </w:tcMar>
            <w:vAlign w:val="center"/>
          </w:tcPr>
          <w:p>
            <w:pPr>
              <w:pStyle w:val="TableContents"/>
              <w:bidi w:val="0"/>
              <w:spacing w:before="0" w:after="283"/>
              <w:jc w:val="left"/>
              <w:rPr/>
            </w:pPr>
            <w:r>
              <w:rPr/>
              <w:t>2027</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bottom w:val="single" w:sz="12" w:space="0" w:color="000000"/>
            </w:tcBorders>
            <w:shd w:fill="CCEEFF" w:val="clear"/>
            <w:vAlign w:val="center"/>
          </w:tcPr>
          <w:p>
            <w:pPr>
              <w:pStyle w:val="TableContents"/>
              <w:bidi w:val="0"/>
              <w:spacing w:before="0" w:after="283"/>
              <w:jc w:val="left"/>
              <w:rPr/>
            </w:pPr>
            <w:r>
              <w:rPr/>
              <w:t> </w:t>
            </w:r>
          </w:p>
        </w:tc>
        <w:tc>
          <w:tcPr>
            <w:tcW w:w="980" w:type="dxa"/>
            <w:tcBorders>
              <w:bottom w:val="single" w:sz="12" w:space="0" w:color="000000"/>
            </w:tcBorders>
            <w:shd w:fill="CCEEFF" w:val="clear"/>
            <w:vAlign w:val="center"/>
          </w:tcPr>
          <w:p>
            <w:pPr>
              <w:pStyle w:val="TableContents"/>
              <w:bidi w:val="0"/>
              <w:spacing w:before="0" w:after="283"/>
              <w:jc w:val="right"/>
              <w:rPr/>
            </w:pPr>
            <w:r>
              <w:rPr/>
              <w:t>2,675,000</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351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980" w:type="dxa"/>
            <w:tcBorders/>
            <w:shd w:fill="FFFFFF" w:val="clear"/>
            <w:tcMar>
              <w:bottom w:w="0" w:type="dxa"/>
            </w:tcMar>
            <w:vAlign w:val="center"/>
          </w:tcPr>
          <w:p>
            <w:pPr>
              <w:pStyle w:val="TableContents"/>
              <w:bidi w:val="0"/>
              <w:spacing w:before="0" w:after="283"/>
              <w:jc w:val="right"/>
              <w:rPr/>
            </w:pPr>
            <w:r>
              <w:rPr/>
              <w:t> </w:t>
            </w:r>
          </w:p>
        </w:tc>
        <w:tc>
          <w:tcPr>
            <w:tcW w:w="75" w:type="dxa"/>
            <w:tcBorders/>
            <w:shd w:fill="FFFFFF" w:val="clear"/>
            <w:tcMar>
              <w:bottom w:w="0" w:type="dxa"/>
            </w:tcMar>
            <w:vAlign w:val="center"/>
          </w:tcPr>
          <w:p>
            <w:pPr>
              <w:pStyle w:val="TableContents"/>
              <w:bidi w:val="0"/>
              <w:spacing w:before="0" w:after="283"/>
              <w:jc w:val="left"/>
              <w:rPr/>
            </w:pPr>
            <w:r>
              <w:rPr/>
              <w:t> </w:t>
            </w:r>
          </w:p>
        </w:tc>
      </w:tr>
      <w:tr>
        <w:trPr/>
        <w:tc>
          <w:tcPr>
            <w:tcW w:w="351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bottom w:val="single" w:sz="12" w:space="0" w:color="000000"/>
            </w:tcBorders>
            <w:shd w:fill="CCEEFF" w:val="clear"/>
            <w:vAlign w:val="center"/>
          </w:tcPr>
          <w:p>
            <w:pPr>
              <w:pStyle w:val="TableContents"/>
              <w:bidi w:val="0"/>
              <w:spacing w:before="0" w:after="283"/>
              <w:jc w:val="left"/>
              <w:rPr/>
            </w:pPr>
            <w:r>
              <w:rPr/>
              <w:t>$</w:t>
            </w:r>
          </w:p>
        </w:tc>
        <w:tc>
          <w:tcPr>
            <w:tcW w:w="980" w:type="dxa"/>
            <w:tcBorders>
              <w:bottom w:val="single" w:sz="12" w:space="0" w:color="000000"/>
            </w:tcBorders>
            <w:shd w:fill="CCEEFF" w:val="clear"/>
            <w:vAlign w:val="center"/>
          </w:tcPr>
          <w:p>
            <w:pPr>
              <w:pStyle w:val="TableContents"/>
              <w:bidi w:val="0"/>
              <w:spacing w:before="0" w:after="283"/>
              <w:jc w:val="right"/>
              <w:rPr/>
            </w:pPr>
            <w:r>
              <w:rPr/>
              <w:t>2,675,000</w:t>
            </w:r>
          </w:p>
        </w:tc>
        <w:tc>
          <w:tcPr>
            <w:tcW w:w="75" w:type="dxa"/>
            <w:tcBorders/>
            <w:shd w:fill="CCEEFF" w:val="clear"/>
            <w:tcMar>
              <w:bottom w:w="0" w:type="dxa"/>
            </w:tcM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tbl>
      <w:tblPr>
        <w:tblW w:w="2290" w:type="dxa"/>
        <w:jc w:val="left"/>
        <w:tblInd w:w="0" w:type="dxa"/>
        <w:tblLayout w:type="fixed"/>
        <w:tblCellMar>
          <w:top w:w="0" w:type="dxa"/>
          <w:left w:w="0" w:type="dxa"/>
          <w:bottom w:w="0" w:type="dxa"/>
          <w:right w:w="0" w:type="dxa"/>
        </w:tblCellMar>
      </w:tblPr>
      <w:tblGrid>
        <w:gridCol w:w="185"/>
        <w:gridCol w:w="2105"/>
      </w:tblGrid>
      <w:tr>
        <w:trPr/>
        <w:tc>
          <w:tcPr>
            <w:tcW w:w="18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7.</w:t>
            </w:r>
          </w:p>
        </w:tc>
        <w:tc>
          <w:tcPr>
            <w:tcW w:w="2105" w:type="dxa"/>
            <w:tcBorders/>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Merchant Cash Advance</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entered into a merchant cash advance lender agreement on April 22, 2025. Under the terms of the agreement, the Company received $1,000,000 in cash, exclusive of a transaction fee of 3.00%, or $25,000. The Company repaid the advance as of September 30, 2025, plus an additional $320,000, which is included as interest expense on the statements of operations and member’s deficit.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entered into a merchant cash advance lender agreement on September 26, 2025. Under the terms of the agreement, the Company received $750,000 in cash, exclusive of a transaction fee of 3.00%, or $22,500. The amount to be repaid is as follows under the terms of the agreement:</w:t>
      </w:r>
    </w:p>
    <w:p>
      <w:pPr>
        <w:pStyle w:val="TextBody"/>
        <w:bidi w:val="0"/>
        <w:spacing w:before="0" w:after="0"/>
        <w:ind w:left="0" w:right="0"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61"/>
        <w:gridCol w:w="722"/>
        <w:gridCol w:w="9322"/>
      </w:tblGrid>
      <w:tr>
        <w:trPr/>
        <w:tc>
          <w:tcPr>
            <w:tcW w:w="161" w:type="dxa"/>
            <w:tcBorders/>
            <w:vAlign w:val="center"/>
          </w:tcPr>
          <w:p>
            <w:pPr>
              <w:pStyle w:val="TableContents"/>
              <w:bidi w:val="0"/>
              <w:spacing w:before="0" w:after="283"/>
              <w:jc w:val="left"/>
              <w:rPr>
                <w:sz w:val="4"/>
                <w:szCs w:val="4"/>
              </w:rPr>
            </w:pPr>
            <w:r>
              <w:rPr>
                <w:sz w:val="4"/>
                <w:szCs w:val="4"/>
              </w:rPr>
            </w:r>
          </w:p>
        </w:tc>
        <w:tc>
          <w:tcPr>
            <w:tcW w:w="722" w:type="dxa"/>
            <w:tcBorders/>
            <w:vAlign w:val="center"/>
          </w:tcPr>
          <w:p>
            <w:pPr>
              <w:pStyle w:val="TableContents"/>
              <w:bidi w:val="0"/>
              <w:spacing w:before="0" w:after="283"/>
              <w:jc w:val="left"/>
              <w:rPr/>
            </w:pPr>
            <w:r>
              <w:rPr/>
              <w:t>●</w:t>
            </w:r>
          </w:p>
        </w:tc>
        <w:tc>
          <w:tcPr>
            <w:tcW w:w="9322"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Within 30 days, $862,500.</w:t>
            </w:r>
          </w:p>
        </w:tc>
      </w:tr>
    </w:tbl>
    <w:p>
      <w:pPr>
        <w:pStyle w:val="TextBody"/>
        <w:bidi w:val="0"/>
        <w:spacing w:before="0" w:after="283"/>
        <w:jc w:val="left"/>
        <w:rPr/>
      </w:pPr>
      <w:r>
        <w:rPr/>
        <w:t> </w:t>
      </w:r>
    </w:p>
    <w:tbl>
      <w:tblPr>
        <w:tblW w:w="5000" w:type="pct"/>
        <w:jc w:val="left"/>
        <w:tblInd w:w="0" w:type="dxa"/>
        <w:tblLayout w:type="fixed"/>
        <w:tblCellMar>
          <w:top w:w="0" w:type="dxa"/>
          <w:left w:w="0" w:type="dxa"/>
          <w:bottom w:w="0" w:type="dxa"/>
          <w:right w:w="0" w:type="dxa"/>
        </w:tblCellMar>
      </w:tblPr>
      <w:tblGrid>
        <w:gridCol w:w="161"/>
        <w:gridCol w:w="722"/>
        <w:gridCol w:w="9322"/>
      </w:tblGrid>
      <w:tr>
        <w:trPr/>
        <w:tc>
          <w:tcPr>
            <w:tcW w:w="161" w:type="dxa"/>
            <w:tcBorders/>
            <w:vAlign w:val="center"/>
          </w:tcPr>
          <w:p>
            <w:pPr>
              <w:pStyle w:val="TableContents"/>
              <w:bidi w:val="0"/>
              <w:spacing w:before="0" w:after="283"/>
              <w:jc w:val="left"/>
              <w:rPr>
                <w:sz w:val="4"/>
                <w:szCs w:val="4"/>
              </w:rPr>
            </w:pPr>
            <w:r>
              <w:rPr>
                <w:sz w:val="4"/>
                <w:szCs w:val="4"/>
              </w:rPr>
            </w:r>
          </w:p>
        </w:tc>
        <w:tc>
          <w:tcPr>
            <w:tcW w:w="722" w:type="dxa"/>
            <w:tcBorders/>
            <w:vAlign w:val="center"/>
          </w:tcPr>
          <w:p>
            <w:pPr>
              <w:pStyle w:val="TableContents"/>
              <w:bidi w:val="0"/>
              <w:spacing w:before="0" w:after="283"/>
              <w:jc w:val="left"/>
              <w:rPr/>
            </w:pPr>
            <w:r>
              <w:rPr/>
              <w:t>●</w:t>
            </w:r>
          </w:p>
        </w:tc>
        <w:tc>
          <w:tcPr>
            <w:tcW w:w="9322"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Within 60 days, $892,500.</w:t>
            </w:r>
          </w:p>
        </w:tc>
      </w:tr>
    </w:tbl>
    <w:p>
      <w:pPr>
        <w:pStyle w:val="TextBody"/>
        <w:bidi w:val="0"/>
        <w:spacing w:before="0" w:after="283"/>
        <w:jc w:val="left"/>
        <w:rPr/>
      </w:pPr>
      <w:r>
        <w:rPr/>
        <w:t> </w:t>
      </w:r>
    </w:p>
    <w:tbl>
      <w:tblPr>
        <w:tblW w:w="5000" w:type="pct"/>
        <w:jc w:val="left"/>
        <w:tblInd w:w="0" w:type="dxa"/>
        <w:tblLayout w:type="fixed"/>
        <w:tblCellMar>
          <w:top w:w="0" w:type="dxa"/>
          <w:left w:w="0" w:type="dxa"/>
          <w:bottom w:w="0" w:type="dxa"/>
          <w:right w:w="0" w:type="dxa"/>
        </w:tblCellMar>
      </w:tblPr>
      <w:tblGrid>
        <w:gridCol w:w="161"/>
        <w:gridCol w:w="722"/>
        <w:gridCol w:w="9322"/>
      </w:tblGrid>
      <w:tr>
        <w:trPr/>
        <w:tc>
          <w:tcPr>
            <w:tcW w:w="161" w:type="dxa"/>
            <w:tcBorders/>
            <w:vAlign w:val="center"/>
          </w:tcPr>
          <w:p>
            <w:pPr>
              <w:pStyle w:val="TableContents"/>
              <w:bidi w:val="0"/>
              <w:spacing w:before="0" w:after="283"/>
              <w:jc w:val="left"/>
              <w:rPr>
                <w:sz w:val="4"/>
                <w:szCs w:val="4"/>
              </w:rPr>
            </w:pPr>
            <w:r>
              <w:rPr>
                <w:sz w:val="4"/>
                <w:szCs w:val="4"/>
              </w:rPr>
            </w:r>
          </w:p>
        </w:tc>
        <w:tc>
          <w:tcPr>
            <w:tcW w:w="722" w:type="dxa"/>
            <w:tcBorders/>
            <w:vAlign w:val="center"/>
          </w:tcPr>
          <w:p>
            <w:pPr>
              <w:pStyle w:val="TableContents"/>
              <w:bidi w:val="0"/>
              <w:spacing w:before="0" w:after="283"/>
              <w:jc w:val="left"/>
              <w:rPr/>
            </w:pPr>
            <w:r>
              <w:rPr/>
              <w:t>●</w:t>
            </w:r>
          </w:p>
        </w:tc>
        <w:tc>
          <w:tcPr>
            <w:tcW w:w="9322"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Within 90 days, $922,500.</w:t>
            </w:r>
          </w:p>
        </w:tc>
      </w:tr>
    </w:tbl>
    <w:p>
      <w:pPr>
        <w:pStyle w:val="TextBody"/>
        <w:bidi w:val="0"/>
        <w:spacing w:before="0" w:after="283"/>
        <w:jc w:val="left"/>
        <w:rPr/>
      </w:pPr>
      <w:r>
        <w:rPr/>
        <w:t> </w:t>
      </w:r>
    </w:p>
    <w:tbl>
      <w:tblPr>
        <w:tblW w:w="5000" w:type="pct"/>
        <w:jc w:val="left"/>
        <w:tblInd w:w="0" w:type="dxa"/>
        <w:tblLayout w:type="fixed"/>
        <w:tblCellMar>
          <w:top w:w="0" w:type="dxa"/>
          <w:left w:w="0" w:type="dxa"/>
          <w:bottom w:w="0" w:type="dxa"/>
          <w:right w:w="0" w:type="dxa"/>
        </w:tblCellMar>
      </w:tblPr>
      <w:tblGrid>
        <w:gridCol w:w="154"/>
        <w:gridCol w:w="692"/>
        <w:gridCol w:w="9359"/>
      </w:tblGrid>
      <w:tr>
        <w:trPr/>
        <w:tc>
          <w:tcPr>
            <w:tcW w:w="154" w:type="dxa"/>
            <w:tcBorders/>
            <w:vAlign w:val="center"/>
          </w:tcPr>
          <w:p>
            <w:pPr>
              <w:pStyle w:val="TableContents"/>
              <w:bidi w:val="0"/>
              <w:spacing w:before="0" w:after="283"/>
              <w:jc w:val="left"/>
              <w:rPr>
                <w:sz w:val="4"/>
                <w:szCs w:val="4"/>
              </w:rPr>
            </w:pPr>
            <w:r>
              <w:rPr>
                <w:sz w:val="4"/>
                <w:szCs w:val="4"/>
              </w:rPr>
            </w:r>
          </w:p>
        </w:tc>
        <w:tc>
          <w:tcPr>
            <w:tcW w:w="692" w:type="dxa"/>
            <w:tcBorders/>
            <w:vAlign w:val="center"/>
          </w:tcPr>
          <w:p>
            <w:pPr>
              <w:pStyle w:val="TableContents"/>
              <w:bidi w:val="0"/>
              <w:spacing w:before="0" w:after="283"/>
              <w:jc w:val="left"/>
              <w:rPr/>
            </w:pPr>
            <w:r>
              <w:rPr/>
              <w:t>●</w:t>
            </w:r>
          </w:p>
        </w:tc>
        <w:tc>
          <w:tcPr>
            <w:tcW w:w="9359"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Within 120 days, $952,500.</w:t>
            </w:r>
          </w:p>
        </w:tc>
      </w:tr>
    </w:tbl>
    <w:p>
      <w:pPr>
        <w:pStyle w:val="TextBody"/>
        <w:bidi w:val="0"/>
        <w:spacing w:before="0" w:after="283"/>
        <w:jc w:val="left"/>
        <w:rPr/>
      </w:pPr>
      <w:r>
        <w:rPr/>
        <w:t> </w:t>
      </w:r>
    </w:p>
    <w:tbl>
      <w:tblPr>
        <w:tblW w:w="5000" w:type="pct"/>
        <w:jc w:val="left"/>
        <w:tblInd w:w="0" w:type="dxa"/>
        <w:tblLayout w:type="fixed"/>
        <w:tblCellMar>
          <w:top w:w="0" w:type="dxa"/>
          <w:left w:w="0" w:type="dxa"/>
          <w:bottom w:w="0" w:type="dxa"/>
          <w:right w:w="0" w:type="dxa"/>
        </w:tblCellMar>
      </w:tblPr>
      <w:tblGrid>
        <w:gridCol w:w="155"/>
        <w:gridCol w:w="696"/>
        <w:gridCol w:w="9354"/>
      </w:tblGrid>
      <w:tr>
        <w:trPr/>
        <w:tc>
          <w:tcPr>
            <w:tcW w:w="155" w:type="dxa"/>
            <w:tcBorders/>
            <w:vAlign w:val="center"/>
          </w:tcPr>
          <w:p>
            <w:pPr>
              <w:pStyle w:val="TableContents"/>
              <w:bidi w:val="0"/>
              <w:spacing w:before="0" w:after="283"/>
              <w:jc w:val="left"/>
              <w:rPr>
                <w:sz w:val="4"/>
                <w:szCs w:val="4"/>
              </w:rPr>
            </w:pPr>
            <w:r>
              <w:rPr>
                <w:sz w:val="4"/>
                <w:szCs w:val="4"/>
              </w:rPr>
            </w:r>
          </w:p>
        </w:tc>
        <w:tc>
          <w:tcPr>
            <w:tcW w:w="696" w:type="dxa"/>
            <w:tcBorders/>
            <w:vAlign w:val="center"/>
          </w:tcPr>
          <w:p>
            <w:pPr>
              <w:pStyle w:val="TableContents"/>
              <w:bidi w:val="0"/>
              <w:spacing w:before="0" w:after="283"/>
              <w:jc w:val="left"/>
              <w:rPr/>
            </w:pPr>
            <w:r>
              <w:rPr/>
              <w:t>●</w:t>
            </w:r>
          </w:p>
        </w:tc>
        <w:tc>
          <w:tcPr>
            <w:tcW w:w="9354"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After 120 days, $1,012,500.</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term of the agreement depends upon the Company’s cash receipts, and is calculated as 11.00% of receipts, as defined in the terms of the agreement. The estimated weekly payment is $21,094. Management estimates that the amount will not be repaid within 120 days and as of September 30, 2025 have accrued the additional $262,500 above the amount borrowed, which is included as part of accrued expenses on the balance sheet. The $262,500 is recorded as a debt discount against the merchant cash advance and is being amortized over the term of the advance to interest expense.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sz w:val="20"/>
          <w:bdr w:val="single" w:sz="12" w:space="1" w:color="000000"/>
        </w:rPr>
      </w:pPr>
      <w:r>
        <w:rPr>
          <w:sz w:val="20"/>
          <w:bdr w:val="single" w:sz="12" w:space="1" w:color="000000"/>
        </w:rPr>
        <w:t>F-172</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tbl>
      <w:tblPr>
        <w:tblW w:w="1675" w:type="dxa"/>
        <w:jc w:val="left"/>
        <w:tblInd w:w="0" w:type="dxa"/>
        <w:tblLayout w:type="fixed"/>
        <w:tblCellMar>
          <w:top w:w="0" w:type="dxa"/>
          <w:left w:w="0" w:type="dxa"/>
          <w:bottom w:w="0" w:type="dxa"/>
          <w:right w:w="0" w:type="dxa"/>
        </w:tblCellMar>
      </w:tblPr>
      <w:tblGrid>
        <w:gridCol w:w="185"/>
        <w:gridCol w:w="1490"/>
      </w:tblGrid>
      <w:tr>
        <w:trPr/>
        <w:tc>
          <w:tcPr>
            <w:tcW w:w="18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8.</w:t>
            </w:r>
          </w:p>
        </w:tc>
        <w:tc>
          <w:tcPr>
            <w:tcW w:w="1490" w:type="dxa"/>
            <w:tcBorders/>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Member’s Deficit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is wholly owned by Ambia Holdings, Inc. and 100% of the membership interests outstanding are held by Ambia Holdings, Inc. A members liability is limited, and all such debts, obligations and liabilities of the Company are solely the debts and obligations of the Company.</w:t>
      </w:r>
    </w:p>
    <w:p>
      <w:pPr>
        <w:pStyle w:val="TextBody"/>
        <w:bidi w:val="0"/>
        <w:spacing w:before="0" w:after="0"/>
        <w:ind w:left="0" w:right="0"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28"/>
        <w:gridCol w:w="575"/>
        <w:gridCol w:w="9502"/>
      </w:tblGrid>
      <w:tr>
        <w:trPr/>
        <w:tc>
          <w:tcPr>
            <w:tcW w:w="128" w:type="dxa"/>
            <w:tcBorders/>
            <w:vAlign w:val="center"/>
          </w:tcPr>
          <w:p>
            <w:pPr>
              <w:pStyle w:val="TableContents"/>
              <w:bidi w:val="0"/>
              <w:spacing w:before="0" w:after="283"/>
              <w:jc w:val="left"/>
              <w:rPr>
                <w:sz w:val="4"/>
                <w:szCs w:val="4"/>
              </w:rPr>
            </w:pPr>
            <w:r>
              <w:rPr>
                <w:sz w:val="4"/>
                <w:szCs w:val="4"/>
              </w:rPr>
            </w:r>
          </w:p>
        </w:tc>
        <w:tc>
          <w:tcPr>
            <w:tcW w:w="57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9.</w:t>
            </w:r>
          </w:p>
        </w:tc>
        <w:tc>
          <w:tcPr>
            <w:tcW w:w="9502" w:type="dxa"/>
            <w:tcBorders/>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Commitments and Contingencies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Litigation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is involved in legal proceedings from time to time arising in the normal course of business.  Management, after consultation with legal counsel, believes that the outcome of these proceedings will not have a material impact on the Company’s financial position, results of operations, or liquidity.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Commitment to Former Employee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November 7, 2024, the Company entered into a separation and release of claims agreement with an employee wherein the employee was paid a severance payment of approximately $42,000 in exchange for the employee’s release of claims and agreement to restrictive covenants. Contemporaneously with this agreement, the Company entered a loan agreement with this employee and committed to lend to this former employee up to $600,000 with draws occurring at a pre-defined rate during 2025 and 2026. Interest on the draw amounts earn 3% of the outstanding balance. Each draw will be fully forgiven 5 months after the disbursement if the former employee abides by the restrictive covenants, which are primarily non-compete and non-solicitation agreements. This former employee holds a less than 1% interest in the Company.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the nine months ended September 30, 2025, the Company forgave $200,000 in draws. As of September 30, 2025 and December 31, 2024, the outstanding balance under this loan agreement was $200,000 and $400,000, respectively, and is included within accrued expenses on the balance sheet. If not forgiven, the entire balance under this agreement is due on January 15, 2028.</w:t>
      </w:r>
    </w:p>
    <w:p>
      <w:pPr>
        <w:pStyle w:val="TextBody"/>
        <w:bidi w:val="0"/>
        <w:spacing w:before="0" w:after="0"/>
        <w:ind w:left="0" w:right="0" w:hanging="0"/>
        <w:jc w:val="both"/>
        <w:rPr>
          <w:caps w:val="false"/>
          <w:smallCaps w:val="false"/>
        </w:rPr>
      </w:pPr>
      <w:r>
        <w:rPr>
          <w:caps w:val="false"/>
          <w:smallCaps w:val="false"/>
        </w:rPr>
        <w:t> </w:t>
      </w:r>
    </w:p>
    <w:tbl>
      <w:tblPr>
        <w:tblW w:w="895" w:type="dxa"/>
        <w:jc w:val="left"/>
        <w:tblInd w:w="0" w:type="dxa"/>
        <w:tblLayout w:type="fixed"/>
        <w:tblCellMar>
          <w:top w:w="0" w:type="dxa"/>
          <w:left w:w="0" w:type="dxa"/>
          <w:bottom w:w="0" w:type="dxa"/>
          <w:right w:w="0" w:type="dxa"/>
        </w:tblCellMar>
      </w:tblPr>
      <w:tblGrid>
        <w:gridCol w:w="290"/>
        <w:gridCol w:w="605"/>
      </w:tblGrid>
      <w:tr>
        <w:trPr/>
        <w:tc>
          <w:tcPr>
            <w:tcW w:w="29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10.</w:t>
            </w:r>
          </w:p>
        </w:tc>
        <w:tc>
          <w:tcPr>
            <w:tcW w:w="605" w:type="dxa"/>
            <w:tcBorders/>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Leases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Finance lease assets are recorded net of accumulated amortization of $632,934 and $187,249, respectively, as of September 30, 2025 and December 31, 2024.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components of lease expense were as follows for the nine months ended September 30, 2025 and 2024:</w:t>
      </w:r>
    </w:p>
    <w:p>
      <w:pPr>
        <w:pStyle w:val="TextBody"/>
        <w:bidi w:val="0"/>
        <w:spacing w:before="0" w:after="0"/>
        <w:ind w:left="0" w:right="0" w:hanging="0"/>
        <w:jc w:val="both"/>
        <w:rPr>
          <w:caps w:val="false"/>
          <w:smallCaps w:val="false"/>
        </w:rPr>
      </w:pPr>
      <w:r>
        <w:rPr>
          <w:caps w:val="false"/>
          <w:smallCaps w:val="false"/>
        </w:rPr>
        <w:t> </w:t>
      </w:r>
    </w:p>
    <w:tbl>
      <w:tblPr>
        <w:tblW w:w="7035" w:type="dxa"/>
        <w:jc w:val="left"/>
        <w:tblInd w:w="0" w:type="dxa"/>
        <w:tblLayout w:type="fixed"/>
        <w:tblCellMar>
          <w:top w:w="0" w:type="dxa"/>
          <w:left w:w="0" w:type="dxa"/>
          <w:bottom w:w="28" w:type="dxa"/>
          <w:right w:w="0" w:type="dxa"/>
        </w:tblCellMar>
      </w:tblPr>
      <w:tblGrid>
        <w:gridCol w:w="1790"/>
        <w:gridCol w:w="60"/>
        <w:gridCol w:w="2870"/>
        <w:gridCol w:w="60"/>
        <w:gridCol w:w="140"/>
        <w:gridCol w:w="980"/>
        <w:gridCol w:w="60"/>
        <w:gridCol w:w="60"/>
        <w:gridCol w:w="140"/>
        <w:gridCol w:w="800"/>
        <w:gridCol w:w="75"/>
      </w:tblGrid>
      <w:tr>
        <w:trPr/>
        <w:tc>
          <w:tcPr>
            <w:tcW w:w="1790" w:type="dxa"/>
            <w:tcBorders>
              <w:bottom w:val="single" w:sz="12" w:space="0" w:color="000000"/>
            </w:tcBorders>
            <w:vAlign w:val="center"/>
          </w:tcPr>
          <w:p>
            <w:pPr>
              <w:pStyle w:val="TableContents"/>
              <w:bidi w:val="0"/>
              <w:spacing w:before="0" w:after="283"/>
              <w:jc w:val="left"/>
              <w:rPr>
                <w:b/>
              </w:rPr>
            </w:pPr>
            <w:r>
              <w:rPr>
                <w:b/>
              </w:rPr>
              <w:t>Lease Cost</w:t>
            </w:r>
          </w:p>
        </w:tc>
        <w:tc>
          <w:tcPr>
            <w:tcW w:w="60" w:type="dxa"/>
            <w:tcBorders/>
            <w:tcMar>
              <w:bottom w:w="0" w:type="dxa"/>
            </w:tcMar>
            <w:vAlign w:val="center"/>
          </w:tcPr>
          <w:p>
            <w:pPr>
              <w:pStyle w:val="TableContents"/>
              <w:bidi w:val="0"/>
              <w:spacing w:before="0" w:after="283"/>
              <w:jc w:val="left"/>
              <w:rPr/>
            </w:pPr>
            <w:r>
              <w:rPr/>
              <w:t> </w:t>
            </w:r>
          </w:p>
        </w:tc>
        <w:tc>
          <w:tcPr>
            <w:tcW w:w="2870" w:type="dxa"/>
            <w:tcBorders>
              <w:bottom w:val="single" w:sz="12" w:space="0" w:color="000000"/>
            </w:tcBorders>
            <w:vAlign w:val="center"/>
          </w:tcPr>
          <w:p>
            <w:pPr>
              <w:pStyle w:val="TableContents"/>
              <w:bidi w:val="0"/>
              <w:spacing w:before="0" w:after="283"/>
              <w:jc w:val="center"/>
              <w:rPr>
                <w:b/>
              </w:rPr>
            </w:pPr>
            <w:r>
              <w:rPr>
                <w:b/>
              </w:rPr>
              <w:t>Classification</w:t>
            </w:r>
          </w:p>
        </w:tc>
        <w:tc>
          <w:tcPr>
            <w:tcW w:w="60" w:type="dxa"/>
            <w:tcBorders/>
            <w:tcMar>
              <w:bottom w:w="0" w:type="dxa"/>
            </w:tcMar>
            <w:vAlign w:val="center"/>
          </w:tcPr>
          <w:p>
            <w:pPr>
              <w:pStyle w:val="TableContents"/>
              <w:bidi w:val="0"/>
              <w:spacing w:before="0" w:after="283"/>
              <w:jc w:val="left"/>
              <w:rPr/>
            </w:pPr>
            <w:r>
              <w:rPr/>
              <w:t> </w:t>
            </w:r>
          </w:p>
        </w:tc>
        <w:tc>
          <w:tcPr>
            <w:tcW w:w="1120" w:type="dxa"/>
            <w:gridSpan w:val="2"/>
            <w:tcBorders>
              <w:bottom w:val="single" w:sz="12" w:space="0" w:color="000000"/>
            </w:tcBorders>
            <w:vAlign w:val="center"/>
          </w:tcPr>
          <w:p>
            <w:pPr>
              <w:pStyle w:val="TableContents"/>
              <w:bidi w:val="0"/>
              <w:spacing w:before="0" w:after="283"/>
              <w:jc w:val="center"/>
              <w:rPr>
                <w:b/>
              </w:rPr>
            </w:pPr>
            <w:r>
              <w:rPr>
                <w:b/>
              </w:rPr>
              <w:t>2025</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940" w:type="dxa"/>
            <w:gridSpan w:val="2"/>
            <w:tcBorders>
              <w:bottom w:val="single" w:sz="12" w:space="0" w:color="000000"/>
            </w:tcBorders>
            <w:vAlign w:val="center"/>
          </w:tcPr>
          <w:p>
            <w:pPr>
              <w:pStyle w:val="TableContents"/>
              <w:bidi w:val="0"/>
              <w:spacing w:before="0" w:after="283"/>
              <w:jc w:val="center"/>
              <w:rPr>
                <w:b/>
              </w:rPr>
            </w:pPr>
            <w:r>
              <w:rPr>
                <w:b/>
              </w:rPr>
              <w:t>2024</w:t>
            </w:r>
          </w:p>
        </w:tc>
        <w:tc>
          <w:tcPr>
            <w:tcW w:w="75" w:type="dxa"/>
            <w:tcBorders/>
            <w:tcMar>
              <w:bottom w:w="0" w:type="dxa"/>
            </w:tcMar>
            <w:vAlign w:val="center"/>
          </w:tcPr>
          <w:p>
            <w:pPr>
              <w:pStyle w:val="TableContents"/>
              <w:bidi w:val="0"/>
              <w:spacing w:before="0" w:after="283"/>
              <w:jc w:val="left"/>
              <w:rPr/>
            </w:pPr>
            <w:r>
              <w:rPr/>
              <w:t> </w:t>
            </w:r>
          </w:p>
        </w:tc>
      </w:tr>
      <w:tr>
        <w:trPr/>
        <w:tc>
          <w:tcPr>
            <w:tcW w:w="1790" w:type="dxa"/>
            <w:tcBorders/>
            <w:shd w:fill="CCEEFF" w:val="clear"/>
            <w:tcMar>
              <w:bottom w:w="0" w:type="dxa"/>
            </w:tcMar>
            <w:vAlign w:val="center"/>
          </w:tcPr>
          <w:p>
            <w:pPr>
              <w:pStyle w:val="TableContents"/>
              <w:bidi w:val="0"/>
              <w:spacing w:before="0" w:after="283"/>
              <w:jc w:val="left"/>
              <w:rPr/>
            </w:pPr>
            <w:r>
              <w:rPr/>
              <w:t>Operating</w:t>
            </w:r>
          </w:p>
        </w:tc>
        <w:tc>
          <w:tcPr>
            <w:tcW w:w="60" w:type="dxa"/>
            <w:tcBorders/>
            <w:shd w:fill="CCEEFF" w:val="clear"/>
            <w:tcMar>
              <w:bottom w:w="0" w:type="dxa"/>
            </w:tcMar>
            <w:vAlign w:val="center"/>
          </w:tcPr>
          <w:p>
            <w:pPr>
              <w:pStyle w:val="TableContents"/>
              <w:bidi w:val="0"/>
              <w:spacing w:before="0" w:after="283"/>
              <w:jc w:val="left"/>
              <w:rPr/>
            </w:pPr>
            <w:r>
              <w:rPr/>
              <w:t> </w:t>
            </w:r>
          </w:p>
        </w:tc>
        <w:tc>
          <w:tcPr>
            <w:tcW w:w="2870" w:type="dxa"/>
            <w:tcBorders/>
            <w:shd w:fill="CCEEFF" w:val="clear"/>
            <w:tcMar>
              <w:bottom w:w="0" w:type="dxa"/>
            </w:tcMar>
            <w:vAlign w:val="center"/>
          </w:tcPr>
          <w:p>
            <w:pPr>
              <w:pStyle w:val="TableContents"/>
              <w:bidi w:val="0"/>
              <w:spacing w:before="0" w:after="283"/>
              <w:jc w:val="left"/>
              <w:rPr/>
            </w:pPr>
            <w:r>
              <w:rPr/>
              <w:t>Rent</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w:t>
            </w:r>
          </w:p>
        </w:tc>
        <w:tc>
          <w:tcPr>
            <w:tcW w:w="980" w:type="dxa"/>
            <w:tcBorders/>
            <w:shd w:fill="CCEEFF" w:val="clear"/>
            <w:tcMar>
              <w:bottom w:w="0" w:type="dxa"/>
            </w:tcMar>
            <w:vAlign w:val="center"/>
          </w:tcPr>
          <w:p>
            <w:pPr>
              <w:pStyle w:val="TableContents"/>
              <w:bidi w:val="0"/>
              <w:spacing w:before="0" w:after="283"/>
              <w:jc w:val="right"/>
              <w:rPr/>
            </w:pPr>
            <w:r>
              <w:rPr/>
              <w:t>611,224</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w:t>
            </w:r>
          </w:p>
        </w:tc>
        <w:tc>
          <w:tcPr>
            <w:tcW w:w="800" w:type="dxa"/>
            <w:tcBorders/>
            <w:shd w:fill="CCEEFF" w:val="clear"/>
            <w:tcMar>
              <w:bottom w:w="0" w:type="dxa"/>
            </w:tcMar>
            <w:vAlign w:val="center"/>
          </w:tcPr>
          <w:p>
            <w:pPr>
              <w:pStyle w:val="TableContents"/>
              <w:bidi w:val="0"/>
              <w:spacing w:before="0" w:after="283"/>
              <w:jc w:val="right"/>
              <w:rPr/>
            </w:pPr>
            <w:r>
              <w:rPr/>
              <w:t>632,804</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179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87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980" w:type="dxa"/>
            <w:tcBorders/>
            <w:shd w:fill="FFFFFF" w:val="clear"/>
            <w:tcMar>
              <w:bottom w:w="0" w:type="dxa"/>
            </w:tcMar>
            <w:vAlign w:val="center"/>
          </w:tcPr>
          <w:p>
            <w:pPr>
              <w:pStyle w:val="TableContents"/>
              <w:bidi w:val="0"/>
              <w:spacing w:before="0" w:after="283"/>
              <w:jc w:val="righ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800" w:type="dxa"/>
            <w:tcBorders/>
            <w:shd w:fill="FFFFFF" w:val="clear"/>
            <w:tcMar>
              <w:bottom w:w="0" w:type="dxa"/>
            </w:tcMar>
            <w:vAlign w:val="center"/>
          </w:tcPr>
          <w:p>
            <w:pPr>
              <w:pStyle w:val="TableContents"/>
              <w:bidi w:val="0"/>
              <w:spacing w:before="0" w:after="283"/>
              <w:jc w:val="right"/>
              <w:rPr/>
            </w:pPr>
            <w:r>
              <w:rPr/>
              <w:t> </w:t>
            </w:r>
          </w:p>
        </w:tc>
        <w:tc>
          <w:tcPr>
            <w:tcW w:w="75" w:type="dxa"/>
            <w:tcBorders/>
            <w:shd w:fill="FFFFFF" w:val="clear"/>
            <w:tcMar>
              <w:bottom w:w="0" w:type="dxa"/>
            </w:tcMar>
            <w:vAlign w:val="center"/>
          </w:tcPr>
          <w:p>
            <w:pPr>
              <w:pStyle w:val="TableContents"/>
              <w:bidi w:val="0"/>
              <w:spacing w:before="0" w:after="283"/>
              <w:jc w:val="left"/>
              <w:rPr/>
            </w:pPr>
            <w:r>
              <w:rPr/>
              <w:t> </w:t>
            </w:r>
          </w:p>
        </w:tc>
      </w:tr>
      <w:tr>
        <w:trPr/>
        <w:tc>
          <w:tcPr>
            <w:tcW w:w="1790" w:type="dxa"/>
            <w:tcBorders/>
            <w:shd w:fill="CCEEFF" w:val="clear"/>
            <w:tcMar>
              <w:bottom w:w="0" w:type="dxa"/>
            </w:tcMar>
            <w:vAlign w:val="center"/>
          </w:tcPr>
          <w:p>
            <w:pPr>
              <w:pStyle w:val="TableContents"/>
              <w:bidi w:val="0"/>
              <w:spacing w:before="0" w:after="283"/>
              <w:jc w:val="left"/>
              <w:rPr/>
            </w:pPr>
            <w:r>
              <w:rPr/>
              <w:t>Finance:</w:t>
            </w:r>
          </w:p>
        </w:tc>
        <w:tc>
          <w:tcPr>
            <w:tcW w:w="60" w:type="dxa"/>
            <w:tcBorders/>
            <w:shd w:fill="CCEEFF" w:val="clear"/>
            <w:tcMar>
              <w:bottom w:w="0" w:type="dxa"/>
            </w:tcMar>
            <w:vAlign w:val="center"/>
          </w:tcPr>
          <w:p>
            <w:pPr>
              <w:pStyle w:val="TableContents"/>
              <w:bidi w:val="0"/>
              <w:spacing w:before="0" w:after="283"/>
              <w:jc w:val="left"/>
              <w:rPr/>
            </w:pPr>
            <w:r>
              <w:rPr/>
              <w:t> </w:t>
            </w:r>
          </w:p>
        </w:tc>
        <w:tc>
          <w:tcPr>
            <w:tcW w:w="287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980" w:type="dxa"/>
            <w:tcBorders/>
            <w:shd w:fill="CCEEFF" w:val="clear"/>
            <w:tcMar>
              <w:bottom w:w="0" w:type="dxa"/>
            </w:tcMar>
            <w:vAlign w:val="center"/>
          </w:tcPr>
          <w:p>
            <w:pPr>
              <w:pStyle w:val="TableContents"/>
              <w:bidi w:val="0"/>
              <w:spacing w:before="0" w:after="283"/>
              <w:jc w:val="righ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800" w:type="dxa"/>
            <w:tcBorders/>
            <w:shd w:fill="CCEEFF" w:val="clear"/>
            <w:tcMar>
              <w:bottom w:w="0" w:type="dxa"/>
            </w:tcMar>
            <w:vAlign w:val="center"/>
          </w:tcPr>
          <w:p>
            <w:pPr>
              <w:pStyle w:val="TableContents"/>
              <w:bidi w:val="0"/>
              <w:spacing w:before="0" w:after="283"/>
              <w:jc w:val="right"/>
              <w:rPr/>
            </w:pPr>
            <w:r>
              <w:rPr/>
              <w:t> </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179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87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980" w:type="dxa"/>
            <w:tcBorders/>
            <w:shd w:fill="FFFFFF" w:val="clear"/>
            <w:tcMar>
              <w:bottom w:w="0" w:type="dxa"/>
            </w:tcMar>
            <w:vAlign w:val="center"/>
          </w:tcPr>
          <w:p>
            <w:pPr>
              <w:pStyle w:val="TableContents"/>
              <w:bidi w:val="0"/>
              <w:spacing w:before="0" w:after="283"/>
              <w:jc w:val="righ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800" w:type="dxa"/>
            <w:tcBorders/>
            <w:shd w:fill="FFFFFF" w:val="clear"/>
            <w:tcMar>
              <w:bottom w:w="0" w:type="dxa"/>
            </w:tcMar>
            <w:vAlign w:val="center"/>
          </w:tcPr>
          <w:p>
            <w:pPr>
              <w:pStyle w:val="TableContents"/>
              <w:bidi w:val="0"/>
              <w:spacing w:before="0" w:after="283"/>
              <w:jc w:val="right"/>
              <w:rPr/>
            </w:pPr>
            <w:r>
              <w:rPr/>
              <w:t> </w:t>
            </w:r>
          </w:p>
        </w:tc>
        <w:tc>
          <w:tcPr>
            <w:tcW w:w="75" w:type="dxa"/>
            <w:tcBorders/>
            <w:shd w:fill="FFFFFF" w:val="clear"/>
            <w:tcMar>
              <w:bottom w:w="0" w:type="dxa"/>
            </w:tcMar>
            <w:vAlign w:val="center"/>
          </w:tcPr>
          <w:p>
            <w:pPr>
              <w:pStyle w:val="TableContents"/>
              <w:bidi w:val="0"/>
              <w:spacing w:before="0" w:after="283"/>
              <w:jc w:val="left"/>
              <w:rPr/>
            </w:pPr>
            <w:r>
              <w:rPr/>
              <w:t> </w:t>
            </w:r>
          </w:p>
        </w:tc>
      </w:tr>
      <w:tr>
        <w:trPr/>
        <w:tc>
          <w:tcPr>
            <w:tcW w:w="1790" w:type="dxa"/>
            <w:tcBorders/>
            <w:shd w:fill="CCEEFF" w:val="clear"/>
            <w:tcMar>
              <w:bottom w:w="0" w:type="dxa"/>
            </w:tcMar>
            <w:vAlign w:val="center"/>
          </w:tcPr>
          <w:p>
            <w:pPr>
              <w:pStyle w:val="TableContents"/>
              <w:bidi w:val="0"/>
              <w:spacing w:before="0" w:after="283"/>
              <w:jc w:val="left"/>
              <w:rPr/>
            </w:pPr>
            <w:r>
              <w:rPr/>
              <w:t>Asset amortization</w:t>
            </w:r>
          </w:p>
        </w:tc>
        <w:tc>
          <w:tcPr>
            <w:tcW w:w="60" w:type="dxa"/>
            <w:tcBorders/>
            <w:shd w:fill="CCEEFF" w:val="clear"/>
            <w:tcMar>
              <w:bottom w:w="0" w:type="dxa"/>
            </w:tcMar>
            <w:vAlign w:val="center"/>
          </w:tcPr>
          <w:p>
            <w:pPr>
              <w:pStyle w:val="TableContents"/>
              <w:bidi w:val="0"/>
              <w:spacing w:before="0" w:after="283"/>
              <w:jc w:val="left"/>
              <w:rPr/>
            </w:pPr>
            <w:r>
              <w:rPr/>
              <w:t> </w:t>
            </w:r>
          </w:p>
        </w:tc>
        <w:tc>
          <w:tcPr>
            <w:tcW w:w="2870" w:type="dxa"/>
            <w:tcBorders/>
            <w:shd w:fill="CCEEFF" w:val="clear"/>
            <w:tcMar>
              <w:bottom w:w="0" w:type="dxa"/>
            </w:tcMar>
            <w:vAlign w:val="center"/>
          </w:tcPr>
          <w:p>
            <w:pPr>
              <w:pStyle w:val="TableContents"/>
              <w:bidi w:val="0"/>
              <w:spacing w:before="0" w:after="283"/>
              <w:jc w:val="left"/>
              <w:rPr/>
            </w:pPr>
            <w:r>
              <w:rPr/>
              <w:t>Depreciation and amortization</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980" w:type="dxa"/>
            <w:tcBorders/>
            <w:shd w:fill="CCEEFF" w:val="clear"/>
            <w:tcMar>
              <w:bottom w:w="0" w:type="dxa"/>
            </w:tcMar>
            <w:vAlign w:val="center"/>
          </w:tcPr>
          <w:p>
            <w:pPr>
              <w:pStyle w:val="TableContents"/>
              <w:bidi w:val="0"/>
              <w:spacing w:before="0" w:after="283"/>
              <w:jc w:val="right"/>
              <w:rPr/>
            </w:pPr>
            <w:r>
              <w:rPr/>
              <w:t>342,163</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800" w:type="dxa"/>
            <w:tcBorders/>
            <w:shd w:fill="CCEEFF" w:val="clear"/>
            <w:tcMar>
              <w:bottom w:w="0" w:type="dxa"/>
            </w:tcMar>
            <w:vAlign w:val="center"/>
          </w:tcPr>
          <w:p>
            <w:pPr>
              <w:pStyle w:val="TableContents"/>
              <w:bidi w:val="0"/>
              <w:spacing w:before="0" w:after="283"/>
              <w:jc w:val="right"/>
              <w:rPr/>
            </w:pPr>
            <w:r>
              <w:rPr/>
              <w:t>173,790</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1790" w:type="dxa"/>
            <w:tcBorders/>
            <w:shd w:fill="FFFFFF" w:val="clear"/>
            <w:tcMar>
              <w:bottom w:w="0" w:type="dxa"/>
            </w:tcMar>
            <w:vAlign w:val="center"/>
          </w:tcPr>
          <w:p>
            <w:pPr>
              <w:pStyle w:val="TableContents"/>
              <w:bidi w:val="0"/>
              <w:spacing w:before="0" w:after="283"/>
              <w:jc w:val="left"/>
              <w:rPr/>
            </w:pPr>
            <w:r>
              <w:rPr/>
              <w:t>Interest on liability</w:t>
            </w:r>
          </w:p>
        </w:tc>
        <w:tc>
          <w:tcPr>
            <w:tcW w:w="60" w:type="dxa"/>
            <w:tcBorders/>
            <w:shd w:fill="FFFFFF" w:val="clear"/>
            <w:tcMar>
              <w:bottom w:w="0" w:type="dxa"/>
            </w:tcMar>
            <w:vAlign w:val="center"/>
          </w:tcPr>
          <w:p>
            <w:pPr>
              <w:pStyle w:val="TableContents"/>
              <w:bidi w:val="0"/>
              <w:spacing w:before="0" w:after="283"/>
              <w:jc w:val="left"/>
              <w:rPr/>
            </w:pPr>
            <w:r>
              <w:rPr/>
              <w:t> </w:t>
            </w:r>
          </w:p>
        </w:tc>
        <w:tc>
          <w:tcPr>
            <w:tcW w:w="2870" w:type="dxa"/>
            <w:tcBorders/>
            <w:shd w:fill="FFFFFF" w:val="clear"/>
            <w:tcMar>
              <w:bottom w:w="0" w:type="dxa"/>
            </w:tcMar>
            <w:vAlign w:val="center"/>
          </w:tcPr>
          <w:p>
            <w:pPr>
              <w:pStyle w:val="TableContents"/>
              <w:bidi w:val="0"/>
              <w:spacing w:before="0" w:after="283"/>
              <w:jc w:val="left"/>
              <w:rPr/>
            </w:pPr>
            <w:r>
              <w:rPr/>
              <w:t>Net interest expense</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bottom w:val="single" w:sz="12" w:space="0" w:color="000000"/>
            </w:tcBorders>
            <w:shd w:fill="FFFFFF" w:val="clear"/>
            <w:vAlign w:val="center"/>
          </w:tcPr>
          <w:p>
            <w:pPr>
              <w:pStyle w:val="TableContents"/>
              <w:bidi w:val="0"/>
              <w:spacing w:before="0" w:after="283"/>
              <w:jc w:val="left"/>
              <w:rPr/>
            </w:pPr>
            <w:r>
              <w:rPr/>
              <w:t> </w:t>
            </w:r>
          </w:p>
        </w:tc>
        <w:tc>
          <w:tcPr>
            <w:tcW w:w="980" w:type="dxa"/>
            <w:tcBorders>
              <w:bottom w:val="single" w:sz="12" w:space="0" w:color="000000"/>
            </w:tcBorders>
            <w:shd w:fill="FFFFFF" w:val="clear"/>
            <w:vAlign w:val="center"/>
          </w:tcPr>
          <w:p>
            <w:pPr>
              <w:pStyle w:val="TableContents"/>
              <w:bidi w:val="0"/>
              <w:spacing w:before="0" w:after="283"/>
              <w:jc w:val="right"/>
              <w:rPr/>
            </w:pPr>
            <w:r>
              <w:rPr/>
              <w:t>47,543</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bottom w:val="single" w:sz="12" w:space="0" w:color="000000"/>
            </w:tcBorders>
            <w:shd w:fill="FFFFFF" w:val="clear"/>
            <w:vAlign w:val="center"/>
          </w:tcPr>
          <w:p>
            <w:pPr>
              <w:pStyle w:val="TableContents"/>
              <w:bidi w:val="0"/>
              <w:spacing w:before="0" w:after="283"/>
              <w:jc w:val="left"/>
              <w:rPr/>
            </w:pPr>
            <w:r>
              <w:rPr/>
              <w:t> </w:t>
            </w:r>
          </w:p>
        </w:tc>
        <w:tc>
          <w:tcPr>
            <w:tcW w:w="800" w:type="dxa"/>
            <w:tcBorders>
              <w:bottom w:val="single" w:sz="12" w:space="0" w:color="000000"/>
            </w:tcBorders>
            <w:shd w:fill="FFFFFF" w:val="clear"/>
            <w:vAlign w:val="center"/>
          </w:tcPr>
          <w:p>
            <w:pPr>
              <w:pStyle w:val="TableContents"/>
              <w:bidi w:val="0"/>
              <w:spacing w:before="0" w:after="283"/>
              <w:jc w:val="right"/>
              <w:rPr/>
            </w:pPr>
            <w:r>
              <w:rPr/>
              <w:t>27,937</w:t>
            </w:r>
          </w:p>
        </w:tc>
        <w:tc>
          <w:tcPr>
            <w:tcW w:w="75" w:type="dxa"/>
            <w:tcBorders/>
            <w:shd w:fill="FFFFFF" w:val="clear"/>
            <w:tcMar>
              <w:bottom w:w="0" w:type="dxa"/>
            </w:tcMar>
            <w:vAlign w:val="center"/>
          </w:tcPr>
          <w:p>
            <w:pPr>
              <w:pStyle w:val="TableContents"/>
              <w:bidi w:val="0"/>
              <w:spacing w:before="0" w:after="283"/>
              <w:jc w:val="left"/>
              <w:rPr/>
            </w:pPr>
            <w:r>
              <w:rPr/>
              <w:t> </w:t>
            </w:r>
          </w:p>
        </w:tc>
      </w:tr>
      <w:tr>
        <w:trPr/>
        <w:tc>
          <w:tcPr>
            <w:tcW w:w="1790" w:type="dxa"/>
            <w:tcBorders/>
            <w:shd w:fill="CCEEFF" w:val="clear"/>
            <w:tcMar>
              <w:bottom w:w="0" w:type="dxa"/>
            </w:tcMar>
            <w:vAlign w:val="center"/>
          </w:tcPr>
          <w:p>
            <w:pPr>
              <w:pStyle w:val="TableContents"/>
              <w:bidi w:val="0"/>
              <w:spacing w:before="0" w:after="283"/>
              <w:jc w:val="left"/>
              <w:rPr/>
            </w:pPr>
            <w:r>
              <w:rPr/>
              <w:t>Net lease cost</w:t>
            </w:r>
          </w:p>
        </w:tc>
        <w:tc>
          <w:tcPr>
            <w:tcW w:w="60" w:type="dxa"/>
            <w:tcBorders/>
            <w:shd w:fill="CCEEFF" w:val="clear"/>
            <w:tcMar>
              <w:bottom w:w="0" w:type="dxa"/>
            </w:tcMar>
            <w:vAlign w:val="center"/>
          </w:tcPr>
          <w:p>
            <w:pPr>
              <w:pStyle w:val="TableContents"/>
              <w:bidi w:val="0"/>
              <w:spacing w:before="0" w:after="283"/>
              <w:jc w:val="left"/>
              <w:rPr/>
            </w:pPr>
            <w:r>
              <w:rPr/>
              <w:t> </w:t>
            </w:r>
          </w:p>
        </w:tc>
        <w:tc>
          <w:tcPr>
            <w:tcW w:w="287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bottom w:val="single" w:sz="12" w:space="0" w:color="000000"/>
            </w:tcBorders>
            <w:shd w:fill="CCEEFF" w:val="clear"/>
            <w:vAlign w:val="center"/>
          </w:tcPr>
          <w:p>
            <w:pPr>
              <w:pStyle w:val="TableContents"/>
              <w:bidi w:val="0"/>
              <w:spacing w:before="0" w:after="283"/>
              <w:jc w:val="left"/>
              <w:rPr/>
            </w:pPr>
            <w:r>
              <w:rPr/>
              <w:t>$</w:t>
            </w:r>
          </w:p>
        </w:tc>
        <w:tc>
          <w:tcPr>
            <w:tcW w:w="980" w:type="dxa"/>
            <w:tcBorders>
              <w:bottom w:val="single" w:sz="12" w:space="0" w:color="000000"/>
            </w:tcBorders>
            <w:shd w:fill="CCEEFF" w:val="clear"/>
            <w:vAlign w:val="center"/>
          </w:tcPr>
          <w:p>
            <w:pPr>
              <w:pStyle w:val="TableContents"/>
              <w:bidi w:val="0"/>
              <w:spacing w:before="0" w:after="283"/>
              <w:jc w:val="right"/>
              <w:rPr/>
            </w:pPr>
            <w:r>
              <w:rPr/>
              <w:t>1,000,930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bottom w:val="single" w:sz="12" w:space="0" w:color="000000"/>
            </w:tcBorders>
            <w:shd w:fill="CCEEFF" w:val="clear"/>
            <w:vAlign w:val="center"/>
          </w:tcPr>
          <w:p>
            <w:pPr>
              <w:pStyle w:val="TableContents"/>
              <w:bidi w:val="0"/>
              <w:spacing w:before="0" w:after="283"/>
              <w:jc w:val="left"/>
              <w:rPr/>
            </w:pPr>
            <w:r>
              <w:rPr/>
              <w:t>$</w:t>
            </w:r>
          </w:p>
        </w:tc>
        <w:tc>
          <w:tcPr>
            <w:tcW w:w="800" w:type="dxa"/>
            <w:tcBorders>
              <w:bottom w:val="single" w:sz="12" w:space="0" w:color="000000"/>
            </w:tcBorders>
            <w:shd w:fill="CCEEFF" w:val="clear"/>
            <w:vAlign w:val="center"/>
          </w:tcPr>
          <w:p>
            <w:pPr>
              <w:pStyle w:val="TableContents"/>
              <w:bidi w:val="0"/>
              <w:spacing w:before="0" w:after="283"/>
              <w:jc w:val="right"/>
              <w:rPr/>
            </w:pPr>
            <w:r>
              <w:rPr/>
              <w:t>834,531</w:t>
            </w:r>
          </w:p>
        </w:tc>
        <w:tc>
          <w:tcPr>
            <w:tcW w:w="75" w:type="dxa"/>
            <w:tcBorders/>
            <w:shd w:fill="CCEEFF" w:val="clear"/>
            <w:tcMar>
              <w:bottom w:w="0" w:type="dxa"/>
            </w:tcM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sz w:val="20"/>
          <w:bdr w:val="single" w:sz="12" w:space="1" w:color="000000"/>
        </w:rPr>
      </w:pPr>
      <w:r>
        <w:rPr>
          <w:sz w:val="20"/>
          <w:bdr w:val="single" w:sz="12" w:space="1" w:color="000000"/>
        </w:rPr>
        <w:t>F-173</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weighted average remaining lease terms and interest rates were as follows as of September 30, 2025 and December 31, 2024:</w:t>
      </w:r>
    </w:p>
    <w:p>
      <w:pPr>
        <w:pStyle w:val="TextBody"/>
        <w:bidi w:val="0"/>
        <w:spacing w:before="0" w:after="0"/>
        <w:ind w:left="0" w:right="0" w:hanging="0"/>
        <w:jc w:val="both"/>
        <w:rPr>
          <w:caps w:val="false"/>
          <w:smallCaps w:val="false"/>
        </w:rPr>
      </w:pPr>
      <w:r>
        <w:rPr>
          <w:caps w:val="false"/>
          <w:smallCaps w:val="false"/>
        </w:rPr>
        <w:t> </w:t>
      </w:r>
    </w:p>
    <w:tbl>
      <w:tblPr>
        <w:tblW w:w="6025" w:type="dxa"/>
        <w:jc w:val="left"/>
        <w:tblInd w:w="0" w:type="dxa"/>
        <w:tblLayout w:type="fixed"/>
        <w:tblCellMar>
          <w:top w:w="0" w:type="dxa"/>
          <w:left w:w="0" w:type="dxa"/>
          <w:bottom w:w="28" w:type="dxa"/>
          <w:right w:w="0" w:type="dxa"/>
        </w:tblCellMar>
      </w:tblPr>
      <w:tblGrid>
        <w:gridCol w:w="4460"/>
        <w:gridCol w:w="60"/>
        <w:gridCol w:w="60"/>
        <w:gridCol w:w="440"/>
        <w:gridCol w:w="215"/>
        <w:gridCol w:w="60"/>
        <w:gridCol w:w="60"/>
        <w:gridCol w:w="440"/>
        <w:gridCol w:w="230"/>
      </w:tblGrid>
      <w:tr>
        <w:trPr/>
        <w:tc>
          <w:tcPr>
            <w:tcW w:w="4460" w:type="dxa"/>
            <w:tcBorders>
              <w:bottom w:val="single" w:sz="12" w:space="0" w:color="000000"/>
            </w:tcBorders>
            <w:vAlign w:val="center"/>
          </w:tcPr>
          <w:p>
            <w:pPr>
              <w:pStyle w:val="TableContents"/>
              <w:bidi w:val="0"/>
              <w:spacing w:before="0" w:after="283"/>
              <w:jc w:val="left"/>
              <w:rPr>
                <w:b/>
              </w:rPr>
            </w:pPr>
            <w:r>
              <w:rPr>
                <w:b/>
              </w:rPr>
              <w:t>Lease Term and Discount Rate</w:t>
            </w:r>
          </w:p>
        </w:tc>
        <w:tc>
          <w:tcPr>
            <w:tcW w:w="60" w:type="dxa"/>
            <w:tcBorders/>
            <w:tcMar>
              <w:bottom w:w="0" w:type="dxa"/>
            </w:tcMar>
            <w:vAlign w:val="center"/>
          </w:tcPr>
          <w:p>
            <w:pPr>
              <w:pStyle w:val="TableContents"/>
              <w:bidi w:val="0"/>
              <w:spacing w:before="0" w:after="283"/>
              <w:jc w:val="left"/>
              <w:rPr/>
            </w:pPr>
            <w:r>
              <w:rPr/>
              <w:t> </w:t>
            </w:r>
          </w:p>
        </w:tc>
        <w:tc>
          <w:tcPr>
            <w:tcW w:w="500" w:type="dxa"/>
            <w:gridSpan w:val="2"/>
            <w:tcBorders>
              <w:bottom w:val="single" w:sz="12" w:space="0" w:color="000000"/>
            </w:tcBorders>
            <w:vAlign w:val="center"/>
          </w:tcPr>
          <w:p>
            <w:pPr>
              <w:pStyle w:val="TableContents"/>
              <w:bidi w:val="0"/>
              <w:spacing w:before="0" w:after="283"/>
              <w:jc w:val="center"/>
              <w:rPr>
                <w:b/>
              </w:rPr>
            </w:pPr>
            <w:r>
              <w:rPr>
                <w:b/>
              </w:rPr>
              <w:t>2025</w:t>
            </w:r>
          </w:p>
        </w:tc>
        <w:tc>
          <w:tcPr>
            <w:tcW w:w="21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500" w:type="dxa"/>
            <w:gridSpan w:val="2"/>
            <w:tcBorders>
              <w:bottom w:val="single" w:sz="12" w:space="0" w:color="000000"/>
            </w:tcBorders>
            <w:vAlign w:val="center"/>
          </w:tcPr>
          <w:p>
            <w:pPr>
              <w:pStyle w:val="TableContents"/>
              <w:bidi w:val="0"/>
              <w:spacing w:before="0" w:after="283"/>
              <w:jc w:val="center"/>
              <w:rPr>
                <w:b/>
              </w:rPr>
            </w:pPr>
            <w:r>
              <w:rPr>
                <w:b/>
              </w:rPr>
              <w:t>2024</w:t>
            </w:r>
          </w:p>
        </w:tc>
        <w:tc>
          <w:tcPr>
            <w:tcW w:w="230" w:type="dxa"/>
            <w:tcBorders/>
            <w:tcMar>
              <w:bottom w:w="0" w:type="dxa"/>
            </w:tcMar>
            <w:vAlign w:val="center"/>
          </w:tcPr>
          <w:p>
            <w:pPr>
              <w:pStyle w:val="TableContents"/>
              <w:bidi w:val="0"/>
              <w:spacing w:before="0" w:after="283"/>
              <w:jc w:val="left"/>
              <w:rPr/>
            </w:pPr>
            <w:r>
              <w:rPr/>
              <w:t> </w:t>
            </w:r>
          </w:p>
        </w:tc>
      </w:tr>
      <w:tr>
        <w:trPr/>
        <w:tc>
          <w:tcPr>
            <w:tcW w:w="4460" w:type="dxa"/>
            <w:tcBorders/>
            <w:tcMar>
              <w:bottom w:w="0" w:type="dxa"/>
            </w:tcMar>
            <w:vAlign w:val="center"/>
          </w:tcPr>
          <w:p>
            <w:pPr>
              <w:pStyle w:val="TableContents"/>
              <w:bidi w:val="0"/>
              <w:spacing w:before="0" w:after="283"/>
              <w:jc w:val="left"/>
              <w:rPr/>
            </w:pPr>
            <w:r>
              <w:rPr/>
              <w:t>Weighted average remaining lease term (years)</w:t>
            </w:r>
          </w:p>
        </w:tc>
        <w:tc>
          <w:tcPr>
            <w:tcW w:w="60" w:type="dxa"/>
            <w:tcBorders/>
            <w:tcMar>
              <w:bottom w:w="0" w:type="dxa"/>
            </w:tcMar>
            <w:vAlign w:val="center"/>
          </w:tcPr>
          <w:p>
            <w:pPr>
              <w:pStyle w:val="TableContents"/>
              <w:bidi w:val="0"/>
              <w:spacing w:before="0" w:after="283"/>
              <w:jc w:val="left"/>
              <w:rPr/>
            </w:pPr>
            <w:r>
              <w:rPr/>
              <w:t> </w:t>
            </w:r>
          </w:p>
        </w:tc>
        <w:tc>
          <w:tcPr>
            <w:tcW w:w="500" w:type="dxa"/>
            <w:gridSpan w:val="2"/>
            <w:tcBorders/>
            <w:tcMar>
              <w:bottom w:w="0" w:type="dxa"/>
            </w:tcMar>
            <w:vAlign w:val="center"/>
          </w:tcPr>
          <w:p>
            <w:pPr>
              <w:pStyle w:val="TableContents"/>
              <w:bidi w:val="0"/>
              <w:spacing w:before="0" w:after="283"/>
              <w:jc w:val="left"/>
              <w:rPr/>
            </w:pPr>
            <w:r>
              <w:rPr/>
              <w:t> </w:t>
            </w:r>
          </w:p>
        </w:tc>
        <w:tc>
          <w:tcPr>
            <w:tcW w:w="21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500" w:type="dxa"/>
            <w:gridSpan w:val="2"/>
            <w:tcBorders/>
            <w:tcMar>
              <w:bottom w:w="0" w:type="dxa"/>
            </w:tcMar>
            <w:vAlign w:val="center"/>
          </w:tcPr>
          <w:p>
            <w:pPr>
              <w:pStyle w:val="TableContents"/>
              <w:bidi w:val="0"/>
              <w:spacing w:before="0" w:after="283"/>
              <w:jc w:val="left"/>
              <w:rPr/>
            </w:pPr>
            <w:r>
              <w:rPr/>
              <w:t> </w:t>
            </w:r>
          </w:p>
        </w:tc>
        <w:tc>
          <w:tcPr>
            <w:tcW w:w="230" w:type="dxa"/>
            <w:tcBorders/>
            <w:tcMar>
              <w:bottom w:w="0" w:type="dxa"/>
            </w:tcMar>
            <w:vAlign w:val="center"/>
          </w:tcPr>
          <w:p>
            <w:pPr>
              <w:pStyle w:val="TableContents"/>
              <w:bidi w:val="0"/>
              <w:spacing w:before="0" w:after="283"/>
              <w:jc w:val="left"/>
              <w:rPr/>
            </w:pPr>
            <w:r>
              <w:rPr/>
              <w:t> </w:t>
            </w:r>
          </w:p>
        </w:tc>
      </w:tr>
      <w:tr>
        <w:trPr/>
        <w:tc>
          <w:tcPr>
            <w:tcW w:w="4460" w:type="dxa"/>
            <w:tcBorders/>
            <w:shd w:fill="CCEEFF" w:val="clear"/>
            <w:tcMar>
              <w:bottom w:w="0" w:type="dxa"/>
            </w:tcMar>
            <w:vAlign w:val="center"/>
          </w:tcPr>
          <w:p>
            <w:pPr>
              <w:pStyle w:val="TableContents"/>
              <w:bidi w:val="0"/>
              <w:spacing w:before="0" w:after="283"/>
              <w:jc w:val="left"/>
              <w:rPr/>
            </w:pPr>
            <w:r>
              <w:rPr/>
              <w:t xml:space="preserve">Operating leases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440" w:type="dxa"/>
            <w:tcBorders/>
            <w:shd w:fill="CCEEFF" w:val="clear"/>
            <w:tcMar>
              <w:bottom w:w="0" w:type="dxa"/>
            </w:tcMar>
            <w:vAlign w:val="center"/>
          </w:tcPr>
          <w:p>
            <w:pPr>
              <w:pStyle w:val="TableContents"/>
              <w:bidi w:val="0"/>
              <w:spacing w:before="0" w:after="283"/>
              <w:jc w:val="right"/>
              <w:rPr/>
            </w:pPr>
            <w:r>
              <w:rPr/>
              <w:t>4.23</w:t>
            </w:r>
          </w:p>
        </w:tc>
        <w:tc>
          <w:tcPr>
            <w:tcW w:w="21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440" w:type="dxa"/>
            <w:tcBorders/>
            <w:shd w:fill="CCEEFF" w:val="clear"/>
            <w:tcMar>
              <w:bottom w:w="0" w:type="dxa"/>
            </w:tcMar>
            <w:vAlign w:val="center"/>
          </w:tcPr>
          <w:p>
            <w:pPr>
              <w:pStyle w:val="TableContents"/>
              <w:bidi w:val="0"/>
              <w:spacing w:before="0" w:after="283"/>
              <w:jc w:val="right"/>
              <w:rPr/>
            </w:pPr>
            <w:r>
              <w:rPr/>
              <w:t>2.34</w:t>
            </w:r>
          </w:p>
        </w:tc>
        <w:tc>
          <w:tcPr>
            <w:tcW w:w="230" w:type="dxa"/>
            <w:tcBorders/>
            <w:shd w:fill="CCEEFF" w:val="clear"/>
            <w:tcMar>
              <w:bottom w:w="0" w:type="dxa"/>
            </w:tcMar>
            <w:vAlign w:val="center"/>
          </w:tcPr>
          <w:p>
            <w:pPr>
              <w:pStyle w:val="TableContents"/>
              <w:bidi w:val="0"/>
              <w:spacing w:before="0" w:after="283"/>
              <w:jc w:val="left"/>
              <w:rPr/>
            </w:pPr>
            <w:r>
              <w:rPr/>
              <w:t> </w:t>
            </w:r>
          </w:p>
        </w:tc>
      </w:tr>
      <w:tr>
        <w:trPr/>
        <w:tc>
          <w:tcPr>
            <w:tcW w:w="4460" w:type="dxa"/>
            <w:tcBorders/>
            <w:shd w:fill="FFFFFF" w:val="clear"/>
            <w:tcMar>
              <w:bottom w:w="0" w:type="dxa"/>
            </w:tcMar>
            <w:vAlign w:val="center"/>
          </w:tcPr>
          <w:p>
            <w:pPr>
              <w:pStyle w:val="TableContents"/>
              <w:bidi w:val="0"/>
              <w:spacing w:before="0" w:after="283"/>
              <w:jc w:val="left"/>
              <w:rPr/>
            </w:pPr>
            <w:r>
              <w:rPr/>
              <w:t xml:space="preserve">Finance leases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440" w:type="dxa"/>
            <w:tcBorders/>
            <w:shd w:fill="FFFFFF" w:val="clear"/>
            <w:tcMar>
              <w:bottom w:w="0" w:type="dxa"/>
            </w:tcMar>
            <w:vAlign w:val="center"/>
          </w:tcPr>
          <w:p>
            <w:pPr>
              <w:pStyle w:val="TableContents"/>
              <w:bidi w:val="0"/>
              <w:spacing w:before="0" w:after="283"/>
              <w:jc w:val="right"/>
              <w:rPr/>
            </w:pPr>
            <w:r>
              <w:rPr/>
              <w:t>3.69</w:t>
            </w:r>
          </w:p>
        </w:tc>
        <w:tc>
          <w:tcPr>
            <w:tcW w:w="21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440" w:type="dxa"/>
            <w:tcBorders/>
            <w:shd w:fill="FFFFFF" w:val="clear"/>
            <w:tcMar>
              <w:bottom w:w="0" w:type="dxa"/>
            </w:tcMar>
            <w:vAlign w:val="center"/>
          </w:tcPr>
          <w:p>
            <w:pPr>
              <w:pStyle w:val="TableContents"/>
              <w:bidi w:val="0"/>
              <w:spacing w:before="0" w:after="283"/>
              <w:jc w:val="right"/>
              <w:rPr/>
            </w:pPr>
            <w:r>
              <w:rPr/>
              <w:t>4.51</w:t>
            </w:r>
          </w:p>
        </w:tc>
        <w:tc>
          <w:tcPr>
            <w:tcW w:w="230" w:type="dxa"/>
            <w:tcBorders/>
            <w:shd w:fill="FFFFFF" w:val="clear"/>
            <w:tcMar>
              <w:bottom w:w="0" w:type="dxa"/>
            </w:tcMar>
            <w:vAlign w:val="center"/>
          </w:tcPr>
          <w:p>
            <w:pPr>
              <w:pStyle w:val="TableContents"/>
              <w:bidi w:val="0"/>
              <w:spacing w:before="0" w:after="283"/>
              <w:jc w:val="left"/>
              <w:rPr/>
            </w:pPr>
            <w:r>
              <w:rPr/>
              <w:t> </w:t>
            </w:r>
          </w:p>
        </w:tc>
      </w:tr>
      <w:tr>
        <w:trPr/>
        <w:tc>
          <w:tcPr>
            <w:tcW w:w="4460" w:type="dxa"/>
            <w:tcBorders/>
            <w:shd w:fill="CCEEFF" w:val="clear"/>
            <w:tcMar>
              <w:bottom w:w="0" w:type="dxa"/>
            </w:tcMar>
            <w:vAlign w:val="center"/>
          </w:tcPr>
          <w:p>
            <w:pPr>
              <w:pStyle w:val="TableContents"/>
              <w:bidi w:val="0"/>
              <w:spacing w:before="0" w:after="283"/>
              <w:jc w:val="left"/>
              <w:rPr/>
            </w:pPr>
            <w:r>
              <w:rPr/>
              <w:t xml:space="preserve">Weighted average discount rate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440" w:type="dxa"/>
            <w:tcBorders/>
            <w:shd w:fill="CCEEFF" w:val="clear"/>
            <w:tcMar>
              <w:bottom w:w="0" w:type="dxa"/>
            </w:tcMar>
            <w:vAlign w:val="center"/>
          </w:tcPr>
          <w:p>
            <w:pPr>
              <w:pStyle w:val="TableContents"/>
              <w:bidi w:val="0"/>
              <w:spacing w:before="0" w:after="283"/>
              <w:jc w:val="right"/>
              <w:rPr/>
            </w:pPr>
            <w:r>
              <w:rPr/>
              <w:t> </w:t>
            </w:r>
          </w:p>
        </w:tc>
        <w:tc>
          <w:tcPr>
            <w:tcW w:w="21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440" w:type="dxa"/>
            <w:tcBorders/>
            <w:shd w:fill="CCEEFF" w:val="clear"/>
            <w:tcMar>
              <w:bottom w:w="0" w:type="dxa"/>
            </w:tcMar>
            <w:vAlign w:val="center"/>
          </w:tcPr>
          <w:p>
            <w:pPr>
              <w:pStyle w:val="TableContents"/>
              <w:bidi w:val="0"/>
              <w:spacing w:before="0" w:after="283"/>
              <w:jc w:val="right"/>
              <w:rPr/>
            </w:pPr>
            <w:r>
              <w:rPr/>
              <w:t> </w:t>
            </w:r>
          </w:p>
        </w:tc>
        <w:tc>
          <w:tcPr>
            <w:tcW w:w="230" w:type="dxa"/>
            <w:tcBorders/>
            <w:shd w:fill="CCEEFF" w:val="clear"/>
            <w:tcMar>
              <w:bottom w:w="0" w:type="dxa"/>
            </w:tcMar>
            <w:vAlign w:val="center"/>
          </w:tcPr>
          <w:p>
            <w:pPr>
              <w:pStyle w:val="TableContents"/>
              <w:bidi w:val="0"/>
              <w:spacing w:before="0" w:after="283"/>
              <w:jc w:val="left"/>
              <w:rPr/>
            </w:pPr>
            <w:r>
              <w:rPr/>
              <w:t> </w:t>
            </w:r>
          </w:p>
        </w:tc>
      </w:tr>
      <w:tr>
        <w:trPr/>
        <w:tc>
          <w:tcPr>
            <w:tcW w:w="4460" w:type="dxa"/>
            <w:tcBorders/>
            <w:shd w:fill="FFFFFF" w:val="clear"/>
            <w:tcMar>
              <w:bottom w:w="0" w:type="dxa"/>
            </w:tcMar>
            <w:vAlign w:val="center"/>
          </w:tcPr>
          <w:p>
            <w:pPr>
              <w:pStyle w:val="TableContents"/>
              <w:bidi w:val="0"/>
              <w:spacing w:before="0" w:after="283"/>
              <w:jc w:val="left"/>
              <w:rPr/>
            </w:pPr>
            <w:r>
              <w:rPr/>
              <w:t xml:space="preserve">Operating leases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440" w:type="dxa"/>
            <w:tcBorders/>
            <w:shd w:fill="FFFFFF" w:val="clear"/>
            <w:tcMar>
              <w:bottom w:w="0" w:type="dxa"/>
            </w:tcMar>
            <w:vAlign w:val="center"/>
          </w:tcPr>
          <w:p>
            <w:pPr>
              <w:pStyle w:val="TableContents"/>
              <w:bidi w:val="0"/>
              <w:spacing w:before="0" w:after="283"/>
              <w:jc w:val="right"/>
              <w:rPr/>
            </w:pPr>
            <w:r>
              <w:rPr/>
              <w:t>6.60</w:t>
            </w:r>
          </w:p>
        </w:tc>
        <w:tc>
          <w:tcPr>
            <w:tcW w:w="215" w:type="dxa"/>
            <w:tcBorders/>
            <w:shd w:fill="FFFFFF" w:val="clear"/>
            <w:tcMar>
              <w:bottom w:w="0" w:type="dxa"/>
            </w:tcMar>
            <w:vAlign w:val="center"/>
          </w:tcPr>
          <w:p>
            <w:pPr>
              <w:pStyle w:val="TableContents"/>
              <w:bidi w:val="0"/>
              <w:spacing w:before="0" w:after="283"/>
              <w:jc w:val="lef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440" w:type="dxa"/>
            <w:tcBorders/>
            <w:shd w:fill="FFFFFF" w:val="clear"/>
            <w:tcMar>
              <w:bottom w:w="0" w:type="dxa"/>
            </w:tcMar>
            <w:vAlign w:val="center"/>
          </w:tcPr>
          <w:p>
            <w:pPr>
              <w:pStyle w:val="TableContents"/>
              <w:bidi w:val="0"/>
              <w:spacing w:before="0" w:after="283"/>
              <w:jc w:val="right"/>
              <w:rPr/>
            </w:pPr>
            <w:r>
              <w:rPr/>
              <w:t>4.25</w:t>
            </w:r>
          </w:p>
        </w:tc>
        <w:tc>
          <w:tcPr>
            <w:tcW w:w="230" w:type="dxa"/>
            <w:tcBorders/>
            <w:shd w:fill="FFFFFF" w:val="clear"/>
            <w:tcMar>
              <w:bottom w:w="0" w:type="dxa"/>
            </w:tcMar>
            <w:vAlign w:val="center"/>
          </w:tcPr>
          <w:p>
            <w:pPr>
              <w:pStyle w:val="TableContents"/>
              <w:bidi w:val="0"/>
              <w:spacing w:before="0" w:after="283"/>
              <w:jc w:val="left"/>
              <w:rPr/>
            </w:pPr>
            <w:r>
              <w:rPr/>
              <w:t>%</w:t>
            </w:r>
          </w:p>
        </w:tc>
      </w:tr>
      <w:tr>
        <w:trPr/>
        <w:tc>
          <w:tcPr>
            <w:tcW w:w="4460" w:type="dxa"/>
            <w:tcBorders/>
            <w:shd w:fill="CCEEFF" w:val="clear"/>
            <w:tcMar>
              <w:bottom w:w="0" w:type="dxa"/>
            </w:tcMar>
            <w:vAlign w:val="center"/>
          </w:tcPr>
          <w:p>
            <w:pPr>
              <w:pStyle w:val="TableContents"/>
              <w:bidi w:val="0"/>
              <w:spacing w:before="0" w:after="283"/>
              <w:jc w:val="left"/>
              <w:rPr/>
            </w:pPr>
            <w:r>
              <w:rPr/>
              <w:t xml:space="preserve">Finance leaess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440" w:type="dxa"/>
            <w:tcBorders/>
            <w:shd w:fill="CCEEFF" w:val="clear"/>
            <w:tcMar>
              <w:bottom w:w="0" w:type="dxa"/>
            </w:tcMar>
            <w:vAlign w:val="center"/>
          </w:tcPr>
          <w:p>
            <w:pPr>
              <w:pStyle w:val="TableContents"/>
              <w:bidi w:val="0"/>
              <w:spacing w:before="0" w:after="283"/>
              <w:jc w:val="right"/>
              <w:rPr/>
            </w:pPr>
            <w:r>
              <w:rPr/>
              <w:t>4.31</w:t>
            </w:r>
          </w:p>
        </w:tc>
        <w:tc>
          <w:tcPr>
            <w:tcW w:w="215" w:type="dxa"/>
            <w:tcBorders/>
            <w:shd w:fill="CCEEFF" w:val="clear"/>
            <w:tcMar>
              <w:bottom w:w="0" w:type="dxa"/>
            </w:tcMar>
            <w:vAlign w:val="center"/>
          </w:tcPr>
          <w:p>
            <w:pPr>
              <w:pStyle w:val="TableContents"/>
              <w:bidi w:val="0"/>
              <w:spacing w:before="0" w:after="283"/>
              <w:jc w:val="lef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440" w:type="dxa"/>
            <w:tcBorders/>
            <w:shd w:fill="CCEEFF" w:val="clear"/>
            <w:tcMar>
              <w:bottom w:w="0" w:type="dxa"/>
            </w:tcMar>
            <w:vAlign w:val="center"/>
          </w:tcPr>
          <w:p>
            <w:pPr>
              <w:pStyle w:val="TableContents"/>
              <w:bidi w:val="0"/>
              <w:spacing w:before="0" w:after="283"/>
              <w:jc w:val="right"/>
              <w:rPr/>
            </w:pPr>
            <w:r>
              <w:rPr/>
              <w:t>4.13</w:t>
            </w:r>
          </w:p>
        </w:tc>
        <w:tc>
          <w:tcPr>
            <w:tcW w:w="230" w:type="dxa"/>
            <w:tcBorders/>
            <w:shd w:fill="CCEEFF" w:val="clear"/>
            <w:tcMar>
              <w:bottom w:w="0" w:type="dxa"/>
            </w:tcMar>
            <w:vAlign w:val="center"/>
          </w:tcPr>
          <w:p>
            <w:pPr>
              <w:pStyle w:val="TableContents"/>
              <w:bidi w:val="0"/>
              <w:spacing w:before="0" w:after="283"/>
              <w:jc w:val="left"/>
              <w:rPr/>
            </w:pPr>
            <w:r>
              <w:rPr/>
              <w: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reconciles the undiscounted future cash flows for the next five years to the operating and finance lease liabilities recorded within the balance sheet as of September 30, 2025:</w:t>
      </w:r>
    </w:p>
    <w:p>
      <w:pPr>
        <w:pStyle w:val="TextBody"/>
        <w:bidi w:val="0"/>
        <w:spacing w:before="0" w:after="0"/>
        <w:ind w:left="0" w:right="0" w:hanging="0"/>
        <w:jc w:val="both"/>
        <w:rPr>
          <w:caps w:val="false"/>
          <w:smallCaps w:val="false"/>
        </w:rPr>
      </w:pPr>
      <w:r>
        <w:rPr>
          <w:caps w:val="false"/>
          <w:smallCaps w:val="false"/>
        </w:rPr>
        <w:t> </w:t>
      </w:r>
    </w:p>
    <w:tbl>
      <w:tblPr>
        <w:tblW w:w="6080" w:type="dxa"/>
        <w:jc w:val="left"/>
        <w:tblInd w:w="0" w:type="dxa"/>
        <w:tblLayout w:type="fixed"/>
        <w:tblCellMar>
          <w:top w:w="0" w:type="dxa"/>
          <w:left w:w="0" w:type="dxa"/>
          <w:bottom w:w="28" w:type="dxa"/>
          <w:right w:w="0" w:type="dxa"/>
        </w:tblCellMar>
      </w:tblPr>
      <w:tblGrid>
        <w:gridCol w:w="3515"/>
        <w:gridCol w:w="60"/>
        <w:gridCol w:w="140"/>
        <w:gridCol w:w="980"/>
        <w:gridCol w:w="95"/>
        <w:gridCol w:w="60"/>
        <w:gridCol w:w="140"/>
        <w:gridCol w:w="980"/>
        <w:gridCol w:w="110"/>
      </w:tblGrid>
      <w:tr>
        <w:trPr/>
        <w:tc>
          <w:tcPr>
            <w:tcW w:w="3515" w:type="dxa"/>
            <w:tcBorders>
              <w:bottom w:val="single" w:sz="12" w:space="0" w:color="000000"/>
            </w:tcBorders>
            <w:vAlign w:val="center"/>
          </w:tcPr>
          <w:p>
            <w:pPr>
              <w:pStyle w:val="TableContents"/>
              <w:bidi w:val="0"/>
              <w:spacing w:before="0" w:after="283"/>
              <w:jc w:val="left"/>
              <w:rPr>
                <w:b/>
              </w:rPr>
            </w:pPr>
            <w:r>
              <w:rPr>
                <w:b/>
              </w:rPr>
              <w:t>For the year ending December 31:</w:t>
            </w:r>
          </w:p>
        </w:tc>
        <w:tc>
          <w:tcPr>
            <w:tcW w:w="60" w:type="dxa"/>
            <w:tcBorders/>
            <w:tcMar>
              <w:bottom w:w="0" w:type="dxa"/>
            </w:tcMar>
            <w:vAlign w:val="center"/>
          </w:tcPr>
          <w:p>
            <w:pPr>
              <w:pStyle w:val="TableContents"/>
              <w:bidi w:val="0"/>
              <w:spacing w:before="0" w:after="283"/>
              <w:jc w:val="left"/>
              <w:rPr/>
            </w:pPr>
            <w:r>
              <w:rPr/>
              <w:t> </w:t>
            </w:r>
          </w:p>
        </w:tc>
        <w:tc>
          <w:tcPr>
            <w:tcW w:w="1120" w:type="dxa"/>
            <w:gridSpan w:val="2"/>
            <w:tcBorders>
              <w:bottom w:val="single" w:sz="12" w:space="0" w:color="000000"/>
            </w:tcBorders>
            <w:vAlign w:val="center"/>
          </w:tcPr>
          <w:p>
            <w:pPr>
              <w:pStyle w:val="TableContents"/>
              <w:bidi w:val="0"/>
              <w:spacing w:before="0" w:after="283"/>
              <w:jc w:val="center"/>
              <w:rPr>
                <w:b/>
              </w:rPr>
            </w:pPr>
            <w:r>
              <w:rPr>
                <w:b/>
              </w:rPr>
              <w:t>Operating</w:t>
            </w:r>
          </w:p>
        </w:tc>
        <w:tc>
          <w:tcPr>
            <w:tcW w:w="9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120" w:type="dxa"/>
            <w:gridSpan w:val="2"/>
            <w:tcBorders>
              <w:bottom w:val="single" w:sz="12" w:space="0" w:color="000000"/>
            </w:tcBorders>
            <w:vAlign w:val="center"/>
          </w:tcPr>
          <w:p>
            <w:pPr>
              <w:pStyle w:val="TableContents"/>
              <w:bidi w:val="0"/>
              <w:spacing w:before="0" w:after="283"/>
              <w:jc w:val="center"/>
              <w:rPr>
                <w:b/>
              </w:rPr>
            </w:pPr>
            <w:r>
              <w:rPr>
                <w:b/>
              </w:rPr>
              <w:t>Finance</w:t>
            </w:r>
          </w:p>
        </w:tc>
        <w:tc>
          <w:tcPr>
            <w:tcW w:w="110" w:type="dxa"/>
            <w:tcBorders/>
            <w:tcMar>
              <w:bottom w:w="0" w:type="dxa"/>
            </w:tcMar>
            <w:vAlign w:val="center"/>
          </w:tcPr>
          <w:p>
            <w:pPr>
              <w:pStyle w:val="TableContents"/>
              <w:bidi w:val="0"/>
              <w:spacing w:before="0" w:after="283"/>
              <w:jc w:val="left"/>
              <w:rPr/>
            </w:pPr>
            <w:r>
              <w:rPr/>
              <w:t> </w:t>
            </w:r>
          </w:p>
        </w:tc>
      </w:tr>
      <w:tr>
        <w:trPr/>
        <w:tc>
          <w:tcPr>
            <w:tcW w:w="3515" w:type="dxa"/>
            <w:tcBorders/>
            <w:shd w:fill="CCEEFF" w:val="clear"/>
            <w:tcMar>
              <w:bottom w:w="0" w:type="dxa"/>
            </w:tcMar>
            <w:vAlign w:val="center"/>
          </w:tcPr>
          <w:p>
            <w:pPr>
              <w:pStyle w:val="TableContents"/>
              <w:bidi w:val="0"/>
              <w:spacing w:before="0" w:after="283"/>
              <w:jc w:val="left"/>
              <w:rPr/>
            </w:pPr>
            <w:r>
              <w:rPr/>
              <w:t>2025 (Remainder)</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w:t>
            </w:r>
          </w:p>
        </w:tc>
        <w:tc>
          <w:tcPr>
            <w:tcW w:w="980" w:type="dxa"/>
            <w:tcBorders/>
            <w:shd w:fill="CCEEFF" w:val="clear"/>
            <w:tcMar>
              <w:bottom w:w="0" w:type="dxa"/>
            </w:tcMar>
            <w:vAlign w:val="center"/>
          </w:tcPr>
          <w:p>
            <w:pPr>
              <w:pStyle w:val="TableContents"/>
              <w:bidi w:val="0"/>
              <w:spacing w:before="0" w:after="283"/>
              <w:jc w:val="right"/>
              <w:rPr/>
            </w:pPr>
            <w:r>
              <w:rPr/>
              <w:t>187,097</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w:t>
            </w:r>
          </w:p>
        </w:tc>
        <w:tc>
          <w:tcPr>
            <w:tcW w:w="980" w:type="dxa"/>
            <w:tcBorders/>
            <w:shd w:fill="CCEEFF" w:val="clear"/>
            <w:tcMar>
              <w:bottom w:w="0" w:type="dxa"/>
            </w:tcMar>
            <w:vAlign w:val="center"/>
          </w:tcPr>
          <w:p>
            <w:pPr>
              <w:pStyle w:val="TableContents"/>
              <w:bidi w:val="0"/>
              <w:spacing w:before="0" w:after="283"/>
              <w:jc w:val="right"/>
              <w:rPr/>
            </w:pPr>
            <w:r>
              <w:rPr/>
              <w:t>114,134</w:t>
            </w:r>
          </w:p>
        </w:tc>
        <w:tc>
          <w:tcPr>
            <w:tcW w:w="110" w:type="dxa"/>
            <w:tcBorders/>
            <w:shd w:fill="CCEEFF" w:val="clear"/>
            <w:tcMar>
              <w:bottom w:w="0" w:type="dxa"/>
            </w:tcMar>
            <w:vAlign w:val="center"/>
          </w:tcPr>
          <w:p>
            <w:pPr>
              <w:pStyle w:val="TableContents"/>
              <w:bidi w:val="0"/>
              <w:spacing w:before="0" w:after="283"/>
              <w:jc w:val="left"/>
              <w:rPr/>
            </w:pPr>
            <w:r>
              <w:rPr/>
              <w:t> </w:t>
            </w:r>
          </w:p>
        </w:tc>
      </w:tr>
      <w:tr>
        <w:trPr/>
        <w:tc>
          <w:tcPr>
            <w:tcW w:w="3515" w:type="dxa"/>
            <w:tcBorders/>
            <w:shd w:fill="FFFFFF" w:val="clear"/>
            <w:tcMar>
              <w:bottom w:w="0" w:type="dxa"/>
            </w:tcMar>
            <w:vAlign w:val="center"/>
          </w:tcPr>
          <w:p>
            <w:pPr>
              <w:pStyle w:val="TableContents"/>
              <w:bidi w:val="0"/>
              <w:spacing w:before="0" w:after="283"/>
              <w:jc w:val="left"/>
              <w:rPr/>
            </w:pPr>
            <w:r>
              <w:rPr/>
              <w:t>2026</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980" w:type="dxa"/>
            <w:tcBorders/>
            <w:shd w:fill="FFFFFF" w:val="clear"/>
            <w:tcMar>
              <w:bottom w:w="0" w:type="dxa"/>
            </w:tcMar>
            <w:vAlign w:val="center"/>
          </w:tcPr>
          <w:p>
            <w:pPr>
              <w:pStyle w:val="TableContents"/>
              <w:bidi w:val="0"/>
              <w:spacing w:before="0" w:after="283"/>
              <w:jc w:val="right"/>
              <w:rPr/>
            </w:pPr>
            <w:r>
              <w:rPr/>
              <w:t>570,490</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980" w:type="dxa"/>
            <w:tcBorders/>
            <w:shd w:fill="FFFFFF" w:val="clear"/>
            <w:tcMar>
              <w:bottom w:w="0" w:type="dxa"/>
            </w:tcMar>
            <w:vAlign w:val="center"/>
          </w:tcPr>
          <w:p>
            <w:pPr>
              <w:pStyle w:val="TableContents"/>
              <w:bidi w:val="0"/>
              <w:spacing w:before="0" w:after="283"/>
              <w:jc w:val="right"/>
              <w:rPr/>
            </w:pPr>
            <w:r>
              <w:rPr/>
              <w:t>364,512</w:t>
            </w:r>
          </w:p>
        </w:tc>
        <w:tc>
          <w:tcPr>
            <w:tcW w:w="110" w:type="dxa"/>
            <w:tcBorders/>
            <w:shd w:fill="FFFFFF" w:val="clear"/>
            <w:tcMar>
              <w:bottom w:w="0" w:type="dxa"/>
            </w:tcMar>
            <w:vAlign w:val="center"/>
          </w:tcPr>
          <w:p>
            <w:pPr>
              <w:pStyle w:val="TableContents"/>
              <w:bidi w:val="0"/>
              <w:spacing w:before="0" w:after="283"/>
              <w:jc w:val="left"/>
              <w:rPr/>
            </w:pPr>
            <w:r>
              <w:rPr/>
              <w:t> </w:t>
            </w:r>
          </w:p>
        </w:tc>
      </w:tr>
      <w:tr>
        <w:trPr/>
        <w:tc>
          <w:tcPr>
            <w:tcW w:w="3515" w:type="dxa"/>
            <w:tcBorders/>
            <w:shd w:fill="CCEEFF" w:val="clear"/>
            <w:tcMar>
              <w:bottom w:w="0" w:type="dxa"/>
            </w:tcMar>
            <w:vAlign w:val="center"/>
          </w:tcPr>
          <w:p>
            <w:pPr>
              <w:pStyle w:val="TableContents"/>
              <w:bidi w:val="0"/>
              <w:spacing w:before="0" w:after="283"/>
              <w:jc w:val="left"/>
              <w:rPr/>
            </w:pPr>
            <w:r>
              <w:rPr/>
              <w:t>2027</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980" w:type="dxa"/>
            <w:tcBorders/>
            <w:shd w:fill="CCEEFF" w:val="clear"/>
            <w:tcMar>
              <w:bottom w:w="0" w:type="dxa"/>
            </w:tcMar>
            <w:vAlign w:val="center"/>
          </w:tcPr>
          <w:p>
            <w:pPr>
              <w:pStyle w:val="TableContents"/>
              <w:bidi w:val="0"/>
              <w:spacing w:before="0" w:after="283"/>
              <w:jc w:val="right"/>
              <w:rPr/>
            </w:pPr>
            <w:r>
              <w:rPr/>
              <w:t>689,483</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980" w:type="dxa"/>
            <w:tcBorders/>
            <w:shd w:fill="CCEEFF" w:val="clear"/>
            <w:tcMar>
              <w:bottom w:w="0" w:type="dxa"/>
            </w:tcMar>
            <w:vAlign w:val="center"/>
          </w:tcPr>
          <w:p>
            <w:pPr>
              <w:pStyle w:val="TableContents"/>
              <w:bidi w:val="0"/>
              <w:spacing w:before="0" w:after="283"/>
              <w:jc w:val="right"/>
              <w:rPr/>
            </w:pPr>
            <w:r>
              <w:rPr/>
              <w:t>374,183</w:t>
            </w:r>
          </w:p>
        </w:tc>
        <w:tc>
          <w:tcPr>
            <w:tcW w:w="110" w:type="dxa"/>
            <w:tcBorders/>
            <w:shd w:fill="CCEEFF" w:val="clear"/>
            <w:tcMar>
              <w:bottom w:w="0" w:type="dxa"/>
            </w:tcMar>
            <w:vAlign w:val="center"/>
          </w:tcPr>
          <w:p>
            <w:pPr>
              <w:pStyle w:val="TableContents"/>
              <w:bidi w:val="0"/>
              <w:spacing w:before="0" w:after="283"/>
              <w:jc w:val="left"/>
              <w:rPr/>
            </w:pPr>
            <w:r>
              <w:rPr/>
              <w:t> </w:t>
            </w:r>
          </w:p>
        </w:tc>
      </w:tr>
      <w:tr>
        <w:trPr/>
        <w:tc>
          <w:tcPr>
            <w:tcW w:w="3515" w:type="dxa"/>
            <w:tcBorders/>
            <w:shd w:fill="FFFFFF" w:val="clear"/>
            <w:tcMar>
              <w:bottom w:w="0" w:type="dxa"/>
            </w:tcMar>
            <w:vAlign w:val="center"/>
          </w:tcPr>
          <w:p>
            <w:pPr>
              <w:pStyle w:val="TableContents"/>
              <w:bidi w:val="0"/>
              <w:spacing w:before="0" w:after="283"/>
              <w:jc w:val="left"/>
              <w:rPr/>
            </w:pPr>
            <w:r>
              <w:rPr/>
              <w:t>2028</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980" w:type="dxa"/>
            <w:tcBorders/>
            <w:shd w:fill="FFFFFF" w:val="clear"/>
            <w:tcMar>
              <w:bottom w:w="0" w:type="dxa"/>
            </w:tcMar>
            <w:vAlign w:val="center"/>
          </w:tcPr>
          <w:p>
            <w:pPr>
              <w:pStyle w:val="TableContents"/>
              <w:bidi w:val="0"/>
              <w:spacing w:before="0" w:after="283"/>
              <w:jc w:val="right"/>
              <w:rPr/>
            </w:pPr>
            <w:r>
              <w:rPr/>
              <w:t>759,660</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980" w:type="dxa"/>
            <w:tcBorders/>
            <w:shd w:fill="FFFFFF" w:val="clear"/>
            <w:tcMar>
              <w:bottom w:w="0" w:type="dxa"/>
            </w:tcMar>
            <w:vAlign w:val="center"/>
          </w:tcPr>
          <w:p>
            <w:pPr>
              <w:pStyle w:val="TableContents"/>
              <w:bidi w:val="0"/>
              <w:spacing w:before="0" w:after="283"/>
              <w:jc w:val="right"/>
              <w:rPr/>
            </w:pPr>
            <w:r>
              <w:rPr/>
              <w:t>399,923</w:t>
            </w:r>
          </w:p>
        </w:tc>
        <w:tc>
          <w:tcPr>
            <w:tcW w:w="110" w:type="dxa"/>
            <w:tcBorders/>
            <w:shd w:fill="FFFFFF" w:val="clear"/>
            <w:tcMar>
              <w:bottom w:w="0" w:type="dxa"/>
            </w:tcMar>
            <w:vAlign w:val="center"/>
          </w:tcPr>
          <w:p>
            <w:pPr>
              <w:pStyle w:val="TableContents"/>
              <w:bidi w:val="0"/>
              <w:spacing w:before="0" w:after="283"/>
              <w:jc w:val="left"/>
              <w:rPr/>
            </w:pPr>
            <w:r>
              <w:rPr/>
              <w:t> </w:t>
            </w:r>
          </w:p>
        </w:tc>
      </w:tr>
      <w:tr>
        <w:trPr/>
        <w:tc>
          <w:tcPr>
            <w:tcW w:w="3515" w:type="dxa"/>
            <w:tcBorders/>
            <w:shd w:fill="CCEEFF" w:val="clear"/>
            <w:tcMar>
              <w:bottom w:w="0" w:type="dxa"/>
            </w:tcMar>
            <w:vAlign w:val="center"/>
          </w:tcPr>
          <w:p>
            <w:pPr>
              <w:pStyle w:val="TableContents"/>
              <w:bidi w:val="0"/>
              <w:spacing w:before="0" w:after="283"/>
              <w:jc w:val="left"/>
              <w:rPr/>
            </w:pPr>
            <w:r>
              <w:rPr/>
              <w:t>2029</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980" w:type="dxa"/>
            <w:tcBorders/>
            <w:shd w:fill="CCEEFF" w:val="clear"/>
            <w:tcMar>
              <w:bottom w:w="0" w:type="dxa"/>
            </w:tcMar>
            <w:vAlign w:val="center"/>
          </w:tcPr>
          <w:p>
            <w:pPr>
              <w:pStyle w:val="TableContents"/>
              <w:bidi w:val="0"/>
              <w:spacing w:before="0" w:after="283"/>
              <w:jc w:val="right"/>
              <w:rPr/>
            </w:pPr>
            <w:r>
              <w:rPr/>
              <w:t>741,734</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980" w:type="dxa"/>
            <w:tcBorders/>
            <w:shd w:fill="CCEEFF" w:val="clear"/>
            <w:tcMar>
              <w:bottom w:w="0" w:type="dxa"/>
            </w:tcMar>
            <w:vAlign w:val="center"/>
          </w:tcPr>
          <w:p>
            <w:pPr>
              <w:pStyle w:val="TableContents"/>
              <w:bidi w:val="0"/>
              <w:spacing w:before="0" w:after="283"/>
              <w:jc w:val="right"/>
              <w:rPr/>
            </w:pPr>
            <w:r>
              <w:rPr/>
              <w:t>232,443</w:t>
            </w:r>
          </w:p>
        </w:tc>
        <w:tc>
          <w:tcPr>
            <w:tcW w:w="110" w:type="dxa"/>
            <w:tcBorders/>
            <w:shd w:fill="CCEEFF" w:val="clear"/>
            <w:tcMar>
              <w:bottom w:w="0" w:type="dxa"/>
            </w:tcMar>
            <w:vAlign w:val="center"/>
          </w:tcPr>
          <w:p>
            <w:pPr>
              <w:pStyle w:val="TableContents"/>
              <w:bidi w:val="0"/>
              <w:spacing w:before="0" w:after="283"/>
              <w:jc w:val="left"/>
              <w:rPr/>
            </w:pPr>
            <w:r>
              <w:rPr/>
              <w:t> </w:t>
            </w:r>
          </w:p>
        </w:tc>
      </w:tr>
      <w:tr>
        <w:trPr/>
        <w:tc>
          <w:tcPr>
            <w:tcW w:w="3515" w:type="dxa"/>
            <w:tcBorders/>
            <w:shd w:fill="FFFFFF" w:val="clear"/>
            <w:tcMar>
              <w:bottom w:w="0" w:type="dxa"/>
            </w:tcMar>
            <w:vAlign w:val="center"/>
          </w:tcPr>
          <w:p>
            <w:pPr>
              <w:pStyle w:val="TableContents"/>
              <w:bidi w:val="0"/>
              <w:spacing w:before="0" w:after="283"/>
              <w:jc w:val="left"/>
              <w:rPr/>
            </w:pPr>
            <w:r>
              <w:rPr/>
              <w:t>2030</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bottom w:val="single" w:sz="12" w:space="0" w:color="000000"/>
            </w:tcBorders>
            <w:shd w:fill="FFFFFF" w:val="clear"/>
            <w:vAlign w:val="center"/>
          </w:tcPr>
          <w:p>
            <w:pPr>
              <w:pStyle w:val="TableContents"/>
              <w:bidi w:val="0"/>
              <w:spacing w:before="0" w:after="283"/>
              <w:jc w:val="left"/>
              <w:rPr/>
            </w:pPr>
            <w:r>
              <w:rPr/>
              <w:t> </w:t>
            </w:r>
          </w:p>
        </w:tc>
        <w:tc>
          <w:tcPr>
            <w:tcW w:w="980" w:type="dxa"/>
            <w:tcBorders>
              <w:bottom w:val="single" w:sz="12" w:space="0" w:color="000000"/>
            </w:tcBorders>
            <w:shd w:fill="FFFFFF" w:val="clear"/>
            <w:vAlign w:val="center"/>
          </w:tcPr>
          <w:p>
            <w:pPr>
              <w:pStyle w:val="TableContents"/>
              <w:bidi w:val="0"/>
              <w:spacing w:before="0" w:after="283"/>
              <w:jc w:val="right"/>
              <w:rPr/>
            </w:pPr>
            <w:r>
              <w:rPr/>
              <w:t>312,086</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bottom w:val="single" w:sz="12" w:space="0" w:color="000000"/>
            </w:tcBorders>
            <w:shd w:fill="FFFFFF" w:val="clear"/>
            <w:vAlign w:val="center"/>
          </w:tcPr>
          <w:p>
            <w:pPr>
              <w:pStyle w:val="TableContents"/>
              <w:bidi w:val="0"/>
              <w:spacing w:before="0" w:after="283"/>
              <w:jc w:val="left"/>
              <w:rPr/>
            </w:pPr>
            <w:r>
              <w:rPr/>
              <w:t> </w:t>
            </w:r>
          </w:p>
        </w:tc>
        <w:tc>
          <w:tcPr>
            <w:tcW w:w="980" w:type="dxa"/>
            <w:tcBorders>
              <w:bottom w:val="single" w:sz="12" w:space="0" w:color="000000"/>
            </w:tcBorders>
            <w:shd w:fill="FFFFFF" w:val="clear"/>
            <w:vAlign w:val="center"/>
          </w:tcPr>
          <w:p>
            <w:pPr>
              <w:pStyle w:val="TableContents"/>
              <w:bidi w:val="0"/>
              <w:spacing w:before="0" w:after="283"/>
              <w:jc w:val="right"/>
              <w:rPr/>
            </w:pPr>
            <w:r>
              <w:rPr/>
              <w:t>-</w:t>
            </w:r>
          </w:p>
        </w:tc>
        <w:tc>
          <w:tcPr>
            <w:tcW w:w="110" w:type="dxa"/>
            <w:tcBorders/>
            <w:shd w:fill="FFFFFF" w:val="clear"/>
            <w:tcMar>
              <w:bottom w:w="0" w:type="dxa"/>
            </w:tcMar>
            <w:vAlign w:val="center"/>
          </w:tcPr>
          <w:p>
            <w:pPr>
              <w:pStyle w:val="TableContents"/>
              <w:bidi w:val="0"/>
              <w:spacing w:before="0" w:after="283"/>
              <w:jc w:val="left"/>
              <w:rPr/>
            </w:pPr>
            <w:r>
              <w:rPr/>
              <w:t> </w:t>
            </w:r>
          </w:p>
        </w:tc>
      </w:tr>
      <w:tr>
        <w:trPr/>
        <w:tc>
          <w:tcPr>
            <w:tcW w:w="351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980" w:type="dxa"/>
            <w:tcBorders/>
            <w:shd w:fill="CCEEFF" w:val="clear"/>
            <w:tcMar>
              <w:bottom w:w="0" w:type="dxa"/>
            </w:tcMar>
            <w:vAlign w:val="center"/>
          </w:tcPr>
          <w:p>
            <w:pPr>
              <w:pStyle w:val="TableContents"/>
              <w:bidi w:val="0"/>
              <w:spacing w:before="0" w:after="283"/>
              <w:jc w:val="right"/>
              <w:rPr/>
            </w:pPr>
            <w:r>
              <w:rPr/>
              <w:t> </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980" w:type="dxa"/>
            <w:tcBorders/>
            <w:shd w:fill="CCEEFF" w:val="clear"/>
            <w:tcMar>
              <w:bottom w:w="0" w:type="dxa"/>
            </w:tcMar>
            <w:vAlign w:val="center"/>
          </w:tcPr>
          <w:p>
            <w:pPr>
              <w:pStyle w:val="TableContents"/>
              <w:bidi w:val="0"/>
              <w:spacing w:before="0" w:after="283"/>
              <w:jc w:val="right"/>
              <w:rPr/>
            </w:pPr>
            <w:r>
              <w:rPr/>
              <w:t> </w:t>
            </w:r>
          </w:p>
        </w:tc>
        <w:tc>
          <w:tcPr>
            <w:tcW w:w="110" w:type="dxa"/>
            <w:tcBorders/>
            <w:shd w:fill="CCEEFF" w:val="clear"/>
            <w:tcMar>
              <w:bottom w:w="0" w:type="dxa"/>
            </w:tcMar>
            <w:vAlign w:val="center"/>
          </w:tcPr>
          <w:p>
            <w:pPr>
              <w:pStyle w:val="TableContents"/>
              <w:bidi w:val="0"/>
              <w:spacing w:before="0" w:after="283"/>
              <w:jc w:val="left"/>
              <w:rPr/>
            </w:pPr>
            <w:r>
              <w:rPr/>
              <w:t> </w:t>
            </w:r>
          </w:p>
        </w:tc>
      </w:tr>
      <w:tr>
        <w:trPr/>
        <w:tc>
          <w:tcPr>
            <w:tcW w:w="3515" w:type="dxa"/>
            <w:tcBorders/>
            <w:shd w:fill="FFFFFF" w:val="clear"/>
            <w:tcMar>
              <w:bottom w:w="0" w:type="dxa"/>
            </w:tcMar>
            <w:vAlign w:val="center"/>
          </w:tcPr>
          <w:p>
            <w:pPr>
              <w:pStyle w:val="TableContents"/>
              <w:bidi w:val="0"/>
              <w:spacing w:before="0" w:after="283"/>
              <w:jc w:val="left"/>
              <w:rPr/>
            </w:pPr>
            <w:r>
              <w:rPr/>
              <w:t>Total lease payments</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980" w:type="dxa"/>
            <w:tcBorders/>
            <w:shd w:fill="FFFFFF" w:val="clear"/>
            <w:tcMar>
              <w:bottom w:w="0" w:type="dxa"/>
            </w:tcMar>
            <w:vAlign w:val="center"/>
          </w:tcPr>
          <w:p>
            <w:pPr>
              <w:pStyle w:val="TableContents"/>
              <w:bidi w:val="0"/>
              <w:spacing w:before="0" w:after="283"/>
              <w:jc w:val="right"/>
              <w:rPr/>
            </w:pPr>
            <w:r>
              <w:rPr/>
              <w:t>3,260,550</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980" w:type="dxa"/>
            <w:tcBorders/>
            <w:shd w:fill="FFFFFF" w:val="clear"/>
            <w:tcMar>
              <w:bottom w:w="0" w:type="dxa"/>
            </w:tcMar>
            <w:vAlign w:val="center"/>
          </w:tcPr>
          <w:p>
            <w:pPr>
              <w:pStyle w:val="TableContents"/>
              <w:bidi w:val="0"/>
              <w:spacing w:before="0" w:after="283"/>
              <w:jc w:val="right"/>
              <w:rPr/>
            </w:pPr>
            <w:r>
              <w:rPr/>
              <w:t>1,485,195</w:t>
            </w:r>
          </w:p>
        </w:tc>
        <w:tc>
          <w:tcPr>
            <w:tcW w:w="110" w:type="dxa"/>
            <w:tcBorders/>
            <w:shd w:fill="FFFFFF" w:val="clear"/>
            <w:tcMar>
              <w:bottom w:w="0" w:type="dxa"/>
            </w:tcMar>
            <w:vAlign w:val="center"/>
          </w:tcPr>
          <w:p>
            <w:pPr>
              <w:pStyle w:val="TableContents"/>
              <w:bidi w:val="0"/>
              <w:spacing w:before="0" w:after="283"/>
              <w:jc w:val="left"/>
              <w:rPr/>
            </w:pPr>
            <w:r>
              <w:rPr/>
              <w:t> </w:t>
            </w:r>
          </w:p>
        </w:tc>
      </w:tr>
      <w:tr>
        <w:trPr/>
        <w:tc>
          <w:tcPr>
            <w:tcW w:w="3515" w:type="dxa"/>
            <w:tcBorders/>
            <w:shd w:fill="CCEEFF" w:val="clear"/>
            <w:tcMar>
              <w:bottom w:w="0" w:type="dxa"/>
            </w:tcMar>
            <w:vAlign w:val="center"/>
          </w:tcPr>
          <w:p>
            <w:pPr>
              <w:pStyle w:val="TableContents"/>
              <w:bidi w:val="0"/>
              <w:spacing w:before="0" w:after="283"/>
              <w:jc w:val="left"/>
              <w:rPr/>
            </w:pPr>
            <w:r>
              <w:rPr/>
              <w:t>Less: interest</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bottom w:val="single" w:sz="12" w:space="0" w:color="000000"/>
            </w:tcBorders>
            <w:shd w:fill="CCEEFF" w:val="clear"/>
            <w:vAlign w:val="center"/>
          </w:tcPr>
          <w:p>
            <w:pPr>
              <w:pStyle w:val="TableContents"/>
              <w:bidi w:val="0"/>
              <w:spacing w:before="0" w:after="283"/>
              <w:jc w:val="left"/>
              <w:rPr/>
            </w:pPr>
            <w:r>
              <w:rPr/>
              <w:t> </w:t>
            </w:r>
          </w:p>
        </w:tc>
        <w:tc>
          <w:tcPr>
            <w:tcW w:w="980" w:type="dxa"/>
            <w:tcBorders>
              <w:bottom w:val="single" w:sz="12" w:space="0" w:color="000000"/>
            </w:tcBorders>
            <w:shd w:fill="CCEEFF" w:val="clear"/>
            <w:vAlign w:val="center"/>
          </w:tcPr>
          <w:p>
            <w:pPr>
              <w:pStyle w:val="TableContents"/>
              <w:bidi w:val="0"/>
              <w:spacing w:before="0" w:after="283"/>
              <w:jc w:val="right"/>
              <w:rPr/>
            </w:pPr>
            <w:r>
              <w:rPr/>
              <w:t>(492,202</w:t>
            </w:r>
          </w:p>
        </w:tc>
        <w:tc>
          <w:tcPr>
            <w:tcW w:w="95" w:type="dxa"/>
            <w:tcBorders/>
            <w:shd w:fill="CCEEFF" w:val="clear"/>
            <w:tcMar>
              <w:bottom w:w="0" w:type="dxa"/>
            </w:tcMar>
            <w:vAlign w:val="center"/>
          </w:tcPr>
          <w:p>
            <w:pPr>
              <w:pStyle w:val="TableContents"/>
              <w:bidi w:val="0"/>
              <w:spacing w:before="0" w:after="283"/>
              <w:jc w:val="lef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bottom w:val="single" w:sz="12" w:space="0" w:color="000000"/>
            </w:tcBorders>
            <w:shd w:fill="CCEEFF" w:val="clear"/>
            <w:vAlign w:val="center"/>
          </w:tcPr>
          <w:p>
            <w:pPr>
              <w:pStyle w:val="TableContents"/>
              <w:bidi w:val="0"/>
              <w:spacing w:before="0" w:after="283"/>
              <w:jc w:val="left"/>
              <w:rPr/>
            </w:pPr>
            <w:r>
              <w:rPr/>
              <w:t> </w:t>
            </w:r>
          </w:p>
        </w:tc>
        <w:tc>
          <w:tcPr>
            <w:tcW w:w="980" w:type="dxa"/>
            <w:tcBorders>
              <w:bottom w:val="single" w:sz="12" w:space="0" w:color="000000"/>
            </w:tcBorders>
            <w:shd w:fill="CCEEFF" w:val="clear"/>
            <w:vAlign w:val="center"/>
          </w:tcPr>
          <w:p>
            <w:pPr>
              <w:pStyle w:val="TableContents"/>
              <w:bidi w:val="0"/>
              <w:spacing w:before="0" w:after="283"/>
              <w:jc w:val="right"/>
              <w:rPr/>
            </w:pPr>
            <w:r>
              <w:rPr/>
              <w:t>(190,552</w:t>
            </w:r>
          </w:p>
        </w:tc>
        <w:tc>
          <w:tcPr>
            <w:tcW w:w="110" w:type="dxa"/>
            <w:tcBorders/>
            <w:shd w:fill="CCEEFF" w:val="clear"/>
            <w:tcMar>
              <w:bottom w:w="0" w:type="dxa"/>
            </w:tcMar>
            <w:vAlign w:val="center"/>
          </w:tcPr>
          <w:p>
            <w:pPr>
              <w:pStyle w:val="TableContents"/>
              <w:bidi w:val="0"/>
              <w:spacing w:before="0" w:after="283"/>
              <w:jc w:val="left"/>
              <w:rPr/>
            </w:pPr>
            <w:r>
              <w:rPr/>
              <w:t>)</w:t>
            </w:r>
          </w:p>
        </w:tc>
      </w:tr>
      <w:tr>
        <w:trPr/>
        <w:tc>
          <w:tcPr>
            <w:tcW w:w="3515" w:type="dxa"/>
            <w:tcBorders/>
            <w:shd w:fill="FFFFFF" w:val="clear"/>
            <w:tcMar>
              <w:bottom w:w="0" w:type="dxa"/>
            </w:tcMar>
            <w:vAlign w:val="center"/>
          </w:tcPr>
          <w:p>
            <w:pPr>
              <w:pStyle w:val="TableContents"/>
              <w:bidi w:val="0"/>
              <w:spacing w:before="0" w:after="283"/>
              <w:jc w:val="left"/>
              <w:rPr/>
            </w:pPr>
            <w:r>
              <w:rPr/>
              <w:t>Present value of lease liabilities</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bottom w:val="single" w:sz="12" w:space="0" w:color="000000"/>
            </w:tcBorders>
            <w:shd w:fill="FFFFFF" w:val="clear"/>
            <w:vAlign w:val="center"/>
          </w:tcPr>
          <w:p>
            <w:pPr>
              <w:pStyle w:val="TableContents"/>
              <w:bidi w:val="0"/>
              <w:spacing w:before="0" w:after="283"/>
              <w:jc w:val="left"/>
              <w:rPr/>
            </w:pPr>
            <w:r>
              <w:rPr/>
              <w:t>$</w:t>
            </w:r>
          </w:p>
        </w:tc>
        <w:tc>
          <w:tcPr>
            <w:tcW w:w="980" w:type="dxa"/>
            <w:tcBorders>
              <w:bottom w:val="single" w:sz="12" w:space="0" w:color="000000"/>
            </w:tcBorders>
            <w:shd w:fill="FFFFFF" w:val="clear"/>
            <w:vAlign w:val="center"/>
          </w:tcPr>
          <w:p>
            <w:pPr>
              <w:pStyle w:val="TableContents"/>
              <w:bidi w:val="0"/>
              <w:spacing w:before="0" w:after="283"/>
              <w:jc w:val="right"/>
              <w:rPr/>
            </w:pPr>
            <w:r>
              <w:rPr/>
              <w:t>2,768,348</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bottom w:val="single" w:sz="12" w:space="0" w:color="000000"/>
            </w:tcBorders>
            <w:shd w:fill="FFFFFF" w:val="clear"/>
            <w:vAlign w:val="center"/>
          </w:tcPr>
          <w:p>
            <w:pPr>
              <w:pStyle w:val="TableContents"/>
              <w:bidi w:val="0"/>
              <w:spacing w:before="0" w:after="283"/>
              <w:jc w:val="left"/>
              <w:rPr/>
            </w:pPr>
            <w:r>
              <w:rPr/>
              <w:t>$</w:t>
            </w:r>
          </w:p>
        </w:tc>
        <w:tc>
          <w:tcPr>
            <w:tcW w:w="980" w:type="dxa"/>
            <w:tcBorders>
              <w:bottom w:val="single" w:sz="12" w:space="0" w:color="000000"/>
            </w:tcBorders>
            <w:shd w:fill="FFFFFF" w:val="clear"/>
            <w:vAlign w:val="center"/>
          </w:tcPr>
          <w:p>
            <w:pPr>
              <w:pStyle w:val="TableContents"/>
              <w:bidi w:val="0"/>
              <w:spacing w:before="0" w:after="283"/>
              <w:jc w:val="right"/>
              <w:rPr/>
            </w:pPr>
            <w:r>
              <w:rPr/>
              <w:t>1,294,643</w:t>
            </w:r>
          </w:p>
        </w:tc>
        <w:tc>
          <w:tcPr>
            <w:tcW w:w="110" w:type="dxa"/>
            <w:tcBorders/>
            <w:shd w:fill="FFFFFF" w:val="clear"/>
            <w:tcMar>
              <w:bottom w:w="0" w:type="dxa"/>
            </w:tcM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Rent expense related to short-term leases for the nine months ended September 30, 2025 and 2024 was $224,202 and $36,513, respectively. Cash payments made for the nine months ended September 30, 2025 and 2024 that are included in the measurement of lease liabilities was $681,392 and $643,415, respectively.</w:t>
      </w:r>
    </w:p>
    <w:p>
      <w:pPr>
        <w:pStyle w:val="TextBody"/>
        <w:bidi w:val="0"/>
        <w:spacing w:before="0" w:after="0"/>
        <w:ind w:left="0" w:right="0" w:hanging="0"/>
        <w:jc w:val="both"/>
        <w:rPr>
          <w:caps w:val="false"/>
          <w:smallCaps w:val="false"/>
        </w:rPr>
      </w:pPr>
      <w:r>
        <w:rPr>
          <w:caps w:val="false"/>
          <w:smallCaps w:val="false"/>
        </w:rPr>
        <w:t> </w:t>
      </w:r>
    </w:p>
    <w:tbl>
      <w:tblPr>
        <w:tblW w:w="4750" w:type="dxa"/>
        <w:jc w:val="left"/>
        <w:tblInd w:w="0" w:type="dxa"/>
        <w:tblLayout w:type="fixed"/>
        <w:tblCellMar>
          <w:top w:w="0" w:type="dxa"/>
          <w:left w:w="0" w:type="dxa"/>
          <w:bottom w:w="0" w:type="dxa"/>
          <w:right w:w="0" w:type="dxa"/>
        </w:tblCellMar>
      </w:tblPr>
      <w:tblGrid>
        <w:gridCol w:w="290"/>
        <w:gridCol w:w="4460"/>
      </w:tblGrid>
      <w:tr>
        <w:trPr/>
        <w:tc>
          <w:tcPr>
            <w:tcW w:w="29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11.</w:t>
            </w:r>
          </w:p>
        </w:tc>
        <w:tc>
          <w:tcPr>
            <w:tcW w:w="4460" w:type="dxa"/>
            <w:tcBorders/>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Related Party Transactions Not Disclosed Elsewhere</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Sales Commissions Receivables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Sales commissions receivables consist of commissions receivable due from employees and contractors owed to the Company. As of September 30, 2025 sales commissions receivable was approximately $1,581,000, net of allowance of approximately $760,000. As of December 31, 2024, sales commissions receivable was approximately $424,000, net of allowance of $0.</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sz w:val="20"/>
          <w:bdr w:val="single" w:sz="12" w:space="1" w:color="000000"/>
        </w:rPr>
      </w:pPr>
      <w:r>
        <w:rPr>
          <w:sz w:val="20"/>
          <w:bdr w:val="single" w:sz="12" w:space="1" w:color="000000"/>
        </w:rPr>
        <w:t>F-174</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Related-Party Accounts Payable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related-party entity will on occasion pay for bills on the Company’s behalf, and other amounts due to this entity arise over the normal course of business operations. As of September 30, 2025 and December 31, 2024, the Company owed approximately $294,000 and $510,000, respectively, to this entity.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Related-Party Accrued Interest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September 30, 2025 and December 31, 2024, accrued interest due to related parties of approximately $1,343,000 and $1,091,000, respectively, is included in accrued expenses in the balance sheet.</w:t>
      </w:r>
    </w:p>
    <w:p>
      <w:pPr>
        <w:pStyle w:val="TextBody"/>
        <w:bidi w:val="0"/>
        <w:spacing w:before="0" w:after="0"/>
        <w:ind w:left="0" w:right="0"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280"/>
        <w:gridCol w:w="2029"/>
        <w:gridCol w:w="7896"/>
      </w:tblGrid>
      <w:tr>
        <w:trPr/>
        <w:tc>
          <w:tcPr>
            <w:tcW w:w="280" w:type="dxa"/>
            <w:tcBorders/>
            <w:vAlign w:val="center"/>
          </w:tcPr>
          <w:p>
            <w:pPr>
              <w:pStyle w:val="TableContents"/>
              <w:bidi w:val="0"/>
              <w:spacing w:before="0" w:after="283"/>
              <w:jc w:val="left"/>
              <w:rPr>
                <w:sz w:val="4"/>
                <w:szCs w:val="4"/>
              </w:rPr>
            </w:pPr>
            <w:r>
              <w:rPr>
                <w:sz w:val="4"/>
                <w:szCs w:val="4"/>
              </w:rPr>
            </w:r>
          </w:p>
        </w:tc>
        <w:tc>
          <w:tcPr>
            <w:tcW w:w="2029"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12.</w:t>
            </w:r>
          </w:p>
        </w:tc>
        <w:tc>
          <w:tcPr>
            <w:tcW w:w="7896" w:type="dxa"/>
            <w:tcBorders/>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Benefit Plan</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sponsors a defined contribution 401(k) retirement plan (the Retirement Plan). Employees are eligible to participate on the first day of the month coinciding with or next following the date they have completed six months of service and have attained 18 years of age. Employees may elect to contribute to the Retirement Plan subject to the limitations of the Internal Revenue Code (IRC). The Company makes a matching contribution to each participant’s account equal to 100% of the first 3%, and 50% of the next 2% of each participant’s contribution. Participants are 100% vested in all contributions immediately. For the nine months ended September 30, 2025 and 2024, the Company made $219,037 and $148,663, respectively, in matching contributions to the plan.</w:t>
      </w:r>
    </w:p>
    <w:p>
      <w:pPr>
        <w:pStyle w:val="TextBody"/>
        <w:bidi w:val="0"/>
        <w:spacing w:before="0" w:after="0"/>
        <w:ind w:left="0" w:right="0"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203"/>
        <w:gridCol w:w="1470"/>
        <w:gridCol w:w="8532"/>
      </w:tblGrid>
      <w:tr>
        <w:trPr/>
        <w:tc>
          <w:tcPr>
            <w:tcW w:w="203" w:type="dxa"/>
            <w:tcBorders/>
            <w:vAlign w:val="center"/>
          </w:tcPr>
          <w:p>
            <w:pPr>
              <w:pStyle w:val="TableContents"/>
              <w:bidi w:val="0"/>
              <w:spacing w:before="0" w:after="283"/>
              <w:jc w:val="left"/>
              <w:rPr>
                <w:sz w:val="4"/>
                <w:szCs w:val="4"/>
              </w:rPr>
            </w:pPr>
            <w:r>
              <w:rPr>
                <w:sz w:val="4"/>
                <w:szCs w:val="4"/>
              </w:rPr>
            </w:r>
          </w:p>
        </w:tc>
        <w:tc>
          <w:tcPr>
            <w:tcW w:w="147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13.</w:t>
            </w:r>
          </w:p>
        </w:tc>
        <w:tc>
          <w:tcPr>
            <w:tcW w:w="8532" w:type="dxa"/>
            <w:tcBorders/>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Subsequent Events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November 11, 2025, the Company entered a non-binding letter of intent with SunPower, Inc. to be acquired for $37,500,000. The transaction closed on November 21, 2025.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sz w:val="20"/>
          <w:bdr w:val="single" w:sz="12" w:space="1" w:color="000000"/>
        </w:rPr>
      </w:pPr>
      <w:r>
        <w:rPr>
          <w:sz w:val="20"/>
          <w:bdr w:val="single" w:sz="12" w:space="1" w:color="000000"/>
        </w:rPr>
        <w:t>F-175</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UNAUDITED PRO FORMA</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COMBINED FINANCIAL INFORMATION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unaudited pro forma combined statement of operations is derived from the historical consolidated financial statements of SunPower Inc. and Subsidiaries (the “Company”, “SunPower”), the historical financial statements of Sunder Energy, LLC (“Sunder”) and the historical financial statements of Ambia Energy LLC (“Ambia”) and reflects (1) the acquisition of Ambia which closed on November 21, 2025 (the “Ambia Acquisition”), (2) the acquisition of Sunder which closed on September 24, 2025 (the “Sunder Acquisition” and collectively with the Ambia Acquisition and Sunder Acquisition “Acquisitions”) and (3) the financing of the Sunder Acquisition (the “Financing”).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unaudited pro forma combined financial information related to the Acquisitions has been prepared by the Company using the acquisition method of accounting in accordance with GAAP. The Company has been treated as the acquirer for accounting purposes and thus accounts for the Acquisitions as a business combination in accordance with Accounting Standards Codification (“ASC”) Topic 805, Business Combinations (“ASC 805”). The estimated fair values of the assets acquired and liabilities assumed and the related purchase price allocation for both Ambia and Sunder are provisional and have been made solely for the purpose of providing unaudited pro forma combined financial information.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unaudited pro forma combined statements of operations for the year ended December 28, 2025 combine the historical statements of operations of the Company, Sunder and Ambia on a pro forma basis as if the Acquisitions and the Financing had been consummated on January 1, 2025, the beginning of the earliest period presented. An unaudited combined balance sheet is not presented as the Acquisitions and the Financing have been reflected in the Company’s balance as of March 29, 2026, included in the Company’s Quarterly Report on Form 10-Q for the quarterly period ended March 29, 2026 filed with the SEC on May 19, 2026.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unaudited pro forma combined financial information does not give effect to any cost savings, operating synergies or revenue synergies that may result from the Acquisitions.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unaudited pro forma combined statement of operations has been developed from and should be read in conjunction with:</w:t>
      </w:r>
    </w:p>
    <w:p>
      <w:pPr>
        <w:pStyle w:val="TextBody"/>
        <w:bidi w:val="0"/>
        <w:spacing w:before="0" w:after="0"/>
        <w:ind w:left="72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44"/>
        <w:gridCol w:w="200"/>
        <w:gridCol w:w="9961"/>
      </w:tblGrid>
      <w:tr>
        <w:trPr/>
        <w:tc>
          <w:tcPr>
            <w:tcW w:w="44"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9961" w:type="dxa"/>
            <w:tcBorders/>
            <w:vAlign w:val="center"/>
          </w:tcPr>
          <w:p>
            <w:pPr>
              <w:pStyle w:val="TableContents"/>
              <w:bidi w:val="0"/>
              <w:spacing w:before="0" w:after="283"/>
              <w:jc w:val="both"/>
              <w:rPr/>
            </w:pPr>
            <w:r>
              <w:rPr/>
              <w:t>the accompanying notes to the Unaudited Pro Forma Combined Statement of Operations;</w:t>
            </w:r>
          </w:p>
        </w:tc>
      </w:tr>
    </w:tbl>
    <w:p>
      <w:pPr>
        <w:pStyle w:val="TextBody"/>
        <w:bidi w:val="0"/>
        <w:spacing w:before="0" w:after="0"/>
        <w:ind w:left="72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historical audited financial statements of the Company for the fiscal year ended December 28, 2025 and the related notes in its Annual Report for such fiscal year;</w:t>
            </w:r>
          </w:p>
        </w:tc>
      </w:tr>
    </w:tbl>
    <w:p>
      <w:pPr>
        <w:pStyle w:val="TextBody"/>
        <w:bidi w:val="0"/>
        <w:spacing w:before="0" w:after="0"/>
        <w:ind w:left="72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audited financial statements of Ambia as of and for the year ended December 31, 2024, and the unaudited financial statements of Ambia as of and for the nine months ended September 30, 2025; and</w:t>
            </w:r>
          </w:p>
        </w:tc>
      </w:tr>
    </w:tbl>
    <w:p>
      <w:pPr>
        <w:pStyle w:val="TextBody"/>
        <w:bidi w:val="0"/>
        <w:spacing w:before="0" w:after="0"/>
        <w:ind w:left="72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audited financial statements of Sunder as of and for the year ended December 31, 2024, and the unaudited financial statements of Sunder as of and for the six months ended June 30, 2025.</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Assumptions and estimates underlying the unaudited pro forma adjustments set forth in the unaudited pro forma combined statement of operations are described in the accompanying notes. The unaudited pro forma combined statement of operations has been presented for illustrative purposes only and are not necessarily indicative of the operating results and financial position that would have been achieved had the Acquisition and Financing occurred on the dates indicated. Further, the unaudited pro forma combined financial statements do not purport to project the future operating results or financial position of SunPower following the completion of the Acquisitions. The unaudited pro forma adjustments represent management’s estimates based on information available as of the date of these unaudited pro forma combined financial statements and are subject to change as additional information becomes available and analyses are performed.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sz w:val="20"/>
          <w:bdr w:val="single" w:sz="12" w:space="1" w:color="000000"/>
        </w:rPr>
      </w:pPr>
      <w:r>
        <w:rPr>
          <w:sz w:val="20"/>
          <w:bdr w:val="single" w:sz="12" w:space="1" w:color="000000"/>
        </w:rPr>
        <w:t>F-176</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53" w:name="k_001"/>
      <w:bookmarkEnd w:id="53"/>
      <w:r>
        <w:rPr>
          <w:rFonts w:ascii="Times New Roman;Times;Serif" w:hAnsi="Times New Roman;Times;Serif"/>
          <w:b/>
          <w:i w:val="false"/>
          <w:caps w:val="false"/>
          <w:smallCaps w:val="false"/>
          <w:sz w:val="20"/>
        </w:rPr>
        <w:t>UNAUDITED PRO FORMA COMBINED STATEMENT OF OPERATIONS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THE YEAR ENDED DECEMBER 28, 2025</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thousands, except shares and per share data)</w:t>
      </w:r>
    </w:p>
    <w:p>
      <w:pPr>
        <w:pStyle w:val="TextBody"/>
        <w:bidi w:val="0"/>
        <w:spacing w:before="0" w:after="0"/>
        <w:ind w:left="0" w:right="0" w:hanging="0"/>
        <w:jc w:val="center"/>
        <w:rPr>
          <w:caps w:val="false"/>
          <w:smallCaps w:val="false"/>
        </w:rPr>
      </w:pPr>
      <w:r>
        <w:rPr>
          <w:caps w:val="false"/>
          <w:smallCaps w:val="false"/>
        </w:rPr>
        <w:t> </w:t>
      </w:r>
    </w:p>
    <w:tbl>
      <w:tblPr>
        <w:tblW w:w="11950" w:type="dxa"/>
        <w:jc w:val="left"/>
        <w:tblInd w:w="0" w:type="dxa"/>
        <w:tblLayout w:type="fixed"/>
        <w:tblCellMar>
          <w:top w:w="0" w:type="dxa"/>
          <w:left w:w="0" w:type="dxa"/>
          <w:bottom w:w="0" w:type="dxa"/>
          <w:right w:w="0" w:type="dxa"/>
        </w:tblCellMar>
      </w:tblPr>
      <w:tblGrid>
        <w:gridCol w:w="1010"/>
        <w:gridCol w:w="60"/>
        <w:gridCol w:w="126"/>
        <w:gridCol w:w="959"/>
        <w:gridCol w:w="80"/>
        <w:gridCol w:w="60"/>
        <w:gridCol w:w="146"/>
        <w:gridCol w:w="684"/>
        <w:gridCol w:w="80"/>
        <w:gridCol w:w="60"/>
        <w:gridCol w:w="119"/>
        <w:gridCol w:w="801"/>
        <w:gridCol w:w="245"/>
        <w:gridCol w:w="60"/>
        <w:gridCol w:w="110"/>
        <w:gridCol w:w="740"/>
        <w:gridCol w:w="80"/>
        <w:gridCol w:w="60"/>
        <w:gridCol w:w="146"/>
        <w:gridCol w:w="684"/>
        <w:gridCol w:w="80"/>
        <w:gridCol w:w="60"/>
        <w:gridCol w:w="110"/>
        <w:gridCol w:w="1460"/>
        <w:gridCol w:w="260"/>
        <w:gridCol w:w="60"/>
        <w:gridCol w:w="110"/>
        <w:gridCol w:w="830"/>
        <w:gridCol w:w="200"/>
        <w:gridCol w:w="60"/>
        <w:gridCol w:w="110"/>
        <w:gridCol w:w="830"/>
        <w:gridCol w:w="80"/>
        <w:gridCol w:w="60"/>
        <w:gridCol w:w="170"/>
        <w:gridCol w:w="1085"/>
        <w:gridCol w:w="75"/>
      </w:tblGrid>
      <w:tr>
        <w:trPr/>
        <w:tc>
          <w:tcPr>
            <w:tcW w:w="101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85" w:type="dxa"/>
            <w:gridSpan w:val="2"/>
            <w:tcBorders/>
            <w:vAlign w:val="center"/>
          </w:tcPr>
          <w:p>
            <w:pPr>
              <w:pStyle w:val="TableContents"/>
              <w:bidi w:val="0"/>
              <w:spacing w:before="0" w:after="283"/>
              <w:jc w:val="left"/>
              <w:rPr>
                <w:sz w:val="4"/>
                <w:szCs w:val="4"/>
              </w:rPr>
            </w:pPr>
            <w:r>
              <w:rPr>
                <w:sz w:val="4"/>
                <w:szCs w:val="4"/>
              </w:rPr>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045" w:type="dxa"/>
            <w:gridSpan w:val="10"/>
            <w:tcBorders>
              <w:bottom w:val="single" w:sz="12" w:space="0" w:color="000000"/>
            </w:tcBorders>
            <w:tcMar>
              <w:bottom w:w="28" w:type="dxa"/>
            </w:tcMar>
            <w:vAlign w:val="center"/>
          </w:tcPr>
          <w:p>
            <w:pPr>
              <w:pStyle w:val="TableContents"/>
              <w:bidi w:val="0"/>
              <w:spacing w:before="0" w:after="283"/>
              <w:jc w:val="center"/>
              <w:rPr>
                <w:b/>
                <w:sz w:val="16"/>
              </w:rPr>
            </w:pPr>
            <w:r>
              <w:rPr>
                <w:b/>
                <w:sz w:val="16"/>
              </w:rPr>
              <w:t>Sunder Energy LLC</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000" w:type="dxa"/>
            <w:gridSpan w:val="14"/>
            <w:tcBorders>
              <w:bottom w:val="single" w:sz="12" w:space="0" w:color="000000"/>
            </w:tcBorders>
            <w:tcMar>
              <w:bottom w:w="28" w:type="dxa"/>
            </w:tcMar>
            <w:vAlign w:val="center"/>
          </w:tcPr>
          <w:p>
            <w:pPr>
              <w:pStyle w:val="TableContents"/>
              <w:bidi w:val="0"/>
              <w:spacing w:before="0" w:after="283"/>
              <w:jc w:val="center"/>
              <w:rPr>
                <w:b/>
                <w:sz w:val="16"/>
              </w:rPr>
            </w:pPr>
            <w:r>
              <w:rPr>
                <w:b/>
                <w:sz w:val="16"/>
              </w:rPr>
              <w:t>Ambia Energy LLC</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085" w:type="dxa"/>
            <w:tcBorders/>
            <w:vAlign w:val="center"/>
          </w:tcPr>
          <w:p>
            <w:pPr>
              <w:pStyle w:val="TableContents"/>
              <w:bidi w:val="0"/>
              <w:spacing w:before="0" w:after="283"/>
              <w:jc w:val="center"/>
              <w:rPr/>
            </w:pPr>
            <w:r>
              <w:rPr/>
              <w:t> </w:t>
            </w:r>
          </w:p>
        </w:tc>
        <w:tc>
          <w:tcPr>
            <w:tcW w:w="75" w:type="dxa"/>
            <w:tcBorders/>
            <w:vAlign w:val="center"/>
          </w:tcPr>
          <w:p>
            <w:pPr>
              <w:pStyle w:val="TableContents"/>
              <w:bidi w:val="0"/>
              <w:spacing w:before="0" w:after="283"/>
              <w:jc w:val="left"/>
              <w:rPr/>
            </w:pPr>
            <w:r>
              <w:rPr/>
              <w:t> </w:t>
            </w:r>
          </w:p>
        </w:tc>
      </w:tr>
      <w:tr>
        <w:trPr/>
        <w:tc>
          <w:tcPr>
            <w:tcW w:w="101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08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SunPower</w:t>
              <w:br/>
            </w:r>
            <w:r>
              <w:rPr>
                <w:b/>
                <w:sz w:val="16"/>
              </w:rPr>
              <w:t>Historical</w:t>
              <w:br/>
              <w:t>Results of</w:t>
              <w:br/>
              <w:t>Operations</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30" w:type="dxa"/>
            <w:gridSpan w:val="2"/>
            <w:tcBorders>
              <w:bottom w:val="single" w:sz="12" w:space="0" w:color="000000"/>
            </w:tcBorders>
            <w:tcMar>
              <w:bottom w:w="28" w:type="dxa"/>
            </w:tcMar>
            <w:vAlign w:val="center"/>
          </w:tcPr>
          <w:p>
            <w:pPr>
              <w:pStyle w:val="TableContents"/>
              <w:bidi w:val="0"/>
              <w:jc w:val="center"/>
              <w:rPr>
                <w:b/>
                <w:sz w:val="16"/>
              </w:rPr>
            </w:pPr>
            <w:r>
              <w:rPr>
                <w:b/>
                <w:sz w:val="16"/>
              </w:rPr>
              <w:t>Historical</w:t>
              <w:br/>
              <w:t>Results of</w:t>
              <w:br/>
              <w:t>Operations</w:t>
            </w:r>
          </w:p>
          <w:p>
            <w:pPr>
              <w:pStyle w:val="TableContents"/>
              <w:bidi w:val="0"/>
              <w:spacing w:before="0" w:after="283"/>
              <w:jc w:val="center"/>
              <w:rPr>
                <w:b/>
                <w:sz w:val="16"/>
              </w:rPr>
            </w:pPr>
            <w:r>
              <w:rPr>
                <w:b/>
                <w:sz w:val="16"/>
              </w:rPr>
              <w:t>(Note 2)</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20" w:type="dxa"/>
            <w:gridSpan w:val="2"/>
            <w:tcBorders>
              <w:bottom w:val="single" w:sz="12" w:space="0" w:color="000000"/>
            </w:tcBorders>
            <w:tcMar>
              <w:bottom w:w="28" w:type="dxa"/>
            </w:tcMar>
            <w:vAlign w:val="center"/>
          </w:tcPr>
          <w:p>
            <w:pPr>
              <w:pStyle w:val="TableContents"/>
              <w:bidi w:val="0"/>
              <w:spacing w:before="0" w:after="283"/>
              <w:jc w:val="center"/>
              <w:rPr>
                <w:b/>
                <w:sz w:val="16"/>
              </w:rPr>
            </w:pPr>
            <w:r>
              <w:rPr>
                <w:b/>
                <w:sz w:val="16"/>
              </w:rPr>
              <w:t>Transaction</w:t>
              <w:br/>
              <w:t>Adjustments</w:t>
              <w:br/>
              <w:t>(Note 4)</w:t>
            </w:r>
          </w:p>
        </w:tc>
        <w:tc>
          <w:tcPr>
            <w:tcW w:w="24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50" w:type="dxa"/>
            <w:gridSpan w:val="2"/>
            <w:tcBorders>
              <w:bottom w:val="single" w:sz="12" w:space="0" w:color="000000"/>
            </w:tcBorders>
            <w:tcMar>
              <w:bottom w:w="28" w:type="dxa"/>
            </w:tcMar>
            <w:vAlign w:val="center"/>
          </w:tcPr>
          <w:p>
            <w:pPr>
              <w:pStyle w:val="TableContents"/>
              <w:bidi w:val="0"/>
              <w:spacing w:before="0" w:after="283"/>
              <w:jc w:val="center"/>
              <w:rPr>
                <w:b/>
                <w:sz w:val="16"/>
              </w:rPr>
            </w:pPr>
            <w:r>
              <w:rPr>
                <w:b/>
                <w:sz w:val="16"/>
              </w:rPr>
              <w:t>Pro Forma</w:t>
              <w:br/>
              <w:t>Results of</w:t>
              <w:br/>
              <w:t>Operations</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30" w:type="dxa"/>
            <w:gridSpan w:val="2"/>
            <w:tcBorders>
              <w:bottom w:val="single" w:sz="12" w:space="0" w:color="000000"/>
            </w:tcBorders>
            <w:tcMar>
              <w:bottom w:w="28" w:type="dxa"/>
            </w:tcMar>
            <w:vAlign w:val="center"/>
          </w:tcPr>
          <w:p>
            <w:pPr>
              <w:pStyle w:val="TableContents"/>
              <w:bidi w:val="0"/>
              <w:jc w:val="center"/>
              <w:rPr>
                <w:b/>
                <w:sz w:val="16"/>
              </w:rPr>
            </w:pPr>
            <w:r>
              <w:rPr>
                <w:b/>
                <w:sz w:val="16"/>
              </w:rPr>
              <w:t>Historical</w:t>
              <w:br/>
              <w:t>Results of</w:t>
              <w:br/>
              <w:t>Operations</w:t>
            </w:r>
          </w:p>
          <w:p>
            <w:pPr>
              <w:pStyle w:val="TableContents"/>
              <w:bidi w:val="0"/>
              <w:spacing w:before="0" w:after="283"/>
              <w:jc w:val="center"/>
              <w:rPr>
                <w:b/>
                <w:sz w:val="16"/>
              </w:rPr>
            </w:pPr>
            <w:r>
              <w:rPr>
                <w:b/>
                <w:sz w:val="16"/>
              </w:rPr>
              <w:t>(Note 3)</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70" w:type="dxa"/>
            <w:gridSpan w:val="2"/>
            <w:tcBorders>
              <w:bottom w:val="single" w:sz="12" w:space="0" w:color="000000"/>
            </w:tcBorders>
            <w:tcMar>
              <w:bottom w:w="28" w:type="dxa"/>
            </w:tcMar>
            <w:vAlign w:val="center"/>
          </w:tcPr>
          <w:p>
            <w:pPr>
              <w:pStyle w:val="TableContents"/>
              <w:bidi w:val="0"/>
              <w:spacing w:before="0" w:after="283"/>
              <w:jc w:val="center"/>
              <w:rPr>
                <w:b/>
                <w:sz w:val="16"/>
              </w:rPr>
            </w:pPr>
            <w:r>
              <w:rPr>
                <w:b/>
                <w:sz w:val="16"/>
              </w:rPr>
              <w:t>Reclassification</w:t>
              <w:br/>
              <w:t>Adjustments</w:t>
              <w:br/>
              <w:t>(Note 4)</w:t>
            </w:r>
          </w:p>
        </w:tc>
        <w:tc>
          <w:tcPr>
            <w:tcW w:w="2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40" w:type="dxa"/>
            <w:gridSpan w:val="2"/>
            <w:tcBorders>
              <w:bottom w:val="single" w:sz="12" w:space="0" w:color="000000"/>
            </w:tcBorders>
            <w:tcMar>
              <w:bottom w:w="28" w:type="dxa"/>
            </w:tcMar>
            <w:vAlign w:val="center"/>
          </w:tcPr>
          <w:p>
            <w:pPr>
              <w:pStyle w:val="TableContents"/>
              <w:bidi w:val="0"/>
              <w:spacing w:before="0" w:after="283"/>
              <w:jc w:val="center"/>
              <w:rPr>
                <w:b/>
                <w:sz w:val="16"/>
              </w:rPr>
            </w:pPr>
            <w:r>
              <w:rPr>
                <w:b/>
                <w:sz w:val="16"/>
              </w:rPr>
              <w:t>Transaction</w:t>
              <w:br/>
              <w:t>Adjustments</w:t>
              <w:br/>
              <w:t>(Note 4)</w:t>
            </w:r>
          </w:p>
        </w:tc>
        <w:tc>
          <w:tcPr>
            <w:tcW w:w="2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40" w:type="dxa"/>
            <w:gridSpan w:val="2"/>
            <w:tcBorders>
              <w:bottom w:val="single" w:sz="12" w:space="0" w:color="000000"/>
            </w:tcBorders>
            <w:tcMar>
              <w:bottom w:w="28" w:type="dxa"/>
            </w:tcMar>
            <w:vAlign w:val="center"/>
          </w:tcPr>
          <w:p>
            <w:pPr>
              <w:pStyle w:val="TableContents"/>
              <w:bidi w:val="0"/>
              <w:spacing w:before="0" w:after="283"/>
              <w:jc w:val="center"/>
              <w:rPr>
                <w:b/>
                <w:sz w:val="16"/>
              </w:rPr>
            </w:pPr>
            <w:r>
              <w:rPr>
                <w:b/>
                <w:sz w:val="16"/>
              </w:rPr>
              <w:t>Pro Forma</w:t>
              <w:br/>
              <w:t>Results of</w:t>
              <w:br/>
              <w:t>Operations</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70" w:type="dxa"/>
            <w:tcBorders>
              <w:bottom w:val="single" w:sz="12" w:space="0" w:color="000000"/>
            </w:tcBorders>
            <w:tcMar>
              <w:bottom w:w="28" w:type="dxa"/>
            </w:tcMar>
            <w:vAlign w:val="center"/>
          </w:tcPr>
          <w:p>
            <w:pPr>
              <w:pStyle w:val="TableContents"/>
              <w:bidi w:val="0"/>
              <w:spacing w:before="0" w:after="283"/>
              <w:jc w:val="left"/>
              <w:rPr/>
            </w:pPr>
            <w:r>
              <w:rPr/>
              <w:t> </w:t>
            </w:r>
          </w:p>
        </w:tc>
        <w:tc>
          <w:tcPr>
            <w:tcW w:w="1085" w:type="dxa"/>
            <w:tcBorders>
              <w:bottom w:val="single" w:sz="12" w:space="0" w:color="000000"/>
            </w:tcBorders>
            <w:tcMar>
              <w:bottom w:w="28" w:type="dxa"/>
            </w:tcMar>
            <w:vAlign w:val="center"/>
          </w:tcPr>
          <w:p>
            <w:pPr>
              <w:pStyle w:val="TableContents"/>
              <w:bidi w:val="0"/>
              <w:spacing w:before="0" w:after="283"/>
              <w:jc w:val="center"/>
              <w:rPr>
                <w:b/>
              </w:rPr>
            </w:pPr>
            <w:r>
              <w:rPr>
                <w:b/>
              </w:rPr>
              <w:t>Combined</w:t>
              <w:br/>
            </w:r>
            <w:r>
              <w:rPr>
                <w:b/>
                <w:sz w:val="16"/>
              </w:rPr>
              <w:t>Pro Forma Results of</w:t>
              <w:br/>
              <w:t>Operations</w:t>
            </w:r>
          </w:p>
        </w:tc>
        <w:tc>
          <w:tcPr>
            <w:tcW w:w="75" w:type="dxa"/>
            <w:tcBorders/>
            <w:vAlign w:val="center"/>
          </w:tcPr>
          <w:p>
            <w:pPr>
              <w:pStyle w:val="TableContents"/>
              <w:bidi w:val="0"/>
              <w:spacing w:before="0" w:after="283"/>
              <w:ind w:left="0" w:right="0" w:hanging="180"/>
              <w:jc w:val="left"/>
              <w:rPr/>
            </w:pPr>
            <w:r>
              <w:rPr/>
              <w:t> </w:t>
            </w:r>
          </w:p>
        </w:tc>
      </w:tr>
      <w:tr>
        <w:trPr/>
        <w:tc>
          <w:tcPr>
            <w:tcW w:w="1010" w:type="dxa"/>
            <w:tcBorders/>
            <w:shd w:fill="CCEEFF" w:val="clear"/>
            <w:vAlign w:val="center"/>
          </w:tcPr>
          <w:p>
            <w:pPr>
              <w:pStyle w:val="TableContents"/>
              <w:bidi w:val="0"/>
              <w:spacing w:before="0" w:after="283"/>
              <w:jc w:val="left"/>
              <w:rPr>
                <w:sz w:val="16"/>
              </w:rPr>
            </w:pPr>
            <w:r>
              <w:rPr>
                <w:sz w:val="16"/>
              </w:rPr>
              <w:t>Revenues</w:t>
            </w:r>
          </w:p>
        </w:tc>
        <w:tc>
          <w:tcPr>
            <w:tcW w:w="60" w:type="dxa"/>
            <w:tcBorders/>
            <w:shd w:fill="CCEEFF" w:val="clear"/>
            <w:vAlign w:val="center"/>
          </w:tcPr>
          <w:p>
            <w:pPr>
              <w:pStyle w:val="TableContents"/>
              <w:bidi w:val="0"/>
              <w:spacing w:before="0" w:after="283"/>
              <w:jc w:val="left"/>
              <w:rPr/>
            </w:pPr>
            <w:r>
              <w:rPr/>
              <w:t> </w:t>
            </w:r>
          </w:p>
        </w:tc>
        <w:tc>
          <w:tcPr>
            <w:tcW w:w="126" w:type="dxa"/>
            <w:tcBorders/>
            <w:shd w:fill="CCEEFF" w:val="clear"/>
            <w:vAlign w:val="center"/>
          </w:tcPr>
          <w:p>
            <w:pPr>
              <w:pStyle w:val="TableContents"/>
              <w:bidi w:val="0"/>
              <w:spacing w:before="0" w:after="283"/>
              <w:jc w:val="left"/>
              <w:rPr>
                <w:sz w:val="16"/>
              </w:rPr>
            </w:pPr>
            <w:r>
              <w:rPr>
                <w:sz w:val="16"/>
              </w:rPr>
              <w:t>$</w:t>
            </w:r>
          </w:p>
        </w:tc>
        <w:tc>
          <w:tcPr>
            <w:tcW w:w="959" w:type="dxa"/>
            <w:tcBorders/>
            <w:shd w:fill="CCEEFF" w:val="clear"/>
            <w:vAlign w:val="center"/>
          </w:tcPr>
          <w:p>
            <w:pPr>
              <w:pStyle w:val="TableContents"/>
              <w:bidi w:val="0"/>
              <w:spacing w:before="0" w:after="283"/>
              <w:jc w:val="right"/>
              <w:rPr>
                <w:sz w:val="16"/>
              </w:rPr>
            </w:pPr>
            <w:r>
              <w:rPr>
                <w:sz w:val="16"/>
              </w:rPr>
              <w:t>300,000</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sz w:val="16"/>
              </w:rPr>
            </w:pPr>
            <w:r>
              <w:rPr>
                <w:sz w:val="16"/>
              </w:rPr>
              <w:t>$</w:t>
            </w:r>
          </w:p>
        </w:tc>
        <w:tc>
          <w:tcPr>
            <w:tcW w:w="684" w:type="dxa"/>
            <w:tcBorders/>
            <w:shd w:fill="CCEEFF" w:val="clear"/>
            <w:vAlign w:val="center"/>
          </w:tcPr>
          <w:p>
            <w:pPr>
              <w:pStyle w:val="TableContents"/>
              <w:bidi w:val="0"/>
              <w:spacing w:before="0" w:after="283"/>
              <w:jc w:val="right"/>
              <w:rPr>
                <w:sz w:val="16"/>
              </w:rPr>
            </w:pPr>
            <w:r>
              <w:rPr>
                <w:sz w:val="16"/>
              </w:rPr>
              <w:t>56,084</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9" w:type="dxa"/>
            <w:tcBorders/>
            <w:shd w:fill="CCEEFF" w:val="clear"/>
            <w:vAlign w:val="center"/>
          </w:tcPr>
          <w:p>
            <w:pPr>
              <w:pStyle w:val="TableContents"/>
              <w:bidi w:val="0"/>
              <w:spacing w:before="0" w:after="283"/>
              <w:jc w:val="left"/>
              <w:rPr>
                <w:sz w:val="16"/>
              </w:rPr>
            </w:pPr>
            <w:r>
              <w:rPr>
                <w:sz w:val="16"/>
              </w:rPr>
              <w:t>$</w:t>
            </w:r>
          </w:p>
        </w:tc>
        <w:tc>
          <w:tcPr>
            <w:tcW w:w="801" w:type="dxa"/>
            <w:tcBorders/>
            <w:shd w:fill="CCEEFF" w:val="clear"/>
            <w:vAlign w:val="center"/>
          </w:tcPr>
          <w:p>
            <w:pPr>
              <w:pStyle w:val="TableContents"/>
              <w:bidi w:val="0"/>
              <w:spacing w:before="0" w:after="283"/>
              <w:jc w:val="right"/>
              <w:rPr>
                <w:sz w:val="16"/>
              </w:rPr>
            </w:pPr>
            <w:r>
              <w:rPr>
                <w:sz w:val="16"/>
              </w:rPr>
              <w:t>-</w:t>
            </w:r>
          </w:p>
        </w:tc>
        <w:tc>
          <w:tcPr>
            <w:tcW w:w="24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sz w:val="16"/>
              </w:rPr>
            </w:pPr>
            <w:r>
              <w:rPr>
                <w:sz w:val="16"/>
              </w:rPr>
              <w:t>$</w:t>
            </w:r>
          </w:p>
        </w:tc>
        <w:tc>
          <w:tcPr>
            <w:tcW w:w="740" w:type="dxa"/>
            <w:tcBorders/>
            <w:shd w:fill="CCEEFF" w:val="clear"/>
            <w:vAlign w:val="center"/>
          </w:tcPr>
          <w:p>
            <w:pPr>
              <w:pStyle w:val="TableContents"/>
              <w:bidi w:val="0"/>
              <w:spacing w:before="0" w:after="283"/>
              <w:jc w:val="right"/>
              <w:rPr>
                <w:sz w:val="16"/>
              </w:rPr>
            </w:pPr>
            <w:r>
              <w:rPr>
                <w:sz w:val="16"/>
              </w:rPr>
              <w:t>56,084</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sz w:val="16"/>
              </w:rPr>
            </w:pPr>
            <w:r>
              <w:rPr>
                <w:sz w:val="16"/>
              </w:rPr>
              <w:t>$</w:t>
            </w:r>
          </w:p>
        </w:tc>
        <w:tc>
          <w:tcPr>
            <w:tcW w:w="684" w:type="dxa"/>
            <w:tcBorders/>
            <w:shd w:fill="CCEEFF" w:val="clear"/>
            <w:vAlign w:val="center"/>
          </w:tcPr>
          <w:p>
            <w:pPr>
              <w:pStyle w:val="TableContents"/>
              <w:bidi w:val="0"/>
              <w:spacing w:before="0" w:after="283"/>
              <w:jc w:val="right"/>
              <w:rPr>
                <w:sz w:val="16"/>
              </w:rPr>
            </w:pPr>
            <w:r>
              <w:rPr>
                <w:sz w:val="16"/>
              </w:rPr>
              <w:t>73,604</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sz w:val="16"/>
              </w:rPr>
            </w:pPr>
            <w:r>
              <w:rPr>
                <w:sz w:val="16"/>
              </w:rPr>
              <w:t>$</w:t>
            </w:r>
          </w:p>
        </w:tc>
        <w:tc>
          <w:tcPr>
            <w:tcW w:w="1460" w:type="dxa"/>
            <w:tcBorders/>
            <w:shd w:fill="CCEEFF" w:val="clear"/>
            <w:vAlign w:val="center"/>
          </w:tcPr>
          <w:p>
            <w:pPr>
              <w:pStyle w:val="TableContents"/>
              <w:bidi w:val="0"/>
              <w:spacing w:before="0" w:after="283"/>
              <w:jc w:val="right"/>
              <w:rPr/>
            </w:pPr>
            <w:r>
              <w:rPr/>
              <w:t>                       </w:t>
            </w:r>
            <w:r>
              <w:rPr>
                <w:sz w:val="16"/>
              </w:rPr>
              <w:t>-</w:t>
            </w:r>
          </w:p>
        </w:tc>
        <w:tc>
          <w:tcPr>
            <w:tcW w:w="2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sz w:val="16"/>
              </w:rPr>
            </w:pPr>
            <w:r>
              <w:rPr>
                <w:sz w:val="16"/>
              </w:rPr>
              <w:t>$</w:t>
            </w:r>
          </w:p>
        </w:tc>
        <w:tc>
          <w:tcPr>
            <w:tcW w:w="830" w:type="dxa"/>
            <w:tcBorders/>
            <w:shd w:fill="CCEEFF" w:val="clear"/>
            <w:vAlign w:val="center"/>
          </w:tcPr>
          <w:p>
            <w:pPr>
              <w:pStyle w:val="TableContents"/>
              <w:bidi w:val="0"/>
              <w:spacing w:before="0" w:after="283"/>
              <w:jc w:val="right"/>
              <w:rPr>
                <w:sz w:val="16"/>
              </w:rPr>
            </w:pPr>
            <w:r>
              <w:rPr>
                <w:sz w:val="16"/>
              </w:rPr>
              <w:t>-</w:t>
            </w:r>
          </w:p>
        </w:tc>
        <w:tc>
          <w:tcPr>
            <w:tcW w:w="20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sz w:val="16"/>
              </w:rPr>
            </w:pPr>
            <w:r>
              <w:rPr>
                <w:sz w:val="16"/>
              </w:rPr>
              <w:t>$</w:t>
            </w:r>
          </w:p>
        </w:tc>
        <w:tc>
          <w:tcPr>
            <w:tcW w:w="830" w:type="dxa"/>
            <w:tcBorders/>
            <w:shd w:fill="CCEEFF" w:val="clear"/>
            <w:vAlign w:val="center"/>
          </w:tcPr>
          <w:p>
            <w:pPr>
              <w:pStyle w:val="TableContents"/>
              <w:bidi w:val="0"/>
              <w:spacing w:before="0" w:after="283"/>
              <w:jc w:val="right"/>
              <w:rPr>
                <w:sz w:val="16"/>
              </w:rPr>
            </w:pPr>
            <w:r>
              <w:rPr>
                <w:sz w:val="16"/>
              </w:rPr>
              <w:t>73,604</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r>
              <w:rPr>
                <w:sz w:val="16"/>
              </w:rPr>
              <w:t>$</w:t>
            </w:r>
          </w:p>
        </w:tc>
        <w:tc>
          <w:tcPr>
            <w:tcW w:w="1085" w:type="dxa"/>
            <w:tcBorders/>
            <w:shd w:fill="CCEEFF" w:val="clear"/>
            <w:vAlign w:val="center"/>
          </w:tcPr>
          <w:p>
            <w:pPr>
              <w:pStyle w:val="TableContents"/>
              <w:bidi w:val="0"/>
              <w:spacing w:before="0" w:after="283"/>
              <w:jc w:val="right"/>
              <w:rPr>
                <w:sz w:val="16"/>
              </w:rPr>
            </w:pPr>
            <w:r>
              <w:rPr>
                <w:sz w:val="16"/>
              </w:rPr>
              <w:t>429,688</w:t>
            </w:r>
          </w:p>
        </w:tc>
        <w:tc>
          <w:tcPr>
            <w:tcW w:w="75" w:type="dxa"/>
            <w:tcBorders/>
            <w:shd w:fill="CCEEFF" w:val="clear"/>
            <w:vAlign w:val="center"/>
          </w:tcPr>
          <w:p>
            <w:pPr>
              <w:pStyle w:val="TableContents"/>
              <w:bidi w:val="0"/>
              <w:spacing w:before="0" w:after="283"/>
              <w:ind w:left="0" w:right="0" w:hanging="180"/>
              <w:jc w:val="left"/>
              <w:rPr/>
            </w:pPr>
            <w:r>
              <w:rPr/>
              <w:t> </w:t>
            </w:r>
          </w:p>
        </w:tc>
      </w:tr>
      <w:tr>
        <w:trPr/>
        <w:tc>
          <w:tcPr>
            <w:tcW w:w="1010" w:type="dxa"/>
            <w:tcBorders/>
            <w:shd w:fill="FFFFFF" w:val="clear"/>
            <w:vAlign w:val="center"/>
          </w:tcPr>
          <w:p>
            <w:pPr>
              <w:pStyle w:val="TableContents"/>
              <w:bidi w:val="0"/>
              <w:spacing w:before="0" w:after="283"/>
              <w:jc w:val="left"/>
              <w:rPr>
                <w:sz w:val="16"/>
              </w:rPr>
            </w:pPr>
            <w:r>
              <w:rPr>
                <w:sz w:val="16"/>
              </w:rPr>
              <w:t>Cost of revenues</w:t>
            </w:r>
          </w:p>
        </w:tc>
        <w:tc>
          <w:tcPr>
            <w:tcW w:w="60" w:type="dxa"/>
            <w:tcBorders/>
            <w:shd w:fill="FFFFFF" w:val="clear"/>
            <w:vAlign w:val="center"/>
          </w:tcPr>
          <w:p>
            <w:pPr>
              <w:pStyle w:val="TableContents"/>
              <w:bidi w:val="0"/>
              <w:spacing w:before="0" w:after="283"/>
              <w:jc w:val="left"/>
              <w:rPr/>
            </w:pPr>
            <w:r>
              <w:rPr/>
              <w:t> </w:t>
            </w:r>
          </w:p>
        </w:tc>
        <w:tc>
          <w:tcPr>
            <w:tcW w:w="126"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959" w:type="dxa"/>
            <w:tcBorders>
              <w:bottom w:val="single" w:sz="12" w:space="0" w:color="000000"/>
            </w:tcBorders>
            <w:shd w:fill="FFFFFF" w:val="clear"/>
            <w:tcMar>
              <w:bottom w:w="28" w:type="dxa"/>
            </w:tcMar>
            <w:vAlign w:val="center"/>
          </w:tcPr>
          <w:p>
            <w:pPr>
              <w:pStyle w:val="TableContents"/>
              <w:bidi w:val="0"/>
              <w:spacing w:before="0" w:after="283"/>
              <w:jc w:val="right"/>
              <w:rPr>
                <w:sz w:val="16"/>
              </w:rPr>
            </w:pPr>
            <w:r>
              <w:rPr>
                <w:sz w:val="16"/>
              </w:rPr>
              <w:t>170,788</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6"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684" w:type="dxa"/>
            <w:tcBorders>
              <w:bottom w:val="single" w:sz="12" w:space="0" w:color="000000"/>
            </w:tcBorders>
            <w:shd w:fill="FFFFFF" w:val="clear"/>
            <w:tcMar>
              <w:bottom w:w="28" w:type="dxa"/>
            </w:tcMar>
            <w:vAlign w:val="center"/>
          </w:tcPr>
          <w:p>
            <w:pPr>
              <w:pStyle w:val="TableContents"/>
              <w:bidi w:val="0"/>
              <w:spacing w:before="0" w:after="283"/>
              <w:jc w:val="right"/>
              <w:rPr>
                <w:sz w:val="16"/>
              </w:rPr>
            </w:pPr>
            <w:r>
              <w:rPr>
                <w:sz w:val="16"/>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9"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801" w:type="dxa"/>
            <w:tcBorders>
              <w:bottom w:val="single" w:sz="12" w:space="0" w:color="000000"/>
            </w:tcBorders>
            <w:shd w:fill="FFFFFF" w:val="clear"/>
            <w:tcMar>
              <w:bottom w:w="28" w:type="dxa"/>
            </w:tcMar>
            <w:vAlign w:val="center"/>
          </w:tcPr>
          <w:p>
            <w:pPr>
              <w:pStyle w:val="TableContents"/>
              <w:bidi w:val="0"/>
              <w:spacing w:before="0" w:after="283"/>
              <w:jc w:val="right"/>
              <w:rPr>
                <w:sz w:val="16"/>
              </w:rPr>
            </w:pPr>
            <w:r>
              <w:rPr>
                <w:sz w:val="16"/>
              </w:rPr>
              <w:t>300</w:t>
            </w:r>
          </w:p>
        </w:tc>
        <w:tc>
          <w:tcPr>
            <w:tcW w:w="245" w:type="dxa"/>
            <w:tcBorders/>
            <w:shd w:fill="FFFFFF" w:val="clear"/>
            <w:vAlign w:val="center"/>
          </w:tcPr>
          <w:p>
            <w:pPr>
              <w:pStyle w:val="TableContents"/>
              <w:bidi w:val="0"/>
              <w:spacing w:before="0" w:after="283"/>
              <w:jc w:val="left"/>
              <w:rPr>
                <w:sz w:val="16"/>
              </w:rPr>
            </w:pPr>
            <w:r>
              <w:rPr>
                <w:sz w:val="16"/>
              </w:rPr>
              <w:t>(C)</w:t>
            </w:r>
          </w:p>
        </w:tc>
        <w:tc>
          <w:tcPr>
            <w:tcW w:w="60" w:type="dxa"/>
            <w:tcBorders/>
            <w:shd w:fill="FFFFFF" w:val="clear"/>
            <w:vAlign w:val="center"/>
          </w:tcPr>
          <w:p>
            <w:pPr>
              <w:pStyle w:val="TableContents"/>
              <w:bidi w:val="0"/>
              <w:spacing w:before="0" w:after="283"/>
              <w:jc w:val="left"/>
              <w:rPr/>
            </w:pPr>
            <w:r>
              <w:rPr/>
              <w:t> </w:t>
            </w:r>
          </w:p>
        </w:tc>
        <w:tc>
          <w:tcPr>
            <w:tcW w:w="11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740" w:type="dxa"/>
            <w:tcBorders>
              <w:bottom w:val="single" w:sz="12" w:space="0" w:color="000000"/>
            </w:tcBorders>
            <w:shd w:fill="FFFFFF" w:val="clear"/>
            <w:tcMar>
              <w:bottom w:w="28" w:type="dxa"/>
            </w:tcMar>
            <w:vAlign w:val="center"/>
          </w:tcPr>
          <w:p>
            <w:pPr>
              <w:pStyle w:val="TableContents"/>
              <w:bidi w:val="0"/>
              <w:spacing w:before="0" w:after="283"/>
              <w:jc w:val="right"/>
              <w:rPr>
                <w:sz w:val="16"/>
              </w:rPr>
            </w:pPr>
            <w:r>
              <w:rPr>
                <w:sz w:val="16"/>
              </w:rPr>
              <w:t>2,132</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6"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684" w:type="dxa"/>
            <w:tcBorders>
              <w:bottom w:val="single" w:sz="12" w:space="0" w:color="000000"/>
            </w:tcBorders>
            <w:shd w:fill="FFFFFF" w:val="clear"/>
            <w:tcMar>
              <w:bottom w:w="28" w:type="dxa"/>
            </w:tcMar>
            <w:vAlign w:val="center"/>
          </w:tcPr>
          <w:p>
            <w:pPr>
              <w:pStyle w:val="TableContents"/>
              <w:bidi w:val="0"/>
              <w:spacing w:before="0" w:after="283"/>
              <w:jc w:val="right"/>
              <w:rPr>
                <w:sz w:val="16"/>
              </w:rPr>
            </w:pPr>
            <w:r>
              <w:rPr>
                <w:sz w:val="16"/>
              </w:rPr>
              <w:t>38,881</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460" w:type="dxa"/>
            <w:tcBorders>
              <w:bottom w:val="single" w:sz="12" w:space="0" w:color="000000"/>
            </w:tcBorders>
            <w:shd w:fill="FFFFFF" w:val="clear"/>
            <w:tcMar>
              <w:bottom w:w="28" w:type="dxa"/>
            </w:tcMar>
            <w:vAlign w:val="center"/>
          </w:tcPr>
          <w:p>
            <w:pPr>
              <w:pStyle w:val="TableContents"/>
              <w:bidi w:val="0"/>
              <w:spacing w:before="0" w:after="283"/>
              <w:jc w:val="right"/>
              <w:rPr>
                <w:sz w:val="16"/>
              </w:rPr>
            </w:pPr>
            <w:r>
              <w:rPr>
                <w:sz w:val="16"/>
              </w:rPr>
              <w:t>-</w:t>
            </w:r>
          </w:p>
        </w:tc>
        <w:tc>
          <w:tcPr>
            <w:tcW w:w="2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830" w:type="dxa"/>
            <w:tcBorders>
              <w:bottom w:val="single" w:sz="12" w:space="0" w:color="000000"/>
            </w:tcBorders>
            <w:shd w:fill="FFFFFF" w:val="clear"/>
            <w:tcMar>
              <w:bottom w:w="28" w:type="dxa"/>
            </w:tcMar>
            <w:vAlign w:val="center"/>
          </w:tcPr>
          <w:p>
            <w:pPr>
              <w:pStyle w:val="TableContents"/>
              <w:bidi w:val="0"/>
              <w:spacing w:before="0" w:after="283"/>
              <w:jc w:val="right"/>
              <w:rPr>
                <w:sz w:val="16"/>
              </w:rPr>
            </w:pPr>
            <w:r>
              <w:rPr>
                <w:sz w:val="16"/>
              </w:rPr>
              <w:t>-</w:t>
            </w:r>
          </w:p>
        </w:tc>
        <w:tc>
          <w:tcPr>
            <w:tcW w:w="20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830" w:type="dxa"/>
            <w:tcBorders>
              <w:bottom w:val="single" w:sz="12" w:space="0" w:color="000000"/>
            </w:tcBorders>
            <w:shd w:fill="FFFFFF" w:val="clear"/>
            <w:tcMar>
              <w:bottom w:w="28" w:type="dxa"/>
            </w:tcMar>
            <w:vAlign w:val="center"/>
          </w:tcPr>
          <w:p>
            <w:pPr>
              <w:pStyle w:val="TableContents"/>
              <w:bidi w:val="0"/>
              <w:spacing w:before="0" w:after="283"/>
              <w:jc w:val="right"/>
              <w:rPr>
                <w:sz w:val="16"/>
              </w:rPr>
            </w:pPr>
            <w:r>
              <w:rPr>
                <w:sz w:val="16"/>
              </w:rPr>
              <w:t>38,881</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1085" w:type="dxa"/>
            <w:tcBorders>
              <w:bottom w:val="single" w:sz="12" w:space="0" w:color="000000"/>
            </w:tcBorders>
            <w:shd w:fill="FFFFFF" w:val="clear"/>
            <w:tcMar>
              <w:bottom w:w="28" w:type="dxa"/>
            </w:tcMar>
            <w:vAlign w:val="center"/>
          </w:tcPr>
          <w:p>
            <w:pPr>
              <w:pStyle w:val="TableContents"/>
              <w:bidi w:val="0"/>
              <w:spacing w:before="0" w:after="283"/>
              <w:jc w:val="right"/>
              <w:rPr>
                <w:sz w:val="16"/>
              </w:rPr>
            </w:pPr>
            <w:r>
              <w:rPr>
                <w:sz w:val="16"/>
              </w:rPr>
              <w:t>209,969</w:t>
            </w:r>
          </w:p>
        </w:tc>
        <w:tc>
          <w:tcPr>
            <w:tcW w:w="75" w:type="dxa"/>
            <w:tcBorders/>
            <w:shd w:fill="FFFFFF" w:val="clear"/>
            <w:vAlign w:val="center"/>
          </w:tcPr>
          <w:p>
            <w:pPr>
              <w:pStyle w:val="TableContents"/>
              <w:bidi w:val="0"/>
              <w:spacing w:before="0" w:after="283"/>
              <w:ind w:left="0" w:right="0" w:hanging="180"/>
              <w:jc w:val="left"/>
              <w:rPr/>
            </w:pPr>
            <w:r>
              <w:rPr/>
              <w:t> </w:t>
            </w:r>
          </w:p>
        </w:tc>
      </w:tr>
      <w:tr>
        <w:trPr/>
        <w:tc>
          <w:tcPr>
            <w:tcW w:w="1010" w:type="dxa"/>
            <w:tcBorders/>
            <w:shd w:fill="CCEEFF" w:val="clear"/>
            <w:vAlign w:val="center"/>
          </w:tcPr>
          <w:p>
            <w:pPr>
              <w:pStyle w:val="TableContents"/>
              <w:bidi w:val="0"/>
              <w:spacing w:before="0" w:after="283"/>
              <w:jc w:val="left"/>
              <w:rPr>
                <w:sz w:val="16"/>
              </w:rPr>
            </w:pPr>
            <w:r>
              <w:rPr>
                <w:sz w:val="16"/>
              </w:rPr>
              <w:t>Gross profit (loss)</w:t>
            </w:r>
          </w:p>
        </w:tc>
        <w:tc>
          <w:tcPr>
            <w:tcW w:w="60" w:type="dxa"/>
            <w:tcBorders/>
            <w:shd w:fill="CCEEFF" w:val="clear"/>
            <w:vAlign w:val="center"/>
          </w:tcPr>
          <w:p>
            <w:pPr>
              <w:pStyle w:val="TableContents"/>
              <w:bidi w:val="0"/>
              <w:spacing w:before="0" w:after="283"/>
              <w:jc w:val="left"/>
              <w:rPr/>
            </w:pPr>
            <w:r>
              <w:rPr/>
              <w:t> </w:t>
            </w:r>
          </w:p>
        </w:tc>
        <w:tc>
          <w:tcPr>
            <w:tcW w:w="126"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59" w:type="dxa"/>
            <w:tcBorders>
              <w:bottom w:val="single" w:sz="12" w:space="0" w:color="000000"/>
            </w:tcBorders>
            <w:shd w:fill="CCEEFF" w:val="clear"/>
            <w:tcMar>
              <w:bottom w:w="28" w:type="dxa"/>
            </w:tcMar>
            <w:vAlign w:val="center"/>
          </w:tcPr>
          <w:p>
            <w:pPr>
              <w:pStyle w:val="TableContents"/>
              <w:bidi w:val="0"/>
              <w:spacing w:before="0" w:after="283"/>
              <w:jc w:val="right"/>
              <w:rPr>
                <w:sz w:val="16"/>
              </w:rPr>
            </w:pPr>
            <w:r>
              <w:rPr>
                <w:sz w:val="16"/>
              </w:rPr>
              <w:t>129,212</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6"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684" w:type="dxa"/>
            <w:tcBorders>
              <w:bottom w:val="single" w:sz="12" w:space="0" w:color="000000"/>
            </w:tcBorders>
            <w:shd w:fill="CCEEFF" w:val="clear"/>
            <w:tcMar>
              <w:bottom w:w="28" w:type="dxa"/>
            </w:tcMar>
            <w:vAlign w:val="center"/>
          </w:tcPr>
          <w:p>
            <w:pPr>
              <w:pStyle w:val="TableContents"/>
              <w:bidi w:val="0"/>
              <w:spacing w:before="0" w:after="283"/>
              <w:jc w:val="right"/>
              <w:rPr>
                <w:sz w:val="16"/>
              </w:rPr>
            </w:pPr>
            <w:r>
              <w:rPr>
                <w:sz w:val="16"/>
              </w:rPr>
              <w:t>56,084</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9"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01" w:type="dxa"/>
            <w:tcBorders>
              <w:bottom w:val="single" w:sz="12" w:space="0" w:color="000000"/>
            </w:tcBorders>
            <w:shd w:fill="CCEEFF" w:val="clear"/>
            <w:tcMar>
              <w:bottom w:w="28" w:type="dxa"/>
            </w:tcMar>
            <w:vAlign w:val="center"/>
          </w:tcPr>
          <w:p>
            <w:pPr>
              <w:pStyle w:val="TableContents"/>
              <w:bidi w:val="0"/>
              <w:spacing w:before="0" w:after="283"/>
              <w:jc w:val="right"/>
              <w:rPr>
                <w:sz w:val="16"/>
              </w:rPr>
            </w:pPr>
            <w:r>
              <w:rPr>
                <w:sz w:val="16"/>
              </w:rPr>
              <w:t>(300</w:t>
            </w:r>
          </w:p>
        </w:tc>
        <w:tc>
          <w:tcPr>
            <w:tcW w:w="245" w:type="dxa"/>
            <w:tcBorders/>
            <w:shd w:fill="CCEEFF" w:val="clear"/>
            <w:vAlign w:val="center"/>
          </w:tcPr>
          <w:p>
            <w:pPr>
              <w:pStyle w:val="TableContents"/>
              <w:bidi w:val="0"/>
              <w:spacing w:before="0" w:after="283"/>
              <w:jc w:val="left"/>
              <w:rPr>
                <w:sz w:val="16"/>
              </w:rPr>
            </w:pPr>
            <w:r>
              <w:rPr>
                <w:sz w:val="16"/>
              </w:rPr>
              <w:t>)</w:t>
            </w:r>
          </w:p>
        </w:tc>
        <w:tc>
          <w:tcPr>
            <w:tcW w:w="60" w:type="dxa"/>
            <w:tcBorders/>
            <w:shd w:fill="CCEEFF" w:val="clear"/>
            <w:vAlign w:val="center"/>
          </w:tcPr>
          <w:p>
            <w:pPr>
              <w:pStyle w:val="TableContents"/>
              <w:bidi w:val="0"/>
              <w:spacing w:before="0" w:after="283"/>
              <w:jc w:val="left"/>
              <w:rPr/>
            </w:pPr>
            <w:r>
              <w:rPr/>
              <w:t> </w:t>
            </w:r>
          </w:p>
        </w:tc>
        <w:tc>
          <w:tcPr>
            <w:tcW w:w="11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740" w:type="dxa"/>
            <w:tcBorders>
              <w:bottom w:val="single" w:sz="12" w:space="0" w:color="000000"/>
            </w:tcBorders>
            <w:shd w:fill="CCEEFF" w:val="clear"/>
            <w:tcMar>
              <w:bottom w:w="28" w:type="dxa"/>
            </w:tcMar>
            <w:vAlign w:val="center"/>
          </w:tcPr>
          <w:p>
            <w:pPr>
              <w:pStyle w:val="TableContents"/>
              <w:bidi w:val="0"/>
              <w:spacing w:before="0" w:after="283"/>
              <w:jc w:val="right"/>
              <w:rPr>
                <w:sz w:val="16"/>
              </w:rPr>
            </w:pPr>
            <w:r>
              <w:rPr>
                <w:sz w:val="16"/>
              </w:rPr>
              <w:t>53,952</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6"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684" w:type="dxa"/>
            <w:tcBorders>
              <w:bottom w:val="single" w:sz="12" w:space="0" w:color="000000"/>
            </w:tcBorders>
            <w:shd w:fill="CCEEFF" w:val="clear"/>
            <w:tcMar>
              <w:bottom w:w="28" w:type="dxa"/>
            </w:tcMar>
            <w:vAlign w:val="center"/>
          </w:tcPr>
          <w:p>
            <w:pPr>
              <w:pStyle w:val="TableContents"/>
              <w:bidi w:val="0"/>
              <w:spacing w:before="0" w:after="283"/>
              <w:jc w:val="right"/>
              <w:rPr>
                <w:sz w:val="16"/>
              </w:rPr>
            </w:pPr>
            <w:r>
              <w:rPr>
                <w:sz w:val="16"/>
              </w:rPr>
              <w:t>34,723</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460" w:type="dxa"/>
            <w:tcBorders>
              <w:bottom w:val="single" w:sz="12" w:space="0" w:color="000000"/>
            </w:tcBorders>
            <w:shd w:fill="CCEEFF" w:val="clear"/>
            <w:tcMar>
              <w:bottom w:w="28" w:type="dxa"/>
            </w:tcMar>
            <w:vAlign w:val="center"/>
          </w:tcPr>
          <w:p>
            <w:pPr>
              <w:pStyle w:val="TableContents"/>
              <w:bidi w:val="0"/>
              <w:spacing w:before="0" w:after="283"/>
              <w:jc w:val="right"/>
              <w:rPr>
                <w:sz w:val="16"/>
              </w:rPr>
            </w:pPr>
            <w:r>
              <w:rPr>
                <w:sz w:val="16"/>
              </w:rPr>
              <w:t>-</w:t>
            </w:r>
          </w:p>
        </w:tc>
        <w:tc>
          <w:tcPr>
            <w:tcW w:w="2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30" w:type="dxa"/>
            <w:tcBorders>
              <w:bottom w:val="single" w:sz="12" w:space="0" w:color="000000"/>
            </w:tcBorders>
            <w:shd w:fill="CCEEFF" w:val="clear"/>
            <w:tcMar>
              <w:bottom w:w="28" w:type="dxa"/>
            </w:tcMar>
            <w:vAlign w:val="center"/>
          </w:tcPr>
          <w:p>
            <w:pPr>
              <w:pStyle w:val="TableContents"/>
              <w:bidi w:val="0"/>
              <w:spacing w:before="0" w:after="283"/>
              <w:jc w:val="right"/>
              <w:rPr>
                <w:sz w:val="16"/>
              </w:rPr>
            </w:pPr>
            <w:r>
              <w:rPr>
                <w:sz w:val="16"/>
              </w:rPr>
              <w:t>-</w:t>
            </w:r>
          </w:p>
        </w:tc>
        <w:tc>
          <w:tcPr>
            <w:tcW w:w="20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30" w:type="dxa"/>
            <w:tcBorders>
              <w:bottom w:val="single" w:sz="12" w:space="0" w:color="000000"/>
            </w:tcBorders>
            <w:shd w:fill="CCEEFF" w:val="clear"/>
            <w:tcMar>
              <w:bottom w:w="28" w:type="dxa"/>
            </w:tcMar>
            <w:vAlign w:val="center"/>
          </w:tcPr>
          <w:p>
            <w:pPr>
              <w:pStyle w:val="TableContents"/>
              <w:bidi w:val="0"/>
              <w:spacing w:before="0" w:after="283"/>
              <w:jc w:val="right"/>
              <w:rPr>
                <w:sz w:val="16"/>
              </w:rPr>
            </w:pPr>
            <w:r>
              <w:rPr>
                <w:sz w:val="16"/>
              </w:rPr>
              <w:t>34,723</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085" w:type="dxa"/>
            <w:tcBorders>
              <w:bottom w:val="single" w:sz="12" w:space="0" w:color="000000"/>
            </w:tcBorders>
            <w:shd w:fill="CCEEFF" w:val="clear"/>
            <w:tcMar>
              <w:bottom w:w="28" w:type="dxa"/>
            </w:tcMar>
            <w:vAlign w:val="center"/>
          </w:tcPr>
          <w:p>
            <w:pPr>
              <w:pStyle w:val="TableContents"/>
              <w:bidi w:val="0"/>
              <w:spacing w:before="0" w:after="283"/>
              <w:jc w:val="right"/>
              <w:rPr>
                <w:sz w:val="16"/>
              </w:rPr>
            </w:pPr>
            <w:r>
              <w:rPr>
                <w:sz w:val="16"/>
              </w:rPr>
              <w:t>219,719</w:t>
            </w:r>
          </w:p>
        </w:tc>
        <w:tc>
          <w:tcPr>
            <w:tcW w:w="75" w:type="dxa"/>
            <w:tcBorders/>
            <w:shd w:fill="CCEEFF" w:val="clear"/>
            <w:vAlign w:val="center"/>
          </w:tcPr>
          <w:p>
            <w:pPr>
              <w:pStyle w:val="TableContents"/>
              <w:bidi w:val="0"/>
              <w:spacing w:before="0" w:after="283"/>
              <w:ind w:left="0" w:right="0" w:hanging="180"/>
              <w:jc w:val="left"/>
              <w:rPr/>
            </w:pPr>
            <w:r>
              <w:rPr/>
              <w:t> </w:t>
            </w:r>
          </w:p>
        </w:tc>
      </w:tr>
      <w:tr>
        <w:trPr/>
        <w:tc>
          <w:tcPr>
            <w:tcW w:w="1010" w:type="dxa"/>
            <w:tcBorders/>
            <w:shd w:fill="FFFFFF" w:val="clear"/>
            <w:vAlign w:val="center"/>
          </w:tcPr>
          <w:p>
            <w:pPr>
              <w:pStyle w:val="TableContents"/>
              <w:bidi w:val="0"/>
              <w:spacing w:before="0" w:after="283"/>
              <w:jc w:val="left"/>
              <w:rPr>
                <w:sz w:val="16"/>
              </w:rPr>
            </w:pPr>
            <w:r>
              <w:rPr>
                <w:sz w:val="16"/>
              </w:rPr>
              <w:t>Operating expenses</w:t>
            </w:r>
          </w:p>
        </w:tc>
        <w:tc>
          <w:tcPr>
            <w:tcW w:w="60" w:type="dxa"/>
            <w:tcBorders/>
            <w:shd w:fill="FFFFFF" w:val="clear"/>
            <w:vAlign w:val="center"/>
          </w:tcPr>
          <w:p>
            <w:pPr>
              <w:pStyle w:val="TableContents"/>
              <w:bidi w:val="0"/>
              <w:spacing w:before="0" w:after="283"/>
              <w:jc w:val="left"/>
              <w:rPr/>
            </w:pPr>
            <w:r>
              <w:rPr/>
              <w:t> </w:t>
            </w:r>
          </w:p>
        </w:tc>
        <w:tc>
          <w:tcPr>
            <w:tcW w:w="126" w:type="dxa"/>
            <w:tcBorders/>
            <w:shd w:fill="FFFFFF" w:val="clear"/>
            <w:vAlign w:val="center"/>
          </w:tcPr>
          <w:p>
            <w:pPr>
              <w:pStyle w:val="TableContents"/>
              <w:bidi w:val="0"/>
              <w:spacing w:before="0" w:after="283"/>
              <w:jc w:val="left"/>
              <w:rPr/>
            </w:pPr>
            <w:r>
              <w:rPr/>
              <w:t> </w:t>
            </w:r>
          </w:p>
        </w:tc>
        <w:tc>
          <w:tcPr>
            <w:tcW w:w="959"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84"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9" w:type="dxa"/>
            <w:tcBorders/>
            <w:shd w:fill="FFFFFF" w:val="clear"/>
            <w:vAlign w:val="center"/>
          </w:tcPr>
          <w:p>
            <w:pPr>
              <w:pStyle w:val="TableContents"/>
              <w:bidi w:val="0"/>
              <w:spacing w:before="0" w:after="283"/>
              <w:jc w:val="left"/>
              <w:rPr/>
            </w:pPr>
            <w:r>
              <w:rPr/>
              <w:t> </w:t>
            </w:r>
          </w:p>
        </w:tc>
        <w:tc>
          <w:tcPr>
            <w:tcW w:w="801" w:type="dxa"/>
            <w:tcBorders/>
            <w:shd w:fill="FFFFFF" w:val="clear"/>
            <w:vAlign w:val="center"/>
          </w:tcPr>
          <w:p>
            <w:pPr>
              <w:pStyle w:val="TableContents"/>
              <w:bidi w:val="0"/>
              <w:spacing w:before="0" w:after="283"/>
              <w:jc w:val="right"/>
              <w:rPr/>
            </w:pPr>
            <w:r>
              <w:rPr/>
              <w:t> </w:t>
            </w:r>
          </w:p>
        </w:tc>
        <w:tc>
          <w:tcPr>
            <w:tcW w:w="24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740"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84"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1460" w:type="dxa"/>
            <w:tcBorders/>
            <w:shd w:fill="FFFFFF" w:val="clear"/>
            <w:vAlign w:val="center"/>
          </w:tcPr>
          <w:p>
            <w:pPr>
              <w:pStyle w:val="TableContents"/>
              <w:bidi w:val="0"/>
              <w:spacing w:before="0" w:after="283"/>
              <w:jc w:val="right"/>
              <w:rPr/>
            </w:pPr>
            <w:r>
              <w:rPr/>
              <w:t> </w:t>
            </w:r>
          </w:p>
        </w:tc>
        <w:tc>
          <w:tcPr>
            <w:tcW w:w="2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830" w:type="dxa"/>
            <w:tcBorders/>
            <w:shd w:fill="FFFFFF" w:val="clear"/>
            <w:vAlign w:val="center"/>
          </w:tcPr>
          <w:p>
            <w:pPr>
              <w:pStyle w:val="TableContents"/>
              <w:bidi w:val="0"/>
              <w:spacing w:before="0" w:after="283"/>
              <w:jc w:val="right"/>
              <w:rPr/>
            </w:pPr>
            <w:r>
              <w:rPr/>
              <w:t> </w:t>
            </w:r>
          </w:p>
        </w:tc>
        <w:tc>
          <w:tcPr>
            <w:tcW w:w="20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830"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1085" w:type="dxa"/>
            <w:tcBorders/>
            <w:shd w:fill="FFFFFF" w:val="clear"/>
            <w:vAlign w:val="center"/>
          </w:tcPr>
          <w:p>
            <w:pPr>
              <w:pStyle w:val="TableContents"/>
              <w:bidi w:val="0"/>
              <w:spacing w:before="0" w:after="283"/>
              <w:jc w:val="left"/>
              <w:rPr/>
            </w:pPr>
            <w:r>
              <w:rPr/>
              <w:t> </w:t>
            </w:r>
          </w:p>
        </w:tc>
        <w:tc>
          <w:tcPr>
            <w:tcW w:w="75" w:type="dxa"/>
            <w:tcBorders/>
            <w:shd w:fill="FFFFFF" w:val="clear"/>
            <w:vAlign w:val="center"/>
          </w:tcPr>
          <w:p>
            <w:pPr>
              <w:pStyle w:val="TableContents"/>
              <w:bidi w:val="0"/>
              <w:spacing w:before="0" w:after="283"/>
              <w:ind w:left="0" w:right="0" w:hanging="180"/>
              <w:jc w:val="left"/>
              <w:rPr/>
            </w:pPr>
            <w:r>
              <w:rPr/>
              <w:t> </w:t>
            </w:r>
          </w:p>
        </w:tc>
      </w:tr>
      <w:tr>
        <w:trPr/>
        <w:tc>
          <w:tcPr>
            <w:tcW w:w="1010" w:type="dxa"/>
            <w:tcBorders/>
            <w:shd w:fill="CCEEFF" w:val="clear"/>
            <w:vAlign w:val="center"/>
          </w:tcPr>
          <w:p>
            <w:pPr>
              <w:pStyle w:val="TableContents"/>
              <w:bidi w:val="0"/>
              <w:spacing w:before="0" w:after="283"/>
              <w:jc w:val="left"/>
              <w:rPr>
                <w:sz w:val="16"/>
              </w:rPr>
            </w:pPr>
            <w:r>
              <w:rPr>
                <w:sz w:val="16"/>
              </w:rPr>
              <w:t>Sales commissions</w:t>
            </w:r>
          </w:p>
        </w:tc>
        <w:tc>
          <w:tcPr>
            <w:tcW w:w="60" w:type="dxa"/>
            <w:tcBorders/>
            <w:shd w:fill="CCEEFF" w:val="clear"/>
            <w:vAlign w:val="center"/>
          </w:tcPr>
          <w:p>
            <w:pPr>
              <w:pStyle w:val="TableContents"/>
              <w:bidi w:val="0"/>
              <w:spacing w:before="0" w:after="283"/>
              <w:jc w:val="left"/>
              <w:rPr/>
            </w:pPr>
            <w:r>
              <w:rPr/>
              <w:t> </w:t>
            </w:r>
          </w:p>
        </w:tc>
        <w:tc>
          <w:tcPr>
            <w:tcW w:w="126" w:type="dxa"/>
            <w:tcBorders/>
            <w:shd w:fill="CCEEFF" w:val="clear"/>
            <w:vAlign w:val="center"/>
          </w:tcPr>
          <w:p>
            <w:pPr>
              <w:pStyle w:val="TableContents"/>
              <w:bidi w:val="0"/>
              <w:spacing w:before="0" w:after="283"/>
              <w:jc w:val="left"/>
              <w:rPr/>
            </w:pPr>
            <w:r>
              <w:rPr/>
              <w:t> </w:t>
            </w:r>
          </w:p>
        </w:tc>
        <w:tc>
          <w:tcPr>
            <w:tcW w:w="959" w:type="dxa"/>
            <w:tcBorders/>
            <w:shd w:fill="CCEEFF" w:val="clear"/>
            <w:vAlign w:val="center"/>
          </w:tcPr>
          <w:p>
            <w:pPr>
              <w:pStyle w:val="TableContents"/>
              <w:bidi w:val="0"/>
              <w:spacing w:before="0" w:after="283"/>
              <w:jc w:val="right"/>
              <w:rPr>
                <w:sz w:val="16"/>
              </w:rPr>
            </w:pPr>
            <w:r>
              <w:rPr>
                <w:sz w:val="16"/>
              </w:rPr>
              <w:t>37,009</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684" w:type="dxa"/>
            <w:tcBorders/>
            <w:shd w:fill="CCEEFF" w:val="clear"/>
            <w:vAlign w:val="center"/>
          </w:tcPr>
          <w:p>
            <w:pPr>
              <w:pStyle w:val="TableContents"/>
              <w:bidi w:val="0"/>
              <w:spacing w:before="0" w:after="283"/>
              <w:jc w:val="right"/>
              <w:rPr>
                <w:sz w:val="16"/>
              </w:rPr>
            </w:pPr>
            <w:r>
              <w:rPr>
                <w:sz w:val="16"/>
              </w:rPr>
              <w:t>45,615</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9" w:type="dxa"/>
            <w:tcBorders/>
            <w:shd w:fill="CCEEFF" w:val="clear"/>
            <w:vAlign w:val="center"/>
          </w:tcPr>
          <w:p>
            <w:pPr>
              <w:pStyle w:val="TableContents"/>
              <w:bidi w:val="0"/>
              <w:spacing w:before="0" w:after="283"/>
              <w:jc w:val="left"/>
              <w:rPr/>
            </w:pPr>
            <w:r>
              <w:rPr/>
              <w:t> </w:t>
            </w:r>
          </w:p>
        </w:tc>
        <w:tc>
          <w:tcPr>
            <w:tcW w:w="801" w:type="dxa"/>
            <w:tcBorders/>
            <w:shd w:fill="CCEEFF" w:val="clear"/>
            <w:vAlign w:val="center"/>
          </w:tcPr>
          <w:p>
            <w:pPr>
              <w:pStyle w:val="TableContents"/>
              <w:bidi w:val="0"/>
              <w:spacing w:before="0" w:after="283"/>
              <w:jc w:val="right"/>
              <w:rPr>
                <w:sz w:val="16"/>
              </w:rPr>
            </w:pPr>
            <w:r>
              <w:rPr>
                <w:sz w:val="16"/>
              </w:rPr>
              <w:t>-</w:t>
            </w:r>
          </w:p>
        </w:tc>
        <w:tc>
          <w:tcPr>
            <w:tcW w:w="24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740" w:type="dxa"/>
            <w:tcBorders/>
            <w:shd w:fill="CCEEFF" w:val="clear"/>
            <w:vAlign w:val="center"/>
          </w:tcPr>
          <w:p>
            <w:pPr>
              <w:pStyle w:val="TableContents"/>
              <w:bidi w:val="0"/>
              <w:spacing w:before="0" w:after="283"/>
              <w:jc w:val="right"/>
              <w:rPr>
                <w:sz w:val="16"/>
              </w:rPr>
            </w:pPr>
            <w:r>
              <w:rPr>
                <w:sz w:val="16"/>
              </w:rPr>
              <w:t>45,615</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684" w:type="dxa"/>
            <w:tcBorders/>
            <w:shd w:fill="CCEEFF" w:val="clear"/>
            <w:vAlign w:val="center"/>
          </w:tcPr>
          <w:p>
            <w:pPr>
              <w:pStyle w:val="TableContents"/>
              <w:bidi w:val="0"/>
              <w:spacing w:before="0" w:after="283"/>
              <w:jc w:val="right"/>
              <w:rPr>
                <w:sz w:val="16"/>
              </w:rPr>
            </w:pPr>
            <w:r>
              <w:rPr>
                <w:sz w:val="16"/>
              </w:rPr>
              <w:t>18,813</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1460" w:type="dxa"/>
            <w:tcBorders/>
            <w:shd w:fill="CCEEFF" w:val="clear"/>
            <w:vAlign w:val="center"/>
          </w:tcPr>
          <w:p>
            <w:pPr>
              <w:pStyle w:val="TableContents"/>
              <w:bidi w:val="0"/>
              <w:spacing w:before="0" w:after="283"/>
              <w:jc w:val="right"/>
              <w:rPr>
                <w:sz w:val="16"/>
              </w:rPr>
            </w:pPr>
            <w:r>
              <w:rPr>
                <w:sz w:val="16"/>
              </w:rPr>
              <w:t>-</w:t>
            </w:r>
          </w:p>
        </w:tc>
        <w:tc>
          <w:tcPr>
            <w:tcW w:w="2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sz w:val="16"/>
              </w:rPr>
            </w:pPr>
            <w:r>
              <w:rPr>
                <w:sz w:val="16"/>
              </w:rPr>
              <w:t>-</w:t>
            </w:r>
          </w:p>
        </w:tc>
        <w:tc>
          <w:tcPr>
            <w:tcW w:w="20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sz w:val="16"/>
              </w:rPr>
            </w:pPr>
            <w:r>
              <w:rPr>
                <w:sz w:val="16"/>
              </w:rPr>
              <w:t>18,813</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085" w:type="dxa"/>
            <w:tcBorders/>
            <w:shd w:fill="CCEEFF" w:val="clear"/>
            <w:vAlign w:val="center"/>
          </w:tcPr>
          <w:p>
            <w:pPr>
              <w:pStyle w:val="TableContents"/>
              <w:bidi w:val="0"/>
              <w:spacing w:before="0" w:after="283"/>
              <w:jc w:val="right"/>
              <w:rPr>
                <w:sz w:val="16"/>
              </w:rPr>
            </w:pPr>
            <w:r>
              <w:rPr>
                <w:sz w:val="16"/>
              </w:rPr>
              <w:t>101,437</w:t>
            </w:r>
          </w:p>
        </w:tc>
        <w:tc>
          <w:tcPr>
            <w:tcW w:w="75" w:type="dxa"/>
            <w:tcBorders/>
            <w:shd w:fill="CCEEFF" w:val="clear"/>
            <w:vAlign w:val="center"/>
          </w:tcPr>
          <w:p>
            <w:pPr>
              <w:pStyle w:val="TableContents"/>
              <w:bidi w:val="0"/>
              <w:spacing w:before="0" w:after="283"/>
              <w:ind w:left="0" w:right="0" w:hanging="180"/>
              <w:jc w:val="left"/>
              <w:rPr/>
            </w:pPr>
            <w:r>
              <w:rPr/>
              <w:t> </w:t>
            </w:r>
          </w:p>
        </w:tc>
      </w:tr>
      <w:tr>
        <w:trPr/>
        <w:tc>
          <w:tcPr>
            <w:tcW w:w="1010" w:type="dxa"/>
            <w:tcBorders/>
            <w:shd w:fill="FFFFFF" w:val="clear"/>
            <w:vAlign w:val="center"/>
          </w:tcPr>
          <w:p>
            <w:pPr>
              <w:pStyle w:val="TableContents"/>
              <w:bidi w:val="0"/>
              <w:spacing w:before="0" w:after="283"/>
              <w:jc w:val="left"/>
              <w:rPr>
                <w:sz w:val="16"/>
              </w:rPr>
            </w:pPr>
            <w:r>
              <w:rPr>
                <w:sz w:val="16"/>
              </w:rPr>
              <w:t>Sales and marketing</w:t>
            </w:r>
          </w:p>
        </w:tc>
        <w:tc>
          <w:tcPr>
            <w:tcW w:w="60" w:type="dxa"/>
            <w:tcBorders/>
            <w:shd w:fill="FFFFFF" w:val="clear"/>
            <w:vAlign w:val="center"/>
          </w:tcPr>
          <w:p>
            <w:pPr>
              <w:pStyle w:val="TableContents"/>
              <w:bidi w:val="0"/>
              <w:spacing w:before="0" w:after="283"/>
              <w:jc w:val="left"/>
              <w:rPr/>
            </w:pPr>
            <w:r>
              <w:rPr/>
              <w:t> </w:t>
            </w:r>
          </w:p>
        </w:tc>
        <w:tc>
          <w:tcPr>
            <w:tcW w:w="126" w:type="dxa"/>
            <w:tcBorders/>
            <w:shd w:fill="FFFFFF" w:val="clear"/>
            <w:vAlign w:val="center"/>
          </w:tcPr>
          <w:p>
            <w:pPr>
              <w:pStyle w:val="TableContents"/>
              <w:bidi w:val="0"/>
              <w:spacing w:before="0" w:after="283"/>
              <w:jc w:val="left"/>
              <w:rPr/>
            </w:pPr>
            <w:r>
              <w:rPr/>
              <w:t> </w:t>
            </w:r>
          </w:p>
        </w:tc>
        <w:tc>
          <w:tcPr>
            <w:tcW w:w="959" w:type="dxa"/>
            <w:tcBorders/>
            <w:shd w:fill="FFFFFF" w:val="clear"/>
            <w:vAlign w:val="center"/>
          </w:tcPr>
          <w:p>
            <w:pPr>
              <w:pStyle w:val="TableContents"/>
              <w:bidi w:val="0"/>
              <w:spacing w:before="0" w:after="283"/>
              <w:jc w:val="right"/>
              <w:rPr>
                <w:sz w:val="16"/>
              </w:rPr>
            </w:pPr>
            <w:r>
              <w:rPr>
                <w:sz w:val="16"/>
              </w:rPr>
              <w:t>29,030</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84" w:type="dxa"/>
            <w:tcBorders/>
            <w:shd w:fill="FFFFFF" w:val="clear"/>
            <w:vAlign w:val="center"/>
          </w:tcPr>
          <w:p>
            <w:pPr>
              <w:pStyle w:val="TableContents"/>
              <w:bidi w:val="0"/>
              <w:spacing w:before="0" w:after="283"/>
              <w:jc w:val="right"/>
              <w:rPr>
                <w:sz w:val="16"/>
              </w:rPr>
            </w:pPr>
            <w:r>
              <w:rPr>
                <w:sz w:val="16"/>
              </w:rPr>
              <w:t>1,251</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9" w:type="dxa"/>
            <w:tcBorders/>
            <w:shd w:fill="FFFFFF" w:val="clear"/>
            <w:vAlign w:val="center"/>
          </w:tcPr>
          <w:p>
            <w:pPr>
              <w:pStyle w:val="TableContents"/>
              <w:bidi w:val="0"/>
              <w:spacing w:before="0" w:after="283"/>
              <w:jc w:val="left"/>
              <w:rPr/>
            </w:pPr>
            <w:r>
              <w:rPr/>
              <w:t> </w:t>
            </w:r>
          </w:p>
        </w:tc>
        <w:tc>
          <w:tcPr>
            <w:tcW w:w="801" w:type="dxa"/>
            <w:tcBorders/>
            <w:shd w:fill="FFFFFF" w:val="clear"/>
            <w:vAlign w:val="center"/>
          </w:tcPr>
          <w:p>
            <w:pPr>
              <w:pStyle w:val="TableContents"/>
              <w:bidi w:val="0"/>
              <w:spacing w:before="0" w:after="283"/>
              <w:jc w:val="right"/>
              <w:rPr>
                <w:sz w:val="16"/>
              </w:rPr>
            </w:pPr>
            <w:r>
              <w:rPr>
                <w:sz w:val="16"/>
              </w:rPr>
              <w:t>-</w:t>
            </w:r>
          </w:p>
        </w:tc>
        <w:tc>
          <w:tcPr>
            <w:tcW w:w="24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740" w:type="dxa"/>
            <w:tcBorders/>
            <w:shd w:fill="FFFFFF" w:val="clear"/>
            <w:vAlign w:val="center"/>
          </w:tcPr>
          <w:p>
            <w:pPr>
              <w:pStyle w:val="TableContents"/>
              <w:bidi w:val="0"/>
              <w:spacing w:before="0" w:after="283"/>
              <w:jc w:val="right"/>
              <w:rPr>
                <w:sz w:val="16"/>
              </w:rPr>
            </w:pPr>
            <w:r>
              <w:rPr>
                <w:sz w:val="16"/>
              </w:rPr>
              <w:t>1,251</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84" w:type="dxa"/>
            <w:tcBorders/>
            <w:shd w:fill="FFFFFF" w:val="clear"/>
            <w:vAlign w:val="center"/>
          </w:tcPr>
          <w:p>
            <w:pPr>
              <w:pStyle w:val="TableContents"/>
              <w:bidi w:val="0"/>
              <w:spacing w:before="0" w:after="283"/>
              <w:jc w:val="right"/>
              <w:rPr>
                <w:sz w:val="16"/>
              </w:rPr>
            </w:pPr>
            <w:r>
              <w:rPr>
                <w:sz w:val="16"/>
              </w:rPr>
              <w:t>128</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1460" w:type="dxa"/>
            <w:tcBorders/>
            <w:shd w:fill="FFFFFF" w:val="clear"/>
            <w:vAlign w:val="center"/>
          </w:tcPr>
          <w:p>
            <w:pPr>
              <w:pStyle w:val="TableContents"/>
              <w:bidi w:val="0"/>
              <w:spacing w:before="0" w:after="283"/>
              <w:jc w:val="right"/>
              <w:rPr>
                <w:sz w:val="16"/>
              </w:rPr>
            </w:pPr>
            <w:r>
              <w:rPr>
                <w:sz w:val="16"/>
              </w:rPr>
              <w:t>-</w:t>
            </w:r>
          </w:p>
        </w:tc>
        <w:tc>
          <w:tcPr>
            <w:tcW w:w="2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830" w:type="dxa"/>
            <w:tcBorders/>
            <w:shd w:fill="FFFFFF" w:val="clear"/>
            <w:vAlign w:val="center"/>
          </w:tcPr>
          <w:p>
            <w:pPr>
              <w:pStyle w:val="TableContents"/>
              <w:bidi w:val="0"/>
              <w:spacing w:before="0" w:after="283"/>
              <w:jc w:val="right"/>
              <w:rPr>
                <w:sz w:val="16"/>
              </w:rPr>
            </w:pPr>
            <w:r>
              <w:rPr>
                <w:sz w:val="16"/>
              </w:rPr>
              <w:t>-</w:t>
            </w:r>
          </w:p>
        </w:tc>
        <w:tc>
          <w:tcPr>
            <w:tcW w:w="20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830" w:type="dxa"/>
            <w:tcBorders/>
            <w:shd w:fill="FFFFFF" w:val="clear"/>
            <w:vAlign w:val="center"/>
          </w:tcPr>
          <w:p>
            <w:pPr>
              <w:pStyle w:val="TableContents"/>
              <w:bidi w:val="0"/>
              <w:spacing w:before="0" w:after="283"/>
              <w:jc w:val="right"/>
              <w:rPr>
                <w:sz w:val="16"/>
              </w:rPr>
            </w:pPr>
            <w:r>
              <w:rPr>
                <w:sz w:val="16"/>
              </w:rPr>
              <w:t>128</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1085" w:type="dxa"/>
            <w:tcBorders/>
            <w:shd w:fill="FFFFFF" w:val="clear"/>
            <w:vAlign w:val="center"/>
          </w:tcPr>
          <w:p>
            <w:pPr>
              <w:pStyle w:val="TableContents"/>
              <w:bidi w:val="0"/>
              <w:spacing w:before="0" w:after="283"/>
              <w:jc w:val="right"/>
              <w:rPr>
                <w:sz w:val="16"/>
              </w:rPr>
            </w:pPr>
            <w:r>
              <w:rPr>
                <w:sz w:val="16"/>
              </w:rPr>
              <w:t>30,409</w:t>
            </w:r>
          </w:p>
        </w:tc>
        <w:tc>
          <w:tcPr>
            <w:tcW w:w="75" w:type="dxa"/>
            <w:tcBorders/>
            <w:shd w:fill="FFFFFF" w:val="clear"/>
            <w:vAlign w:val="center"/>
          </w:tcPr>
          <w:p>
            <w:pPr>
              <w:pStyle w:val="TableContents"/>
              <w:bidi w:val="0"/>
              <w:spacing w:before="0" w:after="283"/>
              <w:ind w:left="0" w:right="0" w:hanging="180"/>
              <w:jc w:val="left"/>
              <w:rPr/>
            </w:pPr>
            <w:r>
              <w:rPr/>
              <w:t> </w:t>
            </w:r>
          </w:p>
        </w:tc>
      </w:tr>
      <w:tr>
        <w:trPr/>
        <w:tc>
          <w:tcPr>
            <w:tcW w:w="1010" w:type="dxa"/>
            <w:tcBorders/>
            <w:shd w:fill="CCEEFF" w:val="clear"/>
            <w:vAlign w:val="center"/>
          </w:tcPr>
          <w:p>
            <w:pPr>
              <w:pStyle w:val="TableContents"/>
              <w:bidi w:val="0"/>
              <w:spacing w:before="0" w:after="283"/>
              <w:jc w:val="left"/>
              <w:rPr>
                <w:sz w:val="16"/>
              </w:rPr>
            </w:pPr>
            <w:r>
              <w:rPr>
                <w:sz w:val="16"/>
              </w:rPr>
              <w:t>General and administrative</w:t>
            </w:r>
          </w:p>
        </w:tc>
        <w:tc>
          <w:tcPr>
            <w:tcW w:w="60" w:type="dxa"/>
            <w:tcBorders/>
            <w:shd w:fill="CCEEFF" w:val="clear"/>
            <w:vAlign w:val="center"/>
          </w:tcPr>
          <w:p>
            <w:pPr>
              <w:pStyle w:val="TableContents"/>
              <w:bidi w:val="0"/>
              <w:spacing w:before="0" w:after="283"/>
              <w:jc w:val="left"/>
              <w:rPr/>
            </w:pPr>
            <w:r>
              <w:rPr/>
              <w:t> </w:t>
            </w:r>
          </w:p>
        </w:tc>
        <w:tc>
          <w:tcPr>
            <w:tcW w:w="126" w:type="dxa"/>
            <w:tcBorders/>
            <w:shd w:fill="CCEEFF" w:val="clear"/>
            <w:vAlign w:val="center"/>
          </w:tcPr>
          <w:p>
            <w:pPr>
              <w:pStyle w:val="TableContents"/>
              <w:bidi w:val="0"/>
              <w:spacing w:before="0" w:after="283"/>
              <w:jc w:val="left"/>
              <w:rPr/>
            </w:pPr>
            <w:r>
              <w:rPr/>
              <w:t> </w:t>
            </w:r>
          </w:p>
        </w:tc>
        <w:tc>
          <w:tcPr>
            <w:tcW w:w="959" w:type="dxa"/>
            <w:tcBorders/>
            <w:shd w:fill="CCEEFF" w:val="clear"/>
            <w:vAlign w:val="center"/>
          </w:tcPr>
          <w:p>
            <w:pPr>
              <w:pStyle w:val="TableContents"/>
              <w:bidi w:val="0"/>
              <w:spacing w:before="0" w:after="283"/>
              <w:jc w:val="right"/>
              <w:rPr>
                <w:sz w:val="16"/>
              </w:rPr>
            </w:pPr>
            <w:r>
              <w:rPr>
                <w:sz w:val="16"/>
              </w:rPr>
              <w:t>90,104</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684" w:type="dxa"/>
            <w:tcBorders/>
            <w:shd w:fill="CCEEFF" w:val="clear"/>
            <w:vAlign w:val="center"/>
          </w:tcPr>
          <w:p>
            <w:pPr>
              <w:pStyle w:val="TableContents"/>
              <w:bidi w:val="0"/>
              <w:spacing w:before="0" w:after="283"/>
              <w:jc w:val="right"/>
              <w:rPr>
                <w:sz w:val="16"/>
              </w:rPr>
            </w:pPr>
            <w:r>
              <w:rPr>
                <w:sz w:val="16"/>
              </w:rPr>
              <w:t>15,916</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9" w:type="dxa"/>
            <w:tcBorders/>
            <w:shd w:fill="CCEEFF" w:val="clear"/>
            <w:vAlign w:val="center"/>
          </w:tcPr>
          <w:p>
            <w:pPr>
              <w:pStyle w:val="TableContents"/>
              <w:bidi w:val="0"/>
              <w:spacing w:before="0" w:after="283"/>
              <w:jc w:val="left"/>
              <w:rPr/>
            </w:pPr>
            <w:r>
              <w:rPr/>
              <w:t> </w:t>
            </w:r>
          </w:p>
        </w:tc>
        <w:tc>
          <w:tcPr>
            <w:tcW w:w="801" w:type="dxa"/>
            <w:tcBorders/>
            <w:shd w:fill="CCEEFF" w:val="clear"/>
            <w:vAlign w:val="center"/>
          </w:tcPr>
          <w:p>
            <w:pPr>
              <w:pStyle w:val="TableContents"/>
              <w:bidi w:val="0"/>
              <w:spacing w:before="0" w:after="283"/>
              <w:jc w:val="right"/>
              <w:rPr>
                <w:sz w:val="16"/>
              </w:rPr>
            </w:pPr>
            <w:r>
              <w:rPr>
                <w:sz w:val="16"/>
              </w:rPr>
              <w:t>2,753</w:t>
            </w:r>
          </w:p>
        </w:tc>
        <w:tc>
          <w:tcPr>
            <w:tcW w:w="245" w:type="dxa"/>
            <w:tcBorders/>
            <w:shd w:fill="CCEEFF" w:val="clear"/>
            <w:vAlign w:val="center"/>
          </w:tcPr>
          <w:p>
            <w:pPr>
              <w:pStyle w:val="TableContents"/>
              <w:bidi w:val="0"/>
              <w:spacing w:before="0" w:after="283"/>
              <w:jc w:val="left"/>
              <w:rPr>
                <w:sz w:val="16"/>
              </w:rPr>
            </w:pPr>
            <w:r>
              <w:rPr>
                <w:sz w:val="16"/>
              </w:rPr>
              <w:t>(C)</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740" w:type="dxa"/>
            <w:tcBorders/>
            <w:shd w:fill="CCEEFF" w:val="clear"/>
            <w:vAlign w:val="center"/>
          </w:tcPr>
          <w:p>
            <w:pPr>
              <w:pStyle w:val="TableContents"/>
              <w:bidi w:val="0"/>
              <w:spacing w:before="0" w:after="283"/>
              <w:jc w:val="right"/>
              <w:rPr>
                <w:sz w:val="16"/>
              </w:rPr>
            </w:pPr>
            <w:r>
              <w:rPr>
                <w:sz w:val="16"/>
              </w:rPr>
              <w:t>18,669</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684" w:type="dxa"/>
            <w:tcBorders/>
            <w:shd w:fill="CCEEFF" w:val="clear"/>
            <w:vAlign w:val="center"/>
          </w:tcPr>
          <w:p>
            <w:pPr>
              <w:pStyle w:val="TableContents"/>
              <w:bidi w:val="0"/>
              <w:spacing w:before="0" w:after="283"/>
              <w:jc w:val="right"/>
              <w:rPr>
                <w:sz w:val="16"/>
              </w:rPr>
            </w:pPr>
            <w:r>
              <w:rPr>
                <w:sz w:val="16"/>
              </w:rPr>
              <w:t>13,979</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1460" w:type="dxa"/>
            <w:tcBorders/>
            <w:shd w:fill="CCEEFF" w:val="clear"/>
            <w:vAlign w:val="center"/>
          </w:tcPr>
          <w:p>
            <w:pPr>
              <w:pStyle w:val="TableContents"/>
              <w:bidi w:val="0"/>
              <w:spacing w:before="0" w:after="283"/>
              <w:jc w:val="right"/>
              <w:rPr>
                <w:sz w:val="16"/>
              </w:rPr>
            </w:pPr>
            <w:r>
              <w:rPr>
                <w:sz w:val="16"/>
              </w:rPr>
              <w:t>1,975</w:t>
            </w:r>
          </w:p>
        </w:tc>
        <w:tc>
          <w:tcPr>
            <w:tcW w:w="260" w:type="dxa"/>
            <w:tcBorders/>
            <w:shd w:fill="CCEEFF" w:val="clear"/>
            <w:vAlign w:val="center"/>
          </w:tcPr>
          <w:p>
            <w:pPr>
              <w:pStyle w:val="TableContents"/>
              <w:bidi w:val="0"/>
              <w:spacing w:before="0" w:after="283"/>
              <w:jc w:val="left"/>
              <w:rPr>
                <w:sz w:val="16"/>
              </w:rPr>
            </w:pPr>
            <w:r>
              <w:rPr>
                <w:sz w:val="16"/>
              </w:rPr>
              <w:t>(H)</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sz w:val="16"/>
              </w:rPr>
            </w:pPr>
            <w:r>
              <w:rPr>
                <w:sz w:val="16"/>
              </w:rPr>
              <w:t>1,792</w:t>
            </w:r>
          </w:p>
        </w:tc>
        <w:tc>
          <w:tcPr>
            <w:tcW w:w="200" w:type="dxa"/>
            <w:tcBorders/>
            <w:shd w:fill="CCEEFF" w:val="clear"/>
            <w:vAlign w:val="center"/>
          </w:tcPr>
          <w:p>
            <w:pPr>
              <w:pStyle w:val="TableContents"/>
              <w:bidi w:val="0"/>
              <w:spacing w:before="0" w:after="283"/>
              <w:jc w:val="left"/>
              <w:rPr>
                <w:sz w:val="16"/>
              </w:rPr>
            </w:pPr>
            <w:r>
              <w:rPr>
                <w:sz w:val="16"/>
              </w:rPr>
              <w:t>(D)</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sz w:val="16"/>
              </w:rPr>
            </w:pPr>
            <w:r>
              <w:rPr>
                <w:sz w:val="16"/>
              </w:rPr>
              <w:t>17,746</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085" w:type="dxa"/>
            <w:tcBorders/>
            <w:shd w:fill="CCEEFF" w:val="clear"/>
            <w:vAlign w:val="center"/>
          </w:tcPr>
          <w:p>
            <w:pPr>
              <w:pStyle w:val="TableContents"/>
              <w:bidi w:val="0"/>
              <w:spacing w:before="0" w:after="283"/>
              <w:jc w:val="right"/>
              <w:rPr>
                <w:sz w:val="16"/>
              </w:rPr>
            </w:pPr>
            <w:r>
              <w:rPr>
                <w:sz w:val="16"/>
              </w:rPr>
              <w:t>126,519</w:t>
            </w:r>
          </w:p>
        </w:tc>
        <w:tc>
          <w:tcPr>
            <w:tcW w:w="75" w:type="dxa"/>
            <w:tcBorders/>
            <w:shd w:fill="CCEEFF" w:val="clear"/>
            <w:vAlign w:val="center"/>
          </w:tcPr>
          <w:p>
            <w:pPr>
              <w:pStyle w:val="TableContents"/>
              <w:bidi w:val="0"/>
              <w:spacing w:before="0" w:after="283"/>
              <w:ind w:left="0" w:right="0" w:hanging="180"/>
              <w:jc w:val="left"/>
              <w:rPr/>
            </w:pPr>
            <w:r>
              <w:rPr/>
              <w:t> </w:t>
            </w:r>
          </w:p>
        </w:tc>
      </w:tr>
      <w:tr>
        <w:trPr/>
        <w:tc>
          <w:tcPr>
            <w:tcW w:w="1010" w:type="dxa"/>
            <w:tcBorders/>
            <w:shd w:fill="FFFFFF" w:val="clear"/>
            <w:vAlign w:val="center"/>
          </w:tcPr>
          <w:p>
            <w:pPr>
              <w:pStyle w:val="TableContents"/>
              <w:bidi w:val="0"/>
              <w:spacing w:before="0" w:after="283"/>
              <w:jc w:val="left"/>
              <w:rPr>
                <w:sz w:val="16"/>
              </w:rPr>
            </w:pPr>
            <w:r>
              <w:rPr>
                <w:sz w:val="16"/>
              </w:rPr>
              <w:t>Rent</w:t>
            </w:r>
          </w:p>
        </w:tc>
        <w:tc>
          <w:tcPr>
            <w:tcW w:w="60" w:type="dxa"/>
            <w:tcBorders/>
            <w:shd w:fill="FFFFFF" w:val="clear"/>
            <w:vAlign w:val="center"/>
          </w:tcPr>
          <w:p>
            <w:pPr>
              <w:pStyle w:val="TableContents"/>
              <w:bidi w:val="0"/>
              <w:spacing w:before="0" w:after="283"/>
              <w:jc w:val="left"/>
              <w:rPr/>
            </w:pPr>
            <w:r>
              <w:rPr/>
              <w:t> </w:t>
            </w:r>
          </w:p>
        </w:tc>
        <w:tc>
          <w:tcPr>
            <w:tcW w:w="126" w:type="dxa"/>
            <w:tcBorders/>
            <w:shd w:fill="FFFFFF" w:val="clear"/>
            <w:vAlign w:val="center"/>
          </w:tcPr>
          <w:p>
            <w:pPr>
              <w:pStyle w:val="TableContents"/>
              <w:bidi w:val="0"/>
              <w:spacing w:before="0" w:after="283"/>
              <w:jc w:val="left"/>
              <w:rPr/>
            </w:pPr>
            <w:r>
              <w:rPr/>
              <w:t> </w:t>
            </w:r>
          </w:p>
        </w:tc>
        <w:tc>
          <w:tcPr>
            <w:tcW w:w="959" w:type="dxa"/>
            <w:tcBorders/>
            <w:shd w:fill="FFFFFF" w:val="clear"/>
            <w:vAlign w:val="center"/>
          </w:tcPr>
          <w:p>
            <w:pPr>
              <w:pStyle w:val="TableContents"/>
              <w:bidi w:val="0"/>
              <w:spacing w:before="0" w:after="283"/>
              <w:jc w:val="right"/>
              <w:rPr>
                <w:sz w:val="16"/>
              </w:rPr>
            </w:pPr>
            <w:r>
              <w:rPr>
                <w:sz w:val="16"/>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84" w:type="dxa"/>
            <w:tcBorders/>
            <w:shd w:fill="FFFFFF" w:val="clear"/>
            <w:vAlign w:val="center"/>
          </w:tcPr>
          <w:p>
            <w:pPr>
              <w:pStyle w:val="TableContents"/>
              <w:bidi w:val="0"/>
              <w:spacing w:before="0" w:after="283"/>
              <w:jc w:val="right"/>
              <w:rPr>
                <w:sz w:val="16"/>
              </w:rPr>
            </w:pPr>
            <w:r>
              <w:rPr>
                <w:sz w:val="16"/>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9" w:type="dxa"/>
            <w:tcBorders/>
            <w:shd w:fill="FFFFFF" w:val="clear"/>
            <w:vAlign w:val="center"/>
          </w:tcPr>
          <w:p>
            <w:pPr>
              <w:pStyle w:val="TableContents"/>
              <w:bidi w:val="0"/>
              <w:spacing w:before="0" w:after="283"/>
              <w:jc w:val="left"/>
              <w:rPr/>
            </w:pPr>
            <w:r>
              <w:rPr/>
              <w:t> </w:t>
            </w:r>
          </w:p>
        </w:tc>
        <w:tc>
          <w:tcPr>
            <w:tcW w:w="801" w:type="dxa"/>
            <w:tcBorders/>
            <w:shd w:fill="FFFFFF" w:val="clear"/>
            <w:vAlign w:val="center"/>
          </w:tcPr>
          <w:p>
            <w:pPr>
              <w:pStyle w:val="TableContents"/>
              <w:bidi w:val="0"/>
              <w:spacing w:before="0" w:after="283"/>
              <w:jc w:val="right"/>
              <w:rPr>
                <w:sz w:val="16"/>
              </w:rPr>
            </w:pPr>
            <w:r>
              <w:rPr>
                <w:sz w:val="16"/>
              </w:rPr>
              <w:t>-</w:t>
            </w:r>
          </w:p>
        </w:tc>
        <w:tc>
          <w:tcPr>
            <w:tcW w:w="24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740" w:type="dxa"/>
            <w:tcBorders/>
            <w:shd w:fill="FFFFFF" w:val="clear"/>
            <w:vAlign w:val="center"/>
          </w:tcPr>
          <w:p>
            <w:pPr>
              <w:pStyle w:val="TableContents"/>
              <w:bidi w:val="0"/>
              <w:spacing w:before="0" w:after="283"/>
              <w:jc w:val="right"/>
              <w:rPr>
                <w:sz w:val="16"/>
              </w:rPr>
            </w:pPr>
            <w:r>
              <w:rPr>
                <w:sz w:val="16"/>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84" w:type="dxa"/>
            <w:tcBorders/>
            <w:shd w:fill="FFFFFF" w:val="clear"/>
            <w:vAlign w:val="center"/>
          </w:tcPr>
          <w:p>
            <w:pPr>
              <w:pStyle w:val="TableContents"/>
              <w:bidi w:val="0"/>
              <w:spacing w:before="0" w:after="283"/>
              <w:jc w:val="right"/>
              <w:rPr>
                <w:sz w:val="16"/>
              </w:rPr>
            </w:pPr>
            <w:r>
              <w:rPr>
                <w:sz w:val="16"/>
              </w:rPr>
              <w:t>1,338</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1460" w:type="dxa"/>
            <w:tcBorders/>
            <w:shd w:fill="FFFFFF" w:val="clear"/>
            <w:vAlign w:val="center"/>
          </w:tcPr>
          <w:p>
            <w:pPr>
              <w:pStyle w:val="TableContents"/>
              <w:bidi w:val="0"/>
              <w:spacing w:before="0" w:after="283"/>
              <w:jc w:val="right"/>
              <w:rPr>
                <w:sz w:val="16"/>
              </w:rPr>
            </w:pPr>
            <w:r>
              <w:rPr>
                <w:sz w:val="16"/>
              </w:rPr>
              <w:t>(1,338</w:t>
            </w:r>
          </w:p>
        </w:tc>
        <w:tc>
          <w:tcPr>
            <w:tcW w:w="260" w:type="dxa"/>
            <w:tcBorders/>
            <w:shd w:fill="FFFFFF" w:val="clear"/>
            <w:vAlign w:val="center"/>
          </w:tcPr>
          <w:p>
            <w:pPr>
              <w:pStyle w:val="TableContents"/>
              <w:bidi w:val="0"/>
              <w:spacing w:before="0" w:after="283"/>
              <w:jc w:val="left"/>
              <w:rPr>
                <w:sz w:val="16"/>
              </w:rPr>
            </w:pPr>
            <w:r>
              <w:rPr>
                <w:sz w:val="16"/>
              </w:rPr>
              <w:t>)(H)</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830" w:type="dxa"/>
            <w:tcBorders/>
            <w:shd w:fill="FFFFFF" w:val="clear"/>
            <w:vAlign w:val="center"/>
          </w:tcPr>
          <w:p>
            <w:pPr>
              <w:pStyle w:val="TableContents"/>
              <w:bidi w:val="0"/>
              <w:spacing w:before="0" w:after="283"/>
              <w:jc w:val="right"/>
              <w:rPr>
                <w:sz w:val="16"/>
              </w:rPr>
            </w:pPr>
            <w:r>
              <w:rPr>
                <w:sz w:val="16"/>
              </w:rPr>
              <w:t>-</w:t>
            </w:r>
          </w:p>
        </w:tc>
        <w:tc>
          <w:tcPr>
            <w:tcW w:w="20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830" w:type="dxa"/>
            <w:tcBorders/>
            <w:shd w:fill="FFFFFF" w:val="clear"/>
            <w:vAlign w:val="center"/>
          </w:tcPr>
          <w:p>
            <w:pPr>
              <w:pStyle w:val="TableContents"/>
              <w:bidi w:val="0"/>
              <w:spacing w:before="0" w:after="283"/>
              <w:jc w:val="right"/>
              <w:rPr>
                <w:sz w:val="16"/>
              </w:rPr>
            </w:pPr>
            <w:r>
              <w:rPr>
                <w:sz w:val="16"/>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1085" w:type="dxa"/>
            <w:tcBorders/>
            <w:shd w:fill="FFFFFF" w:val="clear"/>
            <w:vAlign w:val="center"/>
          </w:tcPr>
          <w:p>
            <w:pPr>
              <w:pStyle w:val="TableContents"/>
              <w:bidi w:val="0"/>
              <w:spacing w:before="0" w:after="283"/>
              <w:jc w:val="right"/>
              <w:rPr>
                <w:sz w:val="16"/>
              </w:rPr>
            </w:pPr>
            <w:r>
              <w:rPr>
                <w:sz w:val="16"/>
              </w:rPr>
              <w:t>-</w:t>
            </w:r>
          </w:p>
        </w:tc>
        <w:tc>
          <w:tcPr>
            <w:tcW w:w="75" w:type="dxa"/>
            <w:tcBorders/>
            <w:shd w:fill="FFFFFF" w:val="clear"/>
            <w:vAlign w:val="center"/>
          </w:tcPr>
          <w:p>
            <w:pPr>
              <w:pStyle w:val="TableContents"/>
              <w:bidi w:val="0"/>
              <w:spacing w:before="0" w:after="283"/>
              <w:ind w:left="0" w:right="0" w:hanging="180"/>
              <w:jc w:val="left"/>
              <w:rPr/>
            </w:pPr>
            <w:r>
              <w:rPr/>
              <w:t> </w:t>
            </w:r>
          </w:p>
        </w:tc>
      </w:tr>
      <w:tr>
        <w:trPr/>
        <w:tc>
          <w:tcPr>
            <w:tcW w:w="1010" w:type="dxa"/>
            <w:tcBorders/>
            <w:shd w:fill="CCEEFF" w:val="clear"/>
            <w:vAlign w:val="center"/>
          </w:tcPr>
          <w:p>
            <w:pPr>
              <w:pStyle w:val="TableContents"/>
              <w:bidi w:val="0"/>
              <w:spacing w:before="0" w:after="283"/>
              <w:jc w:val="left"/>
              <w:rPr>
                <w:sz w:val="16"/>
              </w:rPr>
            </w:pPr>
            <w:r>
              <w:rPr>
                <w:sz w:val="16"/>
              </w:rPr>
              <w:t>Depreciation and amortization</w:t>
            </w:r>
          </w:p>
        </w:tc>
        <w:tc>
          <w:tcPr>
            <w:tcW w:w="60" w:type="dxa"/>
            <w:tcBorders/>
            <w:shd w:fill="CCEEFF" w:val="clear"/>
            <w:vAlign w:val="center"/>
          </w:tcPr>
          <w:p>
            <w:pPr>
              <w:pStyle w:val="TableContents"/>
              <w:bidi w:val="0"/>
              <w:spacing w:before="0" w:after="283"/>
              <w:jc w:val="left"/>
              <w:rPr/>
            </w:pPr>
            <w:r>
              <w:rPr/>
              <w:t> </w:t>
            </w:r>
          </w:p>
        </w:tc>
        <w:tc>
          <w:tcPr>
            <w:tcW w:w="126"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59" w:type="dxa"/>
            <w:tcBorders>
              <w:bottom w:val="single" w:sz="12" w:space="0" w:color="000000"/>
            </w:tcBorders>
            <w:shd w:fill="CCEEFF" w:val="clear"/>
            <w:tcMar>
              <w:bottom w:w="28" w:type="dxa"/>
            </w:tcMar>
            <w:vAlign w:val="center"/>
          </w:tcPr>
          <w:p>
            <w:pPr>
              <w:pStyle w:val="TableContents"/>
              <w:bidi w:val="0"/>
              <w:spacing w:before="0" w:after="283"/>
              <w:jc w:val="right"/>
              <w:rPr>
                <w:sz w:val="16"/>
              </w:rPr>
            </w:pPr>
            <w:r>
              <w:rPr>
                <w:sz w:val="16"/>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6"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684" w:type="dxa"/>
            <w:tcBorders>
              <w:bottom w:val="single" w:sz="12" w:space="0" w:color="000000"/>
            </w:tcBorders>
            <w:shd w:fill="CCEEFF" w:val="clear"/>
            <w:tcMar>
              <w:bottom w:w="28" w:type="dxa"/>
            </w:tcMar>
            <w:vAlign w:val="center"/>
          </w:tcPr>
          <w:p>
            <w:pPr>
              <w:pStyle w:val="TableContents"/>
              <w:bidi w:val="0"/>
              <w:spacing w:before="0" w:after="283"/>
              <w:jc w:val="right"/>
              <w:rPr>
                <w:sz w:val="16"/>
              </w:rPr>
            </w:pPr>
            <w:r>
              <w:rPr>
                <w:sz w:val="16"/>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9"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01" w:type="dxa"/>
            <w:tcBorders>
              <w:bottom w:val="single" w:sz="12" w:space="0" w:color="000000"/>
            </w:tcBorders>
            <w:shd w:fill="CCEEFF" w:val="clear"/>
            <w:tcMar>
              <w:bottom w:w="28" w:type="dxa"/>
            </w:tcMar>
            <w:vAlign w:val="center"/>
          </w:tcPr>
          <w:p>
            <w:pPr>
              <w:pStyle w:val="TableContents"/>
              <w:bidi w:val="0"/>
              <w:spacing w:before="0" w:after="283"/>
              <w:jc w:val="right"/>
              <w:rPr>
                <w:sz w:val="16"/>
              </w:rPr>
            </w:pPr>
            <w:r>
              <w:rPr>
                <w:sz w:val="16"/>
              </w:rPr>
              <w:t>-</w:t>
            </w:r>
          </w:p>
        </w:tc>
        <w:tc>
          <w:tcPr>
            <w:tcW w:w="24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740" w:type="dxa"/>
            <w:tcBorders>
              <w:bottom w:val="single" w:sz="12" w:space="0" w:color="000000"/>
            </w:tcBorders>
            <w:shd w:fill="CCEEFF" w:val="clear"/>
            <w:tcMar>
              <w:bottom w:w="28" w:type="dxa"/>
            </w:tcMar>
            <w:vAlign w:val="center"/>
          </w:tcPr>
          <w:p>
            <w:pPr>
              <w:pStyle w:val="TableContents"/>
              <w:bidi w:val="0"/>
              <w:spacing w:before="0" w:after="283"/>
              <w:jc w:val="right"/>
              <w:rPr>
                <w:sz w:val="16"/>
              </w:rPr>
            </w:pPr>
            <w:r>
              <w:rPr>
                <w:sz w:val="16"/>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6"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684" w:type="dxa"/>
            <w:tcBorders>
              <w:bottom w:val="single" w:sz="12" w:space="0" w:color="000000"/>
            </w:tcBorders>
            <w:shd w:fill="CCEEFF" w:val="clear"/>
            <w:tcMar>
              <w:bottom w:w="28" w:type="dxa"/>
            </w:tcMar>
            <w:vAlign w:val="center"/>
          </w:tcPr>
          <w:p>
            <w:pPr>
              <w:pStyle w:val="TableContents"/>
              <w:bidi w:val="0"/>
              <w:spacing w:before="0" w:after="283"/>
              <w:jc w:val="right"/>
              <w:rPr>
                <w:sz w:val="16"/>
              </w:rPr>
            </w:pPr>
            <w:r>
              <w:rPr>
                <w:sz w:val="16"/>
              </w:rPr>
              <w:t>637</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460" w:type="dxa"/>
            <w:tcBorders>
              <w:bottom w:val="single" w:sz="12" w:space="0" w:color="000000"/>
            </w:tcBorders>
            <w:shd w:fill="CCEEFF" w:val="clear"/>
            <w:tcMar>
              <w:bottom w:w="28" w:type="dxa"/>
            </w:tcMar>
            <w:vAlign w:val="center"/>
          </w:tcPr>
          <w:p>
            <w:pPr>
              <w:pStyle w:val="TableContents"/>
              <w:bidi w:val="0"/>
              <w:spacing w:before="0" w:after="283"/>
              <w:jc w:val="right"/>
              <w:rPr>
                <w:sz w:val="16"/>
              </w:rPr>
            </w:pPr>
            <w:r>
              <w:rPr>
                <w:sz w:val="16"/>
              </w:rPr>
              <w:t>(637</w:t>
            </w:r>
          </w:p>
        </w:tc>
        <w:tc>
          <w:tcPr>
            <w:tcW w:w="260" w:type="dxa"/>
            <w:tcBorders/>
            <w:shd w:fill="CCEEFF" w:val="clear"/>
            <w:vAlign w:val="center"/>
          </w:tcPr>
          <w:p>
            <w:pPr>
              <w:pStyle w:val="TableContents"/>
              <w:bidi w:val="0"/>
              <w:spacing w:before="0" w:after="283"/>
              <w:jc w:val="left"/>
              <w:rPr>
                <w:sz w:val="16"/>
              </w:rPr>
            </w:pPr>
            <w:r>
              <w:rPr>
                <w:sz w:val="16"/>
              </w:rPr>
              <w:t>)(H)</w:t>
            </w:r>
          </w:p>
        </w:tc>
        <w:tc>
          <w:tcPr>
            <w:tcW w:w="60" w:type="dxa"/>
            <w:tcBorders/>
            <w:shd w:fill="CCEEFF" w:val="clear"/>
            <w:vAlign w:val="center"/>
          </w:tcPr>
          <w:p>
            <w:pPr>
              <w:pStyle w:val="TableContents"/>
              <w:bidi w:val="0"/>
              <w:spacing w:before="0" w:after="283"/>
              <w:jc w:val="left"/>
              <w:rPr/>
            </w:pPr>
            <w:r>
              <w:rPr/>
              <w:t> </w:t>
            </w:r>
          </w:p>
        </w:tc>
        <w:tc>
          <w:tcPr>
            <w:tcW w:w="11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30" w:type="dxa"/>
            <w:tcBorders>
              <w:bottom w:val="single" w:sz="12" w:space="0" w:color="000000"/>
            </w:tcBorders>
            <w:shd w:fill="CCEEFF" w:val="clear"/>
            <w:tcMar>
              <w:bottom w:w="28" w:type="dxa"/>
            </w:tcMar>
            <w:vAlign w:val="center"/>
          </w:tcPr>
          <w:p>
            <w:pPr>
              <w:pStyle w:val="TableContents"/>
              <w:bidi w:val="0"/>
              <w:spacing w:before="0" w:after="283"/>
              <w:jc w:val="right"/>
              <w:rPr>
                <w:sz w:val="16"/>
              </w:rPr>
            </w:pPr>
            <w:r>
              <w:rPr>
                <w:sz w:val="16"/>
              </w:rPr>
              <w:t>-</w:t>
            </w:r>
          </w:p>
        </w:tc>
        <w:tc>
          <w:tcPr>
            <w:tcW w:w="20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30" w:type="dxa"/>
            <w:tcBorders>
              <w:bottom w:val="single" w:sz="12" w:space="0" w:color="000000"/>
            </w:tcBorders>
            <w:shd w:fill="CCEEFF" w:val="clear"/>
            <w:tcMar>
              <w:bottom w:w="28" w:type="dxa"/>
            </w:tcMar>
            <w:vAlign w:val="center"/>
          </w:tcPr>
          <w:p>
            <w:pPr>
              <w:pStyle w:val="TableContents"/>
              <w:bidi w:val="0"/>
              <w:spacing w:before="0" w:after="283"/>
              <w:jc w:val="right"/>
              <w:rPr>
                <w:sz w:val="16"/>
              </w:rPr>
            </w:pPr>
            <w:r>
              <w:rPr>
                <w:sz w:val="16"/>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085" w:type="dxa"/>
            <w:tcBorders>
              <w:bottom w:val="single" w:sz="12" w:space="0" w:color="000000"/>
            </w:tcBorders>
            <w:shd w:fill="CCEEFF" w:val="clear"/>
            <w:tcMar>
              <w:bottom w:w="28" w:type="dxa"/>
            </w:tcMar>
            <w:vAlign w:val="center"/>
          </w:tcPr>
          <w:p>
            <w:pPr>
              <w:pStyle w:val="TableContents"/>
              <w:bidi w:val="0"/>
              <w:spacing w:before="0" w:after="283"/>
              <w:jc w:val="right"/>
              <w:rPr>
                <w:sz w:val="16"/>
              </w:rPr>
            </w:pPr>
            <w:r>
              <w:rPr>
                <w:sz w:val="16"/>
              </w:rPr>
              <w:t>-</w:t>
            </w:r>
          </w:p>
        </w:tc>
        <w:tc>
          <w:tcPr>
            <w:tcW w:w="75" w:type="dxa"/>
            <w:tcBorders/>
            <w:shd w:fill="CCEEFF" w:val="clear"/>
            <w:vAlign w:val="center"/>
          </w:tcPr>
          <w:p>
            <w:pPr>
              <w:pStyle w:val="TableContents"/>
              <w:bidi w:val="0"/>
              <w:spacing w:before="0" w:after="283"/>
              <w:ind w:left="0" w:right="0" w:hanging="180"/>
              <w:jc w:val="left"/>
              <w:rPr/>
            </w:pPr>
            <w:r>
              <w:rPr/>
              <w:t> </w:t>
            </w:r>
          </w:p>
        </w:tc>
      </w:tr>
      <w:tr>
        <w:trPr/>
        <w:tc>
          <w:tcPr>
            <w:tcW w:w="1010" w:type="dxa"/>
            <w:tcBorders/>
            <w:shd w:fill="FFFFFF" w:val="clear"/>
            <w:vAlign w:val="center"/>
          </w:tcPr>
          <w:p>
            <w:pPr>
              <w:pStyle w:val="TableContents"/>
              <w:bidi w:val="0"/>
              <w:spacing w:before="0" w:after="283"/>
              <w:jc w:val="left"/>
              <w:rPr>
                <w:sz w:val="16"/>
              </w:rPr>
            </w:pPr>
            <w:r>
              <w:rPr>
                <w:sz w:val="16"/>
              </w:rPr>
              <w:t>Total operating expenses</w:t>
            </w:r>
          </w:p>
        </w:tc>
        <w:tc>
          <w:tcPr>
            <w:tcW w:w="60" w:type="dxa"/>
            <w:tcBorders/>
            <w:shd w:fill="FFFFFF" w:val="clear"/>
            <w:vAlign w:val="center"/>
          </w:tcPr>
          <w:p>
            <w:pPr>
              <w:pStyle w:val="TableContents"/>
              <w:bidi w:val="0"/>
              <w:spacing w:before="0" w:after="283"/>
              <w:jc w:val="left"/>
              <w:rPr/>
            </w:pPr>
            <w:r>
              <w:rPr/>
              <w:t> </w:t>
            </w:r>
          </w:p>
        </w:tc>
        <w:tc>
          <w:tcPr>
            <w:tcW w:w="126"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959" w:type="dxa"/>
            <w:tcBorders>
              <w:bottom w:val="single" w:sz="12" w:space="0" w:color="000000"/>
            </w:tcBorders>
            <w:shd w:fill="FFFFFF" w:val="clear"/>
            <w:tcMar>
              <w:bottom w:w="28" w:type="dxa"/>
            </w:tcMar>
            <w:vAlign w:val="center"/>
          </w:tcPr>
          <w:p>
            <w:pPr>
              <w:pStyle w:val="TableContents"/>
              <w:bidi w:val="0"/>
              <w:spacing w:before="0" w:after="283"/>
              <w:jc w:val="right"/>
              <w:rPr>
                <w:sz w:val="16"/>
              </w:rPr>
            </w:pPr>
            <w:r>
              <w:rPr>
                <w:sz w:val="16"/>
              </w:rPr>
              <w:t>156,143</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6"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684" w:type="dxa"/>
            <w:tcBorders>
              <w:bottom w:val="single" w:sz="12" w:space="0" w:color="000000"/>
            </w:tcBorders>
            <w:shd w:fill="FFFFFF" w:val="clear"/>
            <w:tcMar>
              <w:bottom w:w="28" w:type="dxa"/>
            </w:tcMar>
            <w:vAlign w:val="center"/>
          </w:tcPr>
          <w:p>
            <w:pPr>
              <w:pStyle w:val="TableContents"/>
              <w:bidi w:val="0"/>
              <w:spacing w:before="0" w:after="283"/>
              <w:jc w:val="right"/>
              <w:rPr>
                <w:sz w:val="16"/>
              </w:rPr>
            </w:pPr>
            <w:r>
              <w:rPr>
                <w:sz w:val="16"/>
              </w:rPr>
              <w:t>62,782</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9"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801" w:type="dxa"/>
            <w:tcBorders>
              <w:bottom w:val="single" w:sz="12" w:space="0" w:color="000000"/>
            </w:tcBorders>
            <w:shd w:fill="FFFFFF" w:val="clear"/>
            <w:tcMar>
              <w:bottom w:w="28" w:type="dxa"/>
            </w:tcMar>
            <w:vAlign w:val="center"/>
          </w:tcPr>
          <w:p>
            <w:pPr>
              <w:pStyle w:val="TableContents"/>
              <w:bidi w:val="0"/>
              <w:spacing w:before="0" w:after="283"/>
              <w:jc w:val="right"/>
              <w:rPr>
                <w:sz w:val="16"/>
              </w:rPr>
            </w:pPr>
            <w:r>
              <w:rPr>
                <w:sz w:val="16"/>
              </w:rPr>
              <w:t>2,753</w:t>
            </w:r>
          </w:p>
        </w:tc>
        <w:tc>
          <w:tcPr>
            <w:tcW w:w="24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740" w:type="dxa"/>
            <w:tcBorders>
              <w:bottom w:val="single" w:sz="12" w:space="0" w:color="000000"/>
            </w:tcBorders>
            <w:shd w:fill="FFFFFF" w:val="clear"/>
            <w:tcMar>
              <w:bottom w:w="28" w:type="dxa"/>
            </w:tcMar>
            <w:vAlign w:val="center"/>
          </w:tcPr>
          <w:p>
            <w:pPr>
              <w:pStyle w:val="TableContents"/>
              <w:bidi w:val="0"/>
              <w:spacing w:before="0" w:after="283"/>
              <w:jc w:val="right"/>
              <w:rPr>
                <w:sz w:val="16"/>
              </w:rPr>
            </w:pPr>
            <w:r>
              <w:rPr>
                <w:sz w:val="16"/>
              </w:rPr>
              <w:t>65,535</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6"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684" w:type="dxa"/>
            <w:tcBorders>
              <w:bottom w:val="single" w:sz="12" w:space="0" w:color="000000"/>
            </w:tcBorders>
            <w:shd w:fill="FFFFFF" w:val="clear"/>
            <w:tcMar>
              <w:bottom w:w="28" w:type="dxa"/>
            </w:tcMar>
            <w:vAlign w:val="center"/>
          </w:tcPr>
          <w:p>
            <w:pPr>
              <w:pStyle w:val="TableContents"/>
              <w:bidi w:val="0"/>
              <w:spacing w:before="0" w:after="283"/>
              <w:jc w:val="right"/>
              <w:rPr>
                <w:sz w:val="16"/>
              </w:rPr>
            </w:pPr>
            <w:r>
              <w:rPr>
                <w:sz w:val="16"/>
              </w:rPr>
              <w:t>34,895</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460" w:type="dxa"/>
            <w:tcBorders>
              <w:bottom w:val="single" w:sz="12" w:space="0" w:color="000000"/>
            </w:tcBorders>
            <w:shd w:fill="FFFFFF" w:val="clear"/>
            <w:tcMar>
              <w:bottom w:w="28" w:type="dxa"/>
            </w:tcMar>
            <w:vAlign w:val="center"/>
          </w:tcPr>
          <w:p>
            <w:pPr>
              <w:pStyle w:val="TableContents"/>
              <w:bidi w:val="0"/>
              <w:spacing w:before="0" w:after="283"/>
              <w:jc w:val="right"/>
              <w:rPr>
                <w:sz w:val="16"/>
              </w:rPr>
            </w:pPr>
            <w:r>
              <w:rPr>
                <w:sz w:val="16"/>
              </w:rPr>
              <w:t>-</w:t>
            </w:r>
          </w:p>
        </w:tc>
        <w:tc>
          <w:tcPr>
            <w:tcW w:w="2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830" w:type="dxa"/>
            <w:tcBorders>
              <w:bottom w:val="single" w:sz="12" w:space="0" w:color="000000"/>
            </w:tcBorders>
            <w:shd w:fill="FFFFFF" w:val="clear"/>
            <w:tcMar>
              <w:bottom w:w="28" w:type="dxa"/>
            </w:tcMar>
            <w:vAlign w:val="center"/>
          </w:tcPr>
          <w:p>
            <w:pPr>
              <w:pStyle w:val="TableContents"/>
              <w:bidi w:val="0"/>
              <w:spacing w:before="0" w:after="283"/>
              <w:jc w:val="right"/>
              <w:rPr>
                <w:sz w:val="16"/>
              </w:rPr>
            </w:pPr>
            <w:r>
              <w:rPr>
                <w:sz w:val="16"/>
              </w:rPr>
              <w:t>(1,792</w:t>
            </w:r>
          </w:p>
        </w:tc>
        <w:tc>
          <w:tcPr>
            <w:tcW w:w="200" w:type="dxa"/>
            <w:tcBorders/>
            <w:shd w:fill="FFFFFF" w:val="clear"/>
            <w:vAlign w:val="center"/>
          </w:tcPr>
          <w:p>
            <w:pPr>
              <w:pStyle w:val="TableContents"/>
              <w:bidi w:val="0"/>
              <w:spacing w:before="0" w:after="283"/>
              <w:jc w:val="left"/>
              <w:rPr>
                <w:sz w:val="16"/>
              </w:rPr>
            </w:pPr>
            <w:r>
              <w:rPr>
                <w:sz w:val="16"/>
              </w:rPr>
              <w:t>)</w:t>
            </w:r>
          </w:p>
        </w:tc>
        <w:tc>
          <w:tcPr>
            <w:tcW w:w="60" w:type="dxa"/>
            <w:tcBorders/>
            <w:shd w:fill="FFFFFF" w:val="clear"/>
            <w:vAlign w:val="center"/>
          </w:tcPr>
          <w:p>
            <w:pPr>
              <w:pStyle w:val="TableContents"/>
              <w:bidi w:val="0"/>
              <w:spacing w:before="0" w:after="283"/>
              <w:jc w:val="left"/>
              <w:rPr/>
            </w:pPr>
            <w:r>
              <w:rPr/>
              <w:t> </w:t>
            </w:r>
          </w:p>
        </w:tc>
        <w:tc>
          <w:tcPr>
            <w:tcW w:w="11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830" w:type="dxa"/>
            <w:tcBorders>
              <w:bottom w:val="single" w:sz="12" w:space="0" w:color="000000"/>
            </w:tcBorders>
            <w:shd w:fill="FFFFFF" w:val="clear"/>
            <w:tcMar>
              <w:bottom w:w="28" w:type="dxa"/>
            </w:tcMar>
            <w:vAlign w:val="center"/>
          </w:tcPr>
          <w:p>
            <w:pPr>
              <w:pStyle w:val="TableContents"/>
              <w:bidi w:val="0"/>
              <w:spacing w:before="0" w:after="283"/>
              <w:jc w:val="right"/>
              <w:rPr>
                <w:sz w:val="16"/>
              </w:rPr>
            </w:pPr>
            <w:r>
              <w:rPr>
                <w:sz w:val="16"/>
              </w:rPr>
              <w:t>36,687</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1085" w:type="dxa"/>
            <w:tcBorders>
              <w:bottom w:val="single" w:sz="12" w:space="0" w:color="000000"/>
            </w:tcBorders>
            <w:shd w:fill="FFFFFF" w:val="clear"/>
            <w:tcMar>
              <w:bottom w:w="28" w:type="dxa"/>
            </w:tcMar>
            <w:vAlign w:val="center"/>
          </w:tcPr>
          <w:p>
            <w:pPr>
              <w:pStyle w:val="TableContents"/>
              <w:bidi w:val="0"/>
              <w:spacing w:before="0" w:after="283"/>
              <w:jc w:val="right"/>
              <w:rPr>
                <w:sz w:val="16"/>
              </w:rPr>
            </w:pPr>
            <w:r>
              <w:rPr>
                <w:sz w:val="16"/>
              </w:rPr>
              <w:t>258,365</w:t>
            </w:r>
          </w:p>
        </w:tc>
        <w:tc>
          <w:tcPr>
            <w:tcW w:w="75" w:type="dxa"/>
            <w:tcBorders/>
            <w:shd w:fill="FFFFFF" w:val="clear"/>
            <w:vAlign w:val="center"/>
          </w:tcPr>
          <w:p>
            <w:pPr>
              <w:pStyle w:val="TableContents"/>
              <w:bidi w:val="0"/>
              <w:spacing w:before="0" w:after="283"/>
              <w:ind w:left="0" w:right="0" w:hanging="180"/>
              <w:jc w:val="left"/>
              <w:rPr/>
            </w:pPr>
            <w:r>
              <w:rPr/>
              <w:t> </w:t>
            </w:r>
          </w:p>
        </w:tc>
      </w:tr>
      <w:tr>
        <w:trPr/>
        <w:tc>
          <w:tcPr>
            <w:tcW w:w="1010" w:type="dxa"/>
            <w:tcBorders/>
            <w:shd w:fill="CCEEFF" w:val="clear"/>
            <w:vAlign w:val="center"/>
          </w:tcPr>
          <w:p>
            <w:pPr>
              <w:pStyle w:val="TableContents"/>
              <w:bidi w:val="0"/>
              <w:spacing w:before="0" w:after="283"/>
              <w:jc w:val="left"/>
              <w:rPr>
                <w:sz w:val="16"/>
              </w:rPr>
            </w:pPr>
            <w:r>
              <w:rPr>
                <w:sz w:val="16"/>
              </w:rPr>
              <w:t>Loss from continuing operations</w:t>
            </w:r>
          </w:p>
        </w:tc>
        <w:tc>
          <w:tcPr>
            <w:tcW w:w="60" w:type="dxa"/>
            <w:tcBorders/>
            <w:shd w:fill="CCEEFF" w:val="clear"/>
            <w:vAlign w:val="center"/>
          </w:tcPr>
          <w:p>
            <w:pPr>
              <w:pStyle w:val="TableContents"/>
              <w:bidi w:val="0"/>
              <w:spacing w:before="0" w:after="283"/>
              <w:jc w:val="left"/>
              <w:rPr/>
            </w:pPr>
            <w:r>
              <w:rPr/>
              <w:t> </w:t>
            </w:r>
          </w:p>
        </w:tc>
        <w:tc>
          <w:tcPr>
            <w:tcW w:w="126"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59" w:type="dxa"/>
            <w:tcBorders>
              <w:bottom w:val="single" w:sz="12" w:space="0" w:color="000000"/>
            </w:tcBorders>
            <w:shd w:fill="CCEEFF" w:val="clear"/>
            <w:tcMar>
              <w:bottom w:w="28" w:type="dxa"/>
            </w:tcMar>
            <w:vAlign w:val="center"/>
          </w:tcPr>
          <w:p>
            <w:pPr>
              <w:pStyle w:val="TableContents"/>
              <w:bidi w:val="0"/>
              <w:spacing w:before="0" w:after="283"/>
              <w:jc w:val="right"/>
              <w:rPr>
                <w:sz w:val="16"/>
              </w:rPr>
            </w:pPr>
            <w:r>
              <w:rPr>
                <w:sz w:val="16"/>
              </w:rPr>
              <w:t>(26,931</w:t>
            </w:r>
          </w:p>
        </w:tc>
        <w:tc>
          <w:tcPr>
            <w:tcW w:w="80" w:type="dxa"/>
            <w:tcBorders/>
            <w:shd w:fill="CCEEFF" w:val="clear"/>
            <w:vAlign w:val="center"/>
          </w:tcPr>
          <w:p>
            <w:pPr>
              <w:pStyle w:val="TableContents"/>
              <w:bidi w:val="0"/>
              <w:spacing w:before="0" w:after="283"/>
              <w:jc w:val="left"/>
              <w:rPr>
                <w:sz w:val="16"/>
              </w:rPr>
            </w:pPr>
            <w:r>
              <w:rPr>
                <w:sz w:val="16"/>
              </w:rPr>
              <w:t>)</w:t>
            </w:r>
          </w:p>
        </w:tc>
        <w:tc>
          <w:tcPr>
            <w:tcW w:w="60" w:type="dxa"/>
            <w:tcBorders/>
            <w:shd w:fill="CCEEFF" w:val="clear"/>
            <w:vAlign w:val="center"/>
          </w:tcPr>
          <w:p>
            <w:pPr>
              <w:pStyle w:val="TableContents"/>
              <w:bidi w:val="0"/>
              <w:spacing w:before="0" w:after="283"/>
              <w:jc w:val="left"/>
              <w:rPr/>
            </w:pPr>
            <w:r>
              <w:rPr/>
              <w:t> </w:t>
            </w:r>
          </w:p>
        </w:tc>
        <w:tc>
          <w:tcPr>
            <w:tcW w:w="146"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684" w:type="dxa"/>
            <w:tcBorders>
              <w:bottom w:val="single" w:sz="12" w:space="0" w:color="000000"/>
            </w:tcBorders>
            <w:shd w:fill="CCEEFF" w:val="clear"/>
            <w:tcMar>
              <w:bottom w:w="28" w:type="dxa"/>
            </w:tcMar>
            <w:vAlign w:val="center"/>
          </w:tcPr>
          <w:p>
            <w:pPr>
              <w:pStyle w:val="TableContents"/>
              <w:bidi w:val="0"/>
              <w:spacing w:before="0" w:after="283"/>
              <w:jc w:val="right"/>
              <w:rPr>
                <w:sz w:val="16"/>
              </w:rPr>
            </w:pPr>
            <w:r>
              <w:rPr>
                <w:sz w:val="16"/>
              </w:rPr>
              <w:t>(6,698</w:t>
            </w:r>
          </w:p>
        </w:tc>
        <w:tc>
          <w:tcPr>
            <w:tcW w:w="80" w:type="dxa"/>
            <w:tcBorders/>
            <w:shd w:fill="CCEEFF" w:val="clear"/>
            <w:vAlign w:val="center"/>
          </w:tcPr>
          <w:p>
            <w:pPr>
              <w:pStyle w:val="TableContents"/>
              <w:bidi w:val="0"/>
              <w:spacing w:before="0" w:after="283"/>
              <w:jc w:val="left"/>
              <w:rPr>
                <w:sz w:val="16"/>
              </w:rPr>
            </w:pPr>
            <w:r>
              <w:rPr>
                <w:sz w:val="16"/>
              </w:rPr>
              <w:t>)</w:t>
            </w:r>
          </w:p>
        </w:tc>
        <w:tc>
          <w:tcPr>
            <w:tcW w:w="60" w:type="dxa"/>
            <w:tcBorders/>
            <w:shd w:fill="CCEEFF" w:val="clear"/>
            <w:vAlign w:val="center"/>
          </w:tcPr>
          <w:p>
            <w:pPr>
              <w:pStyle w:val="TableContents"/>
              <w:bidi w:val="0"/>
              <w:spacing w:before="0" w:after="283"/>
              <w:jc w:val="left"/>
              <w:rPr/>
            </w:pPr>
            <w:r>
              <w:rPr/>
              <w:t> </w:t>
            </w:r>
          </w:p>
        </w:tc>
        <w:tc>
          <w:tcPr>
            <w:tcW w:w="119"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01" w:type="dxa"/>
            <w:tcBorders>
              <w:bottom w:val="single" w:sz="12" w:space="0" w:color="000000"/>
            </w:tcBorders>
            <w:shd w:fill="CCEEFF" w:val="clear"/>
            <w:tcMar>
              <w:bottom w:w="28" w:type="dxa"/>
            </w:tcMar>
            <w:vAlign w:val="center"/>
          </w:tcPr>
          <w:p>
            <w:pPr>
              <w:pStyle w:val="TableContents"/>
              <w:bidi w:val="0"/>
              <w:spacing w:before="0" w:after="283"/>
              <w:jc w:val="right"/>
              <w:rPr>
                <w:sz w:val="16"/>
              </w:rPr>
            </w:pPr>
            <w:r>
              <w:rPr>
                <w:sz w:val="16"/>
              </w:rPr>
              <w:t>(3,053</w:t>
            </w:r>
          </w:p>
        </w:tc>
        <w:tc>
          <w:tcPr>
            <w:tcW w:w="245" w:type="dxa"/>
            <w:tcBorders/>
            <w:shd w:fill="CCEEFF" w:val="clear"/>
            <w:vAlign w:val="center"/>
          </w:tcPr>
          <w:p>
            <w:pPr>
              <w:pStyle w:val="TableContents"/>
              <w:bidi w:val="0"/>
              <w:spacing w:before="0" w:after="283"/>
              <w:jc w:val="left"/>
              <w:rPr>
                <w:sz w:val="16"/>
              </w:rPr>
            </w:pPr>
            <w:r>
              <w:rPr>
                <w:sz w:val="16"/>
              </w:rPr>
              <w:t>)</w:t>
            </w:r>
          </w:p>
        </w:tc>
        <w:tc>
          <w:tcPr>
            <w:tcW w:w="60" w:type="dxa"/>
            <w:tcBorders/>
            <w:shd w:fill="CCEEFF" w:val="clear"/>
            <w:vAlign w:val="center"/>
          </w:tcPr>
          <w:p>
            <w:pPr>
              <w:pStyle w:val="TableContents"/>
              <w:bidi w:val="0"/>
              <w:spacing w:before="0" w:after="283"/>
              <w:jc w:val="left"/>
              <w:rPr/>
            </w:pPr>
            <w:r>
              <w:rPr/>
              <w:t> </w:t>
            </w:r>
          </w:p>
        </w:tc>
        <w:tc>
          <w:tcPr>
            <w:tcW w:w="11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740" w:type="dxa"/>
            <w:tcBorders>
              <w:bottom w:val="single" w:sz="12" w:space="0" w:color="000000"/>
            </w:tcBorders>
            <w:shd w:fill="CCEEFF" w:val="clear"/>
            <w:tcMar>
              <w:bottom w:w="28" w:type="dxa"/>
            </w:tcMar>
            <w:vAlign w:val="center"/>
          </w:tcPr>
          <w:p>
            <w:pPr>
              <w:pStyle w:val="TableContents"/>
              <w:bidi w:val="0"/>
              <w:spacing w:before="0" w:after="283"/>
              <w:jc w:val="right"/>
              <w:rPr>
                <w:sz w:val="16"/>
              </w:rPr>
            </w:pPr>
            <w:r>
              <w:rPr>
                <w:sz w:val="16"/>
              </w:rPr>
              <w:t>(9,194</w:t>
            </w:r>
          </w:p>
        </w:tc>
        <w:tc>
          <w:tcPr>
            <w:tcW w:w="80" w:type="dxa"/>
            <w:tcBorders/>
            <w:shd w:fill="CCEEFF" w:val="clear"/>
            <w:vAlign w:val="center"/>
          </w:tcPr>
          <w:p>
            <w:pPr>
              <w:pStyle w:val="TableContents"/>
              <w:bidi w:val="0"/>
              <w:spacing w:before="0" w:after="283"/>
              <w:jc w:val="left"/>
              <w:rPr>
                <w:sz w:val="16"/>
              </w:rPr>
            </w:pPr>
            <w:r>
              <w:rPr>
                <w:sz w:val="16"/>
              </w:rPr>
              <w:t>)</w:t>
            </w:r>
          </w:p>
        </w:tc>
        <w:tc>
          <w:tcPr>
            <w:tcW w:w="60" w:type="dxa"/>
            <w:tcBorders/>
            <w:shd w:fill="CCEEFF" w:val="clear"/>
            <w:vAlign w:val="center"/>
          </w:tcPr>
          <w:p>
            <w:pPr>
              <w:pStyle w:val="TableContents"/>
              <w:bidi w:val="0"/>
              <w:spacing w:before="0" w:after="283"/>
              <w:jc w:val="left"/>
              <w:rPr/>
            </w:pPr>
            <w:r>
              <w:rPr/>
              <w:t> </w:t>
            </w:r>
          </w:p>
        </w:tc>
        <w:tc>
          <w:tcPr>
            <w:tcW w:w="146"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684" w:type="dxa"/>
            <w:tcBorders>
              <w:bottom w:val="single" w:sz="12" w:space="0" w:color="000000"/>
            </w:tcBorders>
            <w:shd w:fill="CCEEFF" w:val="clear"/>
            <w:tcMar>
              <w:bottom w:w="28" w:type="dxa"/>
            </w:tcMar>
            <w:vAlign w:val="center"/>
          </w:tcPr>
          <w:p>
            <w:pPr>
              <w:pStyle w:val="TableContents"/>
              <w:bidi w:val="0"/>
              <w:spacing w:before="0" w:after="283"/>
              <w:jc w:val="right"/>
              <w:rPr>
                <w:sz w:val="16"/>
              </w:rPr>
            </w:pPr>
            <w:r>
              <w:rPr>
                <w:sz w:val="16"/>
              </w:rPr>
              <w:t>(172</w:t>
            </w:r>
          </w:p>
        </w:tc>
        <w:tc>
          <w:tcPr>
            <w:tcW w:w="80" w:type="dxa"/>
            <w:tcBorders/>
            <w:shd w:fill="CCEEFF" w:val="clear"/>
            <w:vAlign w:val="center"/>
          </w:tcPr>
          <w:p>
            <w:pPr>
              <w:pStyle w:val="TableContents"/>
              <w:bidi w:val="0"/>
              <w:spacing w:before="0" w:after="283"/>
              <w:jc w:val="left"/>
              <w:rPr>
                <w:sz w:val="16"/>
              </w:rPr>
            </w:pPr>
            <w:r>
              <w:rPr>
                <w:sz w:val="16"/>
              </w:rPr>
              <w:t>)</w:t>
            </w:r>
          </w:p>
        </w:tc>
        <w:tc>
          <w:tcPr>
            <w:tcW w:w="60" w:type="dxa"/>
            <w:tcBorders/>
            <w:shd w:fill="CCEEFF" w:val="clear"/>
            <w:vAlign w:val="center"/>
          </w:tcPr>
          <w:p>
            <w:pPr>
              <w:pStyle w:val="TableContents"/>
              <w:bidi w:val="0"/>
              <w:spacing w:before="0" w:after="283"/>
              <w:jc w:val="left"/>
              <w:rPr/>
            </w:pPr>
            <w:r>
              <w:rPr/>
              <w:t> </w:t>
            </w:r>
          </w:p>
        </w:tc>
        <w:tc>
          <w:tcPr>
            <w:tcW w:w="11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460" w:type="dxa"/>
            <w:tcBorders>
              <w:bottom w:val="single" w:sz="12" w:space="0" w:color="000000"/>
            </w:tcBorders>
            <w:shd w:fill="CCEEFF" w:val="clear"/>
            <w:tcMar>
              <w:bottom w:w="28" w:type="dxa"/>
            </w:tcMar>
            <w:vAlign w:val="center"/>
          </w:tcPr>
          <w:p>
            <w:pPr>
              <w:pStyle w:val="TableContents"/>
              <w:bidi w:val="0"/>
              <w:spacing w:before="0" w:after="283"/>
              <w:jc w:val="right"/>
              <w:rPr>
                <w:sz w:val="16"/>
              </w:rPr>
            </w:pPr>
            <w:r>
              <w:rPr>
                <w:sz w:val="16"/>
              </w:rPr>
              <w:t>-</w:t>
            </w:r>
          </w:p>
        </w:tc>
        <w:tc>
          <w:tcPr>
            <w:tcW w:w="2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30" w:type="dxa"/>
            <w:tcBorders>
              <w:bottom w:val="single" w:sz="12" w:space="0" w:color="000000"/>
            </w:tcBorders>
            <w:shd w:fill="CCEEFF" w:val="clear"/>
            <w:tcMar>
              <w:bottom w:w="28" w:type="dxa"/>
            </w:tcMar>
            <w:vAlign w:val="center"/>
          </w:tcPr>
          <w:p>
            <w:pPr>
              <w:pStyle w:val="TableContents"/>
              <w:bidi w:val="0"/>
              <w:spacing w:before="0" w:after="283"/>
              <w:jc w:val="right"/>
              <w:rPr>
                <w:sz w:val="16"/>
              </w:rPr>
            </w:pPr>
            <w:r>
              <w:rPr>
                <w:sz w:val="16"/>
              </w:rPr>
              <w:t>-</w:t>
            </w:r>
          </w:p>
        </w:tc>
        <w:tc>
          <w:tcPr>
            <w:tcW w:w="20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30" w:type="dxa"/>
            <w:tcBorders>
              <w:bottom w:val="single" w:sz="12" w:space="0" w:color="000000"/>
            </w:tcBorders>
            <w:shd w:fill="CCEEFF" w:val="clear"/>
            <w:tcMar>
              <w:bottom w:w="28" w:type="dxa"/>
            </w:tcMar>
            <w:vAlign w:val="center"/>
          </w:tcPr>
          <w:p>
            <w:pPr>
              <w:pStyle w:val="TableContents"/>
              <w:bidi w:val="0"/>
              <w:spacing w:before="0" w:after="283"/>
              <w:jc w:val="right"/>
              <w:rPr>
                <w:sz w:val="16"/>
              </w:rPr>
            </w:pPr>
            <w:r>
              <w:rPr>
                <w:sz w:val="16"/>
              </w:rPr>
              <w:t>(172</w:t>
            </w:r>
          </w:p>
        </w:tc>
        <w:tc>
          <w:tcPr>
            <w:tcW w:w="80" w:type="dxa"/>
            <w:tcBorders/>
            <w:shd w:fill="CCEEFF" w:val="clear"/>
            <w:vAlign w:val="center"/>
          </w:tcPr>
          <w:p>
            <w:pPr>
              <w:pStyle w:val="TableContents"/>
              <w:bidi w:val="0"/>
              <w:spacing w:before="0" w:after="283"/>
              <w:jc w:val="left"/>
              <w:rPr>
                <w:sz w:val="16"/>
              </w:rPr>
            </w:pPr>
            <w:r>
              <w:rPr>
                <w:sz w:val="16"/>
              </w:rPr>
              <w:t>)</w:t>
            </w:r>
          </w:p>
        </w:tc>
        <w:tc>
          <w:tcPr>
            <w:tcW w:w="6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085" w:type="dxa"/>
            <w:tcBorders>
              <w:bottom w:val="single" w:sz="12" w:space="0" w:color="000000"/>
            </w:tcBorders>
            <w:shd w:fill="CCEEFF" w:val="clear"/>
            <w:tcMar>
              <w:bottom w:w="28" w:type="dxa"/>
            </w:tcMar>
            <w:vAlign w:val="center"/>
          </w:tcPr>
          <w:p>
            <w:pPr>
              <w:pStyle w:val="TableContents"/>
              <w:bidi w:val="0"/>
              <w:spacing w:before="0" w:after="283"/>
              <w:jc w:val="right"/>
              <w:rPr>
                <w:sz w:val="16"/>
              </w:rPr>
            </w:pPr>
            <w:r>
              <w:rPr>
                <w:sz w:val="16"/>
              </w:rPr>
              <w:t>(38,646</w:t>
            </w:r>
          </w:p>
        </w:tc>
        <w:tc>
          <w:tcPr>
            <w:tcW w:w="75" w:type="dxa"/>
            <w:tcBorders/>
            <w:shd w:fill="CCEEFF" w:val="clear"/>
            <w:vAlign w:val="center"/>
          </w:tcPr>
          <w:p>
            <w:pPr>
              <w:pStyle w:val="TableContents"/>
              <w:bidi w:val="0"/>
              <w:spacing w:before="0" w:after="283"/>
              <w:ind w:left="0" w:right="0" w:hanging="180"/>
              <w:jc w:val="left"/>
              <w:rPr>
                <w:sz w:val="16"/>
              </w:rPr>
            </w:pPr>
            <w:r>
              <w:rPr>
                <w:sz w:val="16"/>
              </w:rPr>
              <w:t>) </w:t>
            </w:r>
          </w:p>
        </w:tc>
      </w:tr>
      <w:tr>
        <w:trPr/>
        <w:tc>
          <w:tcPr>
            <w:tcW w:w="1010" w:type="dxa"/>
            <w:tcBorders/>
            <w:shd w:fill="FFFFFF" w:val="clear"/>
            <w:vAlign w:val="center"/>
          </w:tcPr>
          <w:p>
            <w:pPr>
              <w:pStyle w:val="TableContents"/>
              <w:bidi w:val="0"/>
              <w:spacing w:before="0" w:after="283"/>
              <w:jc w:val="left"/>
              <w:rPr>
                <w:sz w:val="16"/>
              </w:rPr>
            </w:pPr>
            <w:r>
              <w:rPr>
                <w:sz w:val="16"/>
              </w:rPr>
              <w:t>Interest expense</w:t>
            </w:r>
          </w:p>
        </w:tc>
        <w:tc>
          <w:tcPr>
            <w:tcW w:w="60" w:type="dxa"/>
            <w:tcBorders/>
            <w:shd w:fill="FFFFFF" w:val="clear"/>
            <w:vAlign w:val="center"/>
          </w:tcPr>
          <w:p>
            <w:pPr>
              <w:pStyle w:val="TableContents"/>
              <w:bidi w:val="0"/>
              <w:spacing w:before="0" w:after="283"/>
              <w:jc w:val="left"/>
              <w:rPr/>
            </w:pPr>
            <w:r>
              <w:rPr/>
              <w:t> </w:t>
            </w:r>
          </w:p>
        </w:tc>
        <w:tc>
          <w:tcPr>
            <w:tcW w:w="126" w:type="dxa"/>
            <w:tcBorders/>
            <w:shd w:fill="FFFFFF" w:val="clear"/>
            <w:vAlign w:val="center"/>
          </w:tcPr>
          <w:p>
            <w:pPr>
              <w:pStyle w:val="TableContents"/>
              <w:bidi w:val="0"/>
              <w:spacing w:before="0" w:after="283"/>
              <w:jc w:val="left"/>
              <w:rPr/>
            </w:pPr>
            <w:r>
              <w:rPr/>
              <w:t> </w:t>
            </w:r>
          </w:p>
        </w:tc>
        <w:tc>
          <w:tcPr>
            <w:tcW w:w="959" w:type="dxa"/>
            <w:tcBorders/>
            <w:shd w:fill="FFFFFF" w:val="clear"/>
            <w:vAlign w:val="center"/>
          </w:tcPr>
          <w:p>
            <w:pPr>
              <w:pStyle w:val="TableContents"/>
              <w:bidi w:val="0"/>
              <w:spacing w:before="0" w:after="283"/>
              <w:jc w:val="right"/>
              <w:rPr>
                <w:sz w:val="16"/>
              </w:rPr>
            </w:pPr>
            <w:r>
              <w:rPr>
                <w:sz w:val="16"/>
              </w:rPr>
              <w:t>(25,095</w:t>
            </w:r>
          </w:p>
        </w:tc>
        <w:tc>
          <w:tcPr>
            <w:tcW w:w="80" w:type="dxa"/>
            <w:tcBorders/>
            <w:shd w:fill="FFFFFF" w:val="clear"/>
            <w:vAlign w:val="center"/>
          </w:tcPr>
          <w:p>
            <w:pPr>
              <w:pStyle w:val="TableContents"/>
              <w:bidi w:val="0"/>
              <w:spacing w:before="0" w:after="283"/>
              <w:jc w:val="left"/>
              <w:rPr>
                <w:sz w:val="16"/>
              </w:rPr>
            </w:pPr>
            <w:r>
              <w:rPr>
                <w:sz w:val="16"/>
              </w:rPr>
              <w:t>)</w:t>
            </w:r>
          </w:p>
        </w:tc>
        <w:tc>
          <w:tcPr>
            <w:tcW w:w="60"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84" w:type="dxa"/>
            <w:tcBorders/>
            <w:shd w:fill="FFFFFF" w:val="clear"/>
            <w:vAlign w:val="center"/>
          </w:tcPr>
          <w:p>
            <w:pPr>
              <w:pStyle w:val="TableContents"/>
              <w:bidi w:val="0"/>
              <w:spacing w:before="0" w:after="283"/>
              <w:jc w:val="right"/>
              <w:rPr>
                <w:sz w:val="16"/>
              </w:rPr>
            </w:pPr>
            <w:r>
              <w:rPr>
                <w:sz w:val="16"/>
              </w:rPr>
              <w:t>(246</w:t>
            </w:r>
          </w:p>
        </w:tc>
        <w:tc>
          <w:tcPr>
            <w:tcW w:w="80" w:type="dxa"/>
            <w:tcBorders/>
            <w:shd w:fill="FFFFFF" w:val="clear"/>
            <w:vAlign w:val="center"/>
          </w:tcPr>
          <w:p>
            <w:pPr>
              <w:pStyle w:val="TableContents"/>
              <w:bidi w:val="0"/>
              <w:spacing w:before="0" w:after="283"/>
              <w:jc w:val="left"/>
              <w:rPr>
                <w:sz w:val="16"/>
              </w:rPr>
            </w:pPr>
            <w:r>
              <w:rPr>
                <w:sz w:val="16"/>
              </w:rPr>
              <w:t>)</w:t>
            </w:r>
          </w:p>
        </w:tc>
        <w:tc>
          <w:tcPr>
            <w:tcW w:w="60" w:type="dxa"/>
            <w:tcBorders/>
            <w:shd w:fill="FFFFFF" w:val="clear"/>
            <w:vAlign w:val="center"/>
          </w:tcPr>
          <w:p>
            <w:pPr>
              <w:pStyle w:val="TableContents"/>
              <w:bidi w:val="0"/>
              <w:spacing w:before="0" w:after="283"/>
              <w:jc w:val="left"/>
              <w:rPr/>
            </w:pPr>
            <w:r>
              <w:rPr/>
              <w:t> </w:t>
            </w:r>
          </w:p>
        </w:tc>
        <w:tc>
          <w:tcPr>
            <w:tcW w:w="119" w:type="dxa"/>
            <w:tcBorders/>
            <w:shd w:fill="FFFFFF" w:val="clear"/>
            <w:vAlign w:val="center"/>
          </w:tcPr>
          <w:p>
            <w:pPr>
              <w:pStyle w:val="TableContents"/>
              <w:bidi w:val="0"/>
              <w:spacing w:before="0" w:after="283"/>
              <w:jc w:val="left"/>
              <w:rPr/>
            </w:pPr>
            <w:r>
              <w:rPr/>
              <w:t> </w:t>
            </w:r>
          </w:p>
        </w:tc>
        <w:tc>
          <w:tcPr>
            <w:tcW w:w="801" w:type="dxa"/>
            <w:tcBorders/>
            <w:shd w:fill="FFFFFF" w:val="clear"/>
            <w:vAlign w:val="center"/>
          </w:tcPr>
          <w:p>
            <w:pPr>
              <w:pStyle w:val="TableContents"/>
              <w:bidi w:val="0"/>
              <w:spacing w:before="0" w:after="283"/>
              <w:jc w:val="right"/>
              <w:rPr>
                <w:sz w:val="16"/>
              </w:rPr>
            </w:pPr>
            <w:r>
              <w:rPr>
                <w:sz w:val="16"/>
              </w:rPr>
              <w:t>(2,658</w:t>
            </w:r>
          </w:p>
        </w:tc>
        <w:tc>
          <w:tcPr>
            <w:tcW w:w="245" w:type="dxa"/>
            <w:tcBorders/>
            <w:shd w:fill="FFFFFF" w:val="clear"/>
            <w:vAlign w:val="center"/>
          </w:tcPr>
          <w:p>
            <w:pPr>
              <w:pStyle w:val="TableContents"/>
              <w:bidi w:val="0"/>
              <w:spacing w:before="0" w:after="283"/>
              <w:jc w:val="left"/>
              <w:rPr>
                <w:sz w:val="16"/>
              </w:rPr>
            </w:pPr>
            <w:r>
              <w:rPr>
                <w:sz w:val="16"/>
              </w:rPr>
              <w:t>)(E)</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740" w:type="dxa"/>
            <w:tcBorders/>
            <w:shd w:fill="FFFFFF" w:val="clear"/>
            <w:vAlign w:val="center"/>
          </w:tcPr>
          <w:p>
            <w:pPr>
              <w:pStyle w:val="TableContents"/>
              <w:bidi w:val="0"/>
              <w:spacing w:before="0" w:after="283"/>
              <w:jc w:val="right"/>
              <w:rPr>
                <w:sz w:val="16"/>
              </w:rPr>
            </w:pPr>
            <w:r>
              <w:rPr>
                <w:sz w:val="16"/>
              </w:rPr>
              <w:t>(2,904</w:t>
            </w:r>
          </w:p>
        </w:tc>
        <w:tc>
          <w:tcPr>
            <w:tcW w:w="80" w:type="dxa"/>
            <w:tcBorders/>
            <w:shd w:fill="FFFFFF" w:val="clear"/>
            <w:vAlign w:val="center"/>
          </w:tcPr>
          <w:p>
            <w:pPr>
              <w:pStyle w:val="TableContents"/>
              <w:bidi w:val="0"/>
              <w:spacing w:before="0" w:after="283"/>
              <w:jc w:val="left"/>
              <w:rPr>
                <w:sz w:val="16"/>
              </w:rPr>
            </w:pPr>
            <w:r>
              <w:rPr>
                <w:sz w:val="16"/>
              </w:rPr>
              <w:t>)</w:t>
            </w:r>
          </w:p>
        </w:tc>
        <w:tc>
          <w:tcPr>
            <w:tcW w:w="60"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84" w:type="dxa"/>
            <w:tcBorders/>
            <w:shd w:fill="FFFFFF" w:val="clear"/>
            <w:vAlign w:val="center"/>
          </w:tcPr>
          <w:p>
            <w:pPr>
              <w:pStyle w:val="TableContents"/>
              <w:bidi w:val="0"/>
              <w:spacing w:before="0" w:after="283"/>
              <w:jc w:val="right"/>
              <w:rPr>
                <w:sz w:val="16"/>
              </w:rPr>
            </w:pPr>
            <w:r>
              <w:rPr>
                <w:sz w:val="16"/>
              </w:rPr>
              <w:t>(1,286</w:t>
            </w:r>
          </w:p>
        </w:tc>
        <w:tc>
          <w:tcPr>
            <w:tcW w:w="80" w:type="dxa"/>
            <w:tcBorders/>
            <w:shd w:fill="FFFFFF" w:val="clear"/>
            <w:vAlign w:val="center"/>
          </w:tcPr>
          <w:p>
            <w:pPr>
              <w:pStyle w:val="TableContents"/>
              <w:bidi w:val="0"/>
              <w:spacing w:before="0" w:after="283"/>
              <w:jc w:val="left"/>
              <w:rPr>
                <w:sz w:val="16"/>
              </w:rPr>
            </w:pPr>
            <w:r>
              <w:rPr>
                <w:sz w:val="16"/>
              </w:rPr>
              <w:t>)</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1460" w:type="dxa"/>
            <w:tcBorders/>
            <w:shd w:fill="FFFFFF" w:val="clear"/>
            <w:vAlign w:val="center"/>
          </w:tcPr>
          <w:p>
            <w:pPr>
              <w:pStyle w:val="TableContents"/>
              <w:bidi w:val="0"/>
              <w:spacing w:before="0" w:after="283"/>
              <w:jc w:val="right"/>
              <w:rPr>
                <w:sz w:val="16"/>
              </w:rPr>
            </w:pPr>
            <w:r>
              <w:rPr>
                <w:sz w:val="16"/>
              </w:rPr>
              <w:t>-</w:t>
            </w:r>
          </w:p>
        </w:tc>
        <w:tc>
          <w:tcPr>
            <w:tcW w:w="2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830" w:type="dxa"/>
            <w:tcBorders/>
            <w:shd w:fill="FFFFFF" w:val="clear"/>
            <w:vAlign w:val="center"/>
          </w:tcPr>
          <w:p>
            <w:pPr>
              <w:pStyle w:val="TableContents"/>
              <w:bidi w:val="0"/>
              <w:spacing w:before="0" w:after="283"/>
              <w:jc w:val="right"/>
              <w:rPr>
                <w:sz w:val="16"/>
              </w:rPr>
            </w:pPr>
            <w:r>
              <w:rPr>
                <w:sz w:val="16"/>
              </w:rPr>
              <w:t>1,286</w:t>
            </w:r>
          </w:p>
        </w:tc>
        <w:tc>
          <w:tcPr>
            <w:tcW w:w="200" w:type="dxa"/>
            <w:tcBorders/>
            <w:shd w:fill="FFFFFF" w:val="clear"/>
            <w:vAlign w:val="center"/>
          </w:tcPr>
          <w:p>
            <w:pPr>
              <w:pStyle w:val="TableContents"/>
              <w:bidi w:val="0"/>
              <w:spacing w:before="0" w:after="283"/>
              <w:jc w:val="left"/>
              <w:rPr>
                <w:sz w:val="16"/>
              </w:rPr>
            </w:pPr>
            <w:r>
              <w:rPr>
                <w:sz w:val="16"/>
              </w:rPr>
              <w:t>(F)</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830" w:type="dxa"/>
            <w:tcBorders/>
            <w:shd w:fill="FFFFFF" w:val="clear"/>
            <w:vAlign w:val="center"/>
          </w:tcPr>
          <w:p>
            <w:pPr>
              <w:pStyle w:val="TableContents"/>
              <w:bidi w:val="0"/>
              <w:spacing w:before="0" w:after="283"/>
              <w:jc w:val="right"/>
              <w:rPr>
                <w:sz w:val="16"/>
              </w:rPr>
            </w:pPr>
            <w:r>
              <w:rPr>
                <w:sz w:val="16"/>
              </w:rPr>
              <w:t>0</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1085" w:type="dxa"/>
            <w:tcBorders/>
            <w:shd w:fill="FFFFFF" w:val="clear"/>
            <w:vAlign w:val="center"/>
          </w:tcPr>
          <w:p>
            <w:pPr>
              <w:pStyle w:val="TableContents"/>
              <w:bidi w:val="0"/>
              <w:spacing w:before="0" w:after="283"/>
              <w:jc w:val="right"/>
              <w:rPr>
                <w:sz w:val="16"/>
              </w:rPr>
            </w:pPr>
            <w:r>
              <w:rPr>
                <w:sz w:val="16"/>
              </w:rPr>
              <w:t>(27,999</w:t>
            </w:r>
          </w:p>
        </w:tc>
        <w:tc>
          <w:tcPr>
            <w:tcW w:w="75" w:type="dxa"/>
            <w:tcBorders/>
            <w:shd w:fill="FFFFFF" w:val="clear"/>
            <w:vAlign w:val="center"/>
          </w:tcPr>
          <w:p>
            <w:pPr>
              <w:pStyle w:val="TableContents"/>
              <w:bidi w:val="0"/>
              <w:spacing w:before="0" w:after="283"/>
              <w:ind w:left="0" w:right="0" w:hanging="180"/>
              <w:jc w:val="left"/>
              <w:rPr>
                <w:sz w:val="16"/>
              </w:rPr>
            </w:pPr>
            <w:r>
              <w:rPr>
                <w:sz w:val="16"/>
              </w:rPr>
              <w:t>)</w:t>
            </w:r>
          </w:p>
        </w:tc>
      </w:tr>
      <w:tr>
        <w:trPr/>
        <w:tc>
          <w:tcPr>
            <w:tcW w:w="1010" w:type="dxa"/>
            <w:tcBorders/>
            <w:shd w:fill="CCEEFF" w:val="clear"/>
            <w:vAlign w:val="center"/>
          </w:tcPr>
          <w:p>
            <w:pPr>
              <w:pStyle w:val="TableContents"/>
              <w:bidi w:val="0"/>
              <w:spacing w:before="0" w:after="283"/>
              <w:jc w:val="left"/>
              <w:rPr>
                <w:sz w:val="16"/>
              </w:rPr>
            </w:pPr>
            <w:r>
              <w:rPr>
                <w:sz w:val="16"/>
              </w:rPr>
              <w:t>Interest income</w:t>
            </w:r>
          </w:p>
        </w:tc>
        <w:tc>
          <w:tcPr>
            <w:tcW w:w="60" w:type="dxa"/>
            <w:tcBorders/>
            <w:shd w:fill="CCEEFF" w:val="clear"/>
            <w:vAlign w:val="center"/>
          </w:tcPr>
          <w:p>
            <w:pPr>
              <w:pStyle w:val="TableContents"/>
              <w:bidi w:val="0"/>
              <w:spacing w:before="0" w:after="283"/>
              <w:jc w:val="left"/>
              <w:rPr/>
            </w:pPr>
            <w:r>
              <w:rPr/>
              <w:t> </w:t>
            </w:r>
          </w:p>
        </w:tc>
        <w:tc>
          <w:tcPr>
            <w:tcW w:w="126" w:type="dxa"/>
            <w:tcBorders/>
            <w:shd w:fill="CCEEFF" w:val="clear"/>
            <w:vAlign w:val="center"/>
          </w:tcPr>
          <w:p>
            <w:pPr>
              <w:pStyle w:val="TableContents"/>
              <w:bidi w:val="0"/>
              <w:spacing w:before="0" w:after="283"/>
              <w:jc w:val="left"/>
              <w:rPr/>
            </w:pPr>
            <w:r>
              <w:rPr/>
              <w:t> </w:t>
            </w:r>
          </w:p>
        </w:tc>
        <w:tc>
          <w:tcPr>
            <w:tcW w:w="959" w:type="dxa"/>
            <w:tcBorders/>
            <w:shd w:fill="CCEEFF" w:val="clear"/>
            <w:vAlign w:val="center"/>
          </w:tcPr>
          <w:p>
            <w:pPr>
              <w:pStyle w:val="TableContents"/>
              <w:bidi w:val="0"/>
              <w:spacing w:before="0" w:after="283"/>
              <w:jc w:val="right"/>
              <w:rPr>
                <w:sz w:val="16"/>
              </w:rPr>
            </w:pPr>
            <w:r>
              <w:rPr>
                <w:sz w:val="16"/>
              </w:rPr>
              <w:t>3</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684" w:type="dxa"/>
            <w:tcBorders/>
            <w:shd w:fill="CCEEFF" w:val="clear"/>
            <w:vAlign w:val="center"/>
          </w:tcPr>
          <w:p>
            <w:pPr>
              <w:pStyle w:val="TableContents"/>
              <w:bidi w:val="0"/>
              <w:spacing w:before="0" w:after="283"/>
              <w:jc w:val="right"/>
              <w:rPr>
                <w:sz w:val="16"/>
              </w:rPr>
            </w:pPr>
            <w:r>
              <w:rPr>
                <w:sz w:val="16"/>
              </w:rPr>
              <w:t>36</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9" w:type="dxa"/>
            <w:tcBorders/>
            <w:shd w:fill="CCEEFF" w:val="clear"/>
            <w:vAlign w:val="center"/>
          </w:tcPr>
          <w:p>
            <w:pPr>
              <w:pStyle w:val="TableContents"/>
              <w:bidi w:val="0"/>
              <w:spacing w:before="0" w:after="283"/>
              <w:jc w:val="left"/>
              <w:rPr/>
            </w:pPr>
            <w:r>
              <w:rPr/>
              <w:t> </w:t>
            </w:r>
          </w:p>
        </w:tc>
        <w:tc>
          <w:tcPr>
            <w:tcW w:w="801" w:type="dxa"/>
            <w:tcBorders/>
            <w:shd w:fill="CCEEFF" w:val="clear"/>
            <w:vAlign w:val="center"/>
          </w:tcPr>
          <w:p>
            <w:pPr>
              <w:pStyle w:val="TableContents"/>
              <w:bidi w:val="0"/>
              <w:spacing w:before="0" w:after="283"/>
              <w:jc w:val="right"/>
              <w:rPr>
                <w:sz w:val="16"/>
              </w:rPr>
            </w:pPr>
            <w:r>
              <w:rPr>
                <w:sz w:val="16"/>
              </w:rPr>
              <w:t>-</w:t>
            </w:r>
          </w:p>
        </w:tc>
        <w:tc>
          <w:tcPr>
            <w:tcW w:w="24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740" w:type="dxa"/>
            <w:tcBorders/>
            <w:shd w:fill="CCEEFF" w:val="clear"/>
            <w:vAlign w:val="center"/>
          </w:tcPr>
          <w:p>
            <w:pPr>
              <w:pStyle w:val="TableContents"/>
              <w:bidi w:val="0"/>
              <w:spacing w:before="0" w:after="283"/>
              <w:jc w:val="right"/>
              <w:rPr>
                <w:sz w:val="16"/>
              </w:rPr>
            </w:pPr>
            <w:r>
              <w:rPr>
                <w:sz w:val="16"/>
              </w:rPr>
              <w:t>36</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684" w:type="dxa"/>
            <w:tcBorders/>
            <w:shd w:fill="CCEEFF" w:val="clear"/>
            <w:vAlign w:val="center"/>
          </w:tcPr>
          <w:p>
            <w:pPr>
              <w:pStyle w:val="TableContents"/>
              <w:bidi w:val="0"/>
              <w:spacing w:before="0" w:after="283"/>
              <w:jc w:val="right"/>
              <w:rPr>
                <w:sz w:val="16"/>
              </w:rPr>
            </w:pPr>
            <w:r>
              <w:rPr>
                <w:sz w:val="16"/>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1460" w:type="dxa"/>
            <w:tcBorders/>
            <w:shd w:fill="CCEEFF" w:val="clear"/>
            <w:vAlign w:val="center"/>
          </w:tcPr>
          <w:p>
            <w:pPr>
              <w:pStyle w:val="TableContents"/>
              <w:bidi w:val="0"/>
              <w:spacing w:before="0" w:after="283"/>
              <w:jc w:val="right"/>
              <w:rPr>
                <w:sz w:val="16"/>
              </w:rPr>
            </w:pPr>
            <w:r>
              <w:rPr>
                <w:sz w:val="16"/>
              </w:rPr>
              <w:t>-</w:t>
            </w:r>
          </w:p>
        </w:tc>
        <w:tc>
          <w:tcPr>
            <w:tcW w:w="2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sz w:val="16"/>
              </w:rPr>
            </w:pPr>
            <w:r>
              <w:rPr>
                <w:sz w:val="16"/>
              </w:rPr>
              <w:t>-</w:t>
            </w:r>
          </w:p>
        </w:tc>
        <w:tc>
          <w:tcPr>
            <w:tcW w:w="20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sz w:val="16"/>
              </w:rPr>
            </w:pPr>
            <w:r>
              <w:rPr>
                <w:sz w:val="16"/>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085" w:type="dxa"/>
            <w:tcBorders/>
            <w:shd w:fill="CCEEFF" w:val="clear"/>
            <w:vAlign w:val="center"/>
          </w:tcPr>
          <w:p>
            <w:pPr>
              <w:pStyle w:val="TableContents"/>
              <w:bidi w:val="0"/>
              <w:spacing w:before="0" w:after="283"/>
              <w:jc w:val="right"/>
              <w:rPr>
                <w:sz w:val="16"/>
              </w:rPr>
            </w:pPr>
            <w:r>
              <w:rPr>
                <w:sz w:val="16"/>
              </w:rPr>
              <w:t>39</w:t>
            </w:r>
          </w:p>
        </w:tc>
        <w:tc>
          <w:tcPr>
            <w:tcW w:w="75" w:type="dxa"/>
            <w:tcBorders/>
            <w:shd w:fill="CCEEFF" w:val="clear"/>
            <w:vAlign w:val="center"/>
          </w:tcPr>
          <w:p>
            <w:pPr>
              <w:pStyle w:val="TableContents"/>
              <w:bidi w:val="0"/>
              <w:spacing w:before="0" w:after="283"/>
              <w:ind w:left="0" w:right="0" w:hanging="180"/>
              <w:jc w:val="left"/>
              <w:rPr/>
            </w:pPr>
            <w:r>
              <w:rPr/>
              <w:t> </w:t>
            </w:r>
          </w:p>
        </w:tc>
      </w:tr>
      <w:tr>
        <w:trPr/>
        <w:tc>
          <w:tcPr>
            <w:tcW w:w="1010" w:type="dxa"/>
            <w:tcBorders/>
            <w:shd w:fill="FFFFFF" w:val="clear"/>
            <w:vAlign w:val="center"/>
          </w:tcPr>
          <w:p>
            <w:pPr>
              <w:pStyle w:val="TableContents"/>
              <w:bidi w:val="0"/>
              <w:spacing w:before="0" w:after="283"/>
              <w:jc w:val="left"/>
              <w:rPr>
                <w:sz w:val="16"/>
              </w:rPr>
            </w:pPr>
            <w:r>
              <w:rPr>
                <w:sz w:val="16"/>
              </w:rPr>
              <w:t>Other income (expense), net</w:t>
            </w:r>
          </w:p>
        </w:tc>
        <w:tc>
          <w:tcPr>
            <w:tcW w:w="60" w:type="dxa"/>
            <w:tcBorders/>
            <w:shd w:fill="FFFFFF" w:val="clear"/>
            <w:vAlign w:val="center"/>
          </w:tcPr>
          <w:p>
            <w:pPr>
              <w:pStyle w:val="TableContents"/>
              <w:bidi w:val="0"/>
              <w:spacing w:before="0" w:after="283"/>
              <w:jc w:val="left"/>
              <w:rPr/>
            </w:pPr>
            <w:r>
              <w:rPr/>
              <w:t> </w:t>
            </w:r>
          </w:p>
        </w:tc>
        <w:tc>
          <w:tcPr>
            <w:tcW w:w="126"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959" w:type="dxa"/>
            <w:tcBorders>
              <w:bottom w:val="single" w:sz="12" w:space="0" w:color="000000"/>
            </w:tcBorders>
            <w:shd w:fill="FFFFFF" w:val="clear"/>
            <w:tcMar>
              <w:bottom w:w="28" w:type="dxa"/>
            </w:tcMar>
            <w:vAlign w:val="center"/>
          </w:tcPr>
          <w:p>
            <w:pPr>
              <w:pStyle w:val="TableContents"/>
              <w:bidi w:val="0"/>
              <w:spacing w:before="0" w:after="283"/>
              <w:jc w:val="right"/>
              <w:rPr>
                <w:sz w:val="16"/>
              </w:rPr>
            </w:pPr>
            <w:r>
              <w:rPr>
                <w:sz w:val="16"/>
              </w:rPr>
              <w:t>9,347</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6"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684" w:type="dxa"/>
            <w:tcBorders>
              <w:bottom w:val="single" w:sz="12" w:space="0" w:color="000000"/>
            </w:tcBorders>
            <w:shd w:fill="FFFFFF" w:val="clear"/>
            <w:tcMar>
              <w:bottom w:w="28" w:type="dxa"/>
            </w:tcMar>
            <w:vAlign w:val="center"/>
          </w:tcPr>
          <w:p>
            <w:pPr>
              <w:pStyle w:val="TableContents"/>
              <w:bidi w:val="0"/>
              <w:spacing w:before="0" w:after="283"/>
              <w:jc w:val="right"/>
              <w:rPr>
                <w:sz w:val="16"/>
              </w:rPr>
            </w:pPr>
            <w:r>
              <w:rPr>
                <w:sz w:val="16"/>
              </w:rPr>
              <w:t>320</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9"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801" w:type="dxa"/>
            <w:tcBorders>
              <w:bottom w:val="single" w:sz="12" w:space="0" w:color="000000"/>
            </w:tcBorders>
            <w:shd w:fill="FFFFFF" w:val="clear"/>
            <w:tcMar>
              <w:bottom w:w="28" w:type="dxa"/>
            </w:tcMar>
            <w:vAlign w:val="center"/>
          </w:tcPr>
          <w:p>
            <w:pPr>
              <w:pStyle w:val="TableContents"/>
              <w:bidi w:val="0"/>
              <w:spacing w:before="0" w:after="283"/>
              <w:jc w:val="right"/>
              <w:rPr>
                <w:sz w:val="16"/>
              </w:rPr>
            </w:pPr>
            <w:r>
              <w:rPr>
                <w:sz w:val="16"/>
              </w:rPr>
              <w:t>-</w:t>
            </w:r>
          </w:p>
        </w:tc>
        <w:tc>
          <w:tcPr>
            <w:tcW w:w="24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740" w:type="dxa"/>
            <w:tcBorders>
              <w:bottom w:val="single" w:sz="12" w:space="0" w:color="000000"/>
            </w:tcBorders>
            <w:shd w:fill="FFFFFF" w:val="clear"/>
            <w:tcMar>
              <w:bottom w:w="28" w:type="dxa"/>
            </w:tcMar>
            <w:vAlign w:val="center"/>
          </w:tcPr>
          <w:p>
            <w:pPr>
              <w:pStyle w:val="TableContents"/>
              <w:bidi w:val="0"/>
              <w:spacing w:before="0" w:after="283"/>
              <w:jc w:val="right"/>
              <w:rPr>
                <w:sz w:val="16"/>
              </w:rPr>
            </w:pPr>
            <w:r>
              <w:rPr>
                <w:sz w:val="16"/>
              </w:rPr>
              <w:t>320</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6"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684" w:type="dxa"/>
            <w:tcBorders>
              <w:bottom w:val="single" w:sz="12" w:space="0" w:color="000000"/>
            </w:tcBorders>
            <w:shd w:fill="FFFFFF" w:val="clear"/>
            <w:tcMar>
              <w:bottom w:w="28" w:type="dxa"/>
            </w:tcMar>
            <w:vAlign w:val="center"/>
          </w:tcPr>
          <w:p>
            <w:pPr>
              <w:pStyle w:val="TableContents"/>
              <w:bidi w:val="0"/>
              <w:spacing w:before="0" w:after="283"/>
              <w:jc w:val="right"/>
              <w:rPr>
                <w:sz w:val="16"/>
              </w:rPr>
            </w:pPr>
            <w:r>
              <w:rPr>
                <w:sz w:val="16"/>
              </w:rPr>
              <w:t>17</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460" w:type="dxa"/>
            <w:tcBorders>
              <w:bottom w:val="single" w:sz="12" w:space="0" w:color="000000"/>
            </w:tcBorders>
            <w:shd w:fill="FFFFFF" w:val="clear"/>
            <w:tcMar>
              <w:bottom w:w="28" w:type="dxa"/>
            </w:tcMar>
            <w:vAlign w:val="center"/>
          </w:tcPr>
          <w:p>
            <w:pPr>
              <w:pStyle w:val="TableContents"/>
              <w:bidi w:val="0"/>
              <w:spacing w:before="0" w:after="283"/>
              <w:jc w:val="right"/>
              <w:rPr>
                <w:sz w:val="16"/>
              </w:rPr>
            </w:pPr>
            <w:r>
              <w:rPr>
                <w:sz w:val="16"/>
              </w:rPr>
              <w:t>-</w:t>
            </w:r>
          </w:p>
        </w:tc>
        <w:tc>
          <w:tcPr>
            <w:tcW w:w="2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830" w:type="dxa"/>
            <w:tcBorders>
              <w:bottom w:val="single" w:sz="12" w:space="0" w:color="000000"/>
            </w:tcBorders>
            <w:shd w:fill="FFFFFF" w:val="clear"/>
            <w:tcMar>
              <w:bottom w:w="28" w:type="dxa"/>
            </w:tcMar>
            <w:vAlign w:val="center"/>
          </w:tcPr>
          <w:p>
            <w:pPr>
              <w:pStyle w:val="TableContents"/>
              <w:bidi w:val="0"/>
              <w:spacing w:before="0" w:after="283"/>
              <w:jc w:val="right"/>
              <w:rPr>
                <w:sz w:val="16"/>
              </w:rPr>
            </w:pPr>
            <w:r>
              <w:rPr>
                <w:sz w:val="16"/>
              </w:rPr>
              <w:t>-</w:t>
            </w:r>
          </w:p>
        </w:tc>
        <w:tc>
          <w:tcPr>
            <w:tcW w:w="20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830" w:type="dxa"/>
            <w:tcBorders>
              <w:bottom w:val="single" w:sz="12" w:space="0" w:color="000000"/>
            </w:tcBorders>
            <w:shd w:fill="FFFFFF" w:val="clear"/>
            <w:tcMar>
              <w:bottom w:w="28" w:type="dxa"/>
            </w:tcMar>
            <w:vAlign w:val="center"/>
          </w:tcPr>
          <w:p>
            <w:pPr>
              <w:pStyle w:val="TableContents"/>
              <w:bidi w:val="0"/>
              <w:spacing w:before="0" w:after="283"/>
              <w:jc w:val="right"/>
              <w:rPr>
                <w:sz w:val="16"/>
              </w:rPr>
            </w:pPr>
            <w:r>
              <w:rPr>
                <w:sz w:val="16"/>
              </w:rPr>
              <w:t>17</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1085" w:type="dxa"/>
            <w:tcBorders>
              <w:bottom w:val="single" w:sz="12" w:space="0" w:color="000000"/>
            </w:tcBorders>
            <w:shd w:fill="FFFFFF" w:val="clear"/>
            <w:tcMar>
              <w:bottom w:w="28" w:type="dxa"/>
            </w:tcMar>
            <w:vAlign w:val="center"/>
          </w:tcPr>
          <w:p>
            <w:pPr>
              <w:pStyle w:val="TableContents"/>
              <w:bidi w:val="0"/>
              <w:spacing w:before="0" w:after="283"/>
              <w:jc w:val="right"/>
              <w:rPr>
                <w:sz w:val="16"/>
              </w:rPr>
            </w:pPr>
            <w:r>
              <w:rPr>
                <w:sz w:val="16"/>
              </w:rPr>
              <w:t>9,684</w:t>
            </w:r>
          </w:p>
        </w:tc>
        <w:tc>
          <w:tcPr>
            <w:tcW w:w="75" w:type="dxa"/>
            <w:tcBorders/>
            <w:shd w:fill="FFFFFF" w:val="clear"/>
            <w:vAlign w:val="center"/>
          </w:tcPr>
          <w:p>
            <w:pPr>
              <w:pStyle w:val="TableContents"/>
              <w:bidi w:val="0"/>
              <w:spacing w:before="0" w:after="283"/>
              <w:ind w:left="0" w:right="0" w:hanging="180"/>
              <w:jc w:val="left"/>
              <w:rPr/>
            </w:pPr>
            <w:r>
              <w:rPr/>
              <w:t> </w:t>
            </w:r>
          </w:p>
        </w:tc>
      </w:tr>
      <w:tr>
        <w:trPr/>
        <w:tc>
          <w:tcPr>
            <w:tcW w:w="1010" w:type="dxa"/>
            <w:tcBorders/>
            <w:shd w:fill="CCEEFF" w:val="clear"/>
            <w:vAlign w:val="center"/>
          </w:tcPr>
          <w:p>
            <w:pPr>
              <w:pStyle w:val="TableContents"/>
              <w:bidi w:val="0"/>
              <w:spacing w:before="0" w:after="283"/>
              <w:jc w:val="left"/>
              <w:rPr>
                <w:sz w:val="16"/>
              </w:rPr>
            </w:pPr>
            <w:r>
              <w:rPr>
                <w:sz w:val="16"/>
              </w:rPr>
              <w:t>Total other income (expense), net</w:t>
            </w:r>
          </w:p>
        </w:tc>
        <w:tc>
          <w:tcPr>
            <w:tcW w:w="60" w:type="dxa"/>
            <w:tcBorders/>
            <w:shd w:fill="CCEEFF" w:val="clear"/>
            <w:vAlign w:val="center"/>
          </w:tcPr>
          <w:p>
            <w:pPr>
              <w:pStyle w:val="TableContents"/>
              <w:bidi w:val="0"/>
              <w:spacing w:before="0" w:after="283"/>
              <w:jc w:val="left"/>
              <w:rPr/>
            </w:pPr>
            <w:r>
              <w:rPr/>
              <w:t> </w:t>
            </w:r>
          </w:p>
        </w:tc>
        <w:tc>
          <w:tcPr>
            <w:tcW w:w="126"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59" w:type="dxa"/>
            <w:tcBorders>
              <w:bottom w:val="single" w:sz="12" w:space="0" w:color="000000"/>
            </w:tcBorders>
            <w:shd w:fill="CCEEFF" w:val="clear"/>
            <w:tcMar>
              <w:bottom w:w="28" w:type="dxa"/>
            </w:tcMar>
            <w:vAlign w:val="center"/>
          </w:tcPr>
          <w:p>
            <w:pPr>
              <w:pStyle w:val="TableContents"/>
              <w:bidi w:val="0"/>
              <w:spacing w:before="0" w:after="283"/>
              <w:jc w:val="right"/>
              <w:rPr>
                <w:sz w:val="16"/>
              </w:rPr>
            </w:pPr>
            <w:r>
              <w:rPr>
                <w:sz w:val="16"/>
              </w:rPr>
              <w:t>(15,745</w:t>
            </w:r>
          </w:p>
        </w:tc>
        <w:tc>
          <w:tcPr>
            <w:tcW w:w="80" w:type="dxa"/>
            <w:tcBorders/>
            <w:shd w:fill="CCEEFF" w:val="clear"/>
            <w:vAlign w:val="center"/>
          </w:tcPr>
          <w:p>
            <w:pPr>
              <w:pStyle w:val="TableContents"/>
              <w:bidi w:val="0"/>
              <w:spacing w:before="0" w:after="283"/>
              <w:jc w:val="left"/>
              <w:rPr>
                <w:sz w:val="16"/>
              </w:rPr>
            </w:pPr>
            <w:r>
              <w:rPr>
                <w:sz w:val="16"/>
              </w:rPr>
              <w:t>)</w:t>
            </w:r>
          </w:p>
        </w:tc>
        <w:tc>
          <w:tcPr>
            <w:tcW w:w="60" w:type="dxa"/>
            <w:tcBorders/>
            <w:shd w:fill="CCEEFF" w:val="clear"/>
            <w:vAlign w:val="center"/>
          </w:tcPr>
          <w:p>
            <w:pPr>
              <w:pStyle w:val="TableContents"/>
              <w:bidi w:val="0"/>
              <w:spacing w:before="0" w:after="283"/>
              <w:jc w:val="left"/>
              <w:rPr/>
            </w:pPr>
            <w:r>
              <w:rPr/>
              <w:t> </w:t>
            </w:r>
          </w:p>
        </w:tc>
        <w:tc>
          <w:tcPr>
            <w:tcW w:w="146"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684" w:type="dxa"/>
            <w:tcBorders>
              <w:bottom w:val="single" w:sz="12" w:space="0" w:color="000000"/>
            </w:tcBorders>
            <w:shd w:fill="CCEEFF" w:val="clear"/>
            <w:tcMar>
              <w:bottom w:w="28" w:type="dxa"/>
            </w:tcMar>
            <w:vAlign w:val="center"/>
          </w:tcPr>
          <w:p>
            <w:pPr>
              <w:pStyle w:val="TableContents"/>
              <w:bidi w:val="0"/>
              <w:spacing w:before="0" w:after="283"/>
              <w:jc w:val="right"/>
              <w:rPr>
                <w:sz w:val="16"/>
              </w:rPr>
            </w:pPr>
            <w:r>
              <w:rPr>
                <w:sz w:val="16"/>
              </w:rPr>
              <w:t>110</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9"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01" w:type="dxa"/>
            <w:tcBorders>
              <w:bottom w:val="single" w:sz="12" w:space="0" w:color="000000"/>
            </w:tcBorders>
            <w:shd w:fill="CCEEFF" w:val="clear"/>
            <w:tcMar>
              <w:bottom w:w="28" w:type="dxa"/>
            </w:tcMar>
            <w:vAlign w:val="center"/>
          </w:tcPr>
          <w:p>
            <w:pPr>
              <w:pStyle w:val="TableContents"/>
              <w:bidi w:val="0"/>
              <w:spacing w:before="0" w:after="283"/>
              <w:jc w:val="right"/>
              <w:rPr>
                <w:sz w:val="16"/>
              </w:rPr>
            </w:pPr>
            <w:r>
              <w:rPr>
                <w:sz w:val="16"/>
              </w:rPr>
              <w:t>(2,658</w:t>
            </w:r>
          </w:p>
        </w:tc>
        <w:tc>
          <w:tcPr>
            <w:tcW w:w="245" w:type="dxa"/>
            <w:tcBorders/>
            <w:shd w:fill="CCEEFF" w:val="clear"/>
            <w:vAlign w:val="center"/>
          </w:tcPr>
          <w:p>
            <w:pPr>
              <w:pStyle w:val="TableContents"/>
              <w:bidi w:val="0"/>
              <w:spacing w:before="0" w:after="283"/>
              <w:jc w:val="left"/>
              <w:rPr>
                <w:sz w:val="16"/>
              </w:rPr>
            </w:pPr>
            <w:r>
              <w:rPr>
                <w:sz w:val="16"/>
              </w:rPr>
              <w:t>)</w:t>
            </w:r>
          </w:p>
        </w:tc>
        <w:tc>
          <w:tcPr>
            <w:tcW w:w="60" w:type="dxa"/>
            <w:tcBorders/>
            <w:shd w:fill="CCEEFF" w:val="clear"/>
            <w:vAlign w:val="center"/>
          </w:tcPr>
          <w:p>
            <w:pPr>
              <w:pStyle w:val="TableContents"/>
              <w:bidi w:val="0"/>
              <w:spacing w:before="0" w:after="283"/>
              <w:jc w:val="left"/>
              <w:rPr/>
            </w:pPr>
            <w:r>
              <w:rPr/>
              <w:t> </w:t>
            </w:r>
          </w:p>
        </w:tc>
        <w:tc>
          <w:tcPr>
            <w:tcW w:w="11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740" w:type="dxa"/>
            <w:tcBorders>
              <w:bottom w:val="single" w:sz="12" w:space="0" w:color="000000"/>
            </w:tcBorders>
            <w:shd w:fill="CCEEFF" w:val="clear"/>
            <w:tcMar>
              <w:bottom w:w="28" w:type="dxa"/>
            </w:tcMar>
            <w:vAlign w:val="center"/>
          </w:tcPr>
          <w:p>
            <w:pPr>
              <w:pStyle w:val="TableContents"/>
              <w:bidi w:val="0"/>
              <w:spacing w:before="0" w:after="283"/>
              <w:jc w:val="right"/>
              <w:rPr>
                <w:sz w:val="16"/>
              </w:rPr>
            </w:pPr>
            <w:r>
              <w:rPr>
                <w:sz w:val="16"/>
              </w:rPr>
              <w:t>(2,548</w:t>
            </w:r>
          </w:p>
        </w:tc>
        <w:tc>
          <w:tcPr>
            <w:tcW w:w="80" w:type="dxa"/>
            <w:tcBorders/>
            <w:shd w:fill="CCEEFF" w:val="clear"/>
            <w:vAlign w:val="center"/>
          </w:tcPr>
          <w:p>
            <w:pPr>
              <w:pStyle w:val="TableContents"/>
              <w:bidi w:val="0"/>
              <w:spacing w:before="0" w:after="283"/>
              <w:jc w:val="left"/>
              <w:rPr>
                <w:sz w:val="16"/>
              </w:rPr>
            </w:pPr>
            <w:r>
              <w:rPr>
                <w:sz w:val="16"/>
              </w:rPr>
              <w:t>)</w:t>
            </w:r>
          </w:p>
        </w:tc>
        <w:tc>
          <w:tcPr>
            <w:tcW w:w="60" w:type="dxa"/>
            <w:tcBorders/>
            <w:shd w:fill="CCEEFF" w:val="clear"/>
            <w:vAlign w:val="center"/>
          </w:tcPr>
          <w:p>
            <w:pPr>
              <w:pStyle w:val="TableContents"/>
              <w:bidi w:val="0"/>
              <w:spacing w:before="0" w:after="283"/>
              <w:jc w:val="left"/>
              <w:rPr/>
            </w:pPr>
            <w:r>
              <w:rPr/>
              <w:t> </w:t>
            </w:r>
          </w:p>
        </w:tc>
        <w:tc>
          <w:tcPr>
            <w:tcW w:w="146"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684" w:type="dxa"/>
            <w:tcBorders>
              <w:bottom w:val="single" w:sz="12" w:space="0" w:color="000000"/>
            </w:tcBorders>
            <w:shd w:fill="CCEEFF" w:val="clear"/>
            <w:tcMar>
              <w:bottom w:w="28" w:type="dxa"/>
            </w:tcMar>
            <w:vAlign w:val="center"/>
          </w:tcPr>
          <w:p>
            <w:pPr>
              <w:pStyle w:val="TableContents"/>
              <w:bidi w:val="0"/>
              <w:spacing w:before="0" w:after="283"/>
              <w:jc w:val="right"/>
              <w:rPr>
                <w:sz w:val="16"/>
              </w:rPr>
            </w:pPr>
            <w:r>
              <w:rPr>
                <w:sz w:val="16"/>
              </w:rPr>
              <w:t>(1,269</w:t>
            </w:r>
          </w:p>
        </w:tc>
        <w:tc>
          <w:tcPr>
            <w:tcW w:w="80" w:type="dxa"/>
            <w:tcBorders/>
            <w:shd w:fill="CCEEFF" w:val="clear"/>
            <w:vAlign w:val="center"/>
          </w:tcPr>
          <w:p>
            <w:pPr>
              <w:pStyle w:val="TableContents"/>
              <w:bidi w:val="0"/>
              <w:spacing w:before="0" w:after="283"/>
              <w:jc w:val="left"/>
              <w:rPr>
                <w:sz w:val="16"/>
              </w:rPr>
            </w:pPr>
            <w:r>
              <w:rPr>
                <w:sz w:val="16"/>
              </w:rPr>
              <w:t>)</w:t>
            </w:r>
          </w:p>
        </w:tc>
        <w:tc>
          <w:tcPr>
            <w:tcW w:w="60" w:type="dxa"/>
            <w:tcBorders/>
            <w:shd w:fill="CCEEFF" w:val="clear"/>
            <w:vAlign w:val="center"/>
          </w:tcPr>
          <w:p>
            <w:pPr>
              <w:pStyle w:val="TableContents"/>
              <w:bidi w:val="0"/>
              <w:spacing w:before="0" w:after="283"/>
              <w:jc w:val="left"/>
              <w:rPr/>
            </w:pPr>
            <w:r>
              <w:rPr/>
              <w:t> </w:t>
            </w:r>
          </w:p>
        </w:tc>
        <w:tc>
          <w:tcPr>
            <w:tcW w:w="11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460" w:type="dxa"/>
            <w:tcBorders>
              <w:bottom w:val="single" w:sz="12" w:space="0" w:color="000000"/>
            </w:tcBorders>
            <w:shd w:fill="CCEEFF" w:val="clear"/>
            <w:tcMar>
              <w:bottom w:w="28" w:type="dxa"/>
            </w:tcMar>
            <w:vAlign w:val="center"/>
          </w:tcPr>
          <w:p>
            <w:pPr>
              <w:pStyle w:val="TableContents"/>
              <w:bidi w:val="0"/>
              <w:spacing w:before="0" w:after="283"/>
              <w:jc w:val="right"/>
              <w:rPr>
                <w:sz w:val="16"/>
              </w:rPr>
            </w:pPr>
            <w:r>
              <w:rPr>
                <w:sz w:val="16"/>
              </w:rPr>
              <w:t>-</w:t>
            </w:r>
          </w:p>
        </w:tc>
        <w:tc>
          <w:tcPr>
            <w:tcW w:w="2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30" w:type="dxa"/>
            <w:tcBorders>
              <w:bottom w:val="single" w:sz="12" w:space="0" w:color="000000"/>
            </w:tcBorders>
            <w:shd w:fill="CCEEFF" w:val="clear"/>
            <w:tcMar>
              <w:bottom w:w="28" w:type="dxa"/>
            </w:tcMar>
            <w:vAlign w:val="center"/>
          </w:tcPr>
          <w:p>
            <w:pPr>
              <w:pStyle w:val="TableContents"/>
              <w:bidi w:val="0"/>
              <w:spacing w:before="0" w:after="283"/>
              <w:jc w:val="right"/>
              <w:rPr>
                <w:sz w:val="16"/>
              </w:rPr>
            </w:pPr>
            <w:r>
              <w:rPr>
                <w:sz w:val="16"/>
              </w:rPr>
              <w:t>1,286</w:t>
            </w:r>
          </w:p>
        </w:tc>
        <w:tc>
          <w:tcPr>
            <w:tcW w:w="20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30" w:type="dxa"/>
            <w:tcBorders>
              <w:bottom w:val="single" w:sz="12" w:space="0" w:color="000000"/>
            </w:tcBorders>
            <w:shd w:fill="CCEEFF" w:val="clear"/>
            <w:tcMar>
              <w:bottom w:w="28" w:type="dxa"/>
            </w:tcMar>
            <w:vAlign w:val="center"/>
          </w:tcPr>
          <w:p>
            <w:pPr>
              <w:pStyle w:val="TableContents"/>
              <w:bidi w:val="0"/>
              <w:spacing w:before="0" w:after="283"/>
              <w:jc w:val="right"/>
              <w:rPr>
                <w:sz w:val="16"/>
              </w:rPr>
            </w:pPr>
            <w:r>
              <w:rPr>
                <w:sz w:val="16"/>
              </w:rPr>
              <w:t>17</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085" w:type="dxa"/>
            <w:tcBorders>
              <w:bottom w:val="single" w:sz="12" w:space="0" w:color="000000"/>
            </w:tcBorders>
            <w:shd w:fill="CCEEFF" w:val="clear"/>
            <w:tcMar>
              <w:bottom w:w="28" w:type="dxa"/>
            </w:tcMar>
            <w:vAlign w:val="center"/>
          </w:tcPr>
          <w:p>
            <w:pPr>
              <w:pStyle w:val="TableContents"/>
              <w:bidi w:val="0"/>
              <w:spacing w:before="0" w:after="283"/>
              <w:jc w:val="right"/>
              <w:rPr>
                <w:sz w:val="16"/>
              </w:rPr>
            </w:pPr>
            <w:r>
              <w:rPr>
                <w:sz w:val="16"/>
              </w:rPr>
              <w:t>(18,276</w:t>
            </w:r>
          </w:p>
        </w:tc>
        <w:tc>
          <w:tcPr>
            <w:tcW w:w="75" w:type="dxa"/>
            <w:tcBorders/>
            <w:shd w:fill="CCEEFF" w:val="clear"/>
            <w:vAlign w:val="center"/>
          </w:tcPr>
          <w:p>
            <w:pPr>
              <w:pStyle w:val="TableContents"/>
              <w:bidi w:val="0"/>
              <w:spacing w:before="0" w:after="283"/>
              <w:ind w:left="0" w:right="0" w:hanging="180"/>
              <w:jc w:val="left"/>
              <w:rPr>
                <w:sz w:val="16"/>
              </w:rPr>
            </w:pPr>
            <w:r>
              <w:rPr>
                <w:sz w:val="16"/>
              </w:rPr>
              <w:t>)</w:t>
            </w:r>
          </w:p>
        </w:tc>
      </w:tr>
      <w:tr>
        <w:trPr/>
        <w:tc>
          <w:tcPr>
            <w:tcW w:w="1010" w:type="dxa"/>
            <w:tcBorders/>
            <w:shd w:fill="FFFFFF" w:val="clear"/>
            <w:vAlign w:val="center"/>
          </w:tcPr>
          <w:p>
            <w:pPr>
              <w:pStyle w:val="TableContents"/>
              <w:bidi w:val="0"/>
              <w:spacing w:before="0" w:after="283"/>
              <w:jc w:val="left"/>
              <w:rPr>
                <w:sz w:val="16"/>
              </w:rPr>
            </w:pPr>
            <w:r>
              <w:rPr>
                <w:sz w:val="16"/>
              </w:rPr>
              <w:t>Loss from continuing operations before income taxes</w:t>
            </w:r>
          </w:p>
        </w:tc>
        <w:tc>
          <w:tcPr>
            <w:tcW w:w="60" w:type="dxa"/>
            <w:tcBorders/>
            <w:shd w:fill="FFFFFF" w:val="clear"/>
            <w:vAlign w:val="center"/>
          </w:tcPr>
          <w:p>
            <w:pPr>
              <w:pStyle w:val="TableContents"/>
              <w:bidi w:val="0"/>
              <w:spacing w:before="0" w:after="283"/>
              <w:jc w:val="left"/>
              <w:rPr/>
            </w:pPr>
            <w:r>
              <w:rPr/>
              <w:t> </w:t>
            </w:r>
          </w:p>
        </w:tc>
        <w:tc>
          <w:tcPr>
            <w:tcW w:w="126"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959" w:type="dxa"/>
            <w:tcBorders>
              <w:bottom w:val="single" w:sz="12" w:space="0" w:color="000000"/>
            </w:tcBorders>
            <w:shd w:fill="FFFFFF" w:val="clear"/>
            <w:tcMar>
              <w:bottom w:w="28" w:type="dxa"/>
            </w:tcMar>
            <w:vAlign w:val="center"/>
          </w:tcPr>
          <w:p>
            <w:pPr>
              <w:pStyle w:val="TableContents"/>
              <w:bidi w:val="0"/>
              <w:spacing w:before="0" w:after="283"/>
              <w:jc w:val="right"/>
              <w:rPr>
                <w:sz w:val="16"/>
              </w:rPr>
            </w:pPr>
            <w:r>
              <w:rPr>
                <w:sz w:val="16"/>
              </w:rPr>
              <w:t>(42,676</w:t>
            </w:r>
          </w:p>
        </w:tc>
        <w:tc>
          <w:tcPr>
            <w:tcW w:w="80" w:type="dxa"/>
            <w:tcBorders/>
            <w:shd w:fill="FFFFFF" w:val="clear"/>
            <w:vAlign w:val="center"/>
          </w:tcPr>
          <w:p>
            <w:pPr>
              <w:pStyle w:val="TableContents"/>
              <w:bidi w:val="0"/>
              <w:spacing w:before="0" w:after="283"/>
              <w:jc w:val="left"/>
              <w:rPr>
                <w:sz w:val="16"/>
              </w:rPr>
            </w:pPr>
            <w:r>
              <w:rPr>
                <w:sz w:val="16"/>
              </w:rPr>
              <w:t>)</w:t>
            </w:r>
          </w:p>
        </w:tc>
        <w:tc>
          <w:tcPr>
            <w:tcW w:w="60" w:type="dxa"/>
            <w:tcBorders/>
            <w:shd w:fill="FFFFFF" w:val="clear"/>
            <w:vAlign w:val="center"/>
          </w:tcPr>
          <w:p>
            <w:pPr>
              <w:pStyle w:val="TableContents"/>
              <w:bidi w:val="0"/>
              <w:spacing w:before="0" w:after="283"/>
              <w:jc w:val="left"/>
              <w:rPr/>
            </w:pPr>
            <w:r>
              <w:rPr/>
              <w:t> </w:t>
            </w:r>
          </w:p>
        </w:tc>
        <w:tc>
          <w:tcPr>
            <w:tcW w:w="146"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684" w:type="dxa"/>
            <w:tcBorders>
              <w:bottom w:val="single" w:sz="12" w:space="0" w:color="000000"/>
            </w:tcBorders>
            <w:shd w:fill="FFFFFF" w:val="clear"/>
            <w:tcMar>
              <w:bottom w:w="28" w:type="dxa"/>
            </w:tcMar>
            <w:vAlign w:val="center"/>
          </w:tcPr>
          <w:p>
            <w:pPr>
              <w:pStyle w:val="TableContents"/>
              <w:bidi w:val="0"/>
              <w:spacing w:before="0" w:after="283"/>
              <w:jc w:val="right"/>
              <w:rPr>
                <w:sz w:val="16"/>
              </w:rPr>
            </w:pPr>
            <w:r>
              <w:rPr>
                <w:sz w:val="16"/>
              </w:rPr>
              <w:t>(6,588</w:t>
            </w:r>
          </w:p>
        </w:tc>
        <w:tc>
          <w:tcPr>
            <w:tcW w:w="80" w:type="dxa"/>
            <w:tcBorders/>
            <w:shd w:fill="FFFFFF" w:val="clear"/>
            <w:vAlign w:val="center"/>
          </w:tcPr>
          <w:p>
            <w:pPr>
              <w:pStyle w:val="TableContents"/>
              <w:bidi w:val="0"/>
              <w:spacing w:before="0" w:after="283"/>
              <w:jc w:val="left"/>
              <w:rPr>
                <w:sz w:val="16"/>
              </w:rPr>
            </w:pPr>
            <w:r>
              <w:rPr>
                <w:sz w:val="16"/>
              </w:rPr>
              <w:t>)</w:t>
            </w:r>
          </w:p>
        </w:tc>
        <w:tc>
          <w:tcPr>
            <w:tcW w:w="60" w:type="dxa"/>
            <w:tcBorders/>
            <w:shd w:fill="FFFFFF" w:val="clear"/>
            <w:vAlign w:val="center"/>
          </w:tcPr>
          <w:p>
            <w:pPr>
              <w:pStyle w:val="TableContents"/>
              <w:bidi w:val="0"/>
              <w:spacing w:before="0" w:after="283"/>
              <w:jc w:val="left"/>
              <w:rPr/>
            </w:pPr>
            <w:r>
              <w:rPr/>
              <w:t> </w:t>
            </w:r>
          </w:p>
        </w:tc>
        <w:tc>
          <w:tcPr>
            <w:tcW w:w="119"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801" w:type="dxa"/>
            <w:tcBorders>
              <w:bottom w:val="single" w:sz="12" w:space="0" w:color="000000"/>
            </w:tcBorders>
            <w:shd w:fill="FFFFFF" w:val="clear"/>
            <w:tcMar>
              <w:bottom w:w="28" w:type="dxa"/>
            </w:tcMar>
            <w:vAlign w:val="center"/>
          </w:tcPr>
          <w:p>
            <w:pPr>
              <w:pStyle w:val="TableContents"/>
              <w:bidi w:val="0"/>
              <w:spacing w:before="0" w:after="283"/>
              <w:jc w:val="right"/>
              <w:rPr>
                <w:sz w:val="16"/>
              </w:rPr>
            </w:pPr>
            <w:r>
              <w:rPr>
                <w:sz w:val="16"/>
              </w:rPr>
              <w:t>(5,711</w:t>
            </w:r>
          </w:p>
        </w:tc>
        <w:tc>
          <w:tcPr>
            <w:tcW w:w="245" w:type="dxa"/>
            <w:tcBorders/>
            <w:shd w:fill="FFFFFF" w:val="clear"/>
            <w:vAlign w:val="center"/>
          </w:tcPr>
          <w:p>
            <w:pPr>
              <w:pStyle w:val="TableContents"/>
              <w:bidi w:val="0"/>
              <w:spacing w:before="0" w:after="283"/>
              <w:jc w:val="left"/>
              <w:rPr>
                <w:sz w:val="16"/>
              </w:rPr>
            </w:pPr>
            <w:r>
              <w:rPr>
                <w:sz w:val="16"/>
              </w:rPr>
              <w:t>)</w:t>
            </w:r>
          </w:p>
        </w:tc>
        <w:tc>
          <w:tcPr>
            <w:tcW w:w="60" w:type="dxa"/>
            <w:tcBorders/>
            <w:shd w:fill="FFFFFF" w:val="clear"/>
            <w:vAlign w:val="center"/>
          </w:tcPr>
          <w:p>
            <w:pPr>
              <w:pStyle w:val="TableContents"/>
              <w:bidi w:val="0"/>
              <w:spacing w:before="0" w:after="283"/>
              <w:jc w:val="left"/>
              <w:rPr/>
            </w:pPr>
            <w:r>
              <w:rPr/>
              <w:t> </w:t>
            </w:r>
          </w:p>
        </w:tc>
        <w:tc>
          <w:tcPr>
            <w:tcW w:w="11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740" w:type="dxa"/>
            <w:tcBorders>
              <w:bottom w:val="single" w:sz="12" w:space="0" w:color="000000"/>
            </w:tcBorders>
            <w:shd w:fill="FFFFFF" w:val="clear"/>
            <w:tcMar>
              <w:bottom w:w="28" w:type="dxa"/>
            </w:tcMar>
            <w:vAlign w:val="center"/>
          </w:tcPr>
          <w:p>
            <w:pPr>
              <w:pStyle w:val="TableContents"/>
              <w:bidi w:val="0"/>
              <w:spacing w:before="0" w:after="283"/>
              <w:jc w:val="right"/>
              <w:rPr>
                <w:sz w:val="16"/>
              </w:rPr>
            </w:pPr>
            <w:r>
              <w:rPr>
                <w:sz w:val="16"/>
              </w:rPr>
              <w:t>(12,299</w:t>
            </w:r>
          </w:p>
        </w:tc>
        <w:tc>
          <w:tcPr>
            <w:tcW w:w="80" w:type="dxa"/>
            <w:tcBorders/>
            <w:shd w:fill="FFFFFF" w:val="clear"/>
            <w:vAlign w:val="center"/>
          </w:tcPr>
          <w:p>
            <w:pPr>
              <w:pStyle w:val="TableContents"/>
              <w:bidi w:val="0"/>
              <w:spacing w:before="0" w:after="283"/>
              <w:jc w:val="left"/>
              <w:rPr>
                <w:sz w:val="16"/>
              </w:rPr>
            </w:pPr>
            <w:r>
              <w:rPr>
                <w:sz w:val="16"/>
              </w:rPr>
              <w:t>)</w:t>
            </w:r>
          </w:p>
        </w:tc>
        <w:tc>
          <w:tcPr>
            <w:tcW w:w="60" w:type="dxa"/>
            <w:tcBorders/>
            <w:shd w:fill="FFFFFF" w:val="clear"/>
            <w:vAlign w:val="center"/>
          </w:tcPr>
          <w:p>
            <w:pPr>
              <w:pStyle w:val="TableContents"/>
              <w:bidi w:val="0"/>
              <w:spacing w:before="0" w:after="283"/>
              <w:jc w:val="left"/>
              <w:rPr/>
            </w:pPr>
            <w:r>
              <w:rPr/>
              <w:t> </w:t>
            </w:r>
          </w:p>
        </w:tc>
        <w:tc>
          <w:tcPr>
            <w:tcW w:w="146"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684" w:type="dxa"/>
            <w:tcBorders>
              <w:bottom w:val="single" w:sz="12" w:space="0" w:color="000000"/>
            </w:tcBorders>
            <w:shd w:fill="FFFFFF" w:val="clear"/>
            <w:tcMar>
              <w:bottom w:w="28" w:type="dxa"/>
            </w:tcMar>
            <w:vAlign w:val="center"/>
          </w:tcPr>
          <w:p>
            <w:pPr>
              <w:pStyle w:val="TableContents"/>
              <w:bidi w:val="0"/>
              <w:spacing w:before="0" w:after="283"/>
              <w:jc w:val="right"/>
              <w:rPr>
                <w:sz w:val="16"/>
              </w:rPr>
            </w:pPr>
            <w:r>
              <w:rPr>
                <w:sz w:val="16"/>
              </w:rPr>
              <w:t>(1,441</w:t>
            </w:r>
          </w:p>
        </w:tc>
        <w:tc>
          <w:tcPr>
            <w:tcW w:w="80" w:type="dxa"/>
            <w:tcBorders/>
            <w:shd w:fill="FFFFFF" w:val="clear"/>
            <w:vAlign w:val="center"/>
          </w:tcPr>
          <w:p>
            <w:pPr>
              <w:pStyle w:val="TableContents"/>
              <w:bidi w:val="0"/>
              <w:spacing w:before="0" w:after="283"/>
              <w:jc w:val="left"/>
              <w:rPr>
                <w:sz w:val="16"/>
              </w:rPr>
            </w:pPr>
            <w:r>
              <w:rPr>
                <w:sz w:val="16"/>
              </w:rPr>
              <w:t>)</w:t>
            </w:r>
          </w:p>
        </w:tc>
        <w:tc>
          <w:tcPr>
            <w:tcW w:w="60" w:type="dxa"/>
            <w:tcBorders/>
            <w:shd w:fill="FFFFFF" w:val="clear"/>
            <w:vAlign w:val="center"/>
          </w:tcPr>
          <w:p>
            <w:pPr>
              <w:pStyle w:val="TableContents"/>
              <w:bidi w:val="0"/>
              <w:spacing w:before="0" w:after="283"/>
              <w:jc w:val="left"/>
              <w:rPr/>
            </w:pPr>
            <w:r>
              <w:rPr/>
              <w:t> </w:t>
            </w:r>
          </w:p>
        </w:tc>
        <w:tc>
          <w:tcPr>
            <w:tcW w:w="11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460" w:type="dxa"/>
            <w:tcBorders>
              <w:bottom w:val="single" w:sz="12" w:space="0" w:color="000000"/>
            </w:tcBorders>
            <w:shd w:fill="FFFFFF" w:val="clear"/>
            <w:tcMar>
              <w:bottom w:w="28" w:type="dxa"/>
            </w:tcMar>
            <w:vAlign w:val="center"/>
          </w:tcPr>
          <w:p>
            <w:pPr>
              <w:pStyle w:val="TableContents"/>
              <w:bidi w:val="0"/>
              <w:spacing w:before="0" w:after="283"/>
              <w:jc w:val="right"/>
              <w:rPr>
                <w:sz w:val="16"/>
              </w:rPr>
            </w:pPr>
            <w:r>
              <w:rPr>
                <w:sz w:val="16"/>
              </w:rPr>
              <w:t>-</w:t>
            </w:r>
          </w:p>
        </w:tc>
        <w:tc>
          <w:tcPr>
            <w:tcW w:w="2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830" w:type="dxa"/>
            <w:tcBorders>
              <w:bottom w:val="single" w:sz="12" w:space="0" w:color="000000"/>
            </w:tcBorders>
            <w:shd w:fill="FFFFFF" w:val="clear"/>
            <w:tcMar>
              <w:bottom w:w="28" w:type="dxa"/>
            </w:tcMar>
            <w:vAlign w:val="center"/>
          </w:tcPr>
          <w:p>
            <w:pPr>
              <w:pStyle w:val="TableContents"/>
              <w:bidi w:val="0"/>
              <w:spacing w:before="0" w:after="283"/>
              <w:jc w:val="right"/>
              <w:rPr>
                <w:sz w:val="16"/>
              </w:rPr>
            </w:pPr>
            <w:r>
              <w:rPr>
                <w:sz w:val="16"/>
              </w:rPr>
              <w:t>(506</w:t>
            </w:r>
          </w:p>
        </w:tc>
        <w:tc>
          <w:tcPr>
            <w:tcW w:w="200" w:type="dxa"/>
            <w:tcBorders/>
            <w:shd w:fill="FFFFFF" w:val="clear"/>
            <w:vAlign w:val="center"/>
          </w:tcPr>
          <w:p>
            <w:pPr>
              <w:pStyle w:val="TableContents"/>
              <w:bidi w:val="0"/>
              <w:spacing w:before="0" w:after="283"/>
              <w:jc w:val="left"/>
              <w:rPr>
                <w:sz w:val="16"/>
              </w:rPr>
            </w:pPr>
            <w:r>
              <w:rPr>
                <w:sz w:val="16"/>
              </w:rPr>
              <w:t>)</w:t>
            </w:r>
          </w:p>
        </w:tc>
        <w:tc>
          <w:tcPr>
            <w:tcW w:w="60" w:type="dxa"/>
            <w:tcBorders/>
            <w:shd w:fill="FFFFFF" w:val="clear"/>
            <w:vAlign w:val="center"/>
          </w:tcPr>
          <w:p>
            <w:pPr>
              <w:pStyle w:val="TableContents"/>
              <w:bidi w:val="0"/>
              <w:spacing w:before="0" w:after="283"/>
              <w:jc w:val="left"/>
              <w:rPr/>
            </w:pPr>
            <w:r>
              <w:rPr/>
              <w:t> </w:t>
            </w:r>
          </w:p>
        </w:tc>
        <w:tc>
          <w:tcPr>
            <w:tcW w:w="11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830" w:type="dxa"/>
            <w:tcBorders>
              <w:bottom w:val="single" w:sz="12" w:space="0" w:color="000000"/>
            </w:tcBorders>
            <w:shd w:fill="FFFFFF" w:val="clear"/>
            <w:tcMar>
              <w:bottom w:w="28" w:type="dxa"/>
            </w:tcMar>
            <w:vAlign w:val="center"/>
          </w:tcPr>
          <w:p>
            <w:pPr>
              <w:pStyle w:val="TableContents"/>
              <w:bidi w:val="0"/>
              <w:spacing w:before="0" w:after="283"/>
              <w:jc w:val="right"/>
              <w:rPr>
                <w:sz w:val="16"/>
              </w:rPr>
            </w:pPr>
            <w:r>
              <w:rPr>
                <w:sz w:val="16"/>
              </w:rPr>
              <w:t>(1,947</w:t>
            </w:r>
          </w:p>
        </w:tc>
        <w:tc>
          <w:tcPr>
            <w:tcW w:w="80" w:type="dxa"/>
            <w:tcBorders/>
            <w:shd w:fill="FFFFFF" w:val="clear"/>
            <w:vAlign w:val="center"/>
          </w:tcPr>
          <w:p>
            <w:pPr>
              <w:pStyle w:val="TableContents"/>
              <w:bidi w:val="0"/>
              <w:spacing w:before="0" w:after="283"/>
              <w:jc w:val="left"/>
              <w:rPr>
                <w:sz w:val="16"/>
              </w:rPr>
            </w:pPr>
            <w:r>
              <w:rPr>
                <w:sz w:val="16"/>
              </w:rPr>
              <w:t>)</w:t>
            </w:r>
          </w:p>
        </w:tc>
        <w:tc>
          <w:tcPr>
            <w:tcW w:w="6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1085" w:type="dxa"/>
            <w:tcBorders>
              <w:bottom w:val="single" w:sz="12" w:space="0" w:color="000000"/>
            </w:tcBorders>
            <w:shd w:fill="FFFFFF" w:val="clear"/>
            <w:tcMar>
              <w:bottom w:w="28" w:type="dxa"/>
            </w:tcMar>
            <w:vAlign w:val="center"/>
          </w:tcPr>
          <w:p>
            <w:pPr>
              <w:pStyle w:val="TableContents"/>
              <w:bidi w:val="0"/>
              <w:spacing w:before="0" w:after="283"/>
              <w:jc w:val="right"/>
              <w:rPr>
                <w:sz w:val="16"/>
              </w:rPr>
            </w:pPr>
            <w:r>
              <w:rPr>
                <w:sz w:val="16"/>
              </w:rPr>
              <w:t>(56,922</w:t>
            </w:r>
          </w:p>
        </w:tc>
        <w:tc>
          <w:tcPr>
            <w:tcW w:w="75" w:type="dxa"/>
            <w:tcBorders/>
            <w:shd w:fill="FFFFFF" w:val="clear"/>
            <w:vAlign w:val="center"/>
          </w:tcPr>
          <w:p>
            <w:pPr>
              <w:pStyle w:val="TableContents"/>
              <w:bidi w:val="0"/>
              <w:spacing w:before="0" w:after="283"/>
              <w:ind w:left="0" w:right="0" w:hanging="180"/>
              <w:jc w:val="left"/>
              <w:rPr>
                <w:sz w:val="16"/>
              </w:rPr>
            </w:pPr>
            <w:r>
              <w:rPr>
                <w:sz w:val="16"/>
              </w:rPr>
              <w:t>)</w:t>
            </w:r>
          </w:p>
        </w:tc>
      </w:tr>
      <w:tr>
        <w:trPr/>
        <w:tc>
          <w:tcPr>
            <w:tcW w:w="1010" w:type="dxa"/>
            <w:tcBorders/>
            <w:shd w:fill="CCEEFF" w:val="clear"/>
            <w:vAlign w:val="center"/>
          </w:tcPr>
          <w:p>
            <w:pPr>
              <w:pStyle w:val="TableContents"/>
              <w:bidi w:val="0"/>
              <w:spacing w:before="0" w:after="283"/>
              <w:jc w:val="left"/>
              <w:rPr>
                <w:sz w:val="16"/>
              </w:rPr>
            </w:pPr>
            <w:r>
              <w:rPr>
                <w:sz w:val="16"/>
              </w:rPr>
              <w:t>Income tax (provision) benefit</w:t>
            </w:r>
          </w:p>
        </w:tc>
        <w:tc>
          <w:tcPr>
            <w:tcW w:w="60" w:type="dxa"/>
            <w:tcBorders/>
            <w:shd w:fill="CCEEFF" w:val="clear"/>
            <w:vAlign w:val="center"/>
          </w:tcPr>
          <w:p>
            <w:pPr>
              <w:pStyle w:val="TableContents"/>
              <w:bidi w:val="0"/>
              <w:spacing w:before="0" w:after="283"/>
              <w:jc w:val="left"/>
              <w:rPr/>
            </w:pPr>
            <w:r>
              <w:rPr/>
              <w:t> </w:t>
            </w:r>
          </w:p>
        </w:tc>
        <w:tc>
          <w:tcPr>
            <w:tcW w:w="126"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59" w:type="dxa"/>
            <w:tcBorders>
              <w:bottom w:val="single" w:sz="12" w:space="0" w:color="000000"/>
            </w:tcBorders>
            <w:shd w:fill="CCEEFF" w:val="clear"/>
            <w:tcMar>
              <w:bottom w:w="28" w:type="dxa"/>
            </w:tcMar>
            <w:vAlign w:val="center"/>
          </w:tcPr>
          <w:p>
            <w:pPr>
              <w:pStyle w:val="TableContents"/>
              <w:bidi w:val="0"/>
              <w:spacing w:before="0" w:after="283"/>
              <w:jc w:val="right"/>
              <w:rPr>
                <w:sz w:val="16"/>
              </w:rPr>
            </w:pPr>
            <w:r>
              <w:rPr>
                <w:sz w:val="16"/>
              </w:rPr>
              <w:t>(1,578</w:t>
            </w:r>
          </w:p>
        </w:tc>
        <w:tc>
          <w:tcPr>
            <w:tcW w:w="80" w:type="dxa"/>
            <w:tcBorders/>
            <w:shd w:fill="CCEEFF" w:val="clear"/>
            <w:vAlign w:val="center"/>
          </w:tcPr>
          <w:p>
            <w:pPr>
              <w:pStyle w:val="TableContents"/>
              <w:bidi w:val="0"/>
              <w:spacing w:before="0" w:after="283"/>
              <w:jc w:val="left"/>
              <w:rPr>
                <w:sz w:val="16"/>
              </w:rPr>
            </w:pPr>
            <w:r>
              <w:rPr>
                <w:sz w:val="16"/>
              </w:rPr>
              <w:t>)</w:t>
            </w:r>
          </w:p>
        </w:tc>
        <w:tc>
          <w:tcPr>
            <w:tcW w:w="60" w:type="dxa"/>
            <w:tcBorders/>
            <w:shd w:fill="CCEEFF" w:val="clear"/>
            <w:vAlign w:val="center"/>
          </w:tcPr>
          <w:p>
            <w:pPr>
              <w:pStyle w:val="TableContents"/>
              <w:bidi w:val="0"/>
              <w:spacing w:before="0" w:after="283"/>
              <w:jc w:val="left"/>
              <w:rPr/>
            </w:pPr>
            <w:r>
              <w:rPr/>
              <w:t> </w:t>
            </w:r>
          </w:p>
        </w:tc>
        <w:tc>
          <w:tcPr>
            <w:tcW w:w="146"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684" w:type="dxa"/>
            <w:tcBorders>
              <w:bottom w:val="single" w:sz="12" w:space="0" w:color="000000"/>
            </w:tcBorders>
            <w:shd w:fill="CCEEFF" w:val="clear"/>
            <w:tcMar>
              <w:bottom w:w="28" w:type="dxa"/>
            </w:tcMar>
            <w:vAlign w:val="center"/>
          </w:tcPr>
          <w:p>
            <w:pPr>
              <w:pStyle w:val="TableContents"/>
              <w:bidi w:val="0"/>
              <w:spacing w:before="0" w:after="283"/>
              <w:jc w:val="right"/>
              <w:rPr>
                <w:sz w:val="16"/>
              </w:rPr>
            </w:pPr>
            <w:r>
              <w:rPr>
                <w:sz w:val="16"/>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9"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01" w:type="dxa"/>
            <w:tcBorders>
              <w:bottom w:val="single" w:sz="12" w:space="0" w:color="000000"/>
            </w:tcBorders>
            <w:shd w:fill="CCEEFF" w:val="clear"/>
            <w:tcMar>
              <w:bottom w:w="28" w:type="dxa"/>
            </w:tcMar>
            <w:vAlign w:val="center"/>
          </w:tcPr>
          <w:p>
            <w:pPr>
              <w:pStyle w:val="TableContents"/>
              <w:bidi w:val="0"/>
              <w:spacing w:before="0" w:after="283"/>
              <w:jc w:val="right"/>
              <w:rPr>
                <w:sz w:val="16"/>
              </w:rPr>
            </w:pPr>
            <w:r>
              <w:rPr>
                <w:sz w:val="16"/>
              </w:rPr>
              <w:t>-</w:t>
            </w:r>
          </w:p>
        </w:tc>
        <w:tc>
          <w:tcPr>
            <w:tcW w:w="24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740" w:type="dxa"/>
            <w:tcBorders>
              <w:bottom w:val="single" w:sz="12" w:space="0" w:color="000000"/>
            </w:tcBorders>
            <w:shd w:fill="CCEEFF" w:val="clear"/>
            <w:tcMar>
              <w:bottom w:w="28" w:type="dxa"/>
            </w:tcMar>
            <w:vAlign w:val="center"/>
          </w:tcPr>
          <w:p>
            <w:pPr>
              <w:pStyle w:val="TableContents"/>
              <w:bidi w:val="0"/>
              <w:spacing w:before="0" w:after="283"/>
              <w:jc w:val="right"/>
              <w:rPr>
                <w:sz w:val="16"/>
              </w:rPr>
            </w:pPr>
            <w:r>
              <w:rPr>
                <w:sz w:val="16"/>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6"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684" w:type="dxa"/>
            <w:tcBorders>
              <w:bottom w:val="single" w:sz="12" w:space="0" w:color="000000"/>
            </w:tcBorders>
            <w:shd w:fill="CCEEFF" w:val="clear"/>
            <w:tcMar>
              <w:bottom w:w="28" w:type="dxa"/>
            </w:tcMar>
            <w:vAlign w:val="center"/>
          </w:tcPr>
          <w:p>
            <w:pPr>
              <w:pStyle w:val="TableContents"/>
              <w:bidi w:val="0"/>
              <w:spacing w:before="0" w:after="283"/>
              <w:jc w:val="right"/>
              <w:rPr>
                <w:sz w:val="16"/>
              </w:rPr>
            </w:pPr>
            <w:r>
              <w:rPr>
                <w:sz w:val="16"/>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460" w:type="dxa"/>
            <w:tcBorders>
              <w:bottom w:val="single" w:sz="12" w:space="0" w:color="000000"/>
            </w:tcBorders>
            <w:shd w:fill="CCEEFF" w:val="clear"/>
            <w:tcMar>
              <w:bottom w:w="28" w:type="dxa"/>
            </w:tcMar>
            <w:vAlign w:val="center"/>
          </w:tcPr>
          <w:p>
            <w:pPr>
              <w:pStyle w:val="TableContents"/>
              <w:bidi w:val="0"/>
              <w:spacing w:before="0" w:after="283"/>
              <w:jc w:val="right"/>
              <w:rPr>
                <w:sz w:val="16"/>
              </w:rPr>
            </w:pPr>
            <w:r>
              <w:rPr>
                <w:sz w:val="16"/>
              </w:rPr>
              <w:t>-</w:t>
            </w:r>
          </w:p>
        </w:tc>
        <w:tc>
          <w:tcPr>
            <w:tcW w:w="2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30" w:type="dxa"/>
            <w:tcBorders>
              <w:bottom w:val="single" w:sz="12" w:space="0" w:color="000000"/>
            </w:tcBorders>
            <w:shd w:fill="CCEEFF" w:val="clear"/>
            <w:tcMar>
              <w:bottom w:w="28" w:type="dxa"/>
            </w:tcMar>
            <w:vAlign w:val="center"/>
          </w:tcPr>
          <w:p>
            <w:pPr>
              <w:pStyle w:val="TableContents"/>
              <w:bidi w:val="0"/>
              <w:spacing w:before="0" w:after="283"/>
              <w:jc w:val="right"/>
              <w:rPr>
                <w:sz w:val="16"/>
              </w:rPr>
            </w:pPr>
            <w:r>
              <w:rPr>
                <w:sz w:val="16"/>
              </w:rPr>
              <w:t>-</w:t>
            </w:r>
          </w:p>
        </w:tc>
        <w:tc>
          <w:tcPr>
            <w:tcW w:w="20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30" w:type="dxa"/>
            <w:tcBorders>
              <w:bottom w:val="single" w:sz="12" w:space="0" w:color="000000"/>
            </w:tcBorders>
            <w:shd w:fill="CCEEFF" w:val="clear"/>
            <w:tcMar>
              <w:bottom w:w="28" w:type="dxa"/>
            </w:tcMar>
            <w:vAlign w:val="center"/>
          </w:tcPr>
          <w:p>
            <w:pPr>
              <w:pStyle w:val="TableContents"/>
              <w:bidi w:val="0"/>
              <w:spacing w:before="0" w:after="283"/>
              <w:jc w:val="right"/>
              <w:rPr>
                <w:sz w:val="16"/>
              </w:rPr>
            </w:pPr>
            <w:r>
              <w:rPr>
                <w:sz w:val="16"/>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085" w:type="dxa"/>
            <w:tcBorders>
              <w:bottom w:val="single" w:sz="12" w:space="0" w:color="000000"/>
            </w:tcBorders>
            <w:shd w:fill="CCEEFF" w:val="clear"/>
            <w:tcMar>
              <w:bottom w:w="28" w:type="dxa"/>
            </w:tcMar>
            <w:vAlign w:val="center"/>
          </w:tcPr>
          <w:p>
            <w:pPr>
              <w:pStyle w:val="TableContents"/>
              <w:bidi w:val="0"/>
              <w:spacing w:before="0" w:after="283"/>
              <w:jc w:val="right"/>
              <w:rPr>
                <w:sz w:val="16"/>
              </w:rPr>
            </w:pPr>
            <w:r>
              <w:rPr>
                <w:sz w:val="16"/>
              </w:rPr>
              <w:t>(1,578</w:t>
            </w:r>
          </w:p>
        </w:tc>
        <w:tc>
          <w:tcPr>
            <w:tcW w:w="75" w:type="dxa"/>
            <w:tcBorders/>
            <w:shd w:fill="CCEEFF" w:val="clear"/>
            <w:vAlign w:val="center"/>
          </w:tcPr>
          <w:p>
            <w:pPr>
              <w:pStyle w:val="TableContents"/>
              <w:bidi w:val="0"/>
              <w:spacing w:before="0" w:after="283"/>
              <w:ind w:left="0" w:right="0" w:hanging="180"/>
              <w:jc w:val="left"/>
              <w:rPr>
                <w:sz w:val="16"/>
              </w:rPr>
            </w:pPr>
            <w:r>
              <w:rPr>
                <w:sz w:val="16"/>
              </w:rPr>
              <w:t>)</w:t>
            </w:r>
          </w:p>
        </w:tc>
      </w:tr>
      <w:tr>
        <w:trPr/>
        <w:tc>
          <w:tcPr>
            <w:tcW w:w="1010" w:type="dxa"/>
            <w:tcBorders/>
            <w:shd w:fill="FFFFFF" w:val="clear"/>
            <w:vAlign w:val="center"/>
          </w:tcPr>
          <w:p>
            <w:pPr>
              <w:pStyle w:val="TableContents"/>
              <w:bidi w:val="0"/>
              <w:spacing w:before="0" w:after="283"/>
              <w:jc w:val="left"/>
              <w:rPr>
                <w:sz w:val="16"/>
              </w:rPr>
            </w:pPr>
            <w:r>
              <w:rPr>
                <w:sz w:val="16"/>
              </w:rPr>
              <w:t>Net loss from continuing operations</w:t>
            </w:r>
          </w:p>
        </w:tc>
        <w:tc>
          <w:tcPr>
            <w:tcW w:w="60" w:type="dxa"/>
            <w:tcBorders/>
            <w:shd w:fill="FFFFFF" w:val="clear"/>
            <w:vAlign w:val="center"/>
          </w:tcPr>
          <w:p>
            <w:pPr>
              <w:pStyle w:val="TableContents"/>
              <w:bidi w:val="0"/>
              <w:spacing w:before="0" w:after="283"/>
              <w:jc w:val="left"/>
              <w:rPr/>
            </w:pPr>
            <w:r>
              <w:rPr/>
              <w:t> </w:t>
            </w:r>
          </w:p>
        </w:tc>
        <w:tc>
          <w:tcPr>
            <w:tcW w:w="126" w:type="dxa"/>
            <w:tcBorders>
              <w:bottom w:val="double" w:sz="10" w:space="0" w:color="000000"/>
            </w:tcBorders>
            <w:shd w:fill="FFFFFF" w:val="clear"/>
            <w:tcMar>
              <w:bottom w:w="28" w:type="dxa"/>
            </w:tcMar>
            <w:vAlign w:val="center"/>
          </w:tcPr>
          <w:p>
            <w:pPr>
              <w:pStyle w:val="TableContents"/>
              <w:bidi w:val="0"/>
              <w:spacing w:before="0" w:after="283"/>
              <w:jc w:val="left"/>
              <w:rPr>
                <w:sz w:val="16"/>
              </w:rPr>
            </w:pPr>
            <w:r>
              <w:rPr>
                <w:sz w:val="16"/>
              </w:rPr>
              <w:t>$</w:t>
            </w:r>
          </w:p>
        </w:tc>
        <w:tc>
          <w:tcPr>
            <w:tcW w:w="959" w:type="dxa"/>
            <w:tcBorders>
              <w:bottom w:val="double" w:sz="10" w:space="0" w:color="000000"/>
            </w:tcBorders>
            <w:shd w:fill="FFFFFF" w:val="clear"/>
            <w:tcMar>
              <w:bottom w:w="28" w:type="dxa"/>
            </w:tcMar>
            <w:vAlign w:val="center"/>
          </w:tcPr>
          <w:p>
            <w:pPr>
              <w:pStyle w:val="TableContents"/>
              <w:bidi w:val="0"/>
              <w:spacing w:before="0" w:after="283"/>
              <w:jc w:val="right"/>
              <w:rPr>
                <w:sz w:val="16"/>
              </w:rPr>
            </w:pPr>
            <w:r>
              <w:rPr>
                <w:sz w:val="16"/>
              </w:rPr>
              <w:t>(44,254</w:t>
            </w:r>
          </w:p>
        </w:tc>
        <w:tc>
          <w:tcPr>
            <w:tcW w:w="80" w:type="dxa"/>
            <w:tcBorders/>
            <w:shd w:fill="FFFFFF" w:val="clear"/>
            <w:vAlign w:val="center"/>
          </w:tcPr>
          <w:p>
            <w:pPr>
              <w:pStyle w:val="TableContents"/>
              <w:bidi w:val="0"/>
              <w:spacing w:before="0" w:after="283"/>
              <w:jc w:val="left"/>
              <w:rPr>
                <w:sz w:val="16"/>
              </w:rPr>
            </w:pPr>
            <w:r>
              <w:rPr>
                <w:sz w:val="16"/>
              </w:rPr>
              <w:t>)</w:t>
            </w:r>
          </w:p>
        </w:tc>
        <w:tc>
          <w:tcPr>
            <w:tcW w:w="60" w:type="dxa"/>
            <w:tcBorders/>
            <w:shd w:fill="FFFFFF" w:val="clear"/>
            <w:vAlign w:val="center"/>
          </w:tcPr>
          <w:p>
            <w:pPr>
              <w:pStyle w:val="TableContents"/>
              <w:bidi w:val="0"/>
              <w:spacing w:before="0" w:after="283"/>
              <w:jc w:val="left"/>
              <w:rPr/>
            </w:pPr>
            <w:r>
              <w:rPr/>
              <w:t> </w:t>
            </w:r>
          </w:p>
        </w:tc>
        <w:tc>
          <w:tcPr>
            <w:tcW w:w="146" w:type="dxa"/>
            <w:tcBorders>
              <w:bottom w:val="double" w:sz="10" w:space="0" w:color="000000"/>
            </w:tcBorders>
            <w:shd w:fill="FFFFFF" w:val="clear"/>
            <w:tcMar>
              <w:bottom w:w="28" w:type="dxa"/>
            </w:tcMar>
            <w:vAlign w:val="center"/>
          </w:tcPr>
          <w:p>
            <w:pPr>
              <w:pStyle w:val="TableContents"/>
              <w:bidi w:val="0"/>
              <w:spacing w:before="0" w:after="283"/>
              <w:jc w:val="left"/>
              <w:rPr>
                <w:sz w:val="16"/>
              </w:rPr>
            </w:pPr>
            <w:r>
              <w:rPr>
                <w:sz w:val="16"/>
              </w:rPr>
              <w:t>$</w:t>
            </w:r>
          </w:p>
        </w:tc>
        <w:tc>
          <w:tcPr>
            <w:tcW w:w="684" w:type="dxa"/>
            <w:tcBorders>
              <w:bottom w:val="double" w:sz="10" w:space="0" w:color="000000"/>
            </w:tcBorders>
            <w:shd w:fill="FFFFFF" w:val="clear"/>
            <w:tcMar>
              <w:bottom w:w="28" w:type="dxa"/>
            </w:tcMar>
            <w:vAlign w:val="center"/>
          </w:tcPr>
          <w:p>
            <w:pPr>
              <w:pStyle w:val="TableContents"/>
              <w:bidi w:val="0"/>
              <w:spacing w:before="0" w:after="283"/>
              <w:jc w:val="right"/>
              <w:rPr>
                <w:sz w:val="16"/>
              </w:rPr>
            </w:pPr>
            <w:r>
              <w:rPr>
                <w:sz w:val="16"/>
              </w:rPr>
              <w:t>(6,588</w:t>
            </w:r>
          </w:p>
        </w:tc>
        <w:tc>
          <w:tcPr>
            <w:tcW w:w="80" w:type="dxa"/>
            <w:tcBorders/>
            <w:shd w:fill="FFFFFF" w:val="clear"/>
            <w:vAlign w:val="center"/>
          </w:tcPr>
          <w:p>
            <w:pPr>
              <w:pStyle w:val="TableContents"/>
              <w:bidi w:val="0"/>
              <w:spacing w:before="0" w:after="283"/>
              <w:jc w:val="left"/>
              <w:rPr>
                <w:sz w:val="16"/>
              </w:rPr>
            </w:pPr>
            <w:r>
              <w:rPr>
                <w:sz w:val="16"/>
              </w:rPr>
              <w:t>)</w:t>
            </w:r>
          </w:p>
        </w:tc>
        <w:tc>
          <w:tcPr>
            <w:tcW w:w="60" w:type="dxa"/>
            <w:tcBorders/>
            <w:shd w:fill="FFFFFF" w:val="clear"/>
            <w:vAlign w:val="center"/>
          </w:tcPr>
          <w:p>
            <w:pPr>
              <w:pStyle w:val="TableContents"/>
              <w:bidi w:val="0"/>
              <w:spacing w:before="0" w:after="283"/>
              <w:jc w:val="left"/>
              <w:rPr/>
            </w:pPr>
            <w:r>
              <w:rPr/>
              <w:t> </w:t>
            </w:r>
          </w:p>
        </w:tc>
        <w:tc>
          <w:tcPr>
            <w:tcW w:w="119" w:type="dxa"/>
            <w:tcBorders>
              <w:bottom w:val="double" w:sz="10" w:space="0" w:color="000000"/>
            </w:tcBorders>
            <w:shd w:fill="FFFFFF" w:val="clear"/>
            <w:tcMar>
              <w:bottom w:w="28" w:type="dxa"/>
            </w:tcMar>
            <w:vAlign w:val="center"/>
          </w:tcPr>
          <w:p>
            <w:pPr>
              <w:pStyle w:val="TableContents"/>
              <w:bidi w:val="0"/>
              <w:spacing w:before="0" w:after="283"/>
              <w:jc w:val="left"/>
              <w:rPr>
                <w:sz w:val="16"/>
              </w:rPr>
            </w:pPr>
            <w:r>
              <w:rPr>
                <w:sz w:val="16"/>
              </w:rPr>
              <w:t>$</w:t>
            </w:r>
          </w:p>
        </w:tc>
        <w:tc>
          <w:tcPr>
            <w:tcW w:w="801" w:type="dxa"/>
            <w:tcBorders>
              <w:bottom w:val="double" w:sz="10" w:space="0" w:color="000000"/>
            </w:tcBorders>
            <w:shd w:fill="FFFFFF" w:val="clear"/>
            <w:tcMar>
              <w:bottom w:w="28" w:type="dxa"/>
            </w:tcMar>
            <w:vAlign w:val="center"/>
          </w:tcPr>
          <w:p>
            <w:pPr>
              <w:pStyle w:val="TableContents"/>
              <w:bidi w:val="0"/>
              <w:spacing w:before="0" w:after="283"/>
              <w:jc w:val="right"/>
              <w:rPr>
                <w:sz w:val="16"/>
              </w:rPr>
            </w:pPr>
            <w:r>
              <w:rPr>
                <w:sz w:val="16"/>
              </w:rPr>
              <w:t>(5,711</w:t>
            </w:r>
          </w:p>
        </w:tc>
        <w:tc>
          <w:tcPr>
            <w:tcW w:w="245" w:type="dxa"/>
            <w:tcBorders/>
            <w:shd w:fill="FFFFFF" w:val="clear"/>
            <w:vAlign w:val="center"/>
          </w:tcPr>
          <w:p>
            <w:pPr>
              <w:pStyle w:val="TableContents"/>
              <w:bidi w:val="0"/>
              <w:spacing w:before="0" w:after="283"/>
              <w:jc w:val="left"/>
              <w:rPr>
                <w:sz w:val="16"/>
              </w:rPr>
            </w:pPr>
            <w:r>
              <w:rPr>
                <w:sz w:val="16"/>
              </w:rPr>
              <w:t>)</w:t>
            </w:r>
          </w:p>
        </w:tc>
        <w:tc>
          <w:tcPr>
            <w:tcW w:w="60" w:type="dxa"/>
            <w:tcBorders/>
            <w:shd w:fill="FFFFFF" w:val="clear"/>
            <w:vAlign w:val="center"/>
          </w:tcPr>
          <w:p>
            <w:pPr>
              <w:pStyle w:val="TableContents"/>
              <w:bidi w:val="0"/>
              <w:spacing w:before="0" w:after="283"/>
              <w:jc w:val="left"/>
              <w:rPr/>
            </w:pPr>
            <w:r>
              <w:rPr/>
              <w:t> </w:t>
            </w:r>
          </w:p>
        </w:tc>
        <w:tc>
          <w:tcPr>
            <w:tcW w:w="110" w:type="dxa"/>
            <w:tcBorders>
              <w:bottom w:val="double" w:sz="10" w:space="0" w:color="000000"/>
            </w:tcBorders>
            <w:shd w:fill="FFFFFF" w:val="clear"/>
            <w:tcMar>
              <w:bottom w:w="28" w:type="dxa"/>
            </w:tcMar>
            <w:vAlign w:val="center"/>
          </w:tcPr>
          <w:p>
            <w:pPr>
              <w:pStyle w:val="TableContents"/>
              <w:bidi w:val="0"/>
              <w:spacing w:before="0" w:after="283"/>
              <w:jc w:val="left"/>
              <w:rPr>
                <w:sz w:val="16"/>
              </w:rPr>
            </w:pPr>
            <w:r>
              <w:rPr>
                <w:sz w:val="16"/>
              </w:rPr>
              <w:t>$</w:t>
            </w:r>
          </w:p>
        </w:tc>
        <w:tc>
          <w:tcPr>
            <w:tcW w:w="740" w:type="dxa"/>
            <w:tcBorders>
              <w:bottom w:val="double" w:sz="10" w:space="0" w:color="000000"/>
            </w:tcBorders>
            <w:shd w:fill="FFFFFF" w:val="clear"/>
            <w:tcMar>
              <w:bottom w:w="28" w:type="dxa"/>
            </w:tcMar>
            <w:vAlign w:val="center"/>
          </w:tcPr>
          <w:p>
            <w:pPr>
              <w:pStyle w:val="TableContents"/>
              <w:bidi w:val="0"/>
              <w:spacing w:before="0" w:after="283"/>
              <w:jc w:val="right"/>
              <w:rPr>
                <w:sz w:val="16"/>
              </w:rPr>
            </w:pPr>
            <w:r>
              <w:rPr>
                <w:sz w:val="16"/>
              </w:rPr>
              <w:t>(12,299</w:t>
            </w:r>
          </w:p>
        </w:tc>
        <w:tc>
          <w:tcPr>
            <w:tcW w:w="80" w:type="dxa"/>
            <w:tcBorders/>
            <w:shd w:fill="FFFFFF" w:val="clear"/>
            <w:vAlign w:val="center"/>
          </w:tcPr>
          <w:p>
            <w:pPr>
              <w:pStyle w:val="TableContents"/>
              <w:bidi w:val="0"/>
              <w:spacing w:before="0" w:after="283"/>
              <w:jc w:val="left"/>
              <w:rPr>
                <w:sz w:val="16"/>
              </w:rPr>
            </w:pPr>
            <w:r>
              <w:rPr>
                <w:sz w:val="16"/>
              </w:rPr>
              <w:t>)</w:t>
            </w:r>
          </w:p>
        </w:tc>
        <w:tc>
          <w:tcPr>
            <w:tcW w:w="60" w:type="dxa"/>
            <w:tcBorders/>
            <w:shd w:fill="FFFFFF" w:val="clear"/>
            <w:vAlign w:val="center"/>
          </w:tcPr>
          <w:p>
            <w:pPr>
              <w:pStyle w:val="TableContents"/>
              <w:bidi w:val="0"/>
              <w:spacing w:before="0" w:after="283"/>
              <w:jc w:val="left"/>
              <w:rPr/>
            </w:pPr>
            <w:r>
              <w:rPr/>
              <w:t> </w:t>
            </w:r>
          </w:p>
        </w:tc>
        <w:tc>
          <w:tcPr>
            <w:tcW w:w="146" w:type="dxa"/>
            <w:tcBorders>
              <w:bottom w:val="double" w:sz="10" w:space="0" w:color="000000"/>
            </w:tcBorders>
            <w:shd w:fill="FFFFFF" w:val="clear"/>
            <w:tcMar>
              <w:bottom w:w="28" w:type="dxa"/>
            </w:tcMar>
            <w:vAlign w:val="center"/>
          </w:tcPr>
          <w:p>
            <w:pPr>
              <w:pStyle w:val="TableContents"/>
              <w:bidi w:val="0"/>
              <w:spacing w:before="0" w:after="283"/>
              <w:jc w:val="left"/>
              <w:rPr>
                <w:sz w:val="16"/>
              </w:rPr>
            </w:pPr>
            <w:r>
              <w:rPr>
                <w:sz w:val="16"/>
              </w:rPr>
              <w:t>$</w:t>
            </w:r>
          </w:p>
        </w:tc>
        <w:tc>
          <w:tcPr>
            <w:tcW w:w="684" w:type="dxa"/>
            <w:tcBorders>
              <w:bottom w:val="double" w:sz="10" w:space="0" w:color="000000"/>
            </w:tcBorders>
            <w:shd w:fill="FFFFFF" w:val="clear"/>
            <w:tcMar>
              <w:bottom w:w="28" w:type="dxa"/>
            </w:tcMar>
            <w:vAlign w:val="center"/>
          </w:tcPr>
          <w:p>
            <w:pPr>
              <w:pStyle w:val="TableContents"/>
              <w:bidi w:val="0"/>
              <w:spacing w:before="0" w:after="283"/>
              <w:jc w:val="right"/>
              <w:rPr>
                <w:sz w:val="16"/>
              </w:rPr>
            </w:pPr>
            <w:r>
              <w:rPr>
                <w:sz w:val="16"/>
              </w:rPr>
              <w:t>(1,441</w:t>
            </w:r>
          </w:p>
        </w:tc>
        <w:tc>
          <w:tcPr>
            <w:tcW w:w="80" w:type="dxa"/>
            <w:tcBorders/>
            <w:shd w:fill="FFFFFF" w:val="clear"/>
            <w:vAlign w:val="center"/>
          </w:tcPr>
          <w:p>
            <w:pPr>
              <w:pStyle w:val="TableContents"/>
              <w:bidi w:val="0"/>
              <w:spacing w:before="0" w:after="283"/>
              <w:jc w:val="left"/>
              <w:rPr>
                <w:sz w:val="16"/>
              </w:rPr>
            </w:pPr>
            <w:r>
              <w:rPr>
                <w:sz w:val="16"/>
              </w:rPr>
              <w:t>)</w:t>
            </w:r>
          </w:p>
        </w:tc>
        <w:tc>
          <w:tcPr>
            <w:tcW w:w="60" w:type="dxa"/>
            <w:tcBorders/>
            <w:shd w:fill="FFFFFF" w:val="clear"/>
            <w:vAlign w:val="center"/>
          </w:tcPr>
          <w:p>
            <w:pPr>
              <w:pStyle w:val="TableContents"/>
              <w:bidi w:val="0"/>
              <w:spacing w:before="0" w:after="283"/>
              <w:jc w:val="left"/>
              <w:rPr/>
            </w:pPr>
            <w:r>
              <w:rPr/>
              <w:t> </w:t>
            </w:r>
          </w:p>
        </w:tc>
        <w:tc>
          <w:tcPr>
            <w:tcW w:w="110" w:type="dxa"/>
            <w:tcBorders>
              <w:bottom w:val="double" w:sz="10" w:space="0" w:color="000000"/>
            </w:tcBorders>
            <w:shd w:fill="FFFFFF" w:val="clear"/>
            <w:tcMar>
              <w:bottom w:w="28" w:type="dxa"/>
            </w:tcMar>
            <w:vAlign w:val="center"/>
          </w:tcPr>
          <w:p>
            <w:pPr>
              <w:pStyle w:val="TableContents"/>
              <w:bidi w:val="0"/>
              <w:spacing w:before="0" w:after="283"/>
              <w:jc w:val="left"/>
              <w:rPr>
                <w:sz w:val="16"/>
              </w:rPr>
            </w:pPr>
            <w:r>
              <w:rPr>
                <w:sz w:val="16"/>
              </w:rPr>
              <w:t>$</w:t>
            </w:r>
          </w:p>
        </w:tc>
        <w:tc>
          <w:tcPr>
            <w:tcW w:w="1460" w:type="dxa"/>
            <w:tcBorders>
              <w:bottom w:val="double" w:sz="10" w:space="0" w:color="000000"/>
            </w:tcBorders>
            <w:shd w:fill="FFFFFF" w:val="clear"/>
            <w:tcMar>
              <w:bottom w:w="28" w:type="dxa"/>
            </w:tcMar>
            <w:vAlign w:val="center"/>
          </w:tcPr>
          <w:p>
            <w:pPr>
              <w:pStyle w:val="TableContents"/>
              <w:bidi w:val="0"/>
              <w:spacing w:before="0" w:after="283"/>
              <w:jc w:val="right"/>
              <w:rPr>
                <w:sz w:val="16"/>
              </w:rPr>
            </w:pPr>
            <w:r>
              <w:rPr>
                <w:sz w:val="16"/>
              </w:rPr>
              <w:t>-</w:t>
            </w:r>
          </w:p>
        </w:tc>
        <w:tc>
          <w:tcPr>
            <w:tcW w:w="2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bottom w:val="double" w:sz="10" w:space="0" w:color="000000"/>
            </w:tcBorders>
            <w:shd w:fill="FFFFFF" w:val="clear"/>
            <w:tcMar>
              <w:bottom w:w="28" w:type="dxa"/>
            </w:tcMar>
            <w:vAlign w:val="center"/>
          </w:tcPr>
          <w:p>
            <w:pPr>
              <w:pStyle w:val="TableContents"/>
              <w:bidi w:val="0"/>
              <w:spacing w:before="0" w:after="283"/>
              <w:jc w:val="left"/>
              <w:rPr>
                <w:sz w:val="16"/>
              </w:rPr>
            </w:pPr>
            <w:r>
              <w:rPr>
                <w:sz w:val="16"/>
              </w:rPr>
              <w:t>$</w:t>
            </w:r>
          </w:p>
        </w:tc>
        <w:tc>
          <w:tcPr>
            <w:tcW w:w="830" w:type="dxa"/>
            <w:tcBorders>
              <w:bottom w:val="double" w:sz="10" w:space="0" w:color="000000"/>
            </w:tcBorders>
            <w:shd w:fill="FFFFFF" w:val="clear"/>
            <w:tcMar>
              <w:bottom w:w="28" w:type="dxa"/>
            </w:tcMar>
            <w:vAlign w:val="center"/>
          </w:tcPr>
          <w:p>
            <w:pPr>
              <w:pStyle w:val="TableContents"/>
              <w:bidi w:val="0"/>
              <w:spacing w:before="0" w:after="283"/>
              <w:jc w:val="right"/>
              <w:rPr>
                <w:sz w:val="16"/>
              </w:rPr>
            </w:pPr>
            <w:r>
              <w:rPr>
                <w:sz w:val="16"/>
              </w:rPr>
              <w:t>(506</w:t>
            </w:r>
          </w:p>
        </w:tc>
        <w:tc>
          <w:tcPr>
            <w:tcW w:w="200" w:type="dxa"/>
            <w:tcBorders/>
            <w:shd w:fill="FFFFFF" w:val="clear"/>
            <w:vAlign w:val="center"/>
          </w:tcPr>
          <w:p>
            <w:pPr>
              <w:pStyle w:val="TableContents"/>
              <w:bidi w:val="0"/>
              <w:spacing w:before="0" w:after="283"/>
              <w:jc w:val="left"/>
              <w:rPr>
                <w:sz w:val="16"/>
              </w:rPr>
            </w:pPr>
            <w:r>
              <w:rPr>
                <w:sz w:val="16"/>
              </w:rPr>
              <w:t>)</w:t>
            </w:r>
          </w:p>
        </w:tc>
        <w:tc>
          <w:tcPr>
            <w:tcW w:w="60" w:type="dxa"/>
            <w:tcBorders/>
            <w:shd w:fill="FFFFFF" w:val="clear"/>
            <w:vAlign w:val="center"/>
          </w:tcPr>
          <w:p>
            <w:pPr>
              <w:pStyle w:val="TableContents"/>
              <w:bidi w:val="0"/>
              <w:spacing w:before="0" w:after="283"/>
              <w:jc w:val="left"/>
              <w:rPr/>
            </w:pPr>
            <w:r>
              <w:rPr/>
              <w:t> </w:t>
            </w:r>
          </w:p>
        </w:tc>
        <w:tc>
          <w:tcPr>
            <w:tcW w:w="110" w:type="dxa"/>
            <w:tcBorders>
              <w:bottom w:val="double" w:sz="10" w:space="0" w:color="000000"/>
            </w:tcBorders>
            <w:shd w:fill="FFFFFF" w:val="clear"/>
            <w:tcMar>
              <w:bottom w:w="28" w:type="dxa"/>
            </w:tcMar>
            <w:vAlign w:val="center"/>
          </w:tcPr>
          <w:p>
            <w:pPr>
              <w:pStyle w:val="TableContents"/>
              <w:bidi w:val="0"/>
              <w:spacing w:before="0" w:after="283"/>
              <w:jc w:val="left"/>
              <w:rPr>
                <w:sz w:val="16"/>
              </w:rPr>
            </w:pPr>
            <w:r>
              <w:rPr>
                <w:sz w:val="16"/>
              </w:rPr>
              <w:t>$</w:t>
            </w:r>
          </w:p>
        </w:tc>
        <w:tc>
          <w:tcPr>
            <w:tcW w:w="830" w:type="dxa"/>
            <w:tcBorders>
              <w:bottom w:val="double" w:sz="10" w:space="0" w:color="000000"/>
            </w:tcBorders>
            <w:shd w:fill="FFFFFF" w:val="clear"/>
            <w:tcMar>
              <w:bottom w:w="28" w:type="dxa"/>
            </w:tcMar>
            <w:vAlign w:val="center"/>
          </w:tcPr>
          <w:p>
            <w:pPr>
              <w:pStyle w:val="TableContents"/>
              <w:bidi w:val="0"/>
              <w:spacing w:before="0" w:after="283"/>
              <w:jc w:val="right"/>
              <w:rPr>
                <w:sz w:val="16"/>
              </w:rPr>
            </w:pPr>
            <w:r>
              <w:rPr>
                <w:sz w:val="16"/>
              </w:rPr>
              <w:t>(1,947</w:t>
            </w:r>
          </w:p>
        </w:tc>
        <w:tc>
          <w:tcPr>
            <w:tcW w:w="80" w:type="dxa"/>
            <w:tcBorders/>
            <w:shd w:fill="FFFFFF" w:val="clear"/>
            <w:vAlign w:val="center"/>
          </w:tcPr>
          <w:p>
            <w:pPr>
              <w:pStyle w:val="TableContents"/>
              <w:bidi w:val="0"/>
              <w:spacing w:before="0" w:after="283"/>
              <w:jc w:val="left"/>
              <w:rPr>
                <w:sz w:val="16"/>
              </w:rPr>
            </w:pPr>
            <w:r>
              <w:rPr>
                <w:sz w:val="16"/>
              </w:rPr>
              <w:t>)</w:t>
            </w:r>
          </w:p>
        </w:tc>
        <w:tc>
          <w:tcPr>
            <w:tcW w:w="60" w:type="dxa"/>
            <w:tcBorders/>
            <w:shd w:fill="FFFFFF" w:val="clear"/>
            <w:vAlign w:val="center"/>
          </w:tcPr>
          <w:p>
            <w:pPr>
              <w:pStyle w:val="TableContents"/>
              <w:bidi w:val="0"/>
              <w:spacing w:before="0" w:after="283"/>
              <w:jc w:val="left"/>
              <w:rPr/>
            </w:pPr>
            <w:r>
              <w:rPr/>
              <w:t> </w:t>
            </w:r>
          </w:p>
        </w:tc>
        <w:tc>
          <w:tcPr>
            <w:tcW w:w="170" w:type="dxa"/>
            <w:tcBorders>
              <w:bottom w:val="double" w:sz="10" w:space="0" w:color="000000"/>
            </w:tcBorders>
            <w:shd w:fill="FFFFFF" w:val="clear"/>
            <w:tcMar>
              <w:bottom w:w="28" w:type="dxa"/>
            </w:tcMar>
            <w:vAlign w:val="center"/>
          </w:tcPr>
          <w:p>
            <w:pPr>
              <w:pStyle w:val="TableContents"/>
              <w:bidi w:val="0"/>
              <w:spacing w:before="0" w:after="283"/>
              <w:jc w:val="left"/>
              <w:rPr>
                <w:sz w:val="16"/>
              </w:rPr>
            </w:pPr>
            <w:r>
              <w:rPr>
                <w:sz w:val="16"/>
              </w:rPr>
              <w:t>$</w:t>
            </w:r>
          </w:p>
        </w:tc>
        <w:tc>
          <w:tcPr>
            <w:tcW w:w="1085" w:type="dxa"/>
            <w:tcBorders>
              <w:bottom w:val="double" w:sz="10" w:space="0" w:color="000000"/>
            </w:tcBorders>
            <w:shd w:fill="FFFFFF" w:val="clear"/>
            <w:tcMar>
              <w:bottom w:w="28" w:type="dxa"/>
            </w:tcMar>
            <w:vAlign w:val="center"/>
          </w:tcPr>
          <w:p>
            <w:pPr>
              <w:pStyle w:val="TableContents"/>
              <w:bidi w:val="0"/>
              <w:spacing w:before="0" w:after="283"/>
              <w:jc w:val="right"/>
              <w:rPr>
                <w:sz w:val="16"/>
              </w:rPr>
            </w:pPr>
            <w:r>
              <w:rPr>
                <w:sz w:val="16"/>
              </w:rPr>
              <w:t>(58,500</w:t>
            </w:r>
          </w:p>
        </w:tc>
        <w:tc>
          <w:tcPr>
            <w:tcW w:w="75" w:type="dxa"/>
            <w:tcBorders/>
            <w:shd w:fill="FFFFFF" w:val="clear"/>
            <w:vAlign w:val="center"/>
          </w:tcPr>
          <w:p>
            <w:pPr>
              <w:pStyle w:val="TableContents"/>
              <w:bidi w:val="0"/>
              <w:spacing w:before="0" w:after="283"/>
              <w:ind w:left="0" w:right="0" w:hanging="180"/>
              <w:jc w:val="left"/>
              <w:rPr>
                <w:sz w:val="16"/>
              </w:rPr>
            </w:pPr>
            <w:r>
              <w:rPr>
                <w:sz w:val="16"/>
              </w:rPr>
              <w:t>)</w:t>
            </w:r>
          </w:p>
        </w:tc>
      </w:tr>
      <w:tr>
        <w:trPr/>
        <w:tc>
          <w:tcPr>
            <w:tcW w:w="101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6" w:type="dxa"/>
            <w:tcBorders/>
            <w:shd w:fill="CCEEFF" w:val="clear"/>
            <w:vAlign w:val="center"/>
          </w:tcPr>
          <w:p>
            <w:pPr>
              <w:pStyle w:val="TableContents"/>
              <w:bidi w:val="0"/>
              <w:spacing w:before="0" w:after="283"/>
              <w:jc w:val="left"/>
              <w:rPr/>
            </w:pPr>
            <w:r>
              <w:rPr/>
              <w:t> </w:t>
            </w:r>
          </w:p>
        </w:tc>
        <w:tc>
          <w:tcPr>
            <w:tcW w:w="959"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684"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9" w:type="dxa"/>
            <w:tcBorders/>
            <w:shd w:fill="CCEEFF" w:val="clear"/>
            <w:vAlign w:val="center"/>
          </w:tcPr>
          <w:p>
            <w:pPr>
              <w:pStyle w:val="TableContents"/>
              <w:bidi w:val="0"/>
              <w:spacing w:before="0" w:after="283"/>
              <w:jc w:val="left"/>
              <w:rPr/>
            </w:pPr>
            <w:r>
              <w:rPr/>
              <w:t> </w:t>
            </w:r>
          </w:p>
        </w:tc>
        <w:tc>
          <w:tcPr>
            <w:tcW w:w="801" w:type="dxa"/>
            <w:tcBorders/>
            <w:shd w:fill="CCEEFF" w:val="clear"/>
            <w:vAlign w:val="center"/>
          </w:tcPr>
          <w:p>
            <w:pPr>
              <w:pStyle w:val="TableContents"/>
              <w:bidi w:val="0"/>
              <w:spacing w:before="0" w:after="283"/>
              <w:jc w:val="right"/>
              <w:rPr/>
            </w:pPr>
            <w:r>
              <w:rPr/>
              <w:t> </w:t>
            </w:r>
          </w:p>
        </w:tc>
        <w:tc>
          <w:tcPr>
            <w:tcW w:w="24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740"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684"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1460" w:type="dxa"/>
            <w:tcBorders/>
            <w:shd w:fill="CCEEFF" w:val="clear"/>
            <w:vAlign w:val="center"/>
          </w:tcPr>
          <w:p>
            <w:pPr>
              <w:pStyle w:val="TableContents"/>
              <w:bidi w:val="0"/>
              <w:spacing w:before="0" w:after="283"/>
              <w:jc w:val="right"/>
              <w:rPr/>
            </w:pPr>
            <w:r>
              <w:rPr/>
              <w:t> </w:t>
            </w:r>
          </w:p>
        </w:tc>
        <w:tc>
          <w:tcPr>
            <w:tcW w:w="2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pPr>
            <w:r>
              <w:rPr/>
              <w:t> </w:t>
            </w:r>
          </w:p>
        </w:tc>
        <w:tc>
          <w:tcPr>
            <w:tcW w:w="20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085" w:type="dxa"/>
            <w:tcBorders/>
            <w:shd w:fill="CCEEFF" w:val="clear"/>
            <w:vAlign w:val="center"/>
          </w:tcPr>
          <w:p>
            <w:pPr>
              <w:pStyle w:val="TableContents"/>
              <w:bidi w:val="0"/>
              <w:spacing w:before="0" w:after="283"/>
              <w:jc w:val="left"/>
              <w:rPr/>
            </w:pPr>
            <w:r>
              <w:rPr/>
              <w:t> </w:t>
            </w:r>
          </w:p>
        </w:tc>
        <w:tc>
          <w:tcPr>
            <w:tcW w:w="75" w:type="dxa"/>
            <w:tcBorders/>
            <w:shd w:fill="CCEEFF" w:val="clear"/>
            <w:vAlign w:val="center"/>
          </w:tcPr>
          <w:p>
            <w:pPr>
              <w:pStyle w:val="TableContents"/>
              <w:bidi w:val="0"/>
              <w:spacing w:before="0" w:after="283"/>
              <w:ind w:left="0" w:right="0" w:hanging="180"/>
              <w:jc w:val="left"/>
              <w:rPr/>
            </w:pPr>
            <w:r>
              <w:rPr/>
              <w:t> </w:t>
            </w:r>
          </w:p>
        </w:tc>
      </w:tr>
      <w:tr>
        <w:trPr/>
        <w:tc>
          <w:tcPr>
            <w:tcW w:w="1010" w:type="dxa"/>
            <w:tcBorders/>
            <w:shd w:fill="FFFFFF" w:val="clear"/>
            <w:vAlign w:val="center"/>
          </w:tcPr>
          <w:p>
            <w:pPr>
              <w:pStyle w:val="TableContents"/>
              <w:bidi w:val="0"/>
              <w:spacing w:before="0" w:after="283"/>
              <w:jc w:val="left"/>
              <w:rPr>
                <w:sz w:val="16"/>
              </w:rPr>
            </w:pPr>
            <w:r>
              <w:rPr>
                <w:sz w:val="16"/>
              </w:rPr>
              <w:t>Net loss from continuing operations per share attributable to common stockholders, basic and diluted</w:t>
            </w:r>
          </w:p>
        </w:tc>
        <w:tc>
          <w:tcPr>
            <w:tcW w:w="60" w:type="dxa"/>
            <w:tcBorders/>
            <w:shd w:fill="FFFFFF" w:val="clear"/>
            <w:vAlign w:val="center"/>
          </w:tcPr>
          <w:p>
            <w:pPr>
              <w:pStyle w:val="TableContents"/>
              <w:bidi w:val="0"/>
              <w:spacing w:before="0" w:after="283"/>
              <w:jc w:val="left"/>
              <w:rPr/>
            </w:pPr>
            <w:r>
              <w:rPr/>
              <w:t> </w:t>
            </w:r>
          </w:p>
        </w:tc>
        <w:tc>
          <w:tcPr>
            <w:tcW w:w="126" w:type="dxa"/>
            <w:tcBorders>
              <w:bottom w:val="double" w:sz="10" w:space="0" w:color="000000"/>
            </w:tcBorders>
            <w:shd w:fill="FFFFFF" w:val="clear"/>
            <w:tcMar>
              <w:bottom w:w="28" w:type="dxa"/>
            </w:tcMar>
            <w:vAlign w:val="center"/>
          </w:tcPr>
          <w:p>
            <w:pPr>
              <w:pStyle w:val="TableContents"/>
              <w:bidi w:val="0"/>
              <w:spacing w:before="0" w:after="283"/>
              <w:jc w:val="left"/>
              <w:rPr>
                <w:sz w:val="16"/>
              </w:rPr>
            </w:pPr>
            <w:r>
              <w:rPr>
                <w:sz w:val="16"/>
              </w:rPr>
              <w:t>$</w:t>
            </w:r>
          </w:p>
        </w:tc>
        <w:tc>
          <w:tcPr>
            <w:tcW w:w="959" w:type="dxa"/>
            <w:tcBorders>
              <w:bottom w:val="double" w:sz="10" w:space="0" w:color="000000"/>
            </w:tcBorders>
            <w:shd w:fill="FFFFFF" w:val="clear"/>
            <w:tcMar>
              <w:bottom w:w="28" w:type="dxa"/>
            </w:tcMar>
            <w:vAlign w:val="center"/>
          </w:tcPr>
          <w:p>
            <w:pPr>
              <w:pStyle w:val="TableContents"/>
              <w:bidi w:val="0"/>
              <w:spacing w:before="0" w:after="283"/>
              <w:jc w:val="right"/>
              <w:rPr>
                <w:sz w:val="16"/>
              </w:rPr>
            </w:pPr>
            <w:r>
              <w:rPr>
                <w:sz w:val="16"/>
              </w:rPr>
              <w:t>(0.51</w:t>
            </w:r>
          </w:p>
        </w:tc>
        <w:tc>
          <w:tcPr>
            <w:tcW w:w="80" w:type="dxa"/>
            <w:tcBorders/>
            <w:shd w:fill="FFFFFF" w:val="clear"/>
            <w:vAlign w:val="center"/>
          </w:tcPr>
          <w:p>
            <w:pPr>
              <w:pStyle w:val="TableContents"/>
              <w:bidi w:val="0"/>
              <w:spacing w:before="0" w:after="283"/>
              <w:jc w:val="left"/>
              <w:rPr>
                <w:sz w:val="16"/>
              </w:rPr>
            </w:pPr>
            <w:r>
              <w:rPr>
                <w:sz w:val="16"/>
              </w:rPr>
              <w:t>)</w:t>
            </w:r>
          </w:p>
        </w:tc>
        <w:tc>
          <w:tcPr>
            <w:tcW w:w="60"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84"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9" w:type="dxa"/>
            <w:tcBorders/>
            <w:shd w:fill="FFFFFF" w:val="clear"/>
            <w:vAlign w:val="center"/>
          </w:tcPr>
          <w:p>
            <w:pPr>
              <w:pStyle w:val="TableContents"/>
              <w:bidi w:val="0"/>
              <w:spacing w:before="0" w:after="283"/>
              <w:jc w:val="left"/>
              <w:rPr/>
            </w:pPr>
            <w:r>
              <w:rPr/>
              <w:t> </w:t>
            </w:r>
          </w:p>
        </w:tc>
        <w:tc>
          <w:tcPr>
            <w:tcW w:w="801" w:type="dxa"/>
            <w:tcBorders/>
            <w:shd w:fill="FFFFFF" w:val="clear"/>
            <w:vAlign w:val="center"/>
          </w:tcPr>
          <w:p>
            <w:pPr>
              <w:pStyle w:val="TableContents"/>
              <w:bidi w:val="0"/>
              <w:spacing w:before="0" w:after="283"/>
              <w:jc w:val="right"/>
              <w:rPr/>
            </w:pPr>
            <w:r>
              <w:rPr/>
              <w:t> </w:t>
            </w:r>
          </w:p>
        </w:tc>
        <w:tc>
          <w:tcPr>
            <w:tcW w:w="24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740"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84"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1460" w:type="dxa"/>
            <w:tcBorders/>
            <w:shd w:fill="FFFFFF" w:val="clear"/>
            <w:vAlign w:val="center"/>
          </w:tcPr>
          <w:p>
            <w:pPr>
              <w:pStyle w:val="TableContents"/>
              <w:bidi w:val="0"/>
              <w:spacing w:before="0" w:after="283"/>
              <w:jc w:val="right"/>
              <w:rPr/>
            </w:pPr>
            <w:r>
              <w:rPr/>
              <w:t> </w:t>
            </w:r>
          </w:p>
        </w:tc>
        <w:tc>
          <w:tcPr>
            <w:tcW w:w="2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830" w:type="dxa"/>
            <w:tcBorders/>
            <w:shd w:fill="FFFFFF" w:val="clear"/>
            <w:vAlign w:val="center"/>
          </w:tcPr>
          <w:p>
            <w:pPr>
              <w:pStyle w:val="TableContents"/>
              <w:bidi w:val="0"/>
              <w:spacing w:before="0" w:after="283"/>
              <w:jc w:val="right"/>
              <w:rPr/>
            </w:pPr>
            <w:r>
              <w:rPr/>
              <w:t> </w:t>
            </w:r>
          </w:p>
        </w:tc>
        <w:tc>
          <w:tcPr>
            <w:tcW w:w="20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830"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0" w:type="dxa"/>
            <w:tcBorders>
              <w:bottom w:val="double" w:sz="10" w:space="0" w:color="000000"/>
            </w:tcBorders>
            <w:shd w:fill="FFFFFF" w:val="clear"/>
            <w:tcMar>
              <w:bottom w:w="28" w:type="dxa"/>
            </w:tcMar>
            <w:vAlign w:val="center"/>
          </w:tcPr>
          <w:p>
            <w:pPr>
              <w:pStyle w:val="TableContents"/>
              <w:bidi w:val="0"/>
              <w:spacing w:before="0" w:after="283"/>
              <w:jc w:val="left"/>
              <w:rPr/>
            </w:pPr>
            <w:r>
              <w:rPr/>
              <w:t> </w:t>
            </w:r>
            <w:r>
              <w:rPr>
                <w:sz w:val="16"/>
              </w:rPr>
              <w:t>$</w:t>
            </w:r>
          </w:p>
        </w:tc>
        <w:tc>
          <w:tcPr>
            <w:tcW w:w="1085" w:type="dxa"/>
            <w:tcBorders>
              <w:bottom w:val="double" w:sz="10" w:space="0" w:color="000000"/>
            </w:tcBorders>
            <w:shd w:fill="FFFFFF" w:val="clear"/>
            <w:tcMar>
              <w:bottom w:w="28" w:type="dxa"/>
            </w:tcMar>
            <w:vAlign w:val="center"/>
          </w:tcPr>
          <w:p>
            <w:pPr>
              <w:pStyle w:val="TableContents"/>
              <w:bidi w:val="0"/>
              <w:spacing w:before="0" w:after="283"/>
              <w:jc w:val="right"/>
              <w:rPr>
                <w:sz w:val="16"/>
              </w:rPr>
            </w:pPr>
            <w:r>
              <w:rPr>
                <w:sz w:val="16"/>
              </w:rPr>
              <w:t>(0.56</w:t>
            </w:r>
          </w:p>
        </w:tc>
        <w:tc>
          <w:tcPr>
            <w:tcW w:w="75" w:type="dxa"/>
            <w:tcBorders/>
            <w:shd w:fill="FFFFFF" w:val="clear"/>
            <w:vAlign w:val="center"/>
          </w:tcPr>
          <w:p>
            <w:pPr>
              <w:pStyle w:val="TableContents"/>
              <w:bidi w:val="0"/>
              <w:spacing w:before="0" w:after="283"/>
              <w:ind w:left="0" w:right="0" w:hanging="180"/>
              <w:jc w:val="left"/>
              <w:rPr>
                <w:sz w:val="16"/>
              </w:rPr>
            </w:pPr>
            <w:r>
              <w:rPr>
                <w:sz w:val="16"/>
              </w:rPr>
              <w:t>)</w:t>
            </w:r>
          </w:p>
        </w:tc>
      </w:tr>
      <w:tr>
        <w:trPr/>
        <w:tc>
          <w:tcPr>
            <w:tcW w:w="1010" w:type="dxa"/>
            <w:tcBorders/>
            <w:shd w:fill="CCEEFF" w:val="clear"/>
            <w:vAlign w:val="center"/>
          </w:tcPr>
          <w:p>
            <w:pPr>
              <w:pStyle w:val="TableContents"/>
              <w:bidi w:val="0"/>
              <w:spacing w:before="0" w:after="283"/>
              <w:jc w:val="left"/>
              <w:rPr>
                <w:sz w:val="16"/>
              </w:rPr>
            </w:pPr>
            <w:r>
              <w:rPr>
                <w:sz w:val="16"/>
              </w:rPr>
              <w:t>Weighted average shares used to compute net loss per share attributable to common stockholders, basic and diluted</w:t>
            </w:r>
          </w:p>
        </w:tc>
        <w:tc>
          <w:tcPr>
            <w:tcW w:w="60" w:type="dxa"/>
            <w:tcBorders/>
            <w:shd w:fill="CCEEFF" w:val="clear"/>
            <w:vAlign w:val="center"/>
          </w:tcPr>
          <w:p>
            <w:pPr>
              <w:pStyle w:val="TableContents"/>
              <w:bidi w:val="0"/>
              <w:spacing w:before="0" w:after="283"/>
              <w:jc w:val="left"/>
              <w:rPr/>
            </w:pPr>
            <w:r>
              <w:rPr/>
              <w:t> </w:t>
            </w:r>
          </w:p>
        </w:tc>
        <w:tc>
          <w:tcPr>
            <w:tcW w:w="126"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959" w:type="dxa"/>
            <w:tcBorders>
              <w:bottom w:val="double" w:sz="10" w:space="0" w:color="000000"/>
            </w:tcBorders>
            <w:shd w:fill="CCEEFF" w:val="clear"/>
            <w:tcMar>
              <w:bottom w:w="28" w:type="dxa"/>
            </w:tcMar>
            <w:vAlign w:val="center"/>
          </w:tcPr>
          <w:p>
            <w:pPr>
              <w:pStyle w:val="TableContents"/>
              <w:bidi w:val="0"/>
              <w:spacing w:before="0" w:after="283"/>
              <w:jc w:val="right"/>
              <w:rPr>
                <w:sz w:val="16"/>
              </w:rPr>
            </w:pPr>
            <w:r>
              <w:rPr>
                <w:sz w:val="16"/>
              </w:rPr>
              <w:t>87,108,928</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684"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9"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801" w:type="dxa"/>
            <w:tcBorders>
              <w:bottom w:val="double" w:sz="10" w:space="0" w:color="000000"/>
            </w:tcBorders>
            <w:shd w:fill="CCEEFF" w:val="clear"/>
            <w:tcMar>
              <w:bottom w:w="28" w:type="dxa"/>
            </w:tcMar>
            <w:vAlign w:val="center"/>
          </w:tcPr>
          <w:p>
            <w:pPr>
              <w:pStyle w:val="TableContents"/>
              <w:bidi w:val="0"/>
              <w:spacing w:before="0" w:after="283"/>
              <w:jc w:val="right"/>
              <w:rPr>
                <w:sz w:val="16"/>
              </w:rPr>
            </w:pPr>
            <w:r>
              <w:rPr>
                <w:sz w:val="16"/>
              </w:rPr>
              <w:t>2,472,528</w:t>
            </w:r>
          </w:p>
        </w:tc>
        <w:tc>
          <w:tcPr>
            <w:tcW w:w="245" w:type="dxa"/>
            <w:tcBorders/>
            <w:shd w:fill="CCEEFF" w:val="clear"/>
            <w:vAlign w:val="center"/>
          </w:tcPr>
          <w:p>
            <w:pPr>
              <w:pStyle w:val="TableContents"/>
              <w:bidi w:val="0"/>
              <w:spacing w:before="0" w:after="283"/>
              <w:jc w:val="left"/>
              <w:rPr>
                <w:sz w:val="16"/>
              </w:rPr>
            </w:pPr>
            <w:r>
              <w:rPr>
                <w:sz w:val="16"/>
              </w:rPr>
              <w:t>(G)</w:t>
            </w:r>
          </w:p>
        </w:tc>
        <w:tc>
          <w:tcPr>
            <w:tcW w:w="60" w:type="dxa"/>
            <w:tcBorders/>
            <w:shd w:fill="CCEEFF" w:val="clear"/>
            <w:vAlign w:val="center"/>
          </w:tcPr>
          <w:p>
            <w:pPr>
              <w:pStyle w:val="TableContents"/>
              <w:bidi w:val="0"/>
              <w:spacing w:before="0" w:after="283"/>
              <w:jc w:val="left"/>
              <w:rPr/>
            </w:pPr>
            <w:r>
              <w:rPr/>
              <w:t> </w:t>
            </w:r>
          </w:p>
        </w:tc>
        <w:tc>
          <w:tcPr>
            <w:tcW w:w="110"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740" w:type="dxa"/>
            <w:tcBorders>
              <w:bottom w:val="double" w:sz="10" w:space="0" w:color="000000"/>
            </w:tcBorders>
            <w:shd w:fill="CCEEFF" w:val="clear"/>
            <w:tcMar>
              <w:bottom w:w="28" w:type="dxa"/>
            </w:tcMar>
            <w:vAlign w:val="center"/>
          </w:tcPr>
          <w:p>
            <w:pPr>
              <w:pStyle w:val="TableContents"/>
              <w:bidi w:val="0"/>
              <w:spacing w:before="0" w:after="283"/>
              <w:jc w:val="right"/>
              <w:rPr>
                <w:sz w:val="16"/>
              </w:rPr>
            </w:pPr>
            <w:r>
              <w:rPr>
                <w:sz w:val="16"/>
              </w:rPr>
              <w:t>2,472,528</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684"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1460" w:type="dxa"/>
            <w:tcBorders/>
            <w:shd w:fill="CCEEFF" w:val="clear"/>
            <w:vAlign w:val="center"/>
          </w:tcPr>
          <w:p>
            <w:pPr>
              <w:pStyle w:val="TableContents"/>
              <w:bidi w:val="0"/>
              <w:spacing w:before="0" w:after="283"/>
              <w:jc w:val="right"/>
              <w:rPr/>
            </w:pPr>
            <w:r>
              <w:rPr/>
              <w:t> </w:t>
            </w:r>
          </w:p>
        </w:tc>
        <w:tc>
          <w:tcPr>
            <w:tcW w:w="2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830" w:type="dxa"/>
            <w:tcBorders>
              <w:bottom w:val="double" w:sz="10" w:space="0" w:color="000000"/>
            </w:tcBorders>
            <w:shd w:fill="CCEEFF" w:val="clear"/>
            <w:tcMar>
              <w:bottom w:w="28" w:type="dxa"/>
            </w:tcMar>
            <w:vAlign w:val="center"/>
          </w:tcPr>
          <w:p>
            <w:pPr>
              <w:pStyle w:val="TableContents"/>
              <w:bidi w:val="0"/>
              <w:spacing w:before="0" w:after="283"/>
              <w:jc w:val="right"/>
              <w:rPr>
                <w:sz w:val="16"/>
              </w:rPr>
            </w:pPr>
            <w:r>
              <w:rPr>
                <w:sz w:val="16"/>
              </w:rPr>
              <w:t>15,150,086</w:t>
            </w:r>
          </w:p>
        </w:tc>
        <w:tc>
          <w:tcPr>
            <w:tcW w:w="200" w:type="dxa"/>
            <w:tcBorders/>
            <w:shd w:fill="CCEEFF" w:val="clear"/>
            <w:vAlign w:val="center"/>
          </w:tcPr>
          <w:p>
            <w:pPr>
              <w:pStyle w:val="TableContents"/>
              <w:bidi w:val="0"/>
              <w:spacing w:before="0" w:after="283"/>
              <w:jc w:val="left"/>
              <w:rPr>
                <w:sz w:val="16"/>
              </w:rPr>
            </w:pPr>
            <w:r>
              <w:rPr>
                <w:sz w:val="16"/>
              </w:rPr>
              <w:t>(I) </w:t>
            </w:r>
          </w:p>
        </w:tc>
        <w:tc>
          <w:tcPr>
            <w:tcW w:w="60" w:type="dxa"/>
            <w:tcBorders/>
            <w:shd w:fill="CCEEFF" w:val="clear"/>
            <w:vAlign w:val="center"/>
          </w:tcPr>
          <w:p>
            <w:pPr>
              <w:pStyle w:val="TableContents"/>
              <w:bidi w:val="0"/>
              <w:spacing w:before="0" w:after="283"/>
              <w:jc w:val="left"/>
              <w:rPr/>
            </w:pPr>
            <w:r>
              <w:rPr/>
              <w:t> </w:t>
            </w:r>
          </w:p>
        </w:tc>
        <w:tc>
          <w:tcPr>
            <w:tcW w:w="110"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830" w:type="dxa"/>
            <w:tcBorders>
              <w:bottom w:val="double" w:sz="10" w:space="0" w:color="000000"/>
            </w:tcBorders>
            <w:shd w:fill="CCEEFF" w:val="clear"/>
            <w:tcMar>
              <w:bottom w:w="28" w:type="dxa"/>
            </w:tcMar>
            <w:vAlign w:val="center"/>
          </w:tcPr>
          <w:p>
            <w:pPr>
              <w:pStyle w:val="TableContents"/>
              <w:bidi w:val="0"/>
              <w:spacing w:before="0" w:after="283"/>
              <w:jc w:val="right"/>
              <w:rPr>
                <w:sz w:val="16"/>
              </w:rPr>
            </w:pPr>
            <w:r>
              <w:rPr>
                <w:sz w:val="16"/>
              </w:rPr>
              <w:t>15,150,086</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085" w:type="dxa"/>
            <w:tcBorders>
              <w:bottom w:val="double" w:sz="10" w:space="0" w:color="000000"/>
            </w:tcBorders>
            <w:shd w:fill="CCEEFF" w:val="clear"/>
            <w:tcMar>
              <w:bottom w:w="28" w:type="dxa"/>
            </w:tcMar>
            <w:vAlign w:val="center"/>
          </w:tcPr>
          <w:p>
            <w:pPr>
              <w:pStyle w:val="TableContents"/>
              <w:bidi w:val="0"/>
              <w:spacing w:before="0" w:after="283"/>
              <w:jc w:val="right"/>
              <w:rPr>
                <w:sz w:val="16"/>
              </w:rPr>
            </w:pPr>
            <w:r>
              <w:rPr>
                <w:sz w:val="16"/>
              </w:rPr>
              <w:t>104,731,542</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The accompanying notes are an integral part of these pro forma financial statements.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F-177</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caps w:val="false"/>
          <w:smallCaps w:val="false"/>
          <w:sz w:val="20"/>
        </w:rPr>
      </w:pPr>
      <w:bookmarkStart w:id="54" w:name="k_002"/>
      <w:bookmarkEnd w:id="54"/>
      <w:r>
        <w:rPr>
          <w:rFonts w:ascii="Times New Roman;Times;Serif" w:hAnsi="Times New Roman;Times;Serif"/>
          <w:b/>
          <w:i/>
          <w:caps w:val="false"/>
          <w:smallCaps w:val="false"/>
          <w:sz w:val="20"/>
        </w:rPr>
        <w:t>Notes to Unaudited Pro Forma Combined Financial Statements</w:t>
      </w:r>
    </w:p>
    <w:p>
      <w:pPr>
        <w:pStyle w:val="TextBody"/>
        <w:bidi w:val="0"/>
        <w:spacing w:before="0" w:after="0"/>
        <w:ind w:left="0" w:right="0" w:hanging="0"/>
        <w:jc w:val="center"/>
        <w:rPr>
          <w:caps w:val="false"/>
          <w:smallCaps w:val="false"/>
        </w:rPr>
      </w:pPr>
      <w:r>
        <w:rPr>
          <w:caps w:val="false"/>
          <w:smallCaps w:val="false"/>
        </w:rPr>
        <w:t> </w:t>
      </w:r>
    </w:p>
    <w:tbl>
      <w:tblPr>
        <w:tblW w:w="1990" w:type="dxa"/>
        <w:jc w:val="left"/>
        <w:tblInd w:w="0" w:type="dxa"/>
        <w:tblLayout w:type="fixed"/>
        <w:tblCellMar>
          <w:top w:w="0" w:type="dxa"/>
          <w:left w:w="0" w:type="dxa"/>
          <w:bottom w:w="0" w:type="dxa"/>
          <w:right w:w="0" w:type="dxa"/>
        </w:tblCellMar>
      </w:tblPr>
      <w:tblGrid>
        <w:gridCol w:w="185"/>
        <w:gridCol w:w="1805"/>
      </w:tblGrid>
      <w:tr>
        <w:trPr/>
        <w:tc>
          <w:tcPr>
            <w:tcW w:w="18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1.</w:t>
            </w:r>
          </w:p>
        </w:tc>
        <w:tc>
          <w:tcPr>
            <w:tcW w:w="180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Basis of Presentation</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unaudited pro forma combined financial information was prepared in accordance with Article 11 of Regulation S-X, and presents the pro forma results of operations of the Company based on the historical financial information of the Company, Sunder and Ambia after giving effect to the Acquisitions, the Financing, and reclassifications as set forth in the notes to the unaudited pro forma combined financial information.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unaudited pro forma combined financial information does not reflect any management adjustments for expected effects of the Acquisitions.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unaudited pro forma combined statements of operations for the year ended December 28, 2025, combine the historical statements of operations of the Company, Sunder and Ambia on a pro forma basis as if the Sunder and Ambia Acquisitions and the financing of the Sunder Acquisition had been consummated on January 1, 2025, the beginning of the earliest period presented.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Sunder Acquisition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September 21, 2025, the Company entered into a Membership Interest Purchase Agreement (“MIPA”) with Sunder Energy LLC (“Sunder” or “Sunder Acquisition”) and the seller, Chicken Parm Pizza LLC (“Seller/Member”), the sole member of Sunder. The acquisition of Sunder was completed in the Company’s third fiscal quarter on September 24, 2025, and the financial results of Sunder have been included in the Company’s unaudited condensed consolidated financial statements since the date of acquisition.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Per the terms of the MIPA, the Company acquired all of the outstanding membership interest of Sunder for (1) $20.7 million in cash, subject to certain working capital and other adjustments; (2) a promissory note to the Member in the principal amount of $20.0 million (“Seller Note”); (3) and 10.0 million shares of the Company’s common stock (valued at the closing share price on September 24, 2025, of $1.71 per share).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total consideration is summarized as follows </w:t>
      </w:r>
      <w:r>
        <w:rPr>
          <w:rFonts w:ascii="Times New Roman;Times;Serif" w:hAnsi="Times New Roman;Times;Serif"/>
          <w:b w:val="false"/>
          <w:i/>
          <w:caps w:val="false"/>
          <w:smallCaps w:val="false"/>
          <w:sz w:val="20"/>
        </w:rPr>
        <w:t>(in thousands except share data):</w:t>
      </w:r>
      <w:r>
        <w:rPr>
          <w:rFonts w:ascii="Times New Roman;Times;Serif" w:hAnsi="Times New Roman;Times;Serif"/>
          <w:b w:val="false"/>
          <w:i w:val="false"/>
          <w:caps w:val="false"/>
          <w:smallCaps w:val="false"/>
          <w:sz w:val="20"/>
        </w:rPr>
        <w:t> </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9250"/>
        <w:gridCol w:w="60"/>
        <w:gridCol w:w="140"/>
        <w:gridCol w:w="680"/>
        <w:gridCol w:w="75"/>
      </w:tblGrid>
      <w:tr>
        <w:trPr/>
        <w:tc>
          <w:tcPr>
            <w:tcW w:w="9250" w:type="dxa"/>
            <w:tcBorders/>
            <w:vAlign w:val="center"/>
          </w:tcPr>
          <w:p>
            <w:pPr>
              <w:pStyle w:val="TableContents"/>
              <w:bidi w:val="0"/>
              <w:spacing w:before="0" w:after="283"/>
              <w:ind w:left="0" w:right="0" w:hanging="180"/>
              <w:jc w:val="left"/>
              <w:rPr>
                <w:b/>
              </w:rPr>
            </w:pPr>
            <w:r>
              <w:rPr>
                <w:b/>
              </w:rPr>
              <w:t>Consideration</w:t>
            </w:r>
          </w:p>
        </w:tc>
        <w:tc>
          <w:tcPr>
            <w:tcW w:w="60" w:type="dxa"/>
            <w:tcBorders/>
            <w:vAlign w:val="center"/>
          </w:tcPr>
          <w:p>
            <w:pPr>
              <w:pStyle w:val="TableContents"/>
              <w:bidi w:val="0"/>
              <w:spacing w:before="0" w:after="283"/>
              <w:jc w:val="left"/>
              <w:rPr/>
            </w:pPr>
            <w:r>
              <w:rPr/>
              <w:t> </w:t>
            </w:r>
          </w:p>
        </w:tc>
        <w:tc>
          <w:tcPr>
            <w:tcW w:w="820" w:type="dxa"/>
            <w:gridSpan w:val="2"/>
            <w:tcBorders/>
            <w:vAlign w:val="center"/>
          </w:tcPr>
          <w:p>
            <w:pPr>
              <w:pStyle w:val="TableContents"/>
              <w:bidi w:val="0"/>
              <w:spacing w:before="0" w:after="283"/>
              <w:jc w:val="right"/>
              <w:rPr/>
            </w:pPr>
            <w:r>
              <w:rPr/>
              <w:t> </w:t>
            </w:r>
          </w:p>
        </w:tc>
        <w:tc>
          <w:tcPr>
            <w:tcW w:w="75" w:type="dxa"/>
            <w:tcBorders/>
            <w:vAlign w:val="center"/>
          </w:tcPr>
          <w:p>
            <w:pPr>
              <w:pStyle w:val="TableContents"/>
              <w:bidi w:val="0"/>
              <w:spacing w:before="0" w:after="283"/>
              <w:ind w:left="0" w:right="0" w:hanging="180"/>
              <w:jc w:val="left"/>
              <w:rPr/>
            </w:pPr>
            <w:r>
              <w:rPr/>
              <w:t> </w:t>
            </w:r>
          </w:p>
        </w:tc>
      </w:tr>
      <w:tr>
        <w:trPr/>
        <w:tc>
          <w:tcPr>
            <w:tcW w:w="9250" w:type="dxa"/>
            <w:tcBorders/>
            <w:shd w:fill="CCEEFF" w:val="clear"/>
            <w:vAlign w:val="center"/>
          </w:tcPr>
          <w:p>
            <w:pPr>
              <w:pStyle w:val="TableContents"/>
              <w:bidi w:val="0"/>
              <w:spacing w:before="0" w:after="283"/>
              <w:jc w:val="left"/>
              <w:rPr/>
            </w:pPr>
            <w:r>
              <w:rPr/>
              <w:t>Cash</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680" w:type="dxa"/>
            <w:tcBorders/>
            <w:shd w:fill="CCEEFF" w:val="clear"/>
            <w:vAlign w:val="center"/>
          </w:tcPr>
          <w:p>
            <w:pPr>
              <w:pStyle w:val="TableContents"/>
              <w:bidi w:val="0"/>
              <w:spacing w:before="0" w:after="283"/>
              <w:jc w:val="right"/>
              <w:rPr/>
            </w:pPr>
            <w:r>
              <w:rPr/>
              <w:t>20,689</w:t>
            </w:r>
          </w:p>
        </w:tc>
        <w:tc>
          <w:tcPr>
            <w:tcW w:w="75" w:type="dxa"/>
            <w:tcBorders/>
            <w:shd w:fill="CCEEFF" w:val="clear"/>
            <w:vAlign w:val="center"/>
          </w:tcPr>
          <w:p>
            <w:pPr>
              <w:pStyle w:val="TableContents"/>
              <w:bidi w:val="0"/>
              <w:spacing w:before="0" w:after="283"/>
              <w:ind w:left="0" w:right="0" w:hanging="180"/>
              <w:jc w:val="left"/>
              <w:rPr/>
            </w:pPr>
            <w:r>
              <w:rPr/>
              <w:t> </w:t>
            </w:r>
          </w:p>
        </w:tc>
      </w:tr>
      <w:tr>
        <w:trPr/>
        <w:tc>
          <w:tcPr>
            <w:tcW w:w="9250" w:type="dxa"/>
            <w:tcBorders/>
            <w:shd w:fill="FFFFFF" w:val="clear"/>
            <w:vAlign w:val="center"/>
          </w:tcPr>
          <w:p>
            <w:pPr>
              <w:pStyle w:val="TableContents"/>
              <w:bidi w:val="0"/>
              <w:spacing w:before="0" w:after="283"/>
              <w:jc w:val="left"/>
              <w:rPr/>
            </w:pPr>
            <w:r>
              <w:rPr/>
              <w:t>Seller note</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pPr>
            <w:r>
              <w:rPr/>
              <w:t>20,000</w:t>
            </w:r>
          </w:p>
        </w:tc>
        <w:tc>
          <w:tcPr>
            <w:tcW w:w="75" w:type="dxa"/>
            <w:tcBorders/>
            <w:shd w:fill="FFFFFF" w:val="clear"/>
            <w:vAlign w:val="center"/>
          </w:tcPr>
          <w:p>
            <w:pPr>
              <w:pStyle w:val="TableContents"/>
              <w:bidi w:val="0"/>
              <w:spacing w:before="0" w:after="283"/>
              <w:ind w:left="0" w:right="0" w:hanging="180"/>
              <w:jc w:val="left"/>
              <w:rPr/>
            </w:pPr>
            <w:r>
              <w:rPr/>
              <w:t> </w:t>
            </w:r>
          </w:p>
        </w:tc>
      </w:tr>
      <w:tr>
        <w:trPr/>
        <w:tc>
          <w:tcPr>
            <w:tcW w:w="9250" w:type="dxa"/>
            <w:tcBorders/>
            <w:shd w:fill="CCEEFF" w:val="clear"/>
            <w:vAlign w:val="center"/>
          </w:tcPr>
          <w:p>
            <w:pPr>
              <w:pStyle w:val="TableContents"/>
              <w:bidi w:val="0"/>
              <w:spacing w:before="0" w:after="283"/>
              <w:jc w:val="left"/>
              <w:rPr/>
            </w:pPr>
            <w:r>
              <w:rPr/>
              <w:t>3,333,334 shares of the Company’s common stock issued at Closing</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5,700</w:t>
            </w:r>
          </w:p>
        </w:tc>
        <w:tc>
          <w:tcPr>
            <w:tcW w:w="75" w:type="dxa"/>
            <w:tcBorders/>
            <w:shd w:fill="CCEEFF" w:val="clear"/>
            <w:vAlign w:val="center"/>
          </w:tcPr>
          <w:p>
            <w:pPr>
              <w:pStyle w:val="TableContents"/>
              <w:bidi w:val="0"/>
              <w:spacing w:before="0" w:after="283"/>
              <w:ind w:left="0" w:right="0" w:hanging="180"/>
              <w:jc w:val="left"/>
              <w:rPr/>
            </w:pPr>
            <w:r>
              <w:rPr/>
              <w:t> </w:t>
            </w:r>
          </w:p>
        </w:tc>
      </w:tr>
      <w:tr>
        <w:trPr/>
        <w:tc>
          <w:tcPr>
            <w:tcW w:w="9250" w:type="dxa"/>
            <w:tcBorders/>
            <w:shd w:fill="FFFFFF" w:val="clear"/>
            <w:vAlign w:val="center"/>
          </w:tcPr>
          <w:p>
            <w:pPr>
              <w:pStyle w:val="TableContents"/>
              <w:bidi w:val="0"/>
              <w:spacing w:before="0" w:after="283"/>
              <w:jc w:val="left"/>
              <w:rPr/>
            </w:pPr>
            <w:r>
              <w:rPr/>
              <w:t>Contingent consideration arrangement – up to 6,666,666 shares of the Company’s common stock to be issued</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680" w:type="dxa"/>
            <w:tcBorders>
              <w:bottom w:val="single" w:sz="12" w:space="0" w:color="000000"/>
            </w:tcBorders>
            <w:shd w:fill="FFFFFF" w:val="clear"/>
            <w:tcMar>
              <w:bottom w:w="28" w:type="dxa"/>
            </w:tcMar>
            <w:vAlign w:val="center"/>
          </w:tcPr>
          <w:p>
            <w:pPr>
              <w:pStyle w:val="TableContents"/>
              <w:bidi w:val="0"/>
              <w:spacing w:before="0" w:after="283"/>
              <w:jc w:val="right"/>
              <w:rPr/>
            </w:pPr>
            <w:r>
              <w:rPr/>
              <w:t>11,400</w:t>
            </w:r>
          </w:p>
        </w:tc>
        <w:tc>
          <w:tcPr>
            <w:tcW w:w="75" w:type="dxa"/>
            <w:tcBorders/>
            <w:shd w:fill="FFFFFF" w:val="clear"/>
            <w:vAlign w:val="center"/>
          </w:tcPr>
          <w:p>
            <w:pPr>
              <w:pStyle w:val="TableContents"/>
              <w:bidi w:val="0"/>
              <w:spacing w:before="0" w:after="283"/>
              <w:ind w:left="0" w:right="0" w:hanging="180"/>
              <w:jc w:val="left"/>
              <w:rPr/>
            </w:pPr>
            <w:r>
              <w:rPr/>
              <w:t> </w:t>
            </w:r>
          </w:p>
        </w:tc>
      </w:tr>
      <w:tr>
        <w:trPr/>
        <w:tc>
          <w:tcPr>
            <w:tcW w:w="9250" w:type="dxa"/>
            <w:tcBorders/>
            <w:shd w:fill="CCEEFF" w:val="clear"/>
            <w:vAlign w:val="center"/>
          </w:tcPr>
          <w:p>
            <w:pPr>
              <w:pStyle w:val="TableContents"/>
              <w:bidi w:val="0"/>
              <w:spacing w:before="0" w:after="283"/>
              <w:jc w:val="left"/>
              <w:rPr/>
            </w:pPr>
            <w:r>
              <w:rPr/>
              <w:t>Fair value of total consideration transferred</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680" w:type="dxa"/>
            <w:tcBorders>
              <w:bottom w:val="double" w:sz="10" w:space="0" w:color="000000"/>
            </w:tcBorders>
            <w:shd w:fill="CCEEFF" w:val="clear"/>
            <w:tcMar>
              <w:bottom w:w="28" w:type="dxa"/>
            </w:tcMar>
            <w:vAlign w:val="center"/>
          </w:tcPr>
          <w:p>
            <w:pPr>
              <w:pStyle w:val="TableContents"/>
              <w:bidi w:val="0"/>
              <w:spacing w:before="0" w:after="283"/>
              <w:jc w:val="right"/>
              <w:rPr/>
            </w:pPr>
            <w:r>
              <w:rPr/>
              <w:t>57,789</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fair values of assets acquired and liabilities assumed are based upon a provisional valuation of the assets acquired and liabilities assumed, and the Company’s estimates and assumptions are subject to change within the measurement period. Finalization of the fair values remains open for the components of working capital, identification and valuation of intangibles and allocation of goodwill.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F-178</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following table summarizes the provisional fair value of identifiable assets acquired and liabilities assumed </w:t>
      </w:r>
      <w:r>
        <w:rPr>
          <w:rFonts w:ascii="Times New Roman;Times;Serif" w:hAnsi="Times New Roman;Times;Serif"/>
          <w:b w:val="false"/>
          <w:i/>
          <w:caps w:val="false"/>
          <w:smallCaps w:val="false"/>
          <w:sz w:val="20"/>
        </w:rPr>
        <w:t>(in thousands):</w:t>
      </w:r>
    </w:p>
    <w:p>
      <w:pPr>
        <w:pStyle w:val="TextBody"/>
        <w:bidi w:val="0"/>
        <w:spacing w:before="0" w:after="0"/>
        <w:ind w:left="0" w:right="0" w:hanging="0"/>
        <w:jc w:val="both"/>
        <w:rPr>
          <w:caps w:val="false"/>
          <w:smallCaps w:val="false"/>
        </w:rPr>
      </w:pPr>
      <w:r>
        <w:rPr>
          <w:caps w:val="false"/>
          <w:smallCaps w:val="false"/>
        </w:rPr>
        <w:t> </w:t>
      </w:r>
    </w:p>
    <w:tbl>
      <w:tblPr>
        <w:tblW w:w="5390" w:type="dxa"/>
        <w:jc w:val="left"/>
        <w:tblInd w:w="0" w:type="dxa"/>
        <w:tblLayout w:type="fixed"/>
        <w:tblCellMar>
          <w:top w:w="0" w:type="dxa"/>
          <w:left w:w="0" w:type="dxa"/>
          <w:bottom w:w="0" w:type="dxa"/>
          <w:right w:w="0" w:type="dxa"/>
        </w:tblCellMar>
      </w:tblPr>
      <w:tblGrid>
        <w:gridCol w:w="4325"/>
        <w:gridCol w:w="60"/>
        <w:gridCol w:w="140"/>
        <w:gridCol w:w="755"/>
        <w:gridCol w:w="110"/>
      </w:tblGrid>
      <w:tr>
        <w:trPr/>
        <w:tc>
          <w:tcPr>
            <w:tcW w:w="4325" w:type="dxa"/>
            <w:tcBorders/>
            <w:vAlign w:val="center"/>
          </w:tcPr>
          <w:p>
            <w:pPr>
              <w:pStyle w:val="TableContents"/>
              <w:bidi w:val="0"/>
              <w:spacing w:before="0" w:after="283"/>
              <w:jc w:val="left"/>
              <w:rPr>
                <w:b/>
              </w:rPr>
            </w:pPr>
            <w:r>
              <w:rPr>
                <w:b/>
              </w:rPr>
              <w:t>Net assets acquired:</w:t>
            </w:r>
          </w:p>
        </w:tc>
        <w:tc>
          <w:tcPr>
            <w:tcW w:w="60" w:type="dxa"/>
            <w:tcBorders/>
            <w:vAlign w:val="center"/>
          </w:tcPr>
          <w:p>
            <w:pPr>
              <w:pStyle w:val="TableContents"/>
              <w:bidi w:val="0"/>
              <w:spacing w:before="0" w:after="283"/>
              <w:jc w:val="left"/>
              <w:rPr/>
            </w:pPr>
            <w:r>
              <w:rPr/>
              <w:t> </w:t>
            </w:r>
          </w:p>
        </w:tc>
        <w:tc>
          <w:tcPr>
            <w:tcW w:w="895" w:type="dxa"/>
            <w:gridSpan w:val="2"/>
            <w:tcBorders/>
            <w:vAlign w:val="center"/>
          </w:tcPr>
          <w:p>
            <w:pPr>
              <w:pStyle w:val="TableContents"/>
              <w:bidi w:val="0"/>
              <w:spacing w:before="0" w:after="283"/>
              <w:jc w:val="right"/>
              <w:rPr/>
            </w:pPr>
            <w:r>
              <w:rPr/>
              <w:t> </w:t>
            </w:r>
          </w:p>
        </w:tc>
        <w:tc>
          <w:tcPr>
            <w:tcW w:w="110" w:type="dxa"/>
            <w:tcBorders/>
            <w:vAlign w:val="center"/>
          </w:tcPr>
          <w:p>
            <w:pPr>
              <w:pStyle w:val="TableContents"/>
              <w:bidi w:val="0"/>
              <w:spacing w:before="0" w:after="283"/>
              <w:jc w:val="left"/>
              <w:rPr/>
            </w:pPr>
            <w:r>
              <w:rPr/>
              <w:t> </w:t>
            </w:r>
          </w:p>
        </w:tc>
      </w:tr>
      <w:tr>
        <w:trPr/>
        <w:tc>
          <w:tcPr>
            <w:tcW w:w="4325" w:type="dxa"/>
            <w:tcBorders/>
            <w:shd w:fill="CCEEFF" w:val="clear"/>
            <w:vAlign w:val="center"/>
          </w:tcPr>
          <w:p>
            <w:pPr>
              <w:pStyle w:val="TableContents"/>
              <w:bidi w:val="0"/>
              <w:spacing w:before="0" w:after="283"/>
              <w:jc w:val="left"/>
              <w:rPr/>
            </w:pPr>
            <w:r>
              <w:rPr/>
              <w:t>Accounts receivable</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755" w:type="dxa"/>
            <w:tcBorders/>
            <w:shd w:fill="CCEEFF" w:val="clear"/>
            <w:vAlign w:val="center"/>
          </w:tcPr>
          <w:p>
            <w:pPr>
              <w:pStyle w:val="TableContents"/>
              <w:bidi w:val="0"/>
              <w:spacing w:before="0" w:after="283"/>
              <w:jc w:val="right"/>
              <w:rPr/>
            </w:pPr>
            <w:r>
              <w:rPr/>
              <w:t>797</w:t>
            </w:r>
          </w:p>
        </w:tc>
        <w:tc>
          <w:tcPr>
            <w:tcW w:w="110" w:type="dxa"/>
            <w:tcBorders/>
            <w:shd w:fill="CCEEFF" w:val="clear"/>
            <w:vAlign w:val="center"/>
          </w:tcPr>
          <w:p>
            <w:pPr>
              <w:pStyle w:val="TableContents"/>
              <w:bidi w:val="0"/>
              <w:spacing w:before="0" w:after="283"/>
              <w:jc w:val="left"/>
              <w:rPr/>
            </w:pPr>
            <w:r>
              <w:rPr/>
              <w:t> </w:t>
            </w:r>
          </w:p>
        </w:tc>
      </w:tr>
      <w:tr>
        <w:trPr/>
        <w:tc>
          <w:tcPr>
            <w:tcW w:w="4325" w:type="dxa"/>
            <w:tcBorders/>
            <w:shd w:fill="FFFFFF" w:val="clear"/>
            <w:vAlign w:val="center"/>
          </w:tcPr>
          <w:p>
            <w:pPr>
              <w:pStyle w:val="TableContents"/>
              <w:bidi w:val="0"/>
              <w:spacing w:before="0" w:after="283"/>
              <w:jc w:val="left"/>
              <w:rPr/>
            </w:pPr>
            <w:r>
              <w:rPr/>
              <w:t>Prepaid expenses and other current assets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3,039</w:t>
            </w:r>
          </w:p>
        </w:tc>
        <w:tc>
          <w:tcPr>
            <w:tcW w:w="110" w:type="dxa"/>
            <w:tcBorders/>
            <w:shd w:fill="FFFFFF" w:val="clear"/>
            <w:vAlign w:val="center"/>
          </w:tcPr>
          <w:p>
            <w:pPr>
              <w:pStyle w:val="TableContents"/>
              <w:bidi w:val="0"/>
              <w:spacing w:before="0" w:after="283"/>
              <w:jc w:val="left"/>
              <w:rPr/>
            </w:pPr>
            <w:r>
              <w:rPr/>
              <w:t> </w:t>
            </w:r>
          </w:p>
        </w:tc>
      </w:tr>
      <w:tr>
        <w:trPr/>
        <w:tc>
          <w:tcPr>
            <w:tcW w:w="4325" w:type="dxa"/>
            <w:tcBorders/>
            <w:shd w:fill="CCEEFF" w:val="clear"/>
            <w:vAlign w:val="center"/>
          </w:tcPr>
          <w:p>
            <w:pPr>
              <w:pStyle w:val="TableContents"/>
              <w:bidi w:val="0"/>
              <w:spacing w:before="0" w:after="283"/>
              <w:jc w:val="left"/>
              <w:rPr/>
            </w:pPr>
            <w:r>
              <w:rPr/>
              <w:t>Property and equipment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241</w:t>
            </w:r>
          </w:p>
        </w:tc>
        <w:tc>
          <w:tcPr>
            <w:tcW w:w="110" w:type="dxa"/>
            <w:tcBorders/>
            <w:shd w:fill="CCEEFF" w:val="clear"/>
            <w:vAlign w:val="center"/>
          </w:tcPr>
          <w:p>
            <w:pPr>
              <w:pStyle w:val="TableContents"/>
              <w:bidi w:val="0"/>
              <w:spacing w:before="0" w:after="283"/>
              <w:jc w:val="left"/>
              <w:rPr/>
            </w:pPr>
            <w:r>
              <w:rPr/>
              <w:t> </w:t>
            </w:r>
          </w:p>
        </w:tc>
      </w:tr>
      <w:tr>
        <w:trPr/>
        <w:tc>
          <w:tcPr>
            <w:tcW w:w="4325" w:type="dxa"/>
            <w:tcBorders/>
            <w:shd w:fill="FFFFFF" w:val="clear"/>
            <w:vAlign w:val="center"/>
          </w:tcPr>
          <w:p>
            <w:pPr>
              <w:pStyle w:val="TableContents"/>
              <w:bidi w:val="0"/>
              <w:spacing w:before="0" w:after="283"/>
              <w:jc w:val="left"/>
              <w:rPr/>
            </w:pPr>
            <w:r>
              <w:rPr/>
              <w:t>Operating lease right-of-use assets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313</w:t>
            </w:r>
          </w:p>
        </w:tc>
        <w:tc>
          <w:tcPr>
            <w:tcW w:w="110" w:type="dxa"/>
            <w:tcBorders/>
            <w:shd w:fill="FFFFFF" w:val="clear"/>
            <w:vAlign w:val="center"/>
          </w:tcPr>
          <w:p>
            <w:pPr>
              <w:pStyle w:val="TableContents"/>
              <w:bidi w:val="0"/>
              <w:spacing w:before="0" w:after="283"/>
              <w:jc w:val="left"/>
              <w:rPr/>
            </w:pPr>
            <w:r>
              <w:rPr/>
              <w:t> </w:t>
            </w:r>
          </w:p>
        </w:tc>
      </w:tr>
      <w:tr>
        <w:trPr/>
        <w:tc>
          <w:tcPr>
            <w:tcW w:w="4325" w:type="dxa"/>
            <w:tcBorders/>
            <w:shd w:fill="CCEEFF" w:val="clear"/>
            <w:vAlign w:val="center"/>
          </w:tcPr>
          <w:p>
            <w:pPr>
              <w:pStyle w:val="TableContents"/>
              <w:bidi w:val="0"/>
              <w:spacing w:before="0" w:after="283"/>
              <w:jc w:val="left"/>
              <w:rPr/>
            </w:pPr>
            <w:r>
              <w:rPr/>
              <w:t>Other noncurrent assets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135</w:t>
            </w:r>
          </w:p>
        </w:tc>
        <w:tc>
          <w:tcPr>
            <w:tcW w:w="110" w:type="dxa"/>
            <w:tcBorders/>
            <w:shd w:fill="CCEEFF" w:val="clear"/>
            <w:vAlign w:val="center"/>
          </w:tcPr>
          <w:p>
            <w:pPr>
              <w:pStyle w:val="TableContents"/>
              <w:bidi w:val="0"/>
              <w:spacing w:before="0" w:after="283"/>
              <w:jc w:val="left"/>
              <w:rPr/>
            </w:pPr>
            <w:r>
              <w:rPr/>
              <w:t> </w:t>
            </w:r>
          </w:p>
        </w:tc>
      </w:tr>
      <w:tr>
        <w:trPr/>
        <w:tc>
          <w:tcPr>
            <w:tcW w:w="4325" w:type="dxa"/>
            <w:tcBorders/>
            <w:shd w:fill="FFFFFF" w:val="clear"/>
            <w:vAlign w:val="center"/>
          </w:tcPr>
          <w:p>
            <w:pPr>
              <w:pStyle w:val="TableContents"/>
              <w:bidi w:val="0"/>
              <w:spacing w:before="0" w:after="283"/>
              <w:jc w:val="left"/>
              <w:rPr/>
            </w:pPr>
            <w:r>
              <w:rPr/>
              <w:t>Intangibles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37,500</w:t>
            </w:r>
          </w:p>
        </w:tc>
        <w:tc>
          <w:tcPr>
            <w:tcW w:w="110" w:type="dxa"/>
            <w:tcBorders/>
            <w:shd w:fill="FFFFFF" w:val="clear"/>
            <w:vAlign w:val="center"/>
          </w:tcPr>
          <w:p>
            <w:pPr>
              <w:pStyle w:val="TableContents"/>
              <w:bidi w:val="0"/>
              <w:spacing w:before="0" w:after="283"/>
              <w:jc w:val="left"/>
              <w:rPr/>
            </w:pPr>
            <w:r>
              <w:rPr/>
              <w:t> </w:t>
            </w:r>
          </w:p>
        </w:tc>
      </w:tr>
      <w:tr>
        <w:trPr/>
        <w:tc>
          <w:tcPr>
            <w:tcW w:w="4325" w:type="dxa"/>
            <w:tcBorders/>
            <w:shd w:fill="CCEEFF" w:val="clear"/>
            <w:vAlign w:val="center"/>
          </w:tcPr>
          <w:p>
            <w:pPr>
              <w:pStyle w:val="TableContents"/>
              <w:bidi w:val="0"/>
              <w:spacing w:before="0" w:after="283"/>
              <w:jc w:val="left"/>
              <w:rPr/>
            </w:pPr>
            <w:r>
              <w:rPr/>
              <w:t>Contract liabilities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(11,673</w:t>
            </w:r>
          </w:p>
        </w:tc>
        <w:tc>
          <w:tcPr>
            <w:tcW w:w="110" w:type="dxa"/>
            <w:tcBorders/>
            <w:shd w:fill="CCEEFF" w:val="clear"/>
            <w:vAlign w:val="center"/>
          </w:tcPr>
          <w:p>
            <w:pPr>
              <w:pStyle w:val="TableContents"/>
              <w:bidi w:val="0"/>
              <w:spacing w:before="0" w:after="283"/>
              <w:jc w:val="left"/>
              <w:rPr/>
            </w:pPr>
            <w:r>
              <w:rPr/>
              <w:t>)</w:t>
            </w:r>
          </w:p>
        </w:tc>
      </w:tr>
      <w:tr>
        <w:trPr/>
        <w:tc>
          <w:tcPr>
            <w:tcW w:w="4325" w:type="dxa"/>
            <w:tcBorders/>
            <w:shd w:fill="FFFFFF" w:val="clear"/>
            <w:vAlign w:val="center"/>
          </w:tcPr>
          <w:p>
            <w:pPr>
              <w:pStyle w:val="TableContents"/>
              <w:bidi w:val="0"/>
              <w:spacing w:before="0" w:after="283"/>
              <w:jc w:val="left"/>
              <w:rPr/>
            </w:pPr>
            <w:r>
              <w:rPr/>
              <w:t>Accounts payable</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(203</w:t>
            </w:r>
          </w:p>
        </w:tc>
        <w:tc>
          <w:tcPr>
            <w:tcW w:w="110" w:type="dxa"/>
            <w:tcBorders/>
            <w:shd w:fill="FFFFFF" w:val="clear"/>
            <w:vAlign w:val="center"/>
          </w:tcPr>
          <w:p>
            <w:pPr>
              <w:pStyle w:val="TableContents"/>
              <w:bidi w:val="0"/>
              <w:spacing w:before="0" w:after="283"/>
              <w:jc w:val="left"/>
              <w:rPr/>
            </w:pPr>
            <w:r>
              <w:rPr/>
              <w:t>)</w:t>
            </w:r>
          </w:p>
        </w:tc>
      </w:tr>
      <w:tr>
        <w:trPr/>
        <w:tc>
          <w:tcPr>
            <w:tcW w:w="4325" w:type="dxa"/>
            <w:tcBorders/>
            <w:shd w:fill="CCEEFF" w:val="clear"/>
            <w:vAlign w:val="center"/>
          </w:tcPr>
          <w:p>
            <w:pPr>
              <w:pStyle w:val="TableContents"/>
              <w:bidi w:val="0"/>
              <w:spacing w:before="0" w:after="283"/>
              <w:jc w:val="left"/>
              <w:rPr/>
            </w:pPr>
            <w:r>
              <w:rPr/>
              <w:t>Accrued expenses and other current liabilities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(3,850</w:t>
            </w:r>
          </w:p>
        </w:tc>
        <w:tc>
          <w:tcPr>
            <w:tcW w:w="110" w:type="dxa"/>
            <w:tcBorders/>
            <w:shd w:fill="CCEEFF" w:val="clear"/>
            <w:vAlign w:val="center"/>
          </w:tcPr>
          <w:p>
            <w:pPr>
              <w:pStyle w:val="TableContents"/>
              <w:bidi w:val="0"/>
              <w:spacing w:before="0" w:after="283"/>
              <w:jc w:val="left"/>
              <w:rPr/>
            </w:pPr>
            <w:r>
              <w:rPr/>
              <w:t>)</w:t>
            </w:r>
          </w:p>
        </w:tc>
      </w:tr>
      <w:tr>
        <w:trPr/>
        <w:tc>
          <w:tcPr>
            <w:tcW w:w="4325" w:type="dxa"/>
            <w:tcBorders/>
            <w:shd w:fill="FFFFFF" w:val="clear"/>
            <w:vAlign w:val="center"/>
          </w:tcPr>
          <w:p>
            <w:pPr>
              <w:pStyle w:val="TableContents"/>
              <w:bidi w:val="0"/>
              <w:spacing w:before="0" w:after="283"/>
              <w:jc w:val="left"/>
              <w:rPr/>
            </w:pPr>
            <w:r>
              <w:rPr/>
              <w:t>Operating lease liabilities</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755" w:type="dxa"/>
            <w:tcBorders>
              <w:bottom w:val="single" w:sz="12" w:space="0" w:color="000000"/>
            </w:tcBorders>
            <w:shd w:fill="FFFFFF" w:val="clear"/>
            <w:tcMar>
              <w:bottom w:w="28" w:type="dxa"/>
            </w:tcMar>
            <w:vAlign w:val="center"/>
          </w:tcPr>
          <w:p>
            <w:pPr>
              <w:pStyle w:val="TableContents"/>
              <w:bidi w:val="0"/>
              <w:spacing w:before="0" w:after="283"/>
              <w:jc w:val="right"/>
              <w:rPr/>
            </w:pPr>
            <w:r>
              <w:rPr/>
              <w:t>(332</w:t>
            </w:r>
          </w:p>
        </w:tc>
        <w:tc>
          <w:tcPr>
            <w:tcW w:w="110" w:type="dxa"/>
            <w:tcBorders/>
            <w:shd w:fill="FFFFFF" w:val="clear"/>
            <w:vAlign w:val="center"/>
          </w:tcPr>
          <w:p>
            <w:pPr>
              <w:pStyle w:val="TableContents"/>
              <w:bidi w:val="0"/>
              <w:spacing w:before="0" w:after="283"/>
              <w:jc w:val="left"/>
              <w:rPr/>
            </w:pPr>
            <w:r>
              <w:rPr/>
              <w:t>)</w:t>
            </w:r>
          </w:p>
        </w:tc>
      </w:tr>
      <w:tr>
        <w:trPr/>
        <w:tc>
          <w:tcPr>
            <w:tcW w:w="4325" w:type="dxa"/>
            <w:tcBorders/>
            <w:shd w:fill="CCEEFF" w:val="clear"/>
            <w:vAlign w:val="center"/>
          </w:tcPr>
          <w:p>
            <w:pPr>
              <w:pStyle w:val="TableContents"/>
              <w:bidi w:val="0"/>
              <w:spacing w:before="0" w:after="283"/>
              <w:jc w:val="left"/>
              <w:rPr/>
            </w:pPr>
            <w:r>
              <w:rPr/>
              <w:t>Fair value of net tangible assets acquired</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755" w:type="dxa"/>
            <w:tcBorders>
              <w:bottom w:val="single" w:sz="12" w:space="0" w:color="000000"/>
            </w:tcBorders>
            <w:shd w:fill="CCEEFF" w:val="clear"/>
            <w:tcMar>
              <w:bottom w:w="28" w:type="dxa"/>
            </w:tcMar>
            <w:vAlign w:val="center"/>
          </w:tcPr>
          <w:p>
            <w:pPr>
              <w:pStyle w:val="TableContents"/>
              <w:bidi w:val="0"/>
              <w:spacing w:before="0" w:after="283"/>
              <w:jc w:val="right"/>
              <w:rPr/>
            </w:pPr>
            <w:r>
              <w:rPr/>
              <w:t>25,967</w:t>
            </w:r>
          </w:p>
        </w:tc>
        <w:tc>
          <w:tcPr>
            <w:tcW w:w="110" w:type="dxa"/>
            <w:tcBorders/>
            <w:shd w:fill="CCEEFF" w:val="clear"/>
            <w:vAlign w:val="center"/>
          </w:tcPr>
          <w:p>
            <w:pPr>
              <w:pStyle w:val="TableContents"/>
              <w:bidi w:val="0"/>
              <w:spacing w:before="0" w:after="283"/>
              <w:jc w:val="left"/>
              <w:rPr/>
            </w:pPr>
            <w:r>
              <w:rPr/>
              <w:t> </w:t>
            </w:r>
          </w:p>
        </w:tc>
      </w:tr>
      <w:tr>
        <w:trPr/>
        <w:tc>
          <w:tcPr>
            <w:tcW w:w="4325" w:type="dxa"/>
            <w:tcBorders/>
            <w:shd w:fill="FFFFFF" w:val="clear"/>
            <w:vAlign w:val="center"/>
          </w:tcPr>
          <w:p>
            <w:pPr>
              <w:pStyle w:val="TableContents"/>
              <w:bidi w:val="0"/>
              <w:spacing w:before="0" w:after="283"/>
              <w:jc w:val="left"/>
              <w:rPr/>
            </w:pPr>
            <w:r>
              <w:rPr/>
              <w:t>Goodwill recognized</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755" w:type="dxa"/>
            <w:tcBorders>
              <w:bottom w:val="single" w:sz="12" w:space="0" w:color="000000"/>
            </w:tcBorders>
            <w:shd w:fill="FFFFFF" w:val="clear"/>
            <w:tcMar>
              <w:bottom w:w="28" w:type="dxa"/>
            </w:tcMar>
            <w:vAlign w:val="center"/>
          </w:tcPr>
          <w:p>
            <w:pPr>
              <w:pStyle w:val="TableContents"/>
              <w:bidi w:val="0"/>
              <w:spacing w:before="0" w:after="283"/>
              <w:jc w:val="right"/>
              <w:rPr/>
            </w:pPr>
            <w:r>
              <w:rPr/>
              <w:t>31,822</w:t>
            </w:r>
          </w:p>
        </w:tc>
        <w:tc>
          <w:tcPr>
            <w:tcW w:w="110" w:type="dxa"/>
            <w:tcBorders/>
            <w:shd w:fill="FFFFFF" w:val="clear"/>
            <w:vAlign w:val="center"/>
          </w:tcPr>
          <w:p>
            <w:pPr>
              <w:pStyle w:val="TableContents"/>
              <w:bidi w:val="0"/>
              <w:spacing w:before="0" w:after="283"/>
              <w:jc w:val="left"/>
              <w:rPr/>
            </w:pPr>
            <w:r>
              <w:rPr/>
              <w:t> </w:t>
            </w:r>
          </w:p>
        </w:tc>
      </w:tr>
      <w:tr>
        <w:trPr/>
        <w:tc>
          <w:tcPr>
            <w:tcW w:w="4325" w:type="dxa"/>
            <w:tcBorders/>
            <w:shd w:fill="CCEEFF" w:val="clear"/>
            <w:vAlign w:val="center"/>
          </w:tcPr>
          <w:p>
            <w:pPr>
              <w:pStyle w:val="TableContents"/>
              <w:bidi w:val="0"/>
              <w:spacing w:before="0" w:after="283"/>
              <w:jc w:val="left"/>
              <w:rPr/>
            </w:pPr>
            <w:r>
              <w:rPr/>
              <w:t>Consideration transferred</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755" w:type="dxa"/>
            <w:tcBorders>
              <w:bottom w:val="double" w:sz="10" w:space="0" w:color="000000"/>
            </w:tcBorders>
            <w:shd w:fill="CCEEFF" w:val="clear"/>
            <w:tcMar>
              <w:bottom w:w="28" w:type="dxa"/>
            </w:tcMar>
            <w:vAlign w:val="center"/>
          </w:tcPr>
          <w:p>
            <w:pPr>
              <w:pStyle w:val="TableContents"/>
              <w:bidi w:val="0"/>
              <w:spacing w:before="0" w:after="283"/>
              <w:jc w:val="right"/>
              <w:rPr/>
            </w:pPr>
            <w:r>
              <w:rPr/>
              <w:t>57,789</w:t>
            </w:r>
          </w:p>
        </w:tc>
        <w:tc>
          <w:tcPr>
            <w:tcW w:w="11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Goodwill represents the excess of the estimated consideration transferred over the fair value of the net tangible and intangible assets acquired that is associated with the excess cash flows that the acquisition is expected to generate in the future.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Ambia Acquisition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November 21, 2025, the Company entered into a Membership Interest Purchase Agreement (the “Membership Interest Purchase Agreement”) with Ambia and Ambia Holdings, Inc., a Delaware corporation and the sole member of Ambia (“Ambia Holdings”). Ambia was the sole operating entity within Ambia Holdings.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Ambia and Ambia Holdings completed the closing under the Membership Interest Purchase Agreement (the “Ambia Closing”) on November 21, 2025. At the Ambia Closing, the Company acquired all of the outstanding membership interests of Ambia from Ambia Holdings for: (a) 10,243,924 shares (the “Ambia Closing Consideration Shares”) of common stock of the Company, issued at the Ambia Closing to Ambia Holdings; and (b) the agreement to issue an additional $9.375 million of shares of the Company’s common stock on each of the six-month anniversary of the Ambia Closing and the 12-month anniversary of the Ambia Closing (such additional shares of common stock, the “Deferred Ambia Consideration Shares”). The issuance of the Deferred Ambia Consideration Shares is subject to approval by the Company’s stockholders following the Closing in accordance with the rules and regulations of the Nasdaq Stock Market (including Nasdaq Listing Rule 5635(a)).</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actual number of Deferred Ambia Consideration Shares issuable by the Company on the six- and 12-month anniversaries of the Closing will be determined based on the 20-day trailing volume-weighted average price of the Common Stock after market close on the business day immediate prior to the issuance date of the applicable shares (the “VWAP Value”); provided that the VWAP Value for the calculation of the actual number of Deferred Ambia Consideration Shares issuable by the Company will not be more than $2.8102 per share or less than $1.4988 per share. Additionally, the number of Deferred Ambia Consideration Shares issuable by the Company is subject to adjustment pursuant to customary working capital and balance sheet adjustment terms and subject to offset for certain indemnifiable damages in accordance with the Membership Interest Purchase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F-179</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Company’s closing share price for its common stock of $1.61 on November 21, 2025 was used to fair value the shares issued at the Ambia Closing.. The Fair value of contingent consideration was $16,879 as of December 28, 2025. The total consideration is summarized as follows </w:t>
      </w:r>
      <w:r>
        <w:rPr>
          <w:rFonts w:ascii="Times New Roman;Times;Serif" w:hAnsi="Times New Roman;Times;Serif"/>
          <w:b w:val="false"/>
          <w:i/>
          <w:caps w:val="false"/>
          <w:smallCaps w:val="false"/>
          <w:sz w:val="20"/>
        </w:rPr>
        <w:t>(in thousands):</w:t>
      </w:r>
      <w:r>
        <w:rPr>
          <w:rFonts w:ascii="Times New Roman;Times;Serif" w:hAnsi="Times New Roman;Times;Serif"/>
          <w:b w:val="false"/>
          <w:i w:val="false"/>
          <w:caps w:val="false"/>
          <w:smallCaps w:val="false"/>
          <w:sz w:val="20"/>
        </w:rPr>
        <w:t> </w:t>
      </w:r>
    </w:p>
    <w:p>
      <w:pPr>
        <w:pStyle w:val="TextBody"/>
        <w:bidi w:val="0"/>
        <w:spacing w:before="0" w:after="0"/>
        <w:ind w:left="0" w:right="0" w:hanging="0"/>
        <w:jc w:val="both"/>
        <w:rPr>
          <w:caps w:val="false"/>
          <w:smallCaps w:val="false"/>
        </w:rPr>
      </w:pPr>
      <w:r>
        <w:rPr>
          <w:caps w:val="false"/>
          <w:smallCaps w:val="false"/>
        </w:rPr>
        <w:t> </w:t>
      </w:r>
    </w:p>
    <w:tbl>
      <w:tblPr>
        <w:tblW w:w="8280" w:type="dxa"/>
        <w:jc w:val="left"/>
        <w:tblInd w:w="0" w:type="dxa"/>
        <w:tblLayout w:type="fixed"/>
        <w:tblCellMar>
          <w:top w:w="0" w:type="dxa"/>
          <w:left w:w="0" w:type="dxa"/>
          <w:bottom w:w="0" w:type="dxa"/>
          <w:right w:w="0" w:type="dxa"/>
        </w:tblCellMar>
      </w:tblPr>
      <w:tblGrid>
        <w:gridCol w:w="7325"/>
        <w:gridCol w:w="60"/>
        <w:gridCol w:w="140"/>
        <w:gridCol w:w="680"/>
        <w:gridCol w:w="75"/>
      </w:tblGrid>
      <w:tr>
        <w:trPr/>
        <w:tc>
          <w:tcPr>
            <w:tcW w:w="7325" w:type="dxa"/>
            <w:tcBorders/>
            <w:vAlign w:val="center"/>
          </w:tcPr>
          <w:p>
            <w:pPr>
              <w:pStyle w:val="TableContents"/>
              <w:bidi w:val="0"/>
              <w:spacing w:before="0" w:after="283"/>
              <w:jc w:val="left"/>
              <w:rPr>
                <w:b/>
              </w:rPr>
            </w:pPr>
            <w:r>
              <w:rPr>
                <w:b/>
              </w:rPr>
              <w:t>Consideration</w:t>
            </w:r>
          </w:p>
        </w:tc>
        <w:tc>
          <w:tcPr>
            <w:tcW w:w="60" w:type="dxa"/>
            <w:tcBorders/>
            <w:vAlign w:val="center"/>
          </w:tcPr>
          <w:p>
            <w:pPr>
              <w:pStyle w:val="TableContents"/>
              <w:bidi w:val="0"/>
              <w:spacing w:before="0" w:after="283"/>
              <w:jc w:val="left"/>
              <w:rPr/>
            </w:pPr>
            <w:r>
              <w:rPr/>
              <w:t> </w:t>
            </w:r>
          </w:p>
        </w:tc>
        <w:tc>
          <w:tcPr>
            <w:tcW w:w="820" w:type="dxa"/>
            <w:gridSpan w:val="2"/>
            <w:tcBorders/>
            <w:vAlign w:val="center"/>
          </w:tcPr>
          <w:p>
            <w:pPr>
              <w:pStyle w:val="TableContents"/>
              <w:bidi w:val="0"/>
              <w:spacing w:before="0" w:after="283"/>
              <w:jc w:val="right"/>
              <w:rPr/>
            </w:pPr>
            <w:r>
              <w:rPr/>
              <w:t> </w:t>
            </w:r>
          </w:p>
        </w:tc>
        <w:tc>
          <w:tcPr>
            <w:tcW w:w="75" w:type="dxa"/>
            <w:tcBorders/>
            <w:vAlign w:val="center"/>
          </w:tcPr>
          <w:p>
            <w:pPr>
              <w:pStyle w:val="TableContents"/>
              <w:bidi w:val="0"/>
              <w:spacing w:before="0" w:after="283"/>
              <w:jc w:val="left"/>
              <w:rPr/>
            </w:pPr>
            <w:r>
              <w:rPr/>
              <w:t> </w:t>
            </w:r>
          </w:p>
        </w:tc>
      </w:tr>
      <w:tr>
        <w:trPr/>
        <w:tc>
          <w:tcPr>
            <w:tcW w:w="7325" w:type="dxa"/>
            <w:tcBorders/>
            <w:shd w:fill="CCEEFF" w:val="clear"/>
            <w:vAlign w:val="center"/>
          </w:tcPr>
          <w:p>
            <w:pPr>
              <w:pStyle w:val="TableContents"/>
              <w:bidi w:val="0"/>
              <w:spacing w:before="0" w:after="283"/>
              <w:jc w:val="left"/>
              <w:rPr/>
            </w:pPr>
            <w:r>
              <w:rPr/>
              <w:t>10,243,924 shares of the Company’s common stock issued at Ambia Closing</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680" w:type="dxa"/>
            <w:tcBorders/>
            <w:shd w:fill="CCEEFF" w:val="clear"/>
            <w:vAlign w:val="center"/>
          </w:tcPr>
          <w:p>
            <w:pPr>
              <w:pStyle w:val="TableContents"/>
              <w:bidi w:val="0"/>
              <w:spacing w:before="0" w:after="283"/>
              <w:jc w:val="right"/>
              <w:rPr/>
            </w:pPr>
            <w:r>
              <w:rPr/>
              <w:t>16,493</w:t>
            </w:r>
          </w:p>
        </w:tc>
        <w:tc>
          <w:tcPr>
            <w:tcW w:w="75" w:type="dxa"/>
            <w:tcBorders/>
            <w:shd w:fill="CCEEFF" w:val="clear"/>
            <w:vAlign w:val="center"/>
          </w:tcPr>
          <w:p>
            <w:pPr>
              <w:pStyle w:val="TableContents"/>
              <w:bidi w:val="0"/>
              <w:spacing w:before="0" w:after="283"/>
              <w:jc w:val="left"/>
              <w:rPr/>
            </w:pPr>
            <w:r>
              <w:rPr/>
              <w:t> </w:t>
            </w:r>
          </w:p>
        </w:tc>
      </w:tr>
      <w:tr>
        <w:trPr/>
        <w:tc>
          <w:tcPr>
            <w:tcW w:w="7325" w:type="dxa"/>
            <w:tcBorders/>
            <w:shd w:fill="FFFFFF" w:val="clear"/>
            <w:vAlign w:val="center"/>
          </w:tcPr>
          <w:p>
            <w:pPr>
              <w:pStyle w:val="TableContents"/>
              <w:bidi w:val="0"/>
              <w:spacing w:before="0" w:after="283"/>
              <w:jc w:val="left"/>
              <w:rPr/>
            </w:pPr>
            <w:r>
              <w:rPr/>
              <w:t>Deferred Ambia Consideration Shares</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680" w:type="dxa"/>
            <w:tcBorders>
              <w:bottom w:val="single" w:sz="12" w:space="0" w:color="000000"/>
            </w:tcBorders>
            <w:shd w:fill="FFFFFF" w:val="clear"/>
            <w:tcMar>
              <w:bottom w:w="28" w:type="dxa"/>
            </w:tcMar>
            <w:vAlign w:val="center"/>
          </w:tcPr>
          <w:p>
            <w:pPr>
              <w:pStyle w:val="TableContents"/>
              <w:bidi w:val="0"/>
              <w:spacing w:before="0" w:after="283"/>
              <w:jc w:val="right"/>
              <w:rPr/>
            </w:pPr>
            <w:r>
              <w:rPr/>
              <w:t>16,879</w:t>
            </w:r>
          </w:p>
        </w:tc>
        <w:tc>
          <w:tcPr>
            <w:tcW w:w="75" w:type="dxa"/>
            <w:tcBorders/>
            <w:shd w:fill="FFFFFF" w:val="clear"/>
            <w:vAlign w:val="center"/>
          </w:tcPr>
          <w:p>
            <w:pPr>
              <w:pStyle w:val="TableContents"/>
              <w:bidi w:val="0"/>
              <w:spacing w:before="0" w:after="283"/>
              <w:jc w:val="left"/>
              <w:rPr/>
            </w:pPr>
            <w:r>
              <w:rPr/>
              <w:t> </w:t>
            </w:r>
          </w:p>
        </w:tc>
      </w:tr>
      <w:tr>
        <w:trPr/>
        <w:tc>
          <w:tcPr>
            <w:tcW w:w="7325" w:type="dxa"/>
            <w:tcBorders/>
            <w:shd w:fill="CCEEFF" w:val="clear"/>
            <w:vAlign w:val="center"/>
          </w:tcPr>
          <w:p>
            <w:pPr>
              <w:pStyle w:val="TableContents"/>
              <w:bidi w:val="0"/>
              <w:spacing w:before="0" w:after="283"/>
              <w:jc w:val="left"/>
              <w:rPr/>
            </w:pPr>
            <w:r>
              <w:rPr/>
              <w:t>Fair value of total consideration</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680" w:type="dxa"/>
            <w:tcBorders>
              <w:bottom w:val="double" w:sz="10" w:space="0" w:color="000000"/>
            </w:tcBorders>
            <w:shd w:fill="CCEEFF" w:val="clear"/>
            <w:tcMar>
              <w:bottom w:w="28" w:type="dxa"/>
            </w:tcMar>
            <w:vAlign w:val="center"/>
          </w:tcPr>
          <w:p>
            <w:pPr>
              <w:pStyle w:val="TableContents"/>
              <w:bidi w:val="0"/>
              <w:spacing w:before="0" w:after="283"/>
              <w:jc w:val="right"/>
              <w:rPr/>
            </w:pPr>
            <w:r>
              <w:rPr/>
              <w:t>33,372</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tbl>
      <w:tblPr>
        <w:tblW w:w="5060" w:type="dxa"/>
        <w:jc w:val="left"/>
        <w:tblInd w:w="0" w:type="dxa"/>
        <w:tblLayout w:type="fixed"/>
        <w:tblCellMar>
          <w:top w:w="0" w:type="dxa"/>
          <w:left w:w="0" w:type="dxa"/>
          <w:bottom w:w="0" w:type="dxa"/>
          <w:right w:w="0" w:type="dxa"/>
        </w:tblCellMar>
      </w:tblPr>
      <w:tblGrid>
        <w:gridCol w:w="4190"/>
        <w:gridCol w:w="60"/>
        <w:gridCol w:w="125"/>
        <w:gridCol w:w="590"/>
        <w:gridCol w:w="95"/>
      </w:tblGrid>
      <w:tr>
        <w:trPr/>
        <w:tc>
          <w:tcPr>
            <w:tcW w:w="419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Provisional fair value of net assets acquired:</w:t>
            </w:r>
          </w:p>
        </w:tc>
        <w:tc>
          <w:tcPr>
            <w:tcW w:w="60" w:type="dxa"/>
            <w:tcBorders/>
            <w:vAlign w:val="center"/>
          </w:tcPr>
          <w:p>
            <w:pPr>
              <w:pStyle w:val="TableContents"/>
              <w:bidi w:val="0"/>
              <w:spacing w:before="0" w:after="283"/>
              <w:jc w:val="left"/>
              <w:rPr/>
            </w:pPr>
            <w:r>
              <w:rPr/>
              <w:t> </w:t>
            </w:r>
          </w:p>
        </w:tc>
        <w:tc>
          <w:tcPr>
            <w:tcW w:w="715" w:type="dxa"/>
            <w:gridSpan w:val="2"/>
            <w:tcBorders/>
            <w:vAlign w:val="center"/>
          </w:tcPr>
          <w:p>
            <w:pPr>
              <w:pStyle w:val="TableContents"/>
              <w:bidi w:val="0"/>
              <w:spacing w:before="0" w:after="283"/>
              <w:jc w:val="right"/>
              <w:rPr/>
            </w:pPr>
            <w:r>
              <w:rPr/>
              <w:t> </w:t>
            </w:r>
          </w:p>
        </w:tc>
        <w:tc>
          <w:tcPr>
            <w:tcW w:w="95" w:type="dxa"/>
            <w:tcBorders/>
            <w:vAlign w:val="center"/>
          </w:tcPr>
          <w:p>
            <w:pPr>
              <w:pStyle w:val="TableContents"/>
              <w:bidi w:val="0"/>
              <w:spacing w:before="0" w:after="283"/>
              <w:jc w:val="left"/>
              <w:rPr/>
            </w:pPr>
            <w:r>
              <w:rPr/>
              <w:t> </w:t>
            </w:r>
          </w:p>
        </w:tc>
      </w:tr>
      <w:tr>
        <w:trPr/>
        <w:tc>
          <w:tcPr>
            <w:tcW w:w="419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Cash and cash equivalents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59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1,350</w:t>
            </w:r>
          </w:p>
        </w:tc>
        <w:tc>
          <w:tcPr>
            <w:tcW w:w="95" w:type="dxa"/>
            <w:tcBorders/>
            <w:shd w:fill="CCEEFF" w:val="clear"/>
            <w:vAlign w:val="center"/>
          </w:tcPr>
          <w:p>
            <w:pPr>
              <w:pStyle w:val="TableContents"/>
              <w:bidi w:val="0"/>
              <w:spacing w:before="0" w:after="283"/>
              <w:jc w:val="left"/>
              <w:rPr/>
            </w:pPr>
            <w:r>
              <w:rPr/>
              <w:t> </w:t>
            </w:r>
          </w:p>
        </w:tc>
      </w:tr>
      <w:tr>
        <w:trPr/>
        <w:tc>
          <w:tcPr>
            <w:tcW w:w="419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Contract assets - unbilled</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1,143</w:t>
            </w:r>
          </w:p>
        </w:tc>
        <w:tc>
          <w:tcPr>
            <w:tcW w:w="95" w:type="dxa"/>
            <w:tcBorders/>
            <w:shd w:fill="FFFFFF" w:val="clear"/>
            <w:vAlign w:val="center"/>
          </w:tcPr>
          <w:p>
            <w:pPr>
              <w:pStyle w:val="TableContents"/>
              <w:bidi w:val="0"/>
              <w:spacing w:before="0" w:after="283"/>
              <w:jc w:val="left"/>
              <w:rPr/>
            </w:pPr>
            <w:r>
              <w:rPr/>
              <w:t> </w:t>
            </w:r>
          </w:p>
        </w:tc>
      </w:tr>
      <w:tr>
        <w:trPr/>
        <w:tc>
          <w:tcPr>
            <w:tcW w:w="419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Accounts receivable</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1,368</w:t>
            </w:r>
          </w:p>
        </w:tc>
        <w:tc>
          <w:tcPr>
            <w:tcW w:w="95" w:type="dxa"/>
            <w:tcBorders/>
            <w:shd w:fill="CCEEFF" w:val="clear"/>
            <w:vAlign w:val="center"/>
          </w:tcPr>
          <w:p>
            <w:pPr>
              <w:pStyle w:val="TableContents"/>
              <w:bidi w:val="0"/>
              <w:spacing w:before="0" w:after="283"/>
              <w:jc w:val="left"/>
              <w:rPr/>
            </w:pPr>
            <w:r>
              <w:rPr/>
              <w:t> </w:t>
            </w:r>
          </w:p>
        </w:tc>
      </w:tr>
      <w:tr>
        <w:trPr/>
        <w:tc>
          <w:tcPr>
            <w:tcW w:w="419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Prepaid expenses and other current assets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797</w:t>
            </w:r>
          </w:p>
        </w:tc>
        <w:tc>
          <w:tcPr>
            <w:tcW w:w="95" w:type="dxa"/>
            <w:tcBorders/>
            <w:shd w:fill="FFFFFF" w:val="clear"/>
            <w:vAlign w:val="center"/>
          </w:tcPr>
          <w:p>
            <w:pPr>
              <w:pStyle w:val="TableContents"/>
              <w:bidi w:val="0"/>
              <w:spacing w:before="0" w:after="283"/>
              <w:jc w:val="left"/>
              <w:rPr/>
            </w:pPr>
            <w:r>
              <w:rPr/>
              <w:t> </w:t>
            </w:r>
          </w:p>
        </w:tc>
      </w:tr>
      <w:tr>
        <w:trPr/>
        <w:tc>
          <w:tcPr>
            <w:tcW w:w="419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Property and equipment, net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2,230</w:t>
            </w:r>
          </w:p>
        </w:tc>
        <w:tc>
          <w:tcPr>
            <w:tcW w:w="95" w:type="dxa"/>
            <w:tcBorders/>
            <w:shd w:fill="CCEEFF" w:val="clear"/>
            <w:vAlign w:val="center"/>
          </w:tcPr>
          <w:p>
            <w:pPr>
              <w:pStyle w:val="TableContents"/>
              <w:bidi w:val="0"/>
              <w:spacing w:before="0" w:after="283"/>
              <w:jc w:val="left"/>
              <w:rPr/>
            </w:pPr>
            <w:r>
              <w:rPr/>
              <w:t> </w:t>
            </w:r>
          </w:p>
        </w:tc>
      </w:tr>
      <w:tr>
        <w:trPr/>
        <w:tc>
          <w:tcPr>
            <w:tcW w:w="419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Operating lease right-of-use assets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2,563</w:t>
            </w:r>
          </w:p>
        </w:tc>
        <w:tc>
          <w:tcPr>
            <w:tcW w:w="95" w:type="dxa"/>
            <w:tcBorders/>
            <w:shd w:fill="FFFFFF" w:val="clear"/>
            <w:vAlign w:val="center"/>
          </w:tcPr>
          <w:p>
            <w:pPr>
              <w:pStyle w:val="TableContents"/>
              <w:bidi w:val="0"/>
              <w:spacing w:before="0" w:after="283"/>
              <w:jc w:val="left"/>
              <w:rPr/>
            </w:pPr>
            <w:r>
              <w:rPr/>
              <w:t> </w:t>
            </w:r>
          </w:p>
        </w:tc>
      </w:tr>
      <w:tr>
        <w:trPr/>
        <w:tc>
          <w:tcPr>
            <w:tcW w:w="419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Other noncurrent assets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182</w:t>
            </w:r>
          </w:p>
        </w:tc>
        <w:tc>
          <w:tcPr>
            <w:tcW w:w="95" w:type="dxa"/>
            <w:tcBorders/>
            <w:shd w:fill="CCEEFF" w:val="clear"/>
            <w:vAlign w:val="center"/>
          </w:tcPr>
          <w:p>
            <w:pPr>
              <w:pStyle w:val="TableContents"/>
              <w:bidi w:val="0"/>
              <w:spacing w:before="0" w:after="283"/>
              <w:jc w:val="left"/>
              <w:rPr/>
            </w:pPr>
            <w:r>
              <w:rPr/>
              <w:t> </w:t>
            </w:r>
          </w:p>
        </w:tc>
      </w:tr>
      <w:tr>
        <w:trPr/>
        <w:tc>
          <w:tcPr>
            <w:tcW w:w="419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Intangibles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4,300</w:t>
            </w:r>
          </w:p>
        </w:tc>
        <w:tc>
          <w:tcPr>
            <w:tcW w:w="95" w:type="dxa"/>
            <w:tcBorders/>
            <w:shd w:fill="FFFFFF" w:val="clear"/>
            <w:vAlign w:val="center"/>
          </w:tcPr>
          <w:p>
            <w:pPr>
              <w:pStyle w:val="TableContents"/>
              <w:bidi w:val="0"/>
              <w:spacing w:before="0" w:after="283"/>
              <w:jc w:val="left"/>
              <w:rPr/>
            </w:pPr>
            <w:r>
              <w:rPr/>
              <w:t> </w:t>
            </w:r>
          </w:p>
        </w:tc>
      </w:tr>
      <w:tr>
        <w:trPr/>
        <w:tc>
          <w:tcPr>
            <w:tcW w:w="419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Contract liabilities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(1,675</w:t>
            </w:r>
          </w:p>
        </w:tc>
        <w:tc>
          <w:tcPr>
            <w:tcW w:w="9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419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Accounts payable</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(2,806</w:t>
            </w:r>
          </w:p>
        </w:tc>
        <w:tc>
          <w:tcPr>
            <w:tcW w:w="9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419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Finance lease liabilities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(1,269</w:t>
            </w:r>
          </w:p>
        </w:tc>
        <w:tc>
          <w:tcPr>
            <w:tcW w:w="9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419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Accrued expenses and other current liabilities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(2,917</w:t>
            </w:r>
          </w:p>
        </w:tc>
        <w:tc>
          <w:tcPr>
            <w:tcW w:w="9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419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Operating lease liabilities, non-current</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590"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(2,702</w:t>
            </w:r>
          </w:p>
        </w:tc>
        <w:tc>
          <w:tcPr>
            <w:tcW w:w="9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419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Fair value of net tangible assets acquired</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2,564</w:t>
            </w:r>
          </w:p>
        </w:tc>
        <w:tc>
          <w:tcPr>
            <w:tcW w:w="95" w:type="dxa"/>
            <w:tcBorders/>
            <w:shd w:fill="FFFFFF" w:val="clear"/>
            <w:vAlign w:val="center"/>
          </w:tcPr>
          <w:p>
            <w:pPr>
              <w:pStyle w:val="TableContents"/>
              <w:bidi w:val="0"/>
              <w:spacing w:before="0" w:after="283"/>
              <w:jc w:val="left"/>
              <w:rPr/>
            </w:pPr>
            <w:r>
              <w:rPr/>
              <w:t> </w:t>
            </w:r>
          </w:p>
        </w:tc>
      </w:tr>
      <w:tr>
        <w:trPr/>
        <w:tc>
          <w:tcPr>
            <w:tcW w:w="419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Fair value of common stock issued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16,493</w:t>
            </w:r>
          </w:p>
        </w:tc>
        <w:tc>
          <w:tcPr>
            <w:tcW w:w="95" w:type="dxa"/>
            <w:tcBorders/>
            <w:shd w:fill="CCEEFF" w:val="clear"/>
            <w:vAlign w:val="center"/>
          </w:tcPr>
          <w:p>
            <w:pPr>
              <w:pStyle w:val="TableContents"/>
              <w:bidi w:val="0"/>
              <w:spacing w:before="0" w:after="283"/>
              <w:jc w:val="left"/>
              <w:rPr/>
            </w:pPr>
            <w:r>
              <w:rPr/>
              <w:t> </w:t>
            </w:r>
          </w:p>
        </w:tc>
      </w:tr>
      <w:tr>
        <w:trPr/>
        <w:tc>
          <w:tcPr>
            <w:tcW w:w="419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Fair value of Deferred Ambia Consideration Shares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590"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16,879</w:t>
            </w:r>
          </w:p>
        </w:tc>
        <w:tc>
          <w:tcPr>
            <w:tcW w:w="95" w:type="dxa"/>
            <w:tcBorders/>
            <w:shd w:fill="FFFFFF" w:val="clear"/>
            <w:vAlign w:val="center"/>
          </w:tcPr>
          <w:p>
            <w:pPr>
              <w:pStyle w:val="TableContents"/>
              <w:bidi w:val="0"/>
              <w:spacing w:before="0" w:after="283"/>
              <w:jc w:val="left"/>
              <w:rPr/>
            </w:pPr>
            <w:r>
              <w:rPr/>
              <w:t> </w:t>
            </w:r>
          </w:p>
        </w:tc>
      </w:tr>
      <w:tr>
        <w:trPr/>
        <w:tc>
          <w:tcPr>
            <w:tcW w:w="419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Goodwill recognized</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590"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30,808</w:t>
            </w:r>
          </w:p>
        </w:tc>
        <w:tc>
          <w:tcPr>
            <w:tcW w:w="95" w:type="dxa"/>
            <w:tcBorders/>
            <w:shd w:fill="CCEEFF" w:val="clear"/>
            <w:vAlign w:val="center"/>
          </w:tcPr>
          <w:p>
            <w:pPr>
              <w:pStyle w:val="TableContents"/>
              <w:bidi w:val="0"/>
              <w:spacing w:before="0" w:after="283"/>
              <w:jc w:val="left"/>
              <w:rPr/>
            </w:pPr>
            <w:r>
              <w:rPr/>
              <w:t> </w:t>
            </w:r>
          </w:p>
        </w:tc>
      </w:tr>
      <w:tr>
        <w:trPr/>
        <w:tc>
          <w:tcPr>
            <w:tcW w:w="419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Consideration transferred</w:t>
            </w:r>
          </w:p>
        </w:tc>
        <w:tc>
          <w:tcPr>
            <w:tcW w:w="60" w:type="dxa"/>
            <w:tcBorders/>
            <w:shd w:fill="FFFFFF" w:val="clear"/>
            <w:vAlign w:val="center"/>
          </w:tcPr>
          <w:p>
            <w:pPr>
              <w:pStyle w:val="TableContents"/>
              <w:bidi w:val="0"/>
              <w:spacing w:before="0" w:after="283"/>
              <w:jc w:val="left"/>
              <w:rPr/>
            </w:pPr>
            <w:r>
              <w:rPr/>
              <w:t> </w:t>
            </w:r>
          </w:p>
        </w:tc>
        <w:tc>
          <w:tcPr>
            <w:tcW w:w="125" w:type="dxa"/>
            <w:tcBorders>
              <w:bottom w:val="double" w:sz="12"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590" w:type="dxa"/>
            <w:tcBorders>
              <w:bottom w:val="doub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33,372</w:t>
            </w:r>
          </w:p>
        </w:tc>
        <w:tc>
          <w:tcPr>
            <w:tcW w:w="95"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Financing of the Acquisitions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Sunder Acquisition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acquisition of Sunder was financed as follows: (i) on September 21, 2025, the Company issued $22.0 million of 7% senior unsecured convertible notes (the “September 2025 Notes”), (ii) at closing on September 24, 2025, the Company issued a $20.0 million note to the sellers of Sunder (the “Seller Note”) and (iii) also at closing the Company agreed to issue 10.0 million shares of the Company’s stock which had a fair value of $17.1 million at the closing date of the Sunder acquisition.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September 2025 Notes were issued pursuant to an Indenture agreement with U.S. Bank Trust Company, National Association, as trustee (the “Indenture”). The September 2025 Notes issued under the Indenture bear interest at 7.0% per annum, and the interest is payable semiannually in arrears on January 1 and July 1 of each year beginning on January 1, 2025. The principal is payable in full at maturity on July 1, 2029. The September 2025 Notes are convertible into shares of the Company’s common stock at the option of the holder at a conversion rate of $2.14 per common share. Holders of the September 2025 Notes may convert at any time. The September 2025 Notes may be declared due and payable at the option of the holder upon an event of default and upon a qualifying change of control event.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Seller Note has an original principal amount of $20.0 million. The Seller Note bears interest at 7.0% per annum, compounded at the end of each calendar quarter. Interest is due and payable concurrent with the payment of the principal balance. The maturity date under the Seller Note is the earlier of (i) May 15, 2026 and (ii) the date on which all amounts under the Seller Note otherwise become due and payable following an event of default. The Seller Note must also be repaid in the event of a change of control of the Company or the sale of all or substantially all of the consolidated assets of the Company and its subsidiaries. The Company concluded that since the sellers joined the Company and have a level of influence that is not insignificant, they are related parties of the Company and therefore the Seller Note is a related party obligation.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F-180</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Sunder Acquisition was also financed through the issuance of shares of the Company’s common stock. The Company agreed to issue 10.0 million shares of the Company’s common stock (valued at the closing share price on September 24, 2025, of $1.71 per share). At closing the Company issued 3,333,334 shares of the Company’s common stock and subject to approval of such issuances by the Company’s stockholders, the Company will issue an additional 3,333,333 shares of the Company’s common stock to be issued on the 12-month anniversary of the Closing and (y) a further 3,333,333 shares of the Company’s common stock to be issued on the 18-month anniversary of the Closing (“Deferred Consideration Shares”). In lieu of issuing the Deferred Consideration Shares, the Company, in its sole discretion, may elect to pay the Member a cash payment equal to the number of Deferred Consideration Shares otherwise issuable by the Company multiplied by the volume-weighted average price of the Company’s common stock as quoted on Nasdaq for the 30-trading day period ending two business days prior to the date on which the applicable Deferred Consideration Shares were otherwise issuable (“Cash in Lieu Amount”). If the Company elects to pay the Cash in Lieu Amount, 50% of the Cash in Lieu Amount will be paid on the three-month anniversary of the date on which the applicable Deferred Consideration Shares were otherwise issuable, with the remaining 50% of the Cash in Lieu Amount payable on the 6 month anniversary of the date on which the applicable Deferred Consideration Shares were otherwise issuable. The shares of the Company’s common stock were valued at $17.1 million at the date of acquisition. The transaction adjustments within the pro forma results of operations for the year ended December 28, 2025 present the shares of common stock issuable in connection with the Sunder acquisition period.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Ambia Acquisition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Ambia Acquisition was consummated through the issuance of shares of the Company’s common stock. At the Ambia Closing the Company paid initial consideration through the issuance of 10,243,924 shares of the Company’s common stock, a non-cash transaction. The Deferred Ambia Consideration Shares will also be paid in shares of the Company’s common stock.</w:t>
      </w:r>
    </w:p>
    <w:p>
      <w:pPr>
        <w:pStyle w:val="TextBody"/>
        <w:bidi w:val="0"/>
        <w:spacing w:before="0" w:after="0"/>
        <w:ind w:left="0" w:right="0" w:hanging="0"/>
        <w:jc w:val="both"/>
        <w:rPr>
          <w:caps w:val="false"/>
          <w:smallCaps w:val="false"/>
        </w:rPr>
      </w:pPr>
      <w:r>
        <w:rPr>
          <w:caps w:val="false"/>
          <w:smallCaps w:val="false"/>
        </w:rPr>
        <w:t> </w:t>
      </w:r>
    </w:p>
    <w:tbl>
      <w:tblPr>
        <w:tblW w:w="5050" w:type="dxa"/>
        <w:jc w:val="left"/>
        <w:tblInd w:w="0" w:type="dxa"/>
        <w:tblLayout w:type="fixed"/>
        <w:tblCellMar>
          <w:top w:w="0" w:type="dxa"/>
          <w:left w:w="0" w:type="dxa"/>
          <w:bottom w:w="0" w:type="dxa"/>
          <w:right w:w="0" w:type="dxa"/>
        </w:tblCellMar>
      </w:tblPr>
      <w:tblGrid>
        <w:gridCol w:w="185"/>
        <w:gridCol w:w="4865"/>
      </w:tblGrid>
      <w:tr>
        <w:trPr/>
        <w:tc>
          <w:tcPr>
            <w:tcW w:w="18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2.</w:t>
            </w:r>
          </w:p>
        </w:tc>
        <w:tc>
          <w:tcPr>
            <w:tcW w:w="486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 xml:space="preserve">Sunder Year to Date Results through September 23, 2025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historical pro forma results of Sunder for the period January 1, 2025 through September 23, 2025 were derived from the unaudited financial statements for the six months ended June 30, 2025 and interim results of operations for the period from July 1, 2025 through September 23, 2025 as follows </w:t>
      </w:r>
      <w:r>
        <w:rPr>
          <w:rFonts w:ascii="Times New Roman;Times;Serif" w:hAnsi="Times New Roman;Times;Serif"/>
          <w:b w:val="false"/>
          <w:i/>
          <w:caps w:val="false"/>
          <w:smallCaps w:val="false"/>
          <w:sz w:val="20"/>
        </w:rPr>
        <w:t>(in thousands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tbl>
      <w:tblPr>
        <w:tblW w:w="7804" w:type="dxa"/>
        <w:jc w:val="left"/>
        <w:tblInd w:w="0" w:type="dxa"/>
        <w:tblLayout w:type="fixed"/>
        <w:tblCellMar>
          <w:top w:w="0" w:type="dxa"/>
          <w:left w:w="0" w:type="dxa"/>
          <w:bottom w:w="0" w:type="dxa"/>
          <w:right w:w="0" w:type="dxa"/>
        </w:tblCellMar>
      </w:tblPr>
      <w:tblGrid>
        <w:gridCol w:w="3200"/>
        <w:gridCol w:w="60"/>
        <w:gridCol w:w="200"/>
        <w:gridCol w:w="974"/>
        <w:gridCol w:w="95"/>
        <w:gridCol w:w="60"/>
        <w:gridCol w:w="251"/>
        <w:gridCol w:w="1224"/>
        <w:gridCol w:w="95"/>
        <w:gridCol w:w="60"/>
        <w:gridCol w:w="251"/>
        <w:gridCol w:w="1224"/>
        <w:gridCol w:w="110"/>
      </w:tblGrid>
      <w:tr>
        <w:trPr/>
        <w:tc>
          <w:tcPr>
            <w:tcW w:w="32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74"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Six Months</w:t>
              <w:br/>
              <w:t xml:space="preserve">Ended </w:t>
              <w:br/>
              <w:t>June 30,</w:t>
              <w:br/>
              <w:t>2025</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7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July 1, 2025</w:t>
              <w:br/>
              <w:t xml:space="preserve">thru </w:t>
              <w:br/>
              <w:t>September 23,</w:t>
              <w:br/>
              <w:t>2025</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7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Year to Date</w:t>
              <w:br/>
              <w:t xml:space="preserve">Through </w:t>
              <w:br/>
              <w:t>September 23,</w:t>
              <w:br/>
              <w:t>2025</w:t>
            </w:r>
          </w:p>
        </w:tc>
        <w:tc>
          <w:tcPr>
            <w:tcW w:w="110" w:type="dxa"/>
            <w:tcBorders/>
            <w:vAlign w:val="center"/>
          </w:tcPr>
          <w:p>
            <w:pPr>
              <w:pStyle w:val="TableContents"/>
              <w:bidi w:val="0"/>
              <w:spacing w:before="0" w:after="283"/>
              <w:jc w:val="left"/>
              <w:rPr/>
            </w:pPr>
            <w:r>
              <w:rPr/>
              <w:t> </w:t>
            </w:r>
          </w:p>
        </w:tc>
      </w:tr>
      <w:tr>
        <w:trPr/>
        <w:tc>
          <w:tcPr>
            <w:tcW w:w="3200" w:type="dxa"/>
            <w:tcBorders/>
            <w:shd w:fill="CCEEFF" w:val="clear"/>
            <w:vAlign w:val="center"/>
          </w:tcPr>
          <w:p>
            <w:pPr>
              <w:pStyle w:val="TableContents"/>
              <w:bidi w:val="0"/>
              <w:spacing w:before="0" w:after="283"/>
              <w:jc w:val="left"/>
              <w:rPr/>
            </w:pPr>
            <w:r>
              <w:rPr/>
              <w:t>Revenues</w:t>
            </w:r>
          </w:p>
        </w:tc>
        <w:tc>
          <w:tcPr>
            <w:tcW w:w="60" w:type="dxa"/>
            <w:tcBorders/>
            <w:shd w:fill="CCEEFF" w:val="clear"/>
            <w:vAlign w:val="center"/>
          </w:tcPr>
          <w:p>
            <w:pPr>
              <w:pStyle w:val="TableContents"/>
              <w:bidi w:val="0"/>
              <w:spacing w:before="0" w:after="283"/>
              <w:jc w:val="left"/>
              <w:rPr/>
            </w:pPr>
            <w:r>
              <w:rPr/>
              <w:t> </w:t>
            </w:r>
          </w:p>
        </w:tc>
        <w:tc>
          <w:tcPr>
            <w:tcW w:w="200" w:type="dxa"/>
            <w:tcBorders/>
            <w:shd w:fill="CCEEFF" w:val="clear"/>
            <w:vAlign w:val="center"/>
          </w:tcPr>
          <w:p>
            <w:pPr>
              <w:pStyle w:val="TableContents"/>
              <w:bidi w:val="0"/>
              <w:spacing w:before="0" w:after="283"/>
              <w:jc w:val="left"/>
              <w:rPr/>
            </w:pPr>
            <w:r>
              <w:rPr/>
              <w:t>$</w:t>
            </w:r>
          </w:p>
        </w:tc>
        <w:tc>
          <w:tcPr>
            <w:tcW w:w="974" w:type="dxa"/>
            <w:tcBorders/>
            <w:shd w:fill="CCEEFF" w:val="clear"/>
            <w:vAlign w:val="center"/>
          </w:tcPr>
          <w:p>
            <w:pPr>
              <w:pStyle w:val="TableContents"/>
              <w:bidi w:val="0"/>
              <w:spacing w:before="0" w:after="283"/>
              <w:jc w:val="right"/>
              <w:rPr/>
            </w:pPr>
            <w:r>
              <w:rPr/>
              <w:t>40,012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51" w:type="dxa"/>
            <w:tcBorders/>
            <w:shd w:fill="CCEEFF" w:val="clear"/>
            <w:vAlign w:val="center"/>
          </w:tcPr>
          <w:p>
            <w:pPr>
              <w:pStyle w:val="TableContents"/>
              <w:bidi w:val="0"/>
              <w:spacing w:before="0" w:after="283"/>
              <w:jc w:val="left"/>
              <w:rPr/>
            </w:pPr>
            <w:r>
              <w:rPr/>
              <w:t>$</w:t>
            </w:r>
          </w:p>
        </w:tc>
        <w:tc>
          <w:tcPr>
            <w:tcW w:w="1224" w:type="dxa"/>
            <w:tcBorders/>
            <w:shd w:fill="CCEEFF" w:val="clear"/>
            <w:vAlign w:val="center"/>
          </w:tcPr>
          <w:p>
            <w:pPr>
              <w:pStyle w:val="TableContents"/>
              <w:bidi w:val="0"/>
              <w:spacing w:before="0" w:after="283"/>
              <w:jc w:val="right"/>
              <w:rPr/>
            </w:pPr>
            <w:r>
              <w:rPr/>
              <w:t>16,072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51" w:type="dxa"/>
            <w:tcBorders/>
            <w:shd w:fill="CCEEFF" w:val="clear"/>
            <w:vAlign w:val="center"/>
          </w:tcPr>
          <w:p>
            <w:pPr>
              <w:pStyle w:val="TableContents"/>
              <w:bidi w:val="0"/>
              <w:spacing w:before="0" w:after="283"/>
              <w:jc w:val="left"/>
              <w:rPr/>
            </w:pPr>
            <w:r>
              <w:rPr/>
              <w:t>$</w:t>
            </w:r>
          </w:p>
        </w:tc>
        <w:tc>
          <w:tcPr>
            <w:tcW w:w="1224" w:type="dxa"/>
            <w:tcBorders/>
            <w:shd w:fill="CCEEFF" w:val="clear"/>
            <w:vAlign w:val="center"/>
          </w:tcPr>
          <w:p>
            <w:pPr>
              <w:pStyle w:val="TableContents"/>
              <w:bidi w:val="0"/>
              <w:spacing w:before="0" w:after="283"/>
              <w:jc w:val="right"/>
              <w:rPr/>
            </w:pPr>
            <w:r>
              <w:rPr/>
              <w:t>56,084</w:t>
            </w:r>
          </w:p>
        </w:tc>
        <w:tc>
          <w:tcPr>
            <w:tcW w:w="110" w:type="dxa"/>
            <w:tcBorders/>
            <w:shd w:fill="CCEEFF" w:val="clear"/>
            <w:vAlign w:val="center"/>
          </w:tcPr>
          <w:p>
            <w:pPr>
              <w:pStyle w:val="TableContents"/>
              <w:bidi w:val="0"/>
              <w:spacing w:before="0" w:after="283"/>
              <w:jc w:val="left"/>
              <w:rPr/>
            </w:pPr>
            <w:r>
              <w:rPr/>
              <w:t> </w:t>
            </w:r>
          </w:p>
        </w:tc>
      </w:tr>
      <w:tr>
        <w:trPr/>
        <w:tc>
          <w:tcPr>
            <w:tcW w:w="3200" w:type="dxa"/>
            <w:tcBorders/>
            <w:shd w:fill="FFFFFF" w:val="clear"/>
            <w:vAlign w:val="center"/>
          </w:tcPr>
          <w:p>
            <w:pPr>
              <w:pStyle w:val="TableContents"/>
              <w:bidi w:val="0"/>
              <w:spacing w:before="0" w:after="283"/>
              <w:jc w:val="left"/>
              <w:rPr/>
            </w:pPr>
            <w:r>
              <w:rPr/>
              <w:t>Operating expenses</w:t>
            </w:r>
          </w:p>
        </w:tc>
        <w:tc>
          <w:tcPr>
            <w:tcW w:w="60" w:type="dxa"/>
            <w:tcBorders/>
            <w:shd w:fill="FFFFFF" w:val="clear"/>
            <w:vAlign w:val="center"/>
          </w:tcPr>
          <w:p>
            <w:pPr>
              <w:pStyle w:val="TableContents"/>
              <w:bidi w:val="0"/>
              <w:spacing w:before="0" w:after="283"/>
              <w:jc w:val="left"/>
              <w:rPr/>
            </w:pPr>
            <w:r>
              <w:rPr/>
              <w:t> </w:t>
            </w:r>
          </w:p>
        </w:tc>
        <w:tc>
          <w:tcPr>
            <w:tcW w:w="200" w:type="dxa"/>
            <w:tcBorders/>
            <w:shd w:fill="FFFFFF" w:val="clear"/>
            <w:vAlign w:val="center"/>
          </w:tcPr>
          <w:p>
            <w:pPr>
              <w:pStyle w:val="TableContents"/>
              <w:bidi w:val="0"/>
              <w:spacing w:before="0" w:after="283"/>
              <w:jc w:val="left"/>
              <w:rPr/>
            </w:pPr>
            <w:r>
              <w:rPr/>
              <w:t> </w:t>
            </w:r>
          </w:p>
        </w:tc>
        <w:tc>
          <w:tcPr>
            <w:tcW w:w="974"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51" w:type="dxa"/>
            <w:tcBorders/>
            <w:shd w:fill="FFFFFF" w:val="clear"/>
            <w:vAlign w:val="center"/>
          </w:tcPr>
          <w:p>
            <w:pPr>
              <w:pStyle w:val="TableContents"/>
              <w:bidi w:val="0"/>
              <w:spacing w:before="0" w:after="283"/>
              <w:jc w:val="left"/>
              <w:rPr/>
            </w:pPr>
            <w:r>
              <w:rPr/>
              <w:t> </w:t>
            </w:r>
          </w:p>
        </w:tc>
        <w:tc>
          <w:tcPr>
            <w:tcW w:w="1224"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51" w:type="dxa"/>
            <w:tcBorders/>
            <w:shd w:fill="FFFFFF" w:val="clear"/>
            <w:vAlign w:val="center"/>
          </w:tcPr>
          <w:p>
            <w:pPr>
              <w:pStyle w:val="TableContents"/>
              <w:bidi w:val="0"/>
              <w:spacing w:before="0" w:after="283"/>
              <w:jc w:val="left"/>
              <w:rPr/>
            </w:pPr>
            <w:r>
              <w:rPr/>
              <w:t> </w:t>
            </w:r>
          </w:p>
        </w:tc>
        <w:tc>
          <w:tcPr>
            <w:tcW w:w="1224"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3200" w:type="dxa"/>
            <w:tcBorders/>
            <w:shd w:fill="CCEEFF" w:val="clear"/>
            <w:vAlign w:val="center"/>
          </w:tcPr>
          <w:p>
            <w:pPr>
              <w:pStyle w:val="TableContents"/>
              <w:bidi w:val="0"/>
              <w:spacing w:before="0" w:after="283"/>
              <w:jc w:val="left"/>
              <w:rPr/>
            </w:pPr>
            <w:r>
              <w:rPr/>
              <w:t>Sales commissions</w:t>
            </w:r>
          </w:p>
        </w:tc>
        <w:tc>
          <w:tcPr>
            <w:tcW w:w="60" w:type="dxa"/>
            <w:tcBorders/>
            <w:shd w:fill="CCEEFF" w:val="clear"/>
            <w:vAlign w:val="center"/>
          </w:tcPr>
          <w:p>
            <w:pPr>
              <w:pStyle w:val="TableContents"/>
              <w:bidi w:val="0"/>
              <w:spacing w:before="0" w:after="283"/>
              <w:jc w:val="left"/>
              <w:rPr/>
            </w:pPr>
            <w:r>
              <w:rPr/>
              <w:t> </w:t>
            </w:r>
          </w:p>
        </w:tc>
        <w:tc>
          <w:tcPr>
            <w:tcW w:w="200" w:type="dxa"/>
            <w:tcBorders/>
            <w:shd w:fill="CCEEFF" w:val="clear"/>
            <w:vAlign w:val="center"/>
          </w:tcPr>
          <w:p>
            <w:pPr>
              <w:pStyle w:val="TableContents"/>
              <w:bidi w:val="0"/>
              <w:spacing w:before="0" w:after="283"/>
              <w:jc w:val="left"/>
              <w:rPr/>
            </w:pPr>
            <w:r>
              <w:rPr/>
              <w:t> </w:t>
            </w:r>
          </w:p>
        </w:tc>
        <w:tc>
          <w:tcPr>
            <w:tcW w:w="974" w:type="dxa"/>
            <w:tcBorders/>
            <w:shd w:fill="CCEEFF" w:val="clear"/>
            <w:vAlign w:val="center"/>
          </w:tcPr>
          <w:p>
            <w:pPr>
              <w:pStyle w:val="TableContents"/>
              <w:bidi w:val="0"/>
              <w:spacing w:before="0" w:after="283"/>
              <w:jc w:val="right"/>
              <w:rPr/>
            </w:pPr>
            <w:r>
              <w:rPr/>
              <w:t>33,339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51" w:type="dxa"/>
            <w:tcBorders/>
            <w:shd w:fill="CCEEFF" w:val="clear"/>
            <w:vAlign w:val="center"/>
          </w:tcPr>
          <w:p>
            <w:pPr>
              <w:pStyle w:val="TableContents"/>
              <w:bidi w:val="0"/>
              <w:spacing w:before="0" w:after="283"/>
              <w:jc w:val="left"/>
              <w:rPr/>
            </w:pPr>
            <w:r>
              <w:rPr/>
              <w:t> </w:t>
            </w:r>
          </w:p>
        </w:tc>
        <w:tc>
          <w:tcPr>
            <w:tcW w:w="1224" w:type="dxa"/>
            <w:tcBorders/>
            <w:shd w:fill="CCEEFF" w:val="clear"/>
            <w:vAlign w:val="center"/>
          </w:tcPr>
          <w:p>
            <w:pPr>
              <w:pStyle w:val="TableContents"/>
              <w:bidi w:val="0"/>
              <w:spacing w:before="0" w:after="283"/>
              <w:jc w:val="right"/>
              <w:rPr/>
            </w:pPr>
            <w:r>
              <w:rPr/>
              <w:t>12,276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51" w:type="dxa"/>
            <w:tcBorders/>
            <w:shd w:fill="CCEEFF" w:val="clear"/>
            <w:vAlign w:val="center"/>
          </w:tcPr>
          <w:p>
            <w:pPr>
              <w:pStyle w:val="TableContents"/>
              <w:bidi w:val="0"/>
              <w:spacing w:before="0" w:after="283"/>
              <w:jc w:val="left"/>
              <w:rPr/>
            </w:pPr>
            <w:r>
              <w:rPr/>
              <w:t> </w:t>
            </w:r>
          </w:p>
        </w:tc>
        <w:tc>
          <w:tcPr>
            <w:tcW w:w="1224" w:type="dxa"/>
            <w:tcBorders/>
            <w:shd w:fill="CCEEFF" w:val="clear"/>
            <w:vAlign w:val="center"/>
          </w:tcPr>
          <w:p>
            <w:pPr>
              <w:pStyle w:val="TableContents"/>
              <w:bidi w:val="0"/>
              <w:spacing w:before="0" w:after="283"/>
              <w:jc w:val="right"/>
              <w:rPr/>
            </w:pPr>
            <w:r>
              <w:rPr/>
              <w:t>45,615</w:t>
            </w:r>
          </w:p>
        </w:tc>
        <w:tc>
          <w:tcPr>
            <w:tcW w:w="110" w:type="dxa"/>
            <w:tcBorders/>
            <w:shd w:fill="CCEEFF" w:val="clear"/>
            <w:vAlign w:val="center"/>
          </w:tcPr>
          <w:p>
            <w:pPr>
              <w:pStyle w:val="TableContents"/>
              <w:bidi w:val="0"/>
              <w:spacing w:before="0" w:after="283"/>
              <w:jc w:val="left"/>
              <w:rPr/>
            </w:pPr>
            <w:r>
              <w:rPr/>
              <w:t> </w:t>
            </w:r>
          </w:p>
        </w:tc>
      </w:tr>
      <w:tr>
        <w:trPr/>
        <w:tc>
          <w:tcPr>
            <w:tcW w:w="3200" w:type="dxa"/>
            <w:tcBorders/>
            <w:shd w:fill="FFFFFF" w:val="clear"/>
            <w:vAlign w:val="center"/>
          </w:tcPr>
          <w:p>
            <w:pPr>
              <w:pStyle w:val="TableContents"/>
              <w:bidi w:val="0"/>
              <w:spacing w:before="0" w:after="283"/>
              <w:jc w:val="left"/>
              <w:rPr/>
            </w:pPr>
            <w:r>
              <w:rPr/>
              <w:t>Sales and marketing</w:t>
            </w:r>
          </w:p>
        </w:tc>
        <w:tc>
          <w:tcPr>
            <w:tcW w:w="60" w:type="dxa"/>
            <w:tcBorders/>
            <w:shd w:fill="FFFFFF" w:val="clear"/>
            <w:vAlign w:val="center"/>
          </w:tcPr>
          <w:p>
            <w:pPr>
              <w:pStyle w:val="TableContents"/>
              <w:bidi w:val="0"/>
              <w:spacing w:before="0" w:after="283"/>
              <w:jc w:val="left"/>
              <w:rPr/>
            </w:pPr>
            <w:r>
              <w:rPr/>
              <w:t> </w:t>
            </w:r>
          </w:p>
        </w:tc>
        <w:tc>
          <w:tcPr>
            <w:tcW w:w="200" w:type="dxa"/>
            <w:tcBorders/>
            <w:shd w:fill="FFFFFF" w:val="clear"/>
            <w:vAlign w:val="center"/>
          </w:tcPr>
          <w:p>
            <w:pPr>
              <w:pStyle w:val="TableContents"/>
              <w:bidi w:val="0"/>
              <w:spacing w:before="0" w:after="283"/>
              <w:jc w:val="left"/>
              <w:rPr/>
            </w:pPr>
            <w:r>
              <w:rPr/>
              <w:t> </w:t>
            </w:r>
          </w:p>
        </w:tc>
        <w:tc>
          <w:tcPr>
            <w:tcW w:w="974" w:type="dxa"/>
            <w:tcBorders/>
            <w:shd w:fill="FFFFFF" w:val="clear"/>
            <w:vAlign w:val="center"/>
          </w:tcPr>
          <w:p>
            <w:pPr>
              <w:pStyle w:val="TableContents"/>
              <w:bidi w:val="0"/>
              <w:spacing w:before="0" w:after="283"/>
              <w:jc w:val="right"/>
              <w:rPr/>
            </w:pPr>
            <w:r>
              <w:rPr/>
              <w:t>771</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51" w:type="dxa"/>
            <w:tcBorders/>
            <w:shd w:fill="FFFFFF" w:val="clear"/>
            <w:vAlign w:val="center"/>
          </w:tcPr>
          <w:p>
            <w:pPr>
              <w:pStyle w:val="TableContents"/>
              <w:bidi w:val="0"/>
              <w:spacing w:before="0" w:after="283"/>
              <w:jc w:val="left"/>
              <w:rPr/>
            </w:pPr>
            <w:r>
              <w:rPr/>
              <w:t> </w:t>
            </w:r>
          </w:p>
        </w:tc>
        <w:tc>
          <w:tcPr>
            <w:tcW w:w="1224" w:type="dxa"/>
            <w:tcBorders/>
            <w:shd w:fill="FFFFFF" w:val="clear"/>
            <w:vAlign w:val="center"/>
          </w:tcPr>
          <w:p>
            <w:pPr>
              <w:pStyle w:val="TableContents"/>
              <w:bidi w:val="0"/>
              <w:spacing w:before="0" w:after="283"/>
              <w:jc w:val="right"/>
              <w:rPr/>
            </w:pPr>
            <w:r>
              <w:rPr/>
              <w:t>480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51" w:type="dxa"/>
            <w:tcBorders/>
            <w:shd w:fill="FFFFFF" w:val="clear"/>
            <w:vAlign w:val="center"/>
          </w:tcPr>
          <w:p>
            <w:pPr>
              <w:pStyle w:val="TableContents"/>
              <w:bidi w:val="0"/>
              <w:spacing w:before="0" w:after="283"/>
              <w:jc w:val="left"/>
              <w:rPr/>
            </w:pPr>
            <w:r>
              <w:rPr/>
              <w:t> </w:t>
            </w:r>
          </w:p>
        </w:tc>
        <w:tc>
          <w:tcPr>
            <w:tcW w:w="1224" w:type="dxa"/>
            <w:tcBorders/>
            <w:shd w:fill="FFFFFF" w:val="clear"/>
            <w:vAlign w:val="center"/>
          </w:tcPr>
          <w:p>
            <w:pPr>
              <w:pStyle w:val="TableContents"/>
              <w:bidi w:val="0"/>
              <w:spacing w:before="0" w:after="283"/>
              <w:jc w:val="right"/>
              <w:rPr/>
            </w:pPr>
            <w:r>
              <w:rPr/>
              <w:t>1,251</w:t>
            </w:r>
          </w:p>
        </w:tc>
        <w:tc>
          <w:tcPr>
            <w:tcW w:w="110" w:type="dxa"/>
            <w:tcBorders/>
            <w:shd w:fill="FFFFFF" w:val="clear"/>
            <w:vAlign w:val="center"/>
          </w:tcPr>
          <w:p>
            <w:pPr>
              <w:pStyle w:val="TableContents"/>
              <w:bidi w:val="0"/>
              <w:spacing w:before="0" w:after="283"/>
              <w:jc w:val="left"/>
              <w:rPr/>
            </w:pPr>
            <w:r>
              <w:rPr/>
              <w:t> </w:t>
            </w:r>
          </w:p>
        </w:tc>
      </w:tr>
      <w:tr>
        <w:trPr/>
        <w:tc>
          <w:tcPr>
            <w:tcW w:w="3200" w:type="dxa"/>
            <w:tcBorders/>
            <w:shd w:fill="CCEEFF" w:val="clear"/>
            <w:vAlign w:val="center"/>
          </w:tcPr>
          <w:p>
            <w:pPr>
              <w:pStyle w:val="TableContents"/>
              <w:bidi w:val="0"/>
              <w:spacing w:before="0" w:after="283"/>
              <w:jc w:val="left"/>
              <w:rPr/>
            </w:pPr>
            <w:r>
              <w:rPr/>
              <w:t>General and administrative</w:t>
            </w:r>
          </w:p>
        </w:tc>
        <w:tc>
          <w:tcPr>
            <w:tcW w:w="60" w:type="dxa"/>
            <w:tcBorders/>
            <w:shd w:fill="CCEEFF" w:val="clear"/>
            <w:vAlign w:val="center"/>
          </w:tcPr>
          <w:p>
            <w:pPr>
              <w:pStyle w:val="TableContents"/>
              <w:bidi w:val="0"/>
              <w:spacing w:before="0" w:after="283"/>
              <w:jc w:val="left"/>
              <w:rPr/>
            </w:pPr>
            <w:r>
              <w:rPr/>
              <w:t> </w:t>
            </w:r>
          </w:p>
        </w:tc>
        <w:tc>
          <w:tcPr>
            <w:tcW w:w="20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74" w:type="dxa"/>
            <w:tcBorders>
              <w:bottom w:val="single" w:sz="12" w:space="0" w:color="000000"/>
            </w:tcBorders>
            <w:shd w:fill="CCEEFF" w:val="clear"/>
            <w:tcMar>
              <w:bottom w:w="28" w:type="dxa"/>
            </w:tcMar>
            <w:vAlign w:val="center"/>
          </w:tcPr>
          <w:p>
            <w:pPr>
              <w:pStyle w:val="TableContents"/>
              <w:bidi w:val="0"/>
              <w:spacing w:before="0" w:after="283"/>
              <w:jc w:val="right"/>
              <w:rPr/>
            </w:pPr>
            <w:r>
              <w:rPr/>
              <w:t>11,458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51"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24" w:type="dxa"/>
            <w:tcBorders>
              <w:bottom w:val="single" w:sz="12" w:space="0" w:color="000000"/>
            </w:tcBorders>
            <w:shd w:fill="CCEEFF" w:val="clear"/>
            <w:tcMar>
              <w:bottom w:w="28" w:type="dxa"/>
            </w:tcMar>
            <w:vAlign w:val="center"/>
          </w:tcPr>
          <w:p>
            <w:pPr>
              <w:pStyle w:val="TableContents"/>
              <w:bidi w:val="0"/>
              <w:spacing w:before="0" w:after="283"/>
              <w:jc w:val="right"/>
              <w:rPr/>
            </w:pPr>
            <w:r>
              <w:rPr/>
              <w:t>4,458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51"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24" w:type="dxa"/>
            <w:tcBorders>
              <w:bottom w:val="single" w:sz="12" w:space="0" w:color="000000"/>
            </w:tcBorders>
            <w:shd w:fill="CCEEFF" w:val="clear"/>
            <w:tcMar>
              <w:bottom w:w="28" w:type="dxa"/>
            </w:tcMar>
            <w:vAlign w:val="center"/>
          </w:tcPr>
          <w:p>
            <w:pPr>
              <w:pStyle w:val="TableContents"/>
              <w:bidi w:val="0"/>
              <w:spacing w:before="0" w:after="283"/>
              <w:jc w:val="right"/>
              <w:rPr/>
            </w:pPr>
            <w:r>
              <w:rPr/>
              <w:t>15,916</w:t>
            </w:r>
          </w:p>
        </w:tc>
        <w:tc>
          <w:tcPr>
            <w:tcW w:w="110" w:type="dxa"/>
            <w:tcBorders/>
            <w:shd w:fill="CCEEFF" w:val="clear"/>
            <w:vAlign w:val="center"/>
          </w:tcPr>
          <w:p>
            <w:pPr>
              <w:pStyle w:val="TableContents"/>
              <w:bidi w:val="0"/>
              <w:spacing w:before="0" w:after="283"/>
              <w:jc w:val="left"/>
              <w:rPr/>
            </w:pPr>
            <w:r>
              <w:rPr/>
              <w:t> </w:t>
            </w:r>
          </w:p>
        </w:tc>
      </w:tr>
      <w:tr>
        <w:trPr/>
        <w:tc>
          <w:tcPr>
            <w:tcW w:w="3200" w:type="dxa"/>
            <w:tcBorders/>
            <w:shd w:fill="FFFFFF" w:val="clear"/>
            <w:vAlign w:val="center"/>
          </w:tcPr>
          <w:p>
            <w:pPr>
              <w:pStyle w:val="TableContents"/>
              <w:bidi w:val="0"/>
              <w:spacing w:before="0" w:after="283"/>
              <w:jc w:val="left"/>
              <w:rPr/>
            </w:pPr>
            <w:r>
              <w:rPr/>
              <w:t>Total operating expenses</w:t>
            </w:r>
          </w:p>
        </w:tc>
        <w:tc>
          <w:tcPr>
            <w:tcW w:w="60" w:type="dxa"/>
            <w:tcBorders/>
            <w:shd w:fill="FFFFFF" w:val="clear"/>
            <w:vAlign w:val="center"/>
          </w:tcPr>
          <w:p>
            <w:pPr>
              <w:pStyle w:val="TableContents"/>
              <w:bidi w:val="0"/>
              <w:spacing w:before="0" w:after="283"/>
              <w:jc w:val="left"/>
              <w:rPr/>
            </w:pPr>
            <w:r>
              <w:rPr/>
              <w:t> </w:t>
            </w:r>
          </w:p>
        </w:tc>
        <w:tc>
          <w:tcPr>
            <w:tcW w:w="20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974" w:type="dxa"/>
            <w:tcBorders>
              <w:bottom w:val="single" w:sz="12" w:space="0" w:color="000000"/>
            </w:tcBorders>
            <w:shd w:fill="FFFFFF" w:val="clear"/>
            <w:tcMar>
              <w:bottom w:w="28" w:type="dxa"/>
            </w:tcMar>
            <w:vAlign w:val="center"/>
          </w:tcPr>
          <w:p>
            <w:pPr>
              <w:pStyle w:val="TableContents"/>
              <w:bidi w:val="0"/>
              <w:spacing w:before="0" w:after="283"/>
              <w:jc w:val="right"/>
              <w:rPr/>
            </w:pPr>
            <w:r>
              <w:rPr/>
              <w:t>45,568</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51"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24" w:type="dxa"/>
            <w:tcBorders>
              <w:bottom w:val="single" w:sz="12" w:space="0" w:color="000000"/>
            </w:tcBorders>
            <w:shd w:fill="FFFFFF" w:val="clear"/>
            <w:tcMar>
              <w:bottom w:w="28" w:type="dxa"/>
            </w:tcMar>
            <w:vAlign w:val="center"/>
          </w:tcPr>
          <w:p>
            <w:pPr>
              <w:pStyle w:val="TableContents"/>
              <w:bidi w:val="0"/>
              <w:spacing w:before="0" w:after="283"/>
              <w:jc w:val="right"/>
              <w:rPr/>
            </w:pPr>
            <w:r>
              <w:rPr/>
              <w:t>17,214</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51"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24" w:type="dxa"/>
            <w:tcBorders>
              <w:bottom w:val="single" w:sz="12" w:space="0" w:color="000000"/>
            </w:tcBorders>
            <w:shd w:fill="FFFFFF" w:val="clear"/>
            <w:tcMar>
              <w:bottom w:w="28" w:type="dxa"/>
            </w:tcMar>
            <w:vAlign w:val="center"/>
          </w:tcPr>
          <w:p>
            <w:pPr>
              <w:pStyle w:val="TableContents"/>
              <w:bidi w:val="0"/>
              <w:spacing w:before="0" w:after="283"/>
              <w:jc w:val="right"/>
              <w:rPr/>
            </w:pPr>
            <w:r>
              <w:rPr/>
              <w:t>62,782</w:t>
            </w:r>
          </w:p>
        </w:tc>
        <w:tc>
          <w:tcPr>
            <w:tcW w:w="110" w:type="dxa"/>
            <w:tcBorders/>
            <w:shd w:fill="FFFFFF" w:val="clear"/>
            <w:vAlign w:val="center"/>
          </w:tcPr>
          <w:p>
            <w:pPr>
              <w:pStyle w:val="TableContents"/>
              <w:bidi w:val="0"/>
              <w:spacing w:before="0" w:after="283"/>
              <w:jc w:val="left"/>
              <w:rPr/>
            </w:pPr>
            <w:r>
              <w:rPr/>
              <w:t> </w:t>
            </w:r>
          </w:p>
        </w:tc>
      </w:tr>
      <w:tr>
        <w:trPr/>
        <w:tc>
          <w:tcPr>
            <w:tcW w:w="3200" w:type="dxa"/>
            <w:tcBorders/>
            <w:shd w:fill="CCEEFF" w:val="clear"/>
            <w:vAlign w:val="center"/>
          </w:tcPr>
          <w:p>
            <w:pPr>
              <w:pStyle w:val="TableContents"/>
              <w:bidi w:val="0"/>
              <w:spacing w:before="0" w:after="283"/>
              <w:jc w:val="left"/>
              <w:rPr/>
            </w:pPr>
            <w:r>
              <w:rPr/>
              <w:t>Loss from operations</w:t>
            </w:r>
          </w:p>
        </w:tc>
        <w:tc>
          <w:tcPr>
            <w:tcW w:w="60" w:type="dxa"/>
            <w:tcBorders/>
            <w:shd w:fill="CCEEFF" w:val="clear"/>
            <w:vAlign w:val="center"/>
          </w:tcPr>
          <w:p>
            <w:pPr>
              <w:pStyle w:val="TableContents"/>
              <w:bidi w:val="0"/>
              <w:spacing w:before="0" w:after="283"/>
              <w:jc w:val="left"/>
              <w:rPr/>
            </w:pPr>
            <w:r>
              <w:rPr/>
              <w:t> </w:t>
            </w:r>
          </w:p>
        </w:tc>
        <w:tc>
          <w:tcPr>
            <w:tcW w:w="20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74" w:type="dxa"/>
            <w:tcBorders>
              <w:bottom w:val="single" w:sz="12" w:space="0" w:color="000000"/>
            </w:tcBorders>
            <w:shd w:fill="CCEEFF" w:val="clear"/>
            <w:tcMar>
              <w:bottom w:w="28" w:type="dxa"/>
            </w:tcMar>
            <w:vAlign w:val="center"/>
          </w:tcPr>
          <w:p>
            <w:pPr>
              <w:pStyle w:val="TableContents"/>
              <w:bidi w:val="0"/>
              <w:spacing w:before="0" w:after="283"/>
              <w:jc w:val="right"/>
              <w:rPr/>
            </w:pPr>
            <w:r>
              <w:rPr/>
              <w:t>(5,556</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251"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24" w:type="dxa"/>
            <w:tcBorders>
              <w:bottom w:val="single" w:sz="12" w:space="0" w:color="000000"/>
            </w:tcBorders>
            <w:shd w:fill="CCEEFF" w:val="clear"/>
            <w:tcMar>
              <w:bottom w:w="28" w:type="dxa"/>
            </w:tcMar>
            <w:vAlign w:val="center"/>
          </w:tcPr>
          <w:p>
            <w:pPr>
              <w:pStyle w:val="TableContents"/>
              <w:bidi w:val="0"/>
              <w:spacing w:before="0" w:after="283"/>
              <w:jc w:val="right"/>
              <w:rPr/>
            </w:pPr>
            <w:r>
              <w:rPr/>
              <w:t>(1,142</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251"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24" w:type="dxa"/>
            <w:tcBorders>
              <w:bottom w:val="single" w:sz="12" w:space="0" w:color="000000"/>
            </w:tcBorders>
            <w:shd w:fill="CCEEFF" w:val="clear"/>
            <w:tcMar>
              <w:bottom w:w="28" w:type="dxa"/>
            </w:tcMar>
            <w:vAlign w:val="center"/>
          </w:tcPr>
          <w:p>
            <w:pPr>
              <w:pStyle w:val="TableContents"/>
              <w:bidi w:val="0"/>
              <w:spacing w:before="0" w:after="283"/>
              <w:jc w:val="right"/>
              <w:rPr/>
            </w:pPr>
            <w:r>
              <w:rPr/>
              <w:t>(6,698</w:t>
            </w:r>
          </w:p>
        </w:tc>
        <w:tc>
          <w:tcPr>
            <w:tcW w:w="110" w:type="dxa"/>
            <w:tcBorders/>
            <w:shd w:fill="CCEEFF" w:val="clear"/>
            <w:vAlign w:val="center"/>
          </w:tcPr>
          <w:p>
            <w:pPr>
              <w:pStyle w:val="TableContents"/>
              <w:bidi w:val="0"/>
              <w:spacing w:before="0" w:after="283"/>
              <w:jc w:val="left"/>
              <w:rPr/>
            </w:pPr>
            <w:r>
              <w:rPr/>
              <w:t>)</w:t>
            </w:r>
          </w:p>
        </w:tc>
      </w:tr>
      <w:tr>
        <w:trPr/>
        <w:tc>
          <w:tcPr>
            <w:tcW w:w="3200" w:type="dxa"/>
            <w:tcBorders/>
            <w:shd w:fill="FFFFFF" w:val="clear"/>
            <w:vAlign w:val="center"/>
          </w:tcPr>
          <w:p>
            <w:pPr>
              <w:pStyle w:val="TableContents"/>
              <w:bidi w:val="0"/>
              <w:spacing w:before="0" w:after="283"/>
              <w:jc w:val="left"/>
              <w:rPr/>
            </w:pPr>
            <w:r>
              <w:rPr/>
              <w:t>Interest expense</w:t>
            </w:r>
          </w:p>
        </w:tc>
        <w:tc>
          <w:tcPr>
            <w:tcW w:w="60" w:type="dxa"/>
            <w:tcBorders/>
            <w:shd w:fill="FFFFFF" w:val="clear"/>
            <w:vAlign w:val="center"/>
          </w:tcPr>
          <w:p>
            <w:pPr>
              <w:pStyle w:val="TableContents"/>
              <w:bidi w:val="0"/>
              <w:spacing w:before="0" w:after="283"/>
              <w:jc w:val="left"/>
              <w:rPr/>
            </w:pPr>
            <w:r>
              <w:rPr/>
              <w:t> </w:t>
            </w:r>
          </w:p>
        </w:tc>
        <w:tc>
          <w:tcPr>
            <w:tcW w:w="200" w:type="dxa"/>
            <w:tcBorders/>
            <w:shd w:fill="FFFFFF" w:val="clear"/>
            <w:vAlign w:val="center"/>
          </w:tcPr>
          <w:p>
            <w:pPr>
              <w:pStyle w:val="TableContents"/>
              <w:bidi w:val="0"/>
              <w:spacing w:before="0" w:after="283"/>
              <w:jc w:val="left"/>
              <w:rPr/>
            </w:pPr>
            <w:r>
              <w:rPr/>
              <w:t> </w:t>
            </w:r>
          </w:p>
        </w:tc>
        <w:tc>
          <w:tcPr>
            <w:tcW w:w="974" w:type="dxa"/>
            <w:tcBorders/>
            <w:shd w:fill="FFFFFF" w:val="clear"/>
            <w:vAlign w:val="center"/>
          </w:tcPr>
          <w:p>
            <w:pPr>
              <w:pStyle w:val="TableContents"/>
              <w:bidi w:val="0"/>
              <w:spacing w:before="0" w:after="283"/>
              <w:jc w:val="right"/>
              <w:rPr/>
            </w:pPr>
            <w:r>
              <w:rPr/>
              <w:t>(168</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251" w:type="dxa"/>
            <w:tcBorders/>
            <w:shd w:fill="FFFFFF" w:val="clear"/>
            <w:vAlign w:val="center"/>
          </w:tcPr>
          <w:p>
            <w:pPr>
              <w:pStyle w:val="TableContents"/>
              <w:bidi w:val="0"/>
              <w:spacing w:before="0" w:after="283"/>
              <w:jc w:val="left"/>
              <w:rPr/>
            </w:pPr>
            <w:r>
              <w:rPr/>
              <w:t> </w:t>
            </w:r>
          </w:p>
        </w:tc>
        <w:tc>
          <w:tcPr>
            <w:tcW w:w="1224" w:type="dxa"/>
            <w:tcBorders/>
            <w:shd w:fill="FFFFFF" w:val="clear"/>
            <w:vAlign w:val="center"/>
          </w:tcPr>
          <w:p>
            <w:pPr>
              <w:pStyle w:val="TableContents"/>
              <w:bidi w:val="0"/>
              <w:spacing w:before="0" w:after="283"/>
              <w:jc w:val="right"/>
              <w:rPr/>
            </w:pPr>
            <w:r>
              <w:rPr/>
              <w:t>(78</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251" w:type="dxa"/>
            <w:tcBorders/>
            <w:shd w:fill="FFFFFF" w:val="clear"/>
            <w:vAlign w:val="center"/>
          </w:tcPr>
          <w:p>
            <w:pPr>
              <w:pStyle w:val="TableContents"/>
              <w:bidi w:val="0"/>
              <w:spacing w:before="0" w:after="283"/>
              <w:jc w:val="left"/>
              <w:rPr/>
            </w:pPr>
            <w:r>
              <w:rPr/>
              <w:t> </w:t>
            </w:r>
          </w:p>
        </w:tc>
        <w:tc>
          <w:tcPr>
            <w:tcW w:w="1224" w:type="dxa"/>
            <w:tcBorders/>
            <w:shd w:fill="FFFFFF" w:val="clear"/>
            <w:vAlign w:val="center"/>
          </w:tcPr>
          <w:p>
            <w:pPr>
              <w:pStyle w:val="TableContents"/>
              <w:bidi w:val="0"/>
              <w:spacing w:before="0" w:after="283"/>
              <w:jc w:val="right"/>
              <w:rPr/>
            </w:pPr>
            <w:r>
              <w:rPr/>
              <w:t>(246</w:t>
            </w:r>
          </w:p>
        </w:tc>
        <w:tc>
          <w:tcPr>
            <w:tcW w:w="110" w:type="dxa"/>
            <w:tcBorders/>
            <w:shd w:fill="FFFFFF" w:val="clear"/>
            <w:vAlign w:val="center"/>
          </w:tcPr>
          <w:p>
            <w:pPr>
              <w:pStyle w:val="TableContents"/>
              <w:bidi w:val="0"/>
              <w:spacing w:before="0" w:after="283"/>
              <w:jc w:val="left"/>
              <w:rPr/>
            </w:pPr>
            <w:r>
              <w:rPr/>
              <w:t>)</w:t>
            </w:r>
          </w:p>
        </w:tc>
      </w:tr>
      <w:tr>
        <w:trPr/>
        <w:tc>
          <w:tcPr>
            <w:tcW w:w="3200" w:type="dxa"/>
            <w:tcBorders/>
            <w:shd w:fill="CCEEFF" w:val="clear"/>
            <w:vAlign w:val="center"/>
          </w:tcPr>
          <w:p>
            <w:pPr>
              <w:pStyle w:val="TableContents"/>
              <w:bidi w:val="0"/>
              <w:spacing w:before="0" w:after="283"/>
              <w:jc w:val="left"/>
              <w:rPr/>
            </w:pPr>
            <w:r>
              <w:rPr/>
              <w:t>Interest income</w:t>
            </w:r>
          </w:p>
        </w:tc>
        <w:tc>
          <w:tcPr>
            <w:tcW w:w="60" w:type="dxa"/>
            <w:tcBorders/>
            <w:shd w:fill="CCEEFF" w:val="clear"/>
            <w:vAlign w:val="center"/>
          </w:tcPr>
          <w:p>
            <w:pPr>
              <w:pStyle w:val="TableContents"/>
              <w:bidi w:val="0"/>
              <w:spacing w:before="0" w:after="283"/>
              <w:jc w:val="left"/>
              <w:rPr/>
            </w:pPr>
            <w:r>
              <w:rPr/>
              <w:t> </w:t>
            </w:r>
          </w:p>
        </w:tc>
        <w:tc>
          <w:tcPr>
            <w:tcW w:w="200" w:type="dxa"/>
            <w:tcBorders/>
            <w:shd w:fill="CCEEFF" w:val="clear"/>
            <w:vAlign w:val="center"/>
          </w:tcPr>
          <w:p>
            <w:pPr>
              <w:pStyle w:val="TableContents"/>
              <w:bidi w:val="0"/>
              <w:spacing w:before="0" w:after="283"/>
              <w:jc w:val="left"/>
              <w:rPr/>
            </w:pPr>
            <w:r>
              <w:rPr/>
              <w:t> </w:t>
            </w:r>
          </w:p>
        </w:tc>
        <w:tc>
          <w:tcPr>
            <w:tcW w:w="974" w:type="dxa"/>
            <w:tcBorders/>
            <w:shd w:fill="CCEEFF" w:val="clear"/>
            <w:vAlign w:val="center"/>
          </w:tcPr>
          <w:p>
            <w:pPr>
              <w:pStyle w:val="TableContents"/>
              <w:bidi w:val="0"/>
              <w:spacing w:before="0" w:after="283"/>
              <w:jc w:val="right"/>
              <w:rPr/>
            </w:pPr>
            <w:r>
              <w:rPr/>
              <w:t>33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51" w:type="dxa"/>
            <w:tcBorders/>
            <w:shd w:fill="CCEEFF" w:val="clear"/>
            <w:vAlign w:val="center"/>
          </w:tcPr>
          <w:p>
            <w:pPr>
              <w:pStyle w:val="TableContents"/>
              <w:bidi w:val="0"/>
              <w:spacing w:before="0" w:after="283"/>
              <w:jc w:val="left"/>
              <w:rPr/>
            </w:pPr>
            <w:r>
              <w:rPr/>
              <w:t> </w:t>
            </w:r>
          </w:p>
        </w:tc>
        <w:tc>
          <w:tcPr>
            <w:tcW w:w="1224" w:type="dxa"/>
            <w:tcBorders/>
            <w:shd w:fill="CCEEFF" w:val="clear"/>
            <w:vAlign w:val="center"/>
          </w:tcPr>
          <w:p>
            <w:pPr>
              <w:pStyle w:val="TableContents"/>
              <w:bidi w:val="0"/>
              <w:spacing w:before="0" w:after="283"/>
              <w:jc w:val="right"/>
              <w:rPr/>
            </w:pPr>
            <w:r>
              <w:rPr/>
              <w:t>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51" w:type="dxa"/>
            <w:tcBorders/>
            <w:shd w:fill="CCEEFF" w:val="clear"/>
            <w:vAlign w:val="center"/>
          </w:tcPr>
          <w:p>
            <w:pPr>
              <w:pStyle w:val="TableContents"/>
              <w:bidi w:val="0"/>
              <w:spacing w:before="0" w:after="283"/>
              <w:jc w:val="left"/>
              <w:rPr/>
            </w:pPr>
            <w:r>
              <w:rPr/>
              <w:t> </w:t>
            </w:r>
          </w:p>
        </w:tc>
        <w:tc>
          <w:tcPr>
            <w:tcW w:w="1224" w:type="dxa"/>
            <w:tcBorders/>
            <w:shd w:fill="CCEEFF" w:val="clear"/>
            <w:vAlign w:val="center"/>
          </w:tcPr>
          <w:p>
            <w:pPr>
              <w:pStyle w:val="TableContents"/>
              <w:bidi w:val="0"/>
              <w:spacing w:before="0" w:after="283"/>
              <w:jc w:val="right"/>
              <w:rPr/>
            </w:pPr>
            <w:r>
              <w:rPr/>
              <w:t>36</w:t>
            </w:r>
          </w:p>
        </w:tc>
        <w:tc>
          <w:tcPr>
            <w:tcW w:w="110" w:type="dxa"/>
            <w:tcBorders/>
            <w:shd w:fill="CCEEFF" w:val="clear"/>
            <w:vAlign w:val="center"/>
          </w:tcPr>
          <w:p>
            <w:pPr>
              <w:pStyle w:val="TableContents"/>
              <w:bidi w:val="0"/>
              <w:spacing w:before="0" w:after="283"/>
              <w:jc w:val="left"/>
              <w:rPr/>
            </w:pPr>
            <w:r>
              <w:rPr/>
              <w:t> </w:t>
            </w:r>
          </w:p>
        </w:tc>
      </w:tr>
      <w:tr>
        <w:trPr/>
        <w:tc>
          <w:tcPr>
            <w:tcW w:w="3200" w:type="dxa"/>
            <w:tcBorders/>
            <w:shd w:fill="FFFFFF" w:val="clear"/>
            <w:vAlign w:val="center"/>
          </w:tcPr>
          <w:p>
            <w:pPr>
              <w:pStyle w:val="TableContents"/>
              <w:bidi w:val="0"/>
              <w:spacing w:before="0" w:after="283"/>
              <w:jc w:val="left"/>
              <w:rPr/>
            </w:pPr>
            <w:r>
              <w:rPr/>
              <w:t>Other income (expense), net</w:t>
            </w:r>
          </w:p>
        </w:tc>
        <w:tc>
          <w:tcPr>
            <w:tcW w:w="60" w:type="dxa"/>
            <w:tcBorders/>
            <w:shd w:fill="FFFFFF" w:val="clear"/>
            <w:vAlign w:val="center"/>
          </w:tcPr>
          <w:p>
            <w:pPr>
              <w:pStyle w:val="TableContents"/>
              <w:bidi w:val="0"/>
              <w:spacing w:before="0" w:after="283"/>
              <w:jc w:val="left"/>
              <w:rPr/>
            </w:pPr>
            <w:r>
              <w:rPr/>
              <w:t> </w:t>
            </w:r>
          </w:p>
        </w:tc>
        <w:tc>
          <w:tcPr>
            <w:tcW w:w="20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974" w:type="dxa"/>
            <w:tcBorders>
              <w:bottom w:val="single" w:sz="12" w:space="0" w:color="000000"/>
            </w:tcBorders>
            <w:shd w:fill="FFFFFF" w:val="clear"/>
            <w:tcMar>
              <w:bottom w:w="28" w:type="dxa"/>
            </w:tcMar>
            <w:vAlign w:val="center"/>
          </w:tcPr>
          <w:p>
            <w:pPr>
              <w:pStyle w:val="TableContents"/>
              <w:bidi w:val="0"/>
              <w:spacing w:before="0" w:after="283"/>
              <w:jc w:val="right"/>
              <w:rPr/>
            </w:pPr>
            <w:r>
              <w:rPr/>
              <w:t>10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51"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24" w:type="dxa"/>
            <w:tcBorders>
              <w:bottom w:val="single" w:sz="12" w:space="0" w:color="000000"/>
            </w:tcBorders>
            <w:shd w:fill="FFFFFF" w:val="clear"/>
            <w:tcMar>
              <w:bottom w:w="28" w:type="dxa"/>
            </w:tcMar>
            <w:vAlign w:val="center"/>
          </w:tcPr>
          <w:p>
            <w:pPr>
              <w:pStyle w:val="TableContents"/>
              <w:bidi w:val="0"/>
              <w:spacing w:before="0" w:after="283"/>
              <w:jc w:val="right"/>
              <w:rPr/>
            </w:pPr>
            <w:r>
              <w:rPr/>
              <w:t>310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51"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24" w:type="dxa"/>
            <w:tcBorders>
              <w:bottom w:val="single" w:sz="12" w:space="0" w:color="000000"/>
            </w:tcBorders>
            <w:shd w:fill="FFFFFF" w:val="clear"/>
            <w:tcMar>
              <w:bottom w:w="28" w:type="dxa"/>
            </w:tcMar>
            <w:vAlign w:val="center"/>
          </w:tcPr>
          <w:p>
            <w:pPr>
              <w:pStyle w:val="TableContents"/>
              <w:bidi w:val="0"/>
              <w:spacing w:before="0" w:after="283"/>
              <w:jc w:val="right"/>
              <w:rPr/>
            </w:pPr>
            <w:r>
              <w:rPr/>
              <w:t>320</w:t>
            </w:r>
          </w:p>
        </w:tc>
        <w:tc>
          <w:tcPr>
            <w:tcW w:w="110" w:type="dxa"/>
            <w:tcBorders/>
            <w:shd w:fill="FFFFFF" w:val="clear"/>
            <w:vAlign w:val="center"/>
          </w:tcPr>
          <w:p>
            <w:pPr>
              <w:pStyle w:val="TableContents"/>
              <w:bidi w:val="0"/>
              <w:spacing w:before="0" w:after="283"/>
              <w:jc w:val="left"/>
              <w:rPr/>
            </w:pPr>
            <w:r>
              <w:rPr/>
              <w:t> </w:t>
            </w:r>
          </w:p>
        </w:tc>
      </w:tr>
      <w:tr>
        <w:trPr/>
        <w:tc>
          <w:tcPr>
            <w:tcW w:w="3200" w:type="dxa"/>
            <w:tcBorders/>
            <w:shd w:fill="CCEEFF" w:val="clear"/>
            <w:vAlign w:val="center"/>
          </w:tcPr>
          <w:p>
            <w:pPr>
              <w:pStyle w:val="TableContents"/>
              <w:bidi w:val="0"/>
              <w:spacing w:before="0" w:after="283"/>
              <w:jc w:val="left"/>
              <w:rPr/>
            </w:pPr>
            <w:r>
              <w:rPr/>
              <w:t>Total other income (expense), net</w:t>
            </w:r>
          </w:p>
        </w:tc>
        <w:tc>
          <w:tcPr>
            <w:tcW w:w="60" w:type="dxa"/>
            <w:tcBorders/>
            <w:shd w:fill="CCEEFF" w:val="clear"/>
            <w:vAlign w:val="center"/>
          </w:tcPr>
          <w:p>
            <w:pPr>
              <w:pStyle w:val="TableContents"/>
              <w:bidi w:val="0"/>
              <w:spacing w:before="0" w:after="283"/>
              <w:jc w:val="left"/>
              <w:rPr/>
            </w:pPr>
            <w:r>
              <w:rPr/>
              <w:t> </w:t>
            </w:r>
          </w:p>
        </w:tc>
        <w:tc>
          <w:tcPr>
            <w:tcW w:w="20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74" w:type="dxa"/>
            <w:tcBorders>
              <w:bottom w:val="single" w:sz="12" w:space="0" w:color="000000"/>
            </w:tcBorders>
            <w:shd w:fill="CCEEFF" w:val="clear"/>
            <w:tcMar>
              <w:bottom w:w="28" w:type="dxa"/>
            </w:tcMar>
            <w:vAlign w:val="center"/>
          </w:tcPr>
          <w:p>
            <w:pPr>
              <w:pStyle w:val="TableContents"/>
              <w:bidi w:val="0"/>
              <w:spacing w:before="0" w:after="283"/>
              <w:jc w:val="right"/>
              <w:rPr/>
            </w:pPr>
            <w:r>
              <w:rPr/>
              <w:t>(125</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251"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24" w:type="dxa"/>
            <w:tcBorders>
              <w:bottom w:val="single" w:sz="12" w:space="0" w:color="000000"/>
            </w:tcBorders>
            <w:shd w:fill="CCEEFF" w:val="clear"/>
            <w:tcMar>
              <w:bottom w:w="28" w:type="dxa"/>
            </w:tcMar>
            <w:vAlign w:val="center"/>
          </w:tcPr>
          <w:p>
            <w:pPr>
              <w:pStyle w:val="TableContents"/>
              <w:bidi w:val="0"/>
              <w:spacing w:before="0" w:after="283"/>
              <w:jc w:val="right"/>
              <w:rPr/>
            </w:pPr>
            <w:r>
              <w:rPr/>
              <w:t>235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51"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24" w:type="dxa"/>
            <w:tcBorders>
              <w:bottom w:val="single" w:sz="12" w:space="0" w:color="000000"/>
            </w:tcBorders>
            <w:shd w:fill="CCEEFF" w:val="clear"/>
            <w:tcMar>
              <w:bottom w:w="28" w:type="dxa"/>
            </w:tcMar>
            <w:vAlign w:val="center"/>
          </w:tcPr>
          <w:p>
            <w:pPr>
              <w:pStyle w:val="TableContents"/>
              <w:bidi w:val="0"/>
              <w:spacing w:before="0" w:after="283"/>
              <w:jc w:val="right"/>
              <w:rPr/>
            </w:pPr>
            <w:r>
              <w:rPr/>
              <w:t>110</w:t>
            </w:r>
          </w:p>
        </w:tc>
        <w:tc>
          <w:tcPr>
            <w:tcW w:w="110" w:type="dxa"/>
            <w:tcBorders/>
            <w:shd w:fill="CCEEFF" w:val="clear"/>
            <w:vAlign w:val="center"/>
          </w:tcPr>
          <w:p>
            <w:pPr>
              <w:pStyle w:val="TableContents"/>
              <w:bidi w:val="0"/>
              <w:spacing w:before="0" w:after="283"/>
              <w:jc w:val="left"/>
              <w:rPr/>
            </w:pPr>
            <w:r>
              <w:rPr/>
              <w:t> </w:t>
            </w:r>
          </w:p>
        </w:tc>
      </w:tr>
      <w:tr>
        <w:trPr/>
        <w:tc>
          <w:tcPr>
            <w:tcW w:w="3200" w:type="dxa"/>
            <w:tcBorders/>
            <w:shd w:fill="FFFFFF" w:val="clear"/>
            <w:vAlign w:val="center"/>
          </w:tcPr>
          <w:p>
            <w:pPr>
              <w:pStyle w:val="TableContents"/>
              <w:bidi w:val="0"/>
              <w:spacing w:before="0" w:after="283"/>
              <w:jc w:val="left"/>
              <w:rPr/>
            </w:pPr>
            <w:r>
              <w:rPr/>
              <w:t>Loss from before income taxes</w:t>
            </w:r>
          </w:p>
        </w:tc>
        <w:tc>
          <w:tcPr>
            <w:tcW w:w="60" w:type="dxa"/>
            <w:tcBorders/>
            <w:shd w:fill="FFFFFF" w:val="clear"/>
            <w:vAlign w:val="center"/>
          </w:tcPr>
          <w:p>
            <w:pPr>
              <w:pStyle w:val="TableContents"/>
              <w:bidi w:val="0"/>
              <w:spacing w:before="0" w:after="283"/>
              <w:jc w:val="left"/>
              <w:rPr/>
            </w:pPr>
            <w:r>
              <w:rPr/>
              <w:t> </w:t>
            </w:r>
          </w:p>
        </w:tc>
        <w:tc>
          <w:tcPr>
            <w:tcW w:w="200" w:type="dxa"/>
            <w:tcBorders/>
            <w:shd w:fill="FFFFFF" w:val="clear"/>
            <w:vAlign w:val="center"/>
          </w:tcPr>
          <w:p>
            <w:pPr>
              <w:pStyle w:val="TableContents"/>
              <w:bidi w:val="0"/>
              <w:spacing w:before="0" w:after="283"/>
              <w:jc w:val="left"/>
              <w:rPr/>
            </w:pPr>
            <w:r>
              <w:rPr/>
              <w:t> </w:t>
            </w:r>
          </w:p>
        </w:tc>
        <w:tc>
          <w:tcPr>
            <w:tcW w:w="974" w:type="dxa"/>
            <w:tcBorders/>
            <w:shd w:fill="FFFFFF" w:val="clear"/>
            <w:vAlign w:val="center"/>
          </w:tcPr>
          <w:p>
            <w:pPr>
              <w:pStyle w:val="TableContents"/>
              <w:bidi w:val="0"/>
              <w:spacing w:before="0" w:after="283"/>
              <w:jc w:val="right"/>
              <w:rPr/>
            </w:pPr>
            <w:r>
              <w:rPr/>
              <w:t>(5,681</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251" w:type="dxa"/>
            <w:tcBorders/>
            <w:shd w:fill="FFFFFF" w:val="clear"/>
            <w:vAlign w:val="center"/>
          </w:tcPr>
          <w:p>
            <w:pPr>
              <w:pStyle w:val="TableContents"/>
              <w:bidi w:val="0"/>
              <w:spacing w:before="0" w:after="283"/>
              <w:jc w:val="left"/>
              <w:rPr/>
            </w:pPr>
            <w:r>
              <w:rPr/>
              <w:t> </w:t>
            </w:r>
          </w:p>
        </w:tc>
        <w:tc>
          <w:tcPr>
            <w:tcW w:w="1224" w:type="dxa"/>
            <w:tcBorders/>
            <w:shd w:fill="FFFFFF" w:val="clear"/>
            <w:vAlign w:val="center"/>
          </w:tcPr>
          <w:p>
            <w:pPr>
              <w:pStyle w:val="TableContents"/>
              <w:bidi w:val="0"/>
              <w:spacing w:before="0" w:after="283"/>
              <w:jc w:val="right"/>
              <w:rPr/>
            </w:pPr>
            <w:r>
              <w:rPr/>
              <w:t>(907</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251" w:type="dxa"/>
            <w:tcBorders/>
            <w:shd w:fill="FFFFFF" w:val="clear"/>
            <w:vAlign w:val="center"/>
          </w:tcPr>
          <w:p>
            <w:pPr>
              <w:pStyle w:val="TableContents"/>
              <w:bidi w:val="0"/>
              <w:spacing w:before="0" w:after="283"/>
              <w:jc w:val="left"/>
              <w:rPr/>
            </w:pPr>
            <w:r>
              <w:rPr/>
              <w:t> </w:t>
            </w:r>
          </w:p>
        </w:tc>
        <w:tc>
          <w:tcPr>
            <w:tcW w:w="1224" w:type="dxa"/>
            <w:tcBorders/>
            <w:shd w:fill="FFFFFF" w:val="clear"/>
            <w:vAlign w:val="center"/>
          </w:tcPr>
          <w:p>
            <w:pPr>
              <w:pStyle w:val="TableContents"/>
              <w:bidi w:val="0"/>
              <w:spacing w:before="0" w:after="283"/>
              <w:jc w:val="right"/>
              <w:rPr/>
            </w:pPr>
            <w:r>
              <w:rPr/>
              <w:t>(6,588</w:t>
            </w:r>
          </w:p>
        </w:tc>
        <w:tc>
          <w:tcPr>
            <w:tcW w:w="110" w:type="dxa"/>
            <w:tcBorders/>
            <w:shd w:fill="FFFFFF" w:val="clear"/>
            <w:vAlign w:val="center"/>
          </w:tcPr>
          <w:p>
            <w:pPr>
              <w:pStyle w:val="TableContents"/>
              <w:bidi w:val="0"/>
              <w:spacing w:before="0" w:after="283"/>
              <w:jc w:val="left"/>
              <w:rPr/>
            </w:pPr>
            <w:r>
              <w:rPr/>
              <w:t>)</w:t>
            </w:r>
          </w:p>
        </w:tc>
      </w:tr>
      <w:tr>
        <w:trPr/>
        <w:tc>
          <w:tcPr>
            <w:tcW w:w="3200" w:type="dxa"/>
            <w:tcBorders/>
            <w:shd w:fill="CCEEFF" w:val="clear"/>
            <w:vAlign w:val="center"/>
          </w:tcPr>
          <w:p>
            <w:pPr>
              <w:pStyle w:val="TableContents"/>
              <w:bidi w:val="0"/>
              <w:spacing w:before="0" w:after="283"/>
              <w:jc w:val="left"/>
              <w:rPr/>
            </w:pPr>
            <w:r>
              <w:rPr/>
              <w:t>Income tax (provision) benefit</w:t>
            </w:r>
          </w:p>
        </w:tc>
        <w:tc>
          <w:tcPr>
            <w:tcW w:w="60" w:type="dxa"/>
            <w:tcBorders/>
            <w:shd w:fill="CCEEFF" w:val="clear"/>
            <w:vAlign w:val="center"/>
          </w:tcPr>
          <w:p>
            <w:pPr>
              <w:pStyle w:val="TableContents"/>
              <w:bidi w:val="0"/>
              <w:spacing w:before="0" w:after="283"/>
              <w:jc w:val="left"/>
              <w:rPr/>
            </w:pPr>
            <w:r>
              <w:rPr/>
              <w:t> </w:t>
            </w:r>
          </w:p>
        </w:tc>
        <w:tc>
          <w:tcPr>
            <w:tcW w:w="20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74"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51"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24"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51"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24"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110" w:type="dxa"/>
            <w:tcBorders/>
            <w:shd w:fill="CCEEFF" w:val="clear"/>
            <w:vAlign w:val="center"/>
          </w:tcPr>
          <w:p>
            <w:pPr>
              <w:pStyle w:val="TableContents"/>
              <w:bidi w:val="0"/>
              <w:spacing w:before="0" w:after="283"/>
              <w:jc w:val="left"/>
              <w:rPr/>
            </w:pPr>
            <w:r>
              <w:rPr/>
              <w:t> </w:t>
            </w:r>
          </w:p>
        </w:tc>
      </w:tr>
      <w:tr>
        <w:trPr/>
        <w:tc>
          <w:tcPr>
            <w:tcW w:w="3200" w:type="dxa"/>
            <w:tcBorders/>
            <w:shd w:fill="FFFFFF" w:val="clear"/>
            <w:vAlign w:val="center"/>
          </w:tcPr>
          <w:p>
            <w:pPr>
              <w:pStyle w:val="TableContents"/>
              <w:bidi w:val="0"/>
              <w:spacing w:before="0" w:after="283"/>
              <w:jc w:val="left"/>
              <w:rPr/>
            </w:pPr>
            <w:r>
              <w:rPr/>
              <w:t>Net loss</w:t>
            </w:r>
          </w:p>
        </w:tc>
        <w:tc>
          <w:tcPr>
            <w:tcW w:w="60" w:type="dxa"/>
            <w:tcBorders/>
            <w:shd w:fill="FFFFFF" w:val="clear"/>
            <w:vAlign w:val="center"/>
          </w:tcPr>
          <w:p>
            <w:pPr>
              <w:pStyle w:val="TableContents"/>
              <w:bidi w:val="0"/>
              <w:spacing w:before="0" w:after="283"/>
              <w:jc w:val="left"/>
              <w:rPr/>
            </w:pPr>
            <w:r>
              <w:rPr/>
              <w:t> </w:t>
            </w:r>
          </w:p>
        </w:tc>
        <w:tc>
          <w:tcPr>
            <w:tcW w:w="200" w:type="dxa"/>
            <w:tcBorders>
              <w:bottom w:val="double" w:sz="10" w:space="0" w:color="000000"/>
            </w:tcBorders>
            <w:shd w:fill="FFFFFF" w:val="clear"/>
            <w:tcMar>
              <w:bottom w:w="28" w:type="dxa"/>
            </w:tcMar>
            <w:vAlign w:val="center"/>
          </w:tcPr>
          <w:p>
            <w:pPr>
              <w:pStyle w:val="TableContents"/>
              <w:bidi w:val="0"/>
              <w:spacing w:before="0" w:after="283"/>
              <w:jc w:val="left"/>
              <w:rPr/>
            </w:pPr>
            <w:r>
              <w:rPr/>
              <w:t>$</w:t>
            </w:r>
          </w:p>
        </w:tc>
        <w:tc>
          <w:tcPr>
            <w:tcW w:w="974" w:type="dxa"/>
            <w:tcBorders>
              <w:bottom w:val="double" w:sz="10" w:space="0" w:color="000000"/>
            </w:tcBorders>
            <w:shd w:fill="FFFFFF" w:val="clear"/>
            <w:tcMar>
              <w:bottom w:w="28" w:type="dxa"/>
            </w:tcMar>
            <w:vAlign w:val="center"/>
          </w:tcPr>
          <w:p>
            <w:pPr>
              <w:pStyle w:val="TableContents"/>
              <w:bidi w:val="0"/>
              <w:spacing w:before="0" w:after="283"/>
              <w:jc w:val="right"/>
              <w:rPr/>
            </w:pPr>
            <w:r>
              <w:rPr/>
              <w:t>(5,681</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251" w:type="dxa"/>
            <w:tcBorders>
              <w:bottom w:val="double" w:sz="10" w:space="0" w:color="000000"/>
            </w:tcBorders>
            <w:shd w:fill="FFFFFF" w:val="clear"/>
            <w:tcMar>
              <w:bottom w:w="28" w:type="dxa"/>
            </w:tcMar>
            <w:vAlign w:val="center"/>
          </w:tcPr>
          <w:p>
            <w:pPr>
              <w:pStyle w:val="TableContents"/>
              <w:bidi w:val="0"/>
              <w:spacing w:before="0" w:after="283"/>
              <w:jc w:val="left"/>
              <w:rPr/>
            </w:pPr>
            <w:r>
              <w:rPr/>
              <w:t>$</w:t>
            </w:r>
          </w:p>
        </w:tc>
        <w:tc>
          <w:tcPr>
            <w:tcW w:w="1224" w:type="dxa"/>
            <w:tcBorders>
              <w:bottom w:val="double" w:sz="10" w:space="0" w:color="000000"/>
            </w:tcBorders>
            <w:shd w:fill="FFFFFF" w:val="clear"/>
            <w:tcMar>
              <w:bottom w:w="28" w:type="dxa"/>
            </w:tcMar>
            <w:vAlign w:val="center"/>
          </w:tcPr>
          <w:p>
            <w:pPr>
              <w:pStyle w:val="TableContents"/>
              <w:bidi w:val="0"/>
              <w:spacing w:before="0" w:after="283"/>
              <w:jc w:val="right"/>
              <w:rPr/>
            </w:pPr>
            <w:r>
              <w:rPr/>
              <w:t>(907</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251" w:type="dxa"/>
            <w:tcBorders>
              <w:bottom w:val="double" w:sz="10" w:space="0" w:color="000000"/>
            </w:tcBorders>
            <w:shd w:fill="FFFFFF" w:val="clear"/>
            <w:tcMar>
              <w:bottom w:w="28" w:type="dxa"/>
            </w:tcMar>
            <w:vAlign w:val="center"/>
          </w:tcPr>
          <w:p>
            <w:pPr>
              <w:pStyle w:val="TableContents"/>
              <w:bidi w:val="0"/>
              <w:spacing w:before="0" w:after="283"/>
              <w:jc w:val="left"/>
              <w:rPr/>
            </w:pPr>
            <w:r>
              <w:rPr/>
              <w:t>$</w:t>
            </w:r>
          </w:p>
        </w:tc>
        <w:tc>
          <w:tcPr>
            <w:tcW w:w="1224" w:type="dxa"/>
            <w:tcBorders>
              <w:bottom w:val="double" w:sz="10" w:space="0" w:color="000000"/>
            </w:tcBorders>
            <w:shd w:fill="FFFFFF" w:val="clear"/>
            <w:tcMar>
              <w:bottom w:w="28" w:type="dxa"/>
            </w:tcMar>
            <w:vAlign w:val="center"/>
          </w:tcPr>
          <w:p>
            <w:pPr>
              <w:pStyle w:val="TableContents"/>
              <w:bidi w:val="0"/>
              <w:spacing w:before="0" w:after="283"/>
              <w:jc w:val="right"/>
              <w:rPr/>
            </w:pPr>
            <w:r>
              <w:rPr/>
              <w:t>(6,588</w:t>
            </w:r>
          </w:p>
        </w:tc>
        <w:tc>
          <w:tcPr>
            <w:tcW w:w="110" w:type="dxa"/>
            <w:tcBorders/>
            <w:shd w:fill="FFFFFF" w:val="clear"/>
            <w:vAlign w:val="center"/>
          </w:tcPr>
          <w:p>
            <w:pPr>
              <w:pStyle w:val="TableContents"/>
              <w:bidi w:val="0"/>
              <w:spacing w:before="0" w:after="283"/>
              <w:jc w:val="left"/>
              <w:rPr/>
            </w:pPr>
            <w:r>
              <w:rPr/>
              <w: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F-181</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 Ambia Year to Date results through November 20, 2025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historical pro forma results of Sunder for the period January 1, 2025 through November 20, 2025 were derived from the unaudited financial statements for the nine months ended September 30, 2025 and interim results of operations for the period from October 1, 2025 through November 20, 2025 as follows </w:t>
      </w:r>
      <w:r>
        <w:rPr>
          <w:rFonts w:ascii="Times New Roman;Times;Serif" w:hAnsi="Times New Roman;Times;Serif"/>
          <w:b w:val="false"/>
          <w:i/>
          <w:caps w:val="false"/>
          <w:smallCaps w:val="false"/>
          <w:sz w:val="20"/>
        </w:rPr>
        <w:t>(in thousands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tbl>
      <w:tblPr>
        <w:tblW w:w="8044" w:type="dxa"/>
        <w:jc w:val="left"/>
        <w:tblInd w:w="0" w:type="dxa"/>
        <w:tblLayout w:type="fixed"/>
        <w:tblCellMar>
          <w:top w:w="0" w:type="dxa"/>
          <w:left w:w="0" w:type="dxa"/>
          <w:bottom w:w="0" w:type="dxa"/>
          <w:right w:w="0" w:type="dxa"/>
        </w:tblCellMar>
      </w:tblPr>
      <w:tblGrid>
        <w:gridCol w:w="3200"/>
        <w:gridCol w:w="60"/>
        <w:gridCol w:w="251"/>
        <w:gridCol w:w="1223"/>
        <w:gridCol w:w="95"/>
        <w:gridCol w:w="60"/>
        <w:gridCol w:w="246"/>
        <w:gridCol w:w="1199"/>
        <w:gridCol w:w="95"/>
        <w:gridCol w:w="60"/>
        <w:gridCol w:w="246"/>
        <w:gridCol w:w="1199"/>
        <w:gridCol w:w="110"/>
      </w:tblGrid>
      <w:tr>
        <w:trPr/>
        <w:tc>
          <w:tcPr>
            <w:tcW w:w="32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74"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Nine Months</w:t>
              <w:br/>
              <w:t xml:space="preserve">Ended </w:t>
              <w:br/>
              <w:t>September 30,</w:t>
              <w:br/>
              <w:t>2025</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4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Oct 1, 2025</w:t>
              <w:br/>
              <w:t xml:space="preserve">thru </w:t>
              <w:br/>
              <w:t>November 20,</w:t>
              <w:br/>
              <w:t>2025</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4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Year to Date</w:t>
              <w:br/>
              <w:t xml:space="preserve">Through </w:t>
              <w:br/>
              <w:t>November 20,</w:t>
              <w:br/>
              <w:t>2025</w:t>
            </w:r>
          </w:p>
        </w:tc>
        <w:tc>
          <w:tcPr>
            <w:tcW w:w="110" w:type="dxa"/>
            <w:tcBorders/>
            <w:vAlign w:val="center"/>
          </w:tcPr>
          <w:p>
            <w:pPr>
              <w:pStyle w:val="TableContents"/>
              <w:bidi w:val="0"/>
              <w:spacing w:before="0" w:after="283"/>
              <w:jc w:val="left"/>
              <w:rPr/>
            </w:pPr>
            <w:r>
              <w:rPr/>
              <w:t> </w:t>
            </w:r>
          </w:p>
        </w:tc>
      </w:tr>
      <w:tr>
        <w:trPr/>
        <w:tc>
          <w:tcPr>
            <w:tcW w:w="3200" w:type="dxa"/>
            <w:tcBorders/>
            <w:shd w:fill="CCEEFF" w:val="clear"/>
            <w:vAlign w:val="center"/>
          </w:tcPr>
          <w:p>
            <w:pPr>
              <w:pStyle w:val="TableContents"/>
              <w:bidi w:val="0"/>
              <w:spacing w:before="0" w:after="283"/>
              <w:jc w:val="left"/>
              <w:rPr/>
            </w:pPr>
            <w:r>
              <w:rPr/>
              <w:t>Revenues</w:t>
            </w:r>
          </w:p>
        </w:tc>
        <w:tc>
          <w:tcPr>
            <w:tcW w:w="60" w:type="dxa"/>
            <w:tcBorders/>
            <w:shd w:fill="CCEEFF" w:val="clear"/>
            <w:vAlign w:val="center"/>
          </w:tcPr>
          <w:p>
            <w:pPr>
              <w:pStyle w:val="TableContents"/>
              <w:bidi w:val="0"/>
              <w:spacing w:before="0" w:after="283"/>
              <w:jc w:val="left"/>
              <w:rPr/>
            </w:pPr>
            <w:r>
              <w:rPr/>
              <w:t> </w:t>
            </w:r>
          </w:p>
        </w:tc>
        <w:tc>
          <w:tcPr>
            <w:tcW w:w="251" w:type="dxa"/>
            <w:tcBorders/>
            <w:shd w:fill="CCEEFF" w:val="clear"/>
            <w:vAlign w:val="center"/>
          </w:tcPr>
          <w:p>
            <w:pPr>
              <w:pStyle w:val="TableContents"/>
              <w:bidi w:val="0"/>
              <w:spacing w:before="0" w:after="283"/>
              <w:jc w:val="left"/>
              <w:rPr/>
            </w:pPr>
            <w:r>
              <w:rPr/>
              <w:t>$</w:t>
            </w:r>
          </w:p>
        </w:tc>
        <w:tc>
          <w:tcPr>
            <w:tcW w:w="1223" w:type="dxa"/>
            <w:tcBorders/>
            <w:shd w:fill="CCEEFF" w:val="clear"/>
            <w:vAlign w:val="center"/>
          </w:tcPr>
          <w:p>
            <w:pPr>
              <w:pStyle w:val="TableContents"/>
              <w:bidi w:val="0"/>
              <w:spacing w:before="0" w:after="283"/>
              <w:jc w:val="right"/>
              <w:rPr/>
            </w:pPr>
            <w:r>
              <w:rPr/>
              <w:t>61,076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6" w:type="dxa"/>
            <w:tcBorders/>
            <w:shd w:fill="CCEEFF" w:val="clear"/>
            <w:vAlign w:val="center"/>
          </w:tcPr>
          <w:p>
            <w:pPr>
              <w:pStyle w:val="TableContents"/>
              <w:bidi w:val="0"/>
              <w:spacing w:before="0" w:after="283"/>
              <w:jc w:val="left"/>
              <w:rPr/>
            </w:pPr>
            <w:r>
              <w:rPr/>
              <w:t>$</w:t>
            </w:r>
          </w:p>
        </w:tc>
        <w:tc>
          <w:tcPr>
            <w:tcW w:w="1199" w:type="dxa"/>
            <w:tcBorders/>
            <w:shd w:fill="CCEEFF" w:val="clear"/>
            <w:vAlign w:val="center"/>
          </w:tcPr>
          <w:p>
            <w:pPr>
              <w:pStyle w:val="TableContents"/>
              <w:bidi w:val="0"/>
              <w:spacing w:before="0" w:after="283"/>
              <w:jc w:val="right"/>
              <w:rPr/>
            </w:pPr>
            <w:r>
              <w:rPr/>
              <w:t>12,528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6" w:type="dxa"/>
            <w:tcBorders/>
            <w:shd w:fill="CCEEFF" w:val="clear"/>
            <w:vAlign w:val="center"/>
          </w:tcPr>
          <w:p>
            <w:pPr>
              <w:pStyle w:val="TableContents"/>
              <w:bidi w:val="0"/>
              <w:spacing w:before="0" w:after="283"/>
              <w:jc w:val="left"/>
              <w:rPr/>
            </w:pPr>
            <w:r>
              <w:rPr/>
              <w:t>$</w:t>
            </w:r>
          </w:p>
        </w:tc>
        <w:tc>
          <w:tcPr>
            <w:tcW w:w="1199" w:type="dxa"/>
            <w:tcBorders/>
            <w:shd w:fill="CCEEFF" w:val="clear"/>
            <w:vAlign w:val="center"/>
          </w:tcPr>
          <w:p>
            <w:pPr>
              <w:pStyle w:val="TableContents"/>
              <w:bidi w:val="0"/>
              <w:spacing w:before="0" w:after="283"/>
              <w:jc w:val="right"/>
              <w:rPr/>
            </w:pPr>
            <w:r>
              <w:rPr/>
              <w:t>73,604</w:t>
            </w:r>
          </w:p>
        </w:tc>
        <w:tc>
          <w:tcPr>
            <w:tcW w:w="110" w:type="dxa"/>
            <w:tcBorders/>
            <w:shd w:fill="CCEEFF" w:val="clear"/>
            <w:vAlign w:val="center"/>
          </w:tcPr>
          <w:p>
            <w:pPr>
              <w:pStyle w:val="TableContents"/>
              <w:bidi w:val="0"/>
              <w:spacing w:before="0" w:after="283"/>
              <w:jc w:val="left"/>
              <w:rPr/>
            </w:pPr>
            <w:r>
              <w:rPr/>
              <w:t> </w:t>
            </w:r>
          </w:p>
        </w:tc>
      </w:tr>
      <w:tr>
        <w:trPr/>
        <w:tc>
          <w:tcPr>
            <w:tcW w:w="3200" w:type="dxa"/>
            <w:tcBorders/>
            <w:shd w:fill="FFFFFF" w:val="clear"/>
            <w:vAlign w:val="center"/>
          </w:tcPr>
          <w:p>
            <w:pPr>
              <w:pStyle w:val="TableContents"/>
              <w:bidi w:val="0"/>
              <w:spacing w:before="0" w:after="283"/>
              <w:jc w:val="left"/>
              <w:rPr/>
            </w:pPr>
            <w:r>
              <w:rPr/>
              <w:t>Cost of revenue</w:t>
            </w:r>
          </w:p>
        </w:tc>
        <w:tc>
          <w:tcPr>
            <w:tcW w:w="60" w:type="dxa"/>
            <w:tcBorders/>
            <w:shd w:fill="FFFFFF" w:val="clear"/>
            <w:vAlign w:val="center"/>
          </w:tcPr>
          <w:p>
            <w:pPr>
              <w:pStyle w:val="TableContents"/>
              <w:bidi w:val="0"/>
              <w:spacing w:before="0" w:after="283"/>
              <w:jc w:val="left"/>
              <w:rPr/>
            </w:pPr>
            <w:r>
              <w:rPr/>
              <w:t> </w:t>
            </w:r>
          </w:p>
        </w:tc>
        <w:tc>
          <w:tcPr>
            <w:tcW w:w="251" w:type="dxa"/>
            <w:tcBorders/>
            <w:shd w:fill="FFFFFF" w:val="clear"/>
            <w:vAlign w:val="center"/>
          </w:tcPr>
          <w:p>
            <w:pPr>
              <w:pStyle w:val="TableContents"/>
              <w:bidi w:val="0"/>
              <w:spacing w:before="0" w:after="283"/>
              <w:jc w:val="left"/>
              <w:rPr/>
            </w:pPr>
            <w:r>
              <w:rPr/>
              <w:t> </w:t>
            </w:r>
          </w:p>
        </w:tc>
        <w:tc>
          <w:tcPr>
            <w:tcW w:w="1223" w:type="dxa"/>
            <w:tcBorders/>
            <w:shd w:fill="FFFFFF" w:val="clear"/>
            <w:vAlign w:val="center"/>
          </w:tcPr>
          <w:p>
            <w:pPr>
              <w:pStyle w:val="TableContents"/>
              <w:bidi w:val="0"/>
              <w:spacing w:before="0" w:after="283"/>
              <w:jc w:val="right"/>
              <w:rPr/>
            </w:pPr>
            <w:r>
              <w:rPr/>
              <w:t>32,622</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46" w:type="dxa"/>
            <w:tcBorders/>
            <w:shd w:fill="FFFFFF" w:val="clear"/>
            <w:vAlign w:val="center"/>
          </w:tcPr>
          <w:p>
            <w:pPr>
              <w:pStyle w:val="TableContents"/>
              <w:bidi w:val="0"/>
              <w:spacing w:before="0" w:after="283"/>
              <w:jc w:val="left"/>
              <w:rPr/>
            </w:pPr>
            <w:r>
              <w:rPr/>
              <w:t> </w:t>
            </w:r>
          </w:p>
        </w:tc>
        <w:tc>
          <w:tcPr>
            <w:tcW w:w="1199" w:type="dxa"/>
            <w:tcBorders/>
            <w:shd w:fill="FFFFFF" w:val="clear"/>
            <w:vAlign w:val="center"/>
          </w:tcPr>
          <w:p>
            <w:pPr>
              <w:pStyle w:val="TableContents"/>
              <w:bidi w:val="0"/>
              <w:spacing w:before="0" w:after="283"/>
              <w:jc w:val="right"/>
              <w:rPr/>
            </w:pPr>
            <w:r>
              <w:rPr/>
              <w:t>6,259</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46" w:type="dxa"/>
            <w:tcBorders/>
            <w:shd w:fill="FFFFFF" w:val="clear"/>
            <w:vAlign w:val="center"/>
          </w:tcPr>
          <w:p>
            <w:pPr>
              <w:pStyle w:val="TableContents"/>
              <w:bidi w:val="0"/>
              <w:spacing w:before="0" w:after="283"/>
              <w:jc w:val="left"/>
              <w:rPr/>
            </w:pPr>
            <w:r>
              <w:rPr/>
              <w:t> </w:t>
            </w:r>
          </w:p>
        </w:tc>
        <w:tc>
          <w:tcPr>
            <w:tcW w:w="1199" w:type="dxa"/>
            <w:tcBorders/>
            <w:shd w:fill="FFFFFF" w:val="clear"/>
            <w:vAlign w:val="center"/>
          </w:tcPr>
          <w:p>
            <w:pPr>
              <w:pStyle w:val="TableContents"/>
              <w:bidi w:val="0"/>
              <w:spacing w:before="0" w:after="283"/>
              <w:jc w:val="right"/>
              <w:rPr/>
            </w:pPr>
            <w:r>
              <w:rPr/>
              <w:t>38,881</w:t>
            </w:r>
          </w:p>
        </w:tc>
        <w:tc>
          <w:tcPr>
            <w:tcW w:w="110" w:type="dxa"/>
            <w:tcBorders/>
            <w:shd w:fill="FFFFFF" w:val="clear"/>
            <w:vAlign w:val="center"/>
          </w:tcPr>
          <w:p>
            <w:pPr>
              <w:pStyle w:val="TableContents"/>
              <w:bidi w:val="0"/>
              <w:spacing w:before="0" w:after="283"/>
              <w:jc w:val="left"/>
              <w:rPr/>
            </w:pPr>
            <w:r>
              <w:rPr/>
              <w:t> </w:t>
            </w:r>
          </w:p>
        </w:tc>
      </w:tr>
      <w:tr>
        <w:trPr/>
        <w:tc>
          <w:tcPr>
            <w:tcW w:w="3200" w:type="dxa"/>
            <w:tcBorders/>
            <w:shd w:fill="CCEEFF" w:val="clear"/>
            <w:vAlign w:val="center"/>
          </w:tcPr>
          <w:p>
            <w:pPr>
              <w:pStyle w:val="TableContents"/>
              <w:bidi w:val="0"/>
              <w:spacing w:before="0" w:after="283"/>
              <w:jc w:val="left"/>
              <w:rPr/>
            </w:pPr>
            <w:r>
              <w:rPr/>
              <w:t>Gross Profit</w:t>
            </w:r>
          </w:p>
        </w:tc>
        <w:tc>
          <w:tcPr>
            <w:tcW w:w="60" w:type="dxa"/>
            <w:tcBorders/>
            <w:shd w:fill="CCEEFF" w:val="clear"/>
            <w:vAlign w:val="center"/>
          </w:tcPr>
          <w:p>
            <w:pPr>
              <w:pStyle w:val="TableContents"/>
              <w:bidi w:val="0"/>
              <w:spacing w:before="0" w:after="283"/>
              <w:jc w:val="left"/>
              <w:rPr/>
            </w:pPr>
            <w:r>
              <w:rPr/>
              <w:t> </w:t>
            </w:r>
          </w:p>
        </w:tc>
        <w:tc>
          <w:tcPr>
            <w:tcW w:w="251"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23" w:type="dxa"/>
            <w:tcBorders>
              <w:bottom w:val="single" w:sz="12" w:space="0" w:color="000000"/>
            </w:tcBorders>
            <w:shd w:fill="CCEEFF" w:val="clear"/>
            <w:tcMar>
              <w:bottom w:w="28" w:type="dxa"/>
            </w:tcMar>
            <w:vAlign w:val="center"/>
          </w:tcPr>
          <w:p>
            <w:pPr>
              <w:pStyle w:val="TableContents"/>
              <w:bidi w:val="0"/>
              <w:spacing w:before="0" w:after="283"/>
              <w:jc w:val="right"/>
              <w:rPr/>
            </w:pPr>
            <w:r>
              <w:rPr/>
              <w:t>28,454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6"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99" w:type="dxa"/>
            <w:tcBorders>
              <w:bottom w:val="single" w:sz="12" w:space="0" w:color="000000"/>
            </w:tcBorders>
            <w:shd w:fill="CCEEFF" w:val="clear"/>
            <w:tcMar>
              <w:bottom w:w="28" w:type="dxa"/>
            </w:tcMar>
            <w:vAlign w:val="center"/>
          </w:tcPr>
          <w:p>
            <w:pPr>
              <w:pStyle w:val="TableContents"/>
              <w:bidi w:val="0"/>
              <w:spacing w:before="0" w:after="283"/>
              <w:jc w:val="right"/>
              <w:rPr/>
            </w:pPr>
            <w:r>
              <w:rPr/>
              <w:t>6,269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6"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99" w:type="dxa"/>
            <w:tcBorders>
              <w:bottom w:val="single" w:sz="12" w:space="0" w:color="000000"/>
            </w:tcBorders>
            <w:shd w:fill="CCEEFF" w:val="clear"/>
            <w:tcMar>
              <w:bottom w:w="28" w:type="dxa"/>
            </w:tcMar>
            <w:vAlign w:val="center"/>
          </w:tcPr>
          <w:p>
            <w:pPr>
              <w:pStyle w:val="TableContents"/>
              <w:bidi w:val="0"/>
              <w:spacing w:before="0" w:after="283"/>
              <w:jc w:val="right"/>
              <w:rPr/>
            </w:pPr>
            <w:r>
              <w:rPr/>
              <w:t>34,723</w:t>
            </w:r>
          </w:p>
        </w:tc>
        <w:tc>
          <w:tcPr>
            <w:tcW w:w="110" w:type="dxa"/>
            <w:tcBorders/>
            <w:shd w:fill="CCEEFF" w:val="clear"/>
            <w:vAlign w:val="center"/>
          </w:tcPr>
          <w:p>
            <w:pPr>
              <w:pStyle w:val="TableContents"/>
              <w:bidi w:val="0"/>
              <w:spacing w:before="0" w:after="283"/>
              <w:jc w:val="left"/>
              <w:rPr/>
            </w:pPr>
            <w:r>
              <w:rPr/>
              <w:t> </w:t>
            </w:r>
          </w:p>
        </w:tc>
      </w:tr>
      <w:tr>
        <w:trPr/>
        <w:tc>
          <w:tcPr>
            <w:tcW w:w="3200" w:type="dxa"/>
            <w:tcBorders/>
            <w:shd w:fill="FFFFFF" w:val="clear"/>
            <w:vAlign w:val="center"/>
          </w:tcPr>
          <w:p>
            <w:pPr>
              <w:pStyle w:val="TableContents"/>
              <w:bidi w:val="0"/>
              <w:spacing w:before="0" w:after="283"/>
              <w:jc w:val="left"/>
              <w:rPr/>
            </w:pPr>
            <w:r>
              <w:rPr/>
              <w:t>Operating expenses</w:t>
            </w:r>
          </w:p>
        </w:tc>
        <w:tc>
          <w:tcPr>
            <w:tcW w:w="60" w:type="dxa"/>
            <w:tcBorders/>
            <w:shd w:fill="FFFFFF" w:val="clear"/>
            <w:vAlign w:val="center"/>
          </w:tcPr>
          <w:p>
            <w:pPr>
              <w:pStyle w:val="TableContents"/>
              <w:bidi w:val="0"/>
              <w:spacing w:before="0" w:after="283"/>
              <w:jc w:val="left"/>
              <w:rPr/>
            </w:pPr>
            <w:r>
              <w:rPr/>
              <w:t> </w:t>
            </w:r>
          </w:p>
        </w:tc>
        <w:tc>
          <w:tcPr>
            <w:tcW w:w="251" w:type="dxa"/>
            <w:tcBorders/>
            <w:shd w:fill="FFFFFF" w:val="clear"/>
            <w:vAlign w:val="center"/>
          </w:tcPr>
          <w:p>
            <w:pPr>
              <w:pStyle w:val="TableContents"/>
              <w:bidi w:val="0"/>
              <w:spacing w:before="0" w:after="283"/>
              <w:jc w:val="left"/>
              <w:rPr/>
            </w:pPr>
            <w:r>
              <w:rPr/>
              <w:t> </w:t>
            </w:r>
          </w:p>
        </w:tc>
        <w:tc>
          <w:tcPr>
            <w:tcW w:w="1223"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46" w:type="dxa"/>
            <w:tcBorders/>
            <w:shd w:fill="FFFFFF" w:val="clear"/>
            <w:vAlign w:val="center"/>
          </w:tcPr>
          <w:p>
            <w:pPr>
              <w:pStyle w:val="TableContents"/>
              <w:bidi w:val="0"/>
              <w:spacing w:before="0" w:after="283"/>
              <w:jc w:val="left"/>
              <w:rPr/>
            </w:pPr>
            <w:r>
              <w:rPr/>
              <w:t> </w:t>
            </w:r>
          </w:p>
        </w:tc>
        <w:tc>
          <w:tcPr>
            <w:tcW w:w="1199"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46" w:type="dxa"/>
            <w:tcBorders/>
            <w:shd w:fill="FFFFFF" w:val="clear"/>
            <w:vAlign w:val="center"/>
          </w:tcPr>
          <w:p>
            <w:pPr>
              <w:pStyle w:val="TableContents"/>
              <w:bidi w:val="0"/>
              <w:spacing w:before="0" w:after="283"/>
              <w:jc w:val="left"/>
              <w:rPr/>
            </w:pPr>
            <w:r>
              <w:rPr/>
              <w:t> </w:t>
            </w:r>
          </w:p>
        </w:tc>
        <w:tc>
          <w:tcPr>
            <w:tcW w:w="1199"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3200" w:type="dxa"/>
            <w:tcBorders/>
            <w:shd w:fill="CCEEFF" w:val="clear"/>
            <w:vAlign w:val="center"/>
          </w:tcPr>
          <w:p>
            <w:pPr>
              <w:pStyle w:val="TableContents"/>
              <w:bidi w:val="0"/>
              <w:spacing w:before="0" w:after="283"/>
              <w:jc w:val="left"/>
              <w:rPr/>
            </w:pPr>
            <w:r>
              <w:rPr/>
              <w:t>Sales commissions</w:t>
            </w:r>
          </w:p>
        </w:tc>
        <w:tc>
          <w:tcPr>
            <w:tcW w:w="60" w:type="dxa"/>
            <w:tcBorders/>
            <w:shd w:fill="CCEEFF" w:val="clear"/>
            <w:vAlign w:val="center"/>
          </w:tcPr>
          <w:p>
            <w:pPr>
              <w:pStyle w:val="TableContents"/>
              <w:bidi w:val="0"/>
              <w:spacing w:before="0" w:after="283"/>
              <w:jc w:val="left"/>
              <w:rPr/>
            </w:pPr>
            <w:r>
              <w:rPr/>
              <w:t> </w:t>
            </w:r>
          </w:p>
        </w:tc>
        <w:tc>
          <w:tcPr>
            <w:tcW w:w="251" w:type="dxa"/>
            <w:tcBorders/>
            <w:shd w:fill="CCEEFF" w:val="clear"/>
            <w:vAlign w:val="center"/>
          </w:tcPr>
          <w:p>
            <w:pPr>
              <w:pStyle w:val="TableContents"/>
              <w:bidi w:val="0"/>
              <w:spacing w:before="0" w:after="283"/>
              <w:jc w:val="left"/>
              <w:rPr/>
            </w:pPr>
            <w:r>
              <w:rPr/>
              <w:t> </w:t>
            </w:r>
          </w:p>
        </w:tc>
        <w:tc>
          <w:tcPr>
            <w:tcW w:w="1223" w:type="dxa"/>
            <w:tcBorders/>
            <w:shd w:fill="CCEEFF" w:val="clear"/>
            <w:vAlign w:val="center"/>
          </w:tcPr>
          <w:p>
            <w:pPr>
              <w:pStyle w:val="TableContents"/>
              <w:bidi w:val="0"/>
              <w:spacing w:before="0" w:after="283"/>
              <w:jc w:val="right"/>
              <w:rPr/>
            </w:pPr>
            <w:r>
              <w:rPr/>
              <w:t>16,003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6" w:type="dxa"/>
            <w:tcBorders/>
            <w:shd w:fill="CCEEFF" w:val="clear"/>
            <w:vAlign w:val="center"/>
          </w:tcPr>
          <w:p>
            <w:pPr>
              <w:pStyle w:val="TableContents"/>
              <w:bidi w:val="0"/>
              <w:spacing w:before="0" w:after="283"/>
              <w:jc w:val="left"/>
              <w:rPr/>
            </w:pPr>
            <w:r>
              <w:rPr/>
              <w:t> </w:t>
            </w:r>
          </w:p>
        </w:tc>
        <w:tc>
          <w:tcPr>
            <w:tcW w:w="1199" w:type="dxa"/>
            <w:tcBorders/>
            <w:shd w:fill="CCEEFF" w:val="clear"/>
            <w:vAlign w:val="center"/>
          </w:tcPr>
          <w:p>
            <w:pPr>
              <w:pStyle w:val="TableContents"/>
              <w:bidi w:val="0"/>
              <w:spacing w:before="0" w:after="283"/>
              <w:jc w:val="right"/>
              <w:rPr/>
            </w:pPr>
            <w:r>
              <w:rPr/>
              <w:t>2,810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6" w:type="dxa"/>
            <w:tcBorders/>
            <w:shd w:fill="CCEEFF" w:val="clear"/>
            <w:vAlign w:val="center"/>
          </w:tcPr>
          <w:p>
            <w:pPr>
              <w:pStyle w:val="TableContents"/>
              <w:bidi w:val="0"/>
              <w:spacing w:before="0" w:after="283"/>
              <w:jc w:val="left"/>
              <w:rPr/>
            </w:pPr>
            <w:r>
              <w:rPr/>
              <w:t> </w:t>
            </w:r>
          </w:p>
        </w:tc>
        <w:tc>
          <w:tcPr>
            <w:tcW w:w="1199" w:type="dxa"/>
            <w:tcBorders/>
            <w:shd w:fill="CCEEFF" w:val="clear"/>
            <w:vAlign w:val="center"/>
          </w:tcPr>
          <w:p>
            <w:pPr>
              <w:pStyle w:val="TableContents"/>
              <w:bidi w:val="0"/>
              <w:spacing w:before="0" w:after="283"/>
              <w:jc w:val="right"/>
              <w:rPr/>
            </w:pPr>
            <w:r>
              <w:rPr/>
              <w:t>18,813</w:t>
            </w:r>
          </w:p>
        </w:tc>
        <w:tc>
          <w:tcPr>
            <w:tcW w:w="110" w:type="dxa"/>
            <w:tcBorders/>
            <w:shd w:fill="CCEEFF" w:val="clear"/>
            <w:vAlign w:val="center"/>
          </w:tcPr>
          <w:p>
            <w:pPr>
              <w:pStyle w:val="TableContents"/>
              <w:bidi w:val="0"/>
              <w:spacing w:before="0" w:after="283"/>
              <w:jc w:val="left"/>
              <w:rPr/>
            </w:pPr>
            <w:r>
              <w:rPr/>
              <w:t> </w:t>
            </w:r>
          </w:p>
        </w:tc>
      </w:tr>
      <w:tr>
        <w:trPr/>
        <w:tc>
          <w:tcPr>
            <w:tcW w:w="3200" w:type="dxa"/>
            <w:tcBorders/>
            <w:shd w:fill="FFFFFF" w:val="clear"/>
            <w:vAlign w:val="center"/>
          </w:tcPr>
          <w:p>
            <w:pPr>
              <w:pStyle w:val="TableContents"/>
              <w:bidi w:val="0"/>
              <w:spacing w:before="0" w:after="283"/>
              <w:jc w:val="left"/>
              <w:rPr/>
            </w:pPr>
            <w:r>
              <w:rPr/>
              <w:t>Sales and marketing</w:t>
            </w:r>
          </w:p>
        </w:tc>
        <w:tc>
          <w:tcPr>
            <w:tcW w:w="60" w:type="dxa"/>
            <w:tcBorders/>
            <w:shd w:fill="FFFFFF" w:val="clear"/>
            <w:vAlign w:val="center"/>
          </w:tcPr>
          <w:p>
            <w:pPr>
              <w:pStyle w:val="TableContents"/>
              <w:bidi w:val="0"/>
              <w:spacing w:before="0" w:after="283"/>
              <w:jc w:val="left"/>
              <w:rPr/>
            </w:pPr>
            <w:r>
              <w:rPr/>
              <w:t> </w:t>
            </w:r>
          </w:p>
        </w:tc>
        <w:tc>
          <w:tcPr>
            <w:tcW w:w="251" w:type="dxa"/>
            <w:tcBorders/>
            <w:shd w:fill="FFFFFF" w:val="clear"/>
            <w:vAlign w:val="center"/>
          </w:tcPr>
          <w:p>
            <w:pPr>
              <w:pStyle w:val="TableContents"/>
              <w:bidi w:val="0"/>
              <w:spacing w:before="0" w:after="283"/>
              <w:jc w:val="left"/>
              <w:rPr/>
            </w:pPr>
            <w:r>
              <w:rPr/>
              <w:t> </w:t>
            </w:r>
          </w:p>
        </w:tc>
        <w:tc>
          <w:tcPr>
            <w:tcW w:w="1223"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46" w:type="dxa"/>
            <w:tcBorders/>
            <w:shd w:fill="FFFFFF" w:val="clear"/>
            <w:vAlign w:val="center"/>
          </w:tcPr>
          <w:p>
            <w:pPr>
              <w:pStyle w:val="TableContents"/>
              <w:bidi w:val="0"/>
              <w:spacing w:before="0" w:after="283"/>
              <w:jc w:val="left"/>
              <w:rPr/>
            </w:pPr>
            <w:r>
              <w:rPr/>
              <w:t> </w:t>
            </w:r>
          </w:p>
        </w:tc>
        <w:tc>
          <w:tcPr>
            <w:tcW w:w="1199" w:type="dxa"/>
            <w:tcBorders/>
            <w:shd w:fill="FFFFFF" w:val="clear"/>
            <w:vAlign w:val="center"/>
          </w:tcPr>
          <w:p>
            <w:pPr>
              <w:pStyle w:val="TableContents"/>
              <w:bidi w:val="0"/>
              <w:spacing w:before="0" w:after="283"/>
              <w:jc w:val="right"/>
              <w:rPr/>
            </w:pPr>
            <w:r>
              <w:rPr/>
              <w:t>128</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46" w:type="dxa"/>
            <w:tcBorders/>
            <w:shd w:fill="FFFFFF" w:val="clear"/>
            <w:vAlign w:val="center"/>
          </w:tcPr>
          <w:p>
            <w:pPr>
              <w:pStyle w:val="TableContents"/>
              <w:bidi w:val="0"/>
              <w:spacing w:before="0" w:after="283"/>
              <w:jc w:val="left"/>
              <w:rPr/>
            </w:pPr>
            <w:r>
              <w:rPr/>
              <w:t> </w:t>
            </w:r>
          </w:p>
        </w:tc>
        <w:tc>
          <w:tcPr>
            <w:tcW w:w="1199" w:type="dxa"/>
            <w:tcBorders/>
            <w:shd w:fill="FFFFFF" w:val="clear"/>
            <w:vAlign w:val="center"/>
          </w:tcPr>
          <w:p>
            <w:pPr>
              <w:pStyle w:val="TableContents"/>
              <w:bidi w:val="0"/>
              <w:spacing w:before="0" w:after="283"/>
              <w:jc w:val="right"/>
              <w:rPr/>
            </w:pPr>
            <w:r>
              <w:rPr/>
              <w:t>128</w:t>
            </w:r>
          </w:p>
        </w:tc>
        <w:tc>
          <w:tcPr>
            <w:tcW w:w="110" w:type="dxa"/>
            <w:tcBorders/>
            <w:shd w:fill="FFFFFF" w:val="clear"/>
            <w:vAlign w:val="center"/>
          </w:tcPr>
          <w:p>
            <w:pPr>
              <w:pStyle w:val="TableContents"/>
              <w:bidi w:val="0"/>
              <w:spacing w:before="0" w:after="283"/>
              <w:jc w:val="left"/>
              <w:rPr/>
            </w:pPr>
            <w:r>
              <w:rPr/>
              <w:t> </w:t>
            </w:r>
          </w:p>
        </w:tc>
      </w:tr>
      <w:tr>
        <w:trPr/>
        <w:tc>
          <w:tcPr>
            <w:tcW w:w="3200" w:type="dxa"/>
            <w:tcBorders/>
            <w:shd w:fill="CCEEFF" w:val="clear"/>
            <w:vAlign w:val="center"/>
          </w:tcPr>
          <w:p>
            <w:pPr>
              <w:pStyle w:val="TableContents"/>
              <w:bidi w:val="0"/>
              <w:spacing w:before="0" w:after="283"/>
              <w:jc w:val="left"/>
              <w:rPr/>
            </w:pPr>
            <w:r>
              <w:rPr/>
              <w:t>General and administrative</w:t>
            </w:r>
          </w:p>
        </w:tc>
        <w:tc>
          <w:tcPr>
            <w:tcW w:w="60" w:type="dxa"/>
            <w:tcBorders/>
            <w:shd w:fill="CCEEFF" w:val="clear"/>
            <w:vAlign w:val="center"/>
          </w:tcPr>
          <w:p>
            <w:pPr>
              <w:pStyle w:val="TableContents"/>
              <w:bidi w:val="0"/>
              <w:spacing w:before="0" w:after="283"/>
              <w:jc w:val="left"/>
              <w:rPr/>
            </w:pPr>
            <w:r>
              <w:rPr/>
              <w:t> </w:t>
            </w:r>
          </w:p>
        </w:tc>
        <w:tc>
          <w:tcPr>
            <w:tcW w:w="251" w:type="dxa"/>
            <w:tcBorders/>
            <w:shd w:fill="CCEEFF" w:val="clear"/>
            <w:vAlign w:val="center"/>
          </w:tcPr>
          <w:p>
            <w:pPr>
              <w:pStyle w:val="TableContents"/>
              <w:bidi w:val="0"/>
              <w:spacing w:before="0" w:after="283"/>
              <w:jc w:val="left"/>
              <w:rPr/>
            </w:pPr>
            <w:r>
              <w:rPr/>
              <w:t> </w:t>
            </w:r>
          </w:p>
        </w:tc>
        <w:tc>
          <w:tcPr>
            <w:tcW w:w="1223" w:type="dxa"/>
            <w:tcBorders/>
            <w:shd w:fill="CCEEFF" w:val="clear"/>
            <w:vAlign w:val="center"/>
          </w:tcPr>
          <w:p>
            <w:pPr>
              <w:pStyle w:val="TableContents"/>
              <w:bidi w:val="0"/>
              <w:spacing w:before="0" w:after="283"/>
              <w:jc w:val="right"/>
              <w:rPr/>
            </w:pPr>
            <w:r>
              <w:rPr/>
              <w:t>10,845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6" w:type="dxa"/>
            <w:tcBorders/>
            <w:shd w:fill="CCEEFF" w:val="clear"/>
            <w:vAlign w:val="center"/>
          </w:tcPr>
          <w:p>
            <w:pPr>
              <w:pStyle w:val="TableContents"/>
              <w:bidi w:val="0"/>
              <w:spacing w:before="0" w:after="283"/>
              <w:jc w:val="left"/>
              <w:rPr/>
            </w:pPr>
            <w:r>
              <w:rPr/>
              <w:t> </w:t>
            </w:r>
          </w:p>
        </w:tc>
        <w:tc>
          <w:tcPr>
            <w:tcW w:w="1199" w:type="dxa"/>
            <w:tcBorders/>
            <w:shd w:fill="CCEEFF" w:val="clear"/>
            <w:vAlign w:val="center"/>
          </w:tcPr>
          <w:p>
            <w:pPr>
              <w:pStyle w:val="TableContents"/>
              <w:bidi w:val="0"/>
              <w:spacing w:before="0" w:after="283"/>
              <w:jc w:val="right"/>
              <w:rPr/>
            </w:pPr>
            <w:r>
              <w:rPr/>
              <w:t>3,134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6" w:type="dxa"/>
            <w:tcBorders/>
            <w:shd w:fill="CCEEFF" w:val="clear"/>
            <w:vAlign w:val="center"/>
          </w:tcPr>
          <w:p>
            <w:pPr>
              <w:pStyle w:val="TableContents"/>
              <w:bidi w:val="0"/>
              <w:spacing w:before="0" w:after="283"/>
              <w:jc w:val="left"/>
              <w:rPr/>
            </w:pPr>
            <w:r>
              <w:rPr/>
              <w:t> </w:t>
            </w:r>
          </w:p>
        </w:tc>
        <w:tc>
          <w:tcPr>
            <w:tcW w:w="1199" w:type="dxa"/>
            <w:tcBorders/>
            <w:shd w:fill="CCEEFF" w:val="clear"/>
            <w:vAlign w:val="center"/>
          </w:tcPr>
          <w:p>
            <w:pPr>
              <w:pStyle w:val="TableContents"/>
              <w:bidi w:val="0"/>
              <w:spacing w:before="0" w:after="283"/>
              <w:jc w:val="right"/>
              <w:rPr/>
            </w:pPr>
            <w:r>
              <w:rPr/>
              <w:t>13,979</w:t>
            </w:r>
          </w:p>
        </w:tc>
        <w:tc>
          <w:tcPr>
            <w:tcW w:w="110" w:type="dxa"/>
            <w:tcBorders/>
            <w:shd w:fill="CCEEFF" w:val="clear"/>
            <w:vAlign w:val="center"/>
          </w:tcPr>
          <w:p>
            <w:pPr>
              <w:pStyle w:val="TableContents"/>
              <w:bidi w:val="0"/>
              <w:spacing w:before="0" w:after="283"/>
              <w:jc w:val="left"/>
              <w:rPr/>
            </w:pPr>
            <w:r>
              <w:rPr/>
              <w:t> </w:t>
            </w:r>
          </w:p>
        </w:tc>
      </w:tr>
      <w:tr>
        <w:trPr/>
        <w:tc>
          <w:tcPr>
            <w:tcW w:w="3200" w:type="dxa"/>
            <w:tcBorders/>
            <w:shd w:fill="FFFFFF" w:val="clear"/>
            <w:vAlign w:val="center"/>
          </w:tcPr>
          <w:p>
            <w:pPr>
              <w:pStyle w:val="TableContents"/>
              <w:bidi w:val="0"/>
              <w:spacing w:before="0" w:after="283"/>
              <w:jc w:val="left"/>
              <w:rPr/>
            </w:pPr>
            <w:r>
              <w:rPr/>
              <w:t>Rent</w:t>
            </w:r>
          </w:p>
        </w:tc>
        <w:tc>
          <w:tcPr>
            <w:tcW w:w="60" w:type="dxa"/>
            <w:tcBorders/>
            <w:shd w:fill="FFFFFF" w:val="clear"/>
            <w:vAlign w:val="center"/>
          </w:tcPr>
          <w:p>
            <w:pPr>
              <w:pStyle w:val="TableContents"/>
              <w:bidi w:val="0"/>
              <w:spacing w:before="0" w:after="283"/>
              <w:jc w:val="left"/>
              <w:rPr/>
            </w:pPr>
            <w:r>
              <w:rPr/>
              <w:t> </w:t>
            </w:r>
          </w:p>
        </w:tc>
        <w:tc>
          <w:tcPr>
            <w:tcW w:w="251" w:type="dxa"/>
            <w:tcBorders/>
            <w:shd w:fill="FFFFFF" w:val="clear"/>
            <w:vAlign w:val="center"/>
          </w:tcPr>
          <w:p>
            <w:pPr>
              <w:pStyle w:val="TableContents"/>
              <w:bidi w:val="0"/>
              <w:spacing w:before="0" w:after="283"/>
              <w:jc w:val="left"/>
              <w:rPr/>
            </w:pPr>
            <w:r>
              <w:rPr/>
              <w:t> </w:t>
            </w:r>
          </w:p>
        </w:tc>
        <w:tc>
          <w:tcPr>
            <w:tcW w:w="1223" w:type="dxa"/>
            <w:tcBorders/>
            <w:shd w:fill="FFFFFF" w:val="clear"/>
            <w:vAlign w:val="center"/>
          </w:tcPr>
          <w:p>
            <w:pPr>
              <w:pStyle w:val="TableContents"/>
              <w:bidi w:val="0"/>
              <w:spacing w:before="0" w:after="283"/>
              <w:jc w:val="right"/>
              <w:rPr/>
            </w:pPr>
            <w:r>
              <w:rPr/>
              <w:t>1,038</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46" w:type="dxa"/>
            <w:tcBorders/>
            <w:shd w:fill="FFFFFF" w:val="clear"/>
            <w:vAlign w:val="center"/>
          </w:tcPr>
          <w:p>
            <w:pPr>
              <w:pStyle w:val="TableContents"/>
              <w:bidi w:val="0"/>
              <w:spacing w:before="0" w:after="283"/>
              <w:jc w:val="left"/>
              <w:rPr/>
            </w:pPr>
            <w:r>
              <w:rPr/>
              <w:t> </w:t>
            </w:r>
          </w:p>
        </w:tc>
        <w:tc>
          <w:tcPr>
            <w:tcW w:w="1199" w:type="dxa"/>
            <w:tcBorders/>
            <w:shd w:fill="FFFFFF" w:val="clear"/>
            <w:vAlign w:val="center"/>
          </w:tcPr>
          <w:p>
            <w:pPr>
              <w:pStyle w:val="TableContents"/>
              <w:bidi w:val="0"/>
              <w:spacing w:before="0" w:after="283"/>
              <w:jc w:val="right"/>
              <w:rPr/>
            </w:pPr>
            <w:r>
              <w:rPr/>
              <w:t>300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46" w:type="dxa"/>
            <w:tcBorders/>
            <w:shd w:fill="FFFFFF" w:val="clear"/>
            <w:vAlign w:val="center"/>
          </w:tcPr>
          <w:p>
            <w:pPr>
              <w:pStyle w:val="TableContents"/>
              <w:bidi w:val="0"/>
              <w:spacing w:before="0" w:after="283"/>
              <w:jc w:val="left"/>
              <w:rPr/>
            </w:pPr>
            <w:r>
              <w:rPr/>
              <w:t> </w:t>
            </w:r>
          </w:p>
        </w:tc>
        <w:tc>
          <w:tcPr>
            <w:tcW w:w="1199" w:type="dxa"/>
            <w:tcBorders/>
            <w:shd w:fill="FFFFFF" w:val="clear"/>
            <w:vAlign w:val="center"/>
          </w:tcPr>
          <w:p>
            <w:pPr>
              <w:pStyle w:val="TableContents"/>
              <w:bidi w:val="0"/>
              <w:spacing w:before="0" w:after="283"/>
              <w:jc w:val="right"/>
              <w:rPr/>
            </w:pPr>
            <w:r>
              <w:rPr/>
              <w:t>1,338</w:t>
            </w:r>
          </w:p>
        </w:tc>
        <w:tc>
          <w:tcPr>
            <w:tcW w:w="110" w:type="dxa"/>
            <w:tcBorders/>
            <w:shd w:fill="FFFFFF" w:val="clear"/>
            <w:vAlign w:val="center"/>
          </w:tcPr>
          <w:p>
            <w:pPr>
              <w:pStyle w:val="TableContents"/>
              <w:bidi w:val="0"/>
              <w:spacing w:before="0" w:after="283"/>
              <w:jc w:val="left"/>
              <w:rPr/>
            </w:pPr>
            <w:r>
              <w:rPr/>
              <w:t> </w:t>
            </w:r>
          </w:p>
        </w:tc>
      </w:tr>
      <w:tr>
        <w:trPr/>
        <w:tc>
          <w:tcPr>
            <w:tcW w:w="3200" w:type="dxa"/>
            <w:tcBorders/>
            <w:shd w:fill="CCEEFF" w:val="clear"/>
            <w:vAlign w:val="center"/>
          </w:tcPr>
          <w:p>
            <w:pPr>
              <w:pStyle w:val="TableContents"/>
              <w:bidi w:val="0"/>
              <w:spacing w:before="0" w:after="283"/>
              <w:jc w:val="left"/>
              <w:rPr/>
            </w:pPr>
            <w:r>
              <w:rPr/>
              <w:t>Depreciation and Amortization</w:t>
            </w:r>
          </w:p>
        </w:tc>
        <w:tc>
          <w:tcPr>
            <w:tcW w:w="60" w:type="dxa"/>
            <w:tcBorders/>
            <w:shd w:fill="CCEEFF" w:val="clear"/>
            <w:vAlign w:val="center"/>
          </w:tcPr>
          <w:p>
            <w:pPr>
              <w:pStyle w:val="TableContents"/>
              <w:bidi w:val="0"/>
              <w:spacing w:before="0" w:after="283"/>
              <w:jc w:val="left"/>
              <w:rPr/>
            </w:pPr>
            <w:r>
              <w:rPr/>
              <w:t> </w:t>
            </w:r>
          </w:p>
        </w:tc>
        <w:tc>
          <w:tcPr>
            <w:tcW w:w="251"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23" w:type="dxa"/>
            <w:tcBorders>
              <w:bottom w:val="single" w:sz="12" w:space="0" w:color="000000"/>
            </w:tcBorders>
            <w:shd w:fill="CCEEFF" w:val="clear"/>
            <w:tcMar>
              <w:bottom w:w="28" w:type="dxa"/>
            </w:tcMar>
            <w:vAlign w:val="center"/>
          </w:tcPr>
          <w:p>
            <w:pPr>
              <w:pStyle w:val="TableContents"/>
              <w:bidi w:val="0"/>
              <w:spacing w:before="0" w:after="283"/>
              <w:jc w:val="right"/>
              <w:rPr/>
            </w:pPr>
            <w:r>
              <w:rPr/>
              <w:t>495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6"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99" w:type="dxa"/>
            <w:tcBorders>
              <w:bottom w:val="single" w:sz="12" w:space="0" w:color="000000"/>
            </w:tcBorders>
            <w:shd w:fill="CCEEFF" w:val="clear"/>
            <w:tcMar>
              <w:bottom w:w="28" w:type="dxa"/>
            </w:tcMar>
            <w:vAlign w:val="center"/>
          </w:tcPr>
          <w:p>
            <w:pPr>
              <w:pStyle w:val="TableContents"/>
              <w:bidi w:val="0"/>
              <w:spacing w:before="0" w:after="283"/>
              <w:jc w:val="right"/>
              <w:rPr/>
            </w:pPr>
            <w:r>
              <w:rPr/>
              <w:t>142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6"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99" w:type="dxa"/>
            <w:tcBorders>
              <w:bottom w:val="single" w:sz="12" w:space="0" w:color="000000"/>
            </w:tcBorders>
            <w:shd w:fill="CCEEFF" w:val="clear"/>
            <w:tcMar>
              <w:bottom w:w="28" w:type="dxa"/>
            </w:tcMar>
            <w:vAlign w:val="center"/>
          </w:tcPr>
          <w:p>
            <w:pPr>
              <w:pStyle w:val="TableContents"/>
              <w:bidi w:val="0"/>
              <w:spacing w:before="0" w:after="283"/>
              <w:jc w:val="right"/>
              <w:rPr/>
            </w:pPr>
            <w:r>
              <w:rPr/>
              <w:t>637</w:t>
            </w:r>
          </w:p>
        </w:tc>
        <w:tc>
          <w:tcPr>
            <w:tcW w:w="110" w:type="dxa"/>
            <w:tcBorders/>
            <w:shd w:fill="CCEEFF" w:val="clear"/>
            <w:vAlign w:val="center"/>
          </w:tcPr>
          <w:p>
            <w:pPr>
              <w:pStyle w:val="TableContents"/>
              <w:bidi w:val="0"/>
              <w:spacing w:before="0" w:after="283"/>
              <w:jc w:val="left"/>
              <w:rPr/>
            </w:pPr>
            <w:r>
              <w:rPr/>
              <w:t> </w:t>
            </w:r>
          </w:p>
        </w:tc>
      </w:tr>
      <w:tr>
        <w:trPr/>
        <w:tc>
          <w:tcPr>
            <w:tcW w:w="3200" w:type="dxa"/>
            <w:tcBorders/>
            <w:shd w:fill="FFFFFF" w:val="clear"/>
            <w:vAlign w:val="center"/>
          </w:tcPr>
          <w:p>
            <w:pPr>
              <w:pStyle w:val="TableContents"/>
              <w:bidi w:val="0"/>
              <w:spacing w:before="0" w:after="283"/>
              <w:jc w:val="left"/>
              <w:rPr/>
            </w:pPr>
            <w:r>
              <w:rPr/>
              <w:t>Total operating expenses</w:t>
            </w:r>
          </w:p>
        </w:tc>
        <w:tc>
          <w:tcPr>
            <w:tcW w:w="60" w:type="dxa"/>
            <w:tcBorders/>
            <w:shd w:fill="FFFFFF" w:val="clear"/>
            <w:vAlign w:val="center"/>
          </w:tcPr>
          <w:p>
            <w:pPr>
              <w:pStyle w:val="TableContents"/>
              <w:bidi w:val="0"/>
              <w:spacing w:before="0" w:after="283"/>
              <w:jc w:val="left"/>
              <w:rPr/>
            </w:pPr>
            <w:r>
              <w:rPr/>
              <w:t> </w:t>
            </w:r>
          </w:p>
        </w:tc>
        <w:tc>
          <w:tcPr>
            <w:tcW w:w="251"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23" w:type="dxa"/>
            <w:tcBorders>
              <w:bottom w:val="single" w:sz="12" w:space="0" w:color="000000"/>
            </w:tcBorders>
            <w:shd w:fill="FFFFFF" w:val="clear"/>
            <w:tcMar>
              <w:bottom w:w="28" w:type="dxa"/>
            </w:tcMar>
            <w:vAlign w:val="center"/>
          </w:tcPr>
          <w:p>
            <w:pPr>
              <w:pStyle w:val="TableContents"/>
              <w:bidi w:val="0"/>
              <w:spacing w:before="0" w:after="283"/>
              <w:jc w:val="right"/>
              <w:rPr/>
            </w:pPr>
            <w:r>
              <w:rPr/>
              <w:t>28,381</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46"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99" w:type="dxa"/>
            <w:tcBorders>
              <w:bottom w:val="single" w:sz="12" w:space="0" w:color="000000"/>
            </w:tcBorders>
            <w:shd w:fill="FFFFFF" w:val="clear"/>
            <w:tcMar>
              <w:bottom w:w="28" w:type="dxa"/>
            </w:tcMar>
            <w:vAlign w:val="center"/>
          </w:tcPr>
          <w:p>
            <w:pPr>
              <w:pStyle w:val="TableContents"/>
              <w:bidi w:val="0"/>
              <w:spacing w:before="0" w:after="283"/>
              <w:jc w:val="right"/>
              <w:rPr/>
            </w:pPr>
            <w:r>
              <w:rPr/>
              <w:t>6,514</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46"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99" w:type="dxa"/>
            <w:tcBorders>
              <w:bottom w:val="single" w:sz="12" w:space="0" w:color="000000"/>
            </w:tcBorders>
            <w:shd w:fill="FFFFFF" w:val="clear"/>
            <w:tcMar>
              <w:bottom w:w="28" w:type="dxa"/>
            </w:tcMar>
            <w:vAlign w:val="center"/>
          </w:tcPr>
          <w:p>
            <w:pPr>
              <w:pStyle w:val="TableContents"/>
              <w:bidi w:val="0"/>
              <w:spacing w:before="0" w:after="283"/>
              <w:jc w:val="right"/>
              <w:rPr/>
            </w:pPr>
            <w:r>
              <w:rPr/>
              <w:t>34,895</w:t>
            </w:r>
          </w:p>
        </w:tc>
        <w:tc>
          <w:tcPr>
            <w:tcW w:w="110" w:type="dxa"/>
            <w:tcBorders/>
            <w:shd w:fill="FFFFFF" w:val="clear"/>
            <w:vAlign w:val="center"/>
          </w:tcPr>
          <w:p>
            <w:pPr>
              <w:pStyle w:val="TableContents"/>
              <w:bidi w:val="0"/>
              <w:spacing w:before="0" w:after="283"/>
              <w:jc w:val="left"/>
              <w:rPr/>
            </w:pPr>
            <w:r>
              <w:rPr/>
              <w:t> </w:t>
            </w:r>
          </w:p>
        </w:tc>
      </w:tr>
      <w:tr>
        <w:trPr/>
        <w:tc>
          <w:tcPr>
            <w:tcW w:w="3200" w:type="dxa"/>
            <w:tcBorders/>
            <w:shd w:fill="CCEEFF" w:val="clear"/>
            <w:vAlign w:val="center"/>
          </w:tcPr>
          <w:p>
            <w:pPr>
              <w:pStyle w:val="TableContents"/>
              <w:bidi w:val="0"/>
              <w:spacing w:before="0" w:after="283"/>
              <w:jc w:val="left"/>
              <w:rPr/>
            </w:pPr>
            <w:r>
              <w:rPr/>
              <w:t>Loss from operations</w:t>
            </w:r>
          </w:p>
        </w:tc>
        <w:tc>
          <w:tcPr>
            <w:tcW w:w="60" w:type="dxa"/>
            <w:tcBorders/>
            <w:shd w:fill="CCEEFF" w:val="clear"/>
            <w:vAlign w:val="center"/>
          </w:tcPr>
          <w:p>
            <w:pPr>
              <w:pStyle w:val="TableContents"/>
              <w:bidi w:val="0"/>
              <w:spacing w:before="0" w:after="283"/>
              <w:jc w:val="left"/>
              <w:rPr/>
            </w:pPr>
            <w:r>
              <w:rPr/>
              <w:t> </w:t>
            </w:r>
          </w:p>
        </w:tc>
        <w:tc>
          <w:tcPr>
            <w:tcW w:w="251"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23" w:type="dxa"/>
            <w:tcBorders>
              <w:bottom w:val="single" w:sz="12" w:space="0" w:color="000000"/>
            </w:tcBorders>
            <w:shd w:fill="CCEEFF" w:val="clear"/>
            <w:tcMar>
              <w:bottom w:w="28" w:type="dxa"/>
            </w:tcMar>
            <w:vAlign w:val="center"/>
          </w:tcPr>
          <w:p>
            <w:pPr>
              <w:pStyle w:val="TableContents"/>
              <w:bidi w:val="0"/>
              <w:spacing w:before="0" w:after="283"/>
              <w:jc w:val="right"/>
              <w:rPr/>
            </w:pPr>
            <w:r>
              <w:rPr/>
              <w:t>73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6"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99" w:type="dxa"/>
            <w:tcBorders>
              <w:bottom w:val="single" w:sz="12" w:space="0" w:color="000000"/>
            </w:tcBorders>
            <w:shd w:fill="CCEEFF" w:val="clear"/>
            <w:tcMar>
              <w:bottom w:w="28" w:type="dxa"/>
            </w:tcMar>
            <w:vAlign w:val="center"/>
          </w:tcPr>
          <w:p>
            <w:pPr>
              <w:pStyle w:val="TableContents"/>
              <w:bidi w:val="0"/>
              <w:spacing w:before="0" w:after="283"/>
              <w:jc w:val="right"/>
              <w:rPr/>
            </w:pPr>
            <w:r>
              <w:rPr/>
              <w:t>(245</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246"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99" w:type="dxa"/>
            <w:tcBorders>
              <w:bottom w:val="single" w:sz="12" w:space="0" w:color="000000"/>
            </w:tcBorders>
            <w:shd w:fill="CCEEFF" w:val="clear"/>
            <w:tcMar>
              <w:bottom w:w="28" w:type="dxa"/>
            </w:tcMar>
            <w:vAlign w:val="center"/>
          </w:tcPr>
          <w:p>
            <w:pPr>
              <w:pStyle w:val="TableContents"/>
              <w:bidi w:val="0"/>
              <w:spacing w:before="0" w:after="283"/>
              <w:jc w:val="right"/>
              <w:rPr/>
            </w:pPr>
            <w:r>
              <w:rPr/>
              <w:t>(172</w:t>
            </w:r>
          </w:p>
        </w:tc>
        <w:tc>
          <w:tcPr>
            <w:tcW w:w="110" w:type="dxa"/>
            <w:tcBorders/>
            <w:shd w:fill="CCEEFF" w:val="clear"/>
            <w:vAlign w:val="center"/>
          </w:tcPr>
          <w:p>
            <w:pPr>
              <w:pStyle w:val="TableContents"/>
              <w:bidi w:val="0"/>
              <w:spacing w:before="0" w:after="283"/>
              <w:jc w:val="left"/>
              <w:rPr/>
            </w:pPr>
            <w:r>
              <w:rPr/>
              <w:t>)</w:t>
            </w:r>
          </w:p>
        </w:tc>
      </w:tr>
      <w:tr>
        <w:trPr/>
        <w:tc>
          <w:tcPr>
            <w:tcW w:w="3200" w:type="dxa"/>
            <w:tcBorders/>
            <w:shd w:fill="FFFFFF" w:val="clear"/>
            <w:vAlign w:val="center"/>
          </w:tcPr>
          <w:p>
            <w:pPr>
              <w:pStyle w:val="TableContents"/>
              <w:bidi w:val="0"/>
              <w:spacing w:before="0" w:after="283"/>
              <w:jc w:val="left"/>
              <w:rPr/>
            </w:pPr>
            <w:r>
              <w:rPr/>
              <w:t>Interest expense</w:t>
            </w:r>
          </w:p>
        </w:tc>
        <w:tc>
          <w:tcPr>
            <w:tcW w:w="60" w:type="dxa"/>
            <w:tcBorders/>
            <w:shd w:fill="FFFFFF" w:val="clear"/>
            <w:vAlign w:val="center"/>
          </w:tcPr>
          <w:p>
            <w:pPr>
              <w:pStyle w:val="TableContents"/>
              <w:bidi w:val="0"/>
              <w:spacing w:before="0" w:after="283"/>
              <w:jc w:val="left"/>
              <w:rPr/>
            </w:pPr>
            <w:r>
              <w:rPr/>
              <w:t> </w:t>
            </w:r>
          </w:p>
        </w:tc>
        <w:tc>
          <w:tcPr>
            <w:tcW w:w="251" w:type="dxa"/>
            <w:tcBorders/>
            <w:shd w:fill="FFFFFF" w:val="clear"/>
            <w:vAlign w:val="center"/>
          </w:tcPr>
          <w:p>
            <w:pPr>
              <w:pStyle w:val="TableContents"/>
              <w:bidi w:val="0"/>
              <w:spacing w:before="0" w:after="283"/>
              <w:jc w:val="left"/>
              <w:rPr/>
            </w:pPr>
            <w:r>
              <w:rPr/>
              <w:t> </w:t>
            </w:r>
          </w:p>
        </w:tc>
        <w:tc>
          <w:tcPr>
            <w:tcW w:w="1223" w:type="dxa"/>
            <w:tcBorders/>
            <w:shd w:fill="FFFFFF" w:val="clear"/>
            <w:vAlign w:val="center"/>
          </w:tcPr>
          <w:p>
            <w:pPr>
              <w:pStyle w:val="TableContents"/>
              <w:bidi w:val="0"/>
              <w:spacing w:before="0" w:after="283"/>
              <w:jc w:val="right"/>
              <w:rPr/>
            </w:pPr>
            <w:r>
              <w:rPr/>
              <w:t>(1,286</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246" w:type="dxa"/>
            <w:tcBorders/>
            <w:shd w:fill="FFFFFF" w:val="clear"/>
            <w:vAlign w:val="center"/>
          </w:tcPr>
          <w:p>
            <w:pPr>
              <w:pStyle w:val="TableContents"/>
              <w:bidi w:val="0"/>
              <w:spacing w:before="0" w:after="283"/>
              <w:jc w:val="left"/>
              <w:rPr/>
            </w:pPr>
            <w:r>
              <w:rPr/>
              <w:t> </w:t>
            </w:r>
          </w:p>
        </w:tc>
        <w:tc>
          <w:tcPr>
            <w:tcW w:w="1199"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46" w:type="dxa"/>
            <w:tcBorders/>
            <w:shd w:fill="FFFFFF" w:val="clear"/>
            <w:vAlign w:val="center"/>
          </w:tcPr>
          <w:p>
            <w:pPr>
              <w:pStyle w:val="TableContents"/>
              <w:bidi w:val="0"/>
              <w:spacing w:before="0" w:after="283"/>
              <w:jc w:val="left"/>
              <w:rPr/>
            </w:pPr>
            <w:r>
              <w:rPr/>
              <w:t> </w:t>
            </w:r>
          </w:p>
        </w:tc>
        <w:tc>
          <w:tcPr>
            <w:tcW w:w="1199" w:type="dxa"/>
            <w:tcBorders/>
            <w:shd w:fill="FFFFFF" w:val="clear"/>
            <w:vAlign w:val="center"/>
          </w:tcPr>
          <w:p>
            <w:pPr>
              <w:pStyle w:val="TableContents"/>
              <w:bidi w:val="0"/>
              <w:spacing w:before="0" w:after="283"/>
              <w:jc w:val="right"/>
              <w:rPr/>
            </w:pPr>
            <w:r>
              <w:rPr/>
              <w:t>(1,286</w:t>
            </w:r>
          </w:p>
        </w:tc>
        <w:tc>
          <w:tcPr>
            <w:tcW w:w="110" w:type="dxa"/>
            <w:tcBorders/>
            <w:shd w:fill="FFFFFF" w:val="clear"/>
            <w:vAlign w:val="center"/>
          </w:tcPr>
          <w:p>
            <w:pPr>
              <w:pStyle w:val="TableContents"/>
              <w:bidi w:val="0"/>
              <w:spacing w:before="0" w:after="283"/>
              <w:jc w:val="left"/>
              <w:rPr/>
            </w:pPr>
            <w:r>
              <w:rPr/>
              <w:t>)</w:t>
            </w:r>
          </w:p>
        </w:tc>
      </w:tr>
      <w:tr>
        <w:trPr/>
        <w:tc>
          <w:tcPr>
            <w:tcW w:w="3200" w:type="dxa"/>
            <w:tcBorders/>
            <w:shd w:fill="CCEEFF" w:val="clear"/>
            <w:vAlign w:val="center"/>
          </w:tcPr>
          <w:p>
            <w:pPr>
              <w:pStyle w:val="TableContents"/>
              <w:bidi w:val="0"/>
              <w:spacing w:before="0" w:after="283"/>
              <w:jc w:val="left"/>
              <w:rPr/>
            </w:pPr>
            <w:r>
              <w:rPr/>
              <w:t>Interest income</w:t>
            </w:r>
          </w:p>
        </w:tc>
        <w:tc>
          <w:tcPr>
            <w:tcW w:w="60" w:type="dxa"/>
            <w:tcBorders/>
            <w:shd w:fill="CCEEFF" w:val="clear"/>
            <w:vAlign w:val="center"/>
          </w:tcPr>
          <w:p>
            <w:pPr>
              <w:pStyle w:val="TableContents"/>
              <w:bidi w:val="0"/>
              <w:spacing w:before="0" w:after="283"/>
              <w:jc w:val="left"/>
              <w:rPr/>
            </w:pPr>
            <w:r>
              <w:rPr/>
              <w:t> </w:t>
            </w:r>
          </w:p>
        </w:tc>
        <w:tc>
          <w:tcPr>
            <w:tcW w:w="251" w:type="dxa"/>
            <w:tcBorders/>
            <w:shd w:fill="CCEEFF" w:val="clear"/>
            <w:vAlign w:val="center"/>
          </w:tcPr>
          <w:p>
            <w:pPr>
              <w:pStyle w:val="TableContents"/>
              <w:bidi w:val="0"/>
              <w:spacing w:before="0" w:after="283"/>
              <w:jc w:val="left"/>
              <w:rPr/>
            </w:pPr>
            <w:r>
              <w:rPr/>
              <w:t> </w:t>
            </w:r>
          </w:p>
        </w:tc>
        <w:tc>
          <w:tcPr>
            <w:tcW w:w="1223"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6" w:type="dxa"/>
            <w:tcBorders/>
            <w:shd w:fill="CCEEFF" w:val="clear"/>
            <w:vAlign w:val="center"/>
          </w:tcPr>
          <w:p>
            <w:pPr>
              <w:pStyle w:val="TableContents"/>
              <w:bidi w:val="0"/>
              <w:spacing w:before="0" w:after="283"/>
              <w:jc w:val="left"/>
              <w:rPr/>
            </w:pPr>
            <w:r>
              <w:rPr/>
              <w:t> </w:t>
            </w:r>
          </w:p>
        </w:tc>
        <w:tc>
          <w:tcPr>
            <w:tcW w:w="1199"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6" w:type="dxa"/>
            <w:tcBorders/>
            <w:shd w:fill="CCEEFF" w:val="clear"/>
            <w:vAlign w:val="center"/>
          </w:tcPr>
          <w:p>
            <w:pPr>
              <w:pStyle w:val="TableContents"/>
              <w:bidi w:val="0"/>
              <w:spacing w:before="0" w:after="283"/>
              <w:jc w:val="left"/>
              <w:rPr/>
            </w:pPr>
            <w:r>
              <w:rPr/>
              <w:t> </w:t>
            </w:r>
          </w:p>
        </w:tc>
        <w:tc>
          <w:tcPr>
            <w:tcW w:w="1199" w:type="dxa"/>
            <w:tcBorders/>
            <w:shd w:fill="CCEEFF" w:val="clear"/>
            <w:vAlign w:val="center"/>
          </w:tcPr>
          <w:p>
            <w:pPr>
              <w:pStyle w:val="TableContents"/>
              <w:bidi w:val="0"/>
              <w:spacing w:before="0" w:after="283"/>
              <w:jc w:val="right"/>
              <w:rPr/>
            </w:pPr>
            <w:r>
              <w:rPr/>
              <w:t>-</w:t>
            </w:r>
          </w:p>
        </w:tc>
        <w:tc>
          <w:tcPr>
            <w:tcW w:w="110" w:type="dxa"/>
            <w:tcBorders/>
            <w:shd w:fill="CCEEFF" w:val="clear"/>
            <w:vAlign w:val="center"/>
          </w:tcPr>
          <w:p>
            <w:pPr>
              <w:pStyle w:val="TableContents"/>
              <w:bidi w:val="0"/>
              <w:spacing w:before="0" w:after="283"/>
              <w:jc w:val="left"/>
              <w:rPr/>
            </w:pPr>
            <w:r>
              <w:rPr/>
              <w:t> </w:t>
            </w:r>
          </w:p>
        </w:tc>
      </w:tr>
      <w:tr>
        <w:trPr/>
        <w:tc>
          <w:tcPr>
            <w:tcW w:w="3200" w:type="dxa"/>
            <w:tcBorders/>
            <w:shd w:fill="FFFFFF" w:val="clear"/>
            <w:vAlign w:val="center"/>
          </w:tcPr>
          <w:p>
            <w:pPr>
              <w:pStyle w:val="TableContents"/>
              <w:bidi w:val="0"/>
              <w:spacing w:before="0" w:after="283"/>
              <w:jc w:val="left"/>
              <w:rPr/>
            </w:pPr>
            <w:r>
              <w:rPr/>
              <w:t>Other income (expense), net</w:t>
            </w:r>
          </w:p>
        </w:tc>
        <w:tc>
          <w:tcPr>
            <w:tcW w:w="60" w:type="dxa"/>
            <w:tcBorders/>
            <w:shd w:fill="FFFFFF" w:val="clear"/>
            <w:vAlign w:val="center"/>
          </w:tcPr>
          <w:p>
            <w:pPr>
              <w:pStyle w:val="TableContents"/>
              <w:bidi w:val="0"/>
              <w:spacing w:before="0" w:after="283"/>
              <w:jc w:val="left"/>
              <w:rPr/>
            </w:pPr>
            <w:r>
              <w:rPr/>
              <w:t> </w:t>
            </w:r>
          </w:p>
        </w:tc>
        <w:tc>
          <w:tcPr>
            <w:tcW w:w="251"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23" w:type="dxa"/>
            <w:tcBorders>
              <w:bottom w:val="single" w:sz="12" w:space="0" w:color="000000"/>
            </w:tcBorders>
            <w:shd w:fill="FFFFFF" w:val="clear"/>
            <w:tcMar>
              <w:bottom w:w="28" w:type="dxa"/>
            </w:tcMar>
            <w:vAlign w:val="center"/>
          </w:tcPr>
          <w:p>
            <w:pPr>
              <w:pStyle w:val="TableContents"/>
              <w:bidi w:val="0"/>
              <w:spacing w:before="0" w:after="283"/>
              <w:jc w:val="right"/>
              <w:rPr/>
            </w:pPr>
            <w:r>
              <w:rPr/>
              <w:t>17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46"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99"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46"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99" w:type="dxa"/>
            <w:tcBorders>
              <w:bottom w:val="single" w:sz="12" w:space="0" w:color="000000"/>
            </w:tcBorders>
            <w:shd w:fill="FFFFFF" w:val="clear"/>
            <w:tcMar>
              <w:bottom w:w="28" w:type="dxa"/>
            </w:tcMar>
            <w:vAlign w:val="center"/>
          </w:tcPr>
          <w:p>
            <w:pPr>
              <w:pStyle w:val="TableContents"/>
              <w:bidi w:val="0"/>
              <w:spacing w:before="0" w:after="283"/>
              <w:jc w:val="right"/>
              <w:rPr/>
            </w:pPr>
            <w:r>
              <w:rPr/>
              <w:t>17</w:t>
            </w:r>
          </w:p>
        </w:tc>
        <w:tc>
          <w:tcPr>
            <w:tcW w:w="110" w:type="dxa"/>
            <w:tcBorders/>
            <w:shd w:fill="FFFFFF" w:val="clear"/>
            <w:vAlign w:val="center"/>
          </w:tcPr>
          <w:p>
            <w:pPr>
              <w:pStyle w:val="TableContents"/>
              <w:bidi w:val="0"/>
              <w:spacing w:before="0" w:after="283"/>
              <w:jc w:val="left"/>
              <w:rPr/>
            </w:pPr>
            <w:r>
              <w:rPr/>
              <w:t> </w:t>
            </w:r>
          </w:p>
        </w:tc>
      </w:tr>
      <w:tr>
        <w:trPr/>
        <w:tc>
          <w:tcPr>
            <w:tcW w:w="3200" w:type="dxa"/>
            <w:tcBorders/>
            <w:shd w:fill="CCEEFF" w:val="clear"/>
            <w:vAlign w:val="center"/>
          </w:tcPr>
          <w:p>
            <w:pPr>
              <w:pStyle w:val="TableContents"/>
              <w:bidi w:val="0"/>
              <w:spacing w:before="0" w:after="283"/>
              <w:jc w:val="left"/>
              <w:rPr/>
            </w:pPr>
            <w:r>
              <w:rPr/>
              <w:t>Total other income (expense), net</w:t>
            </w:r>
          </w:p>
        </w:tc>
        <w:tc>
          <w:tcPr>
            <w:tcW w:w="60" w:type="dxa"/>
            <w:tcBorders/>
            <w:shd w:fill="CCEEFF" w:val="clear"/>
            <w:vAlign w:val="center"/>
          </w:tcPr>
          <w:p>
            <w:pPr>
              <w:pStyle w:val="TableContents"/>
              <w:bidi w:val="0"/>
              <w:spacing w:before="0" w:after="283"/>
              <w:jc w:val="left"/>
              <w:rPr/>
            </w:pPr>
            <w:r>
              <w:rPr/>
              <w:t> </w:t>
            </w:r>
          </w:p>
        </w:tc>
        <w:tc>
          <w:tcPr>
            <w:tcW w:w="251"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23" w:type="dxa"/>
            <w:tcBorders>
              <w:bottom w:val="single" w:sz="12" w:space="0" w:color="000000"/>
            </w:tcBorders>
            <w:shd w:fill="CCEEFF" w:val="clear"/>
            <w:tcMar>
              <w:bottom w:w="28" w:type="dxa"/>
            </w:tcMar>
            <w:vAlign w:val="center"/>
          </w:tcPr>
          <w:p>
            <w:pPr>
              <w:pStyle w:val="TableContents"/>
              <w:bidi w:val="0"/>
              <w:spacing w:before="0" w:after="283"/>
              <w:jc w:val="right"/>
              <w:rPr/>
            </w:pPr>
            <w:r>
              <w:rPr/>
              <w:t>(1,269</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246"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99"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6"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99" w:type="dxa"/>
            <w:tcBorders>
              <w:bottom w:val="single" w:sz="12" w:space="0" w:color="000000"/>
            </w:tcBorders>
            <w:shd w:fill="CCEEFF" w:val="clear"/>
            <w:tcMar>
              <w:bottom w:w="28" w:type="dxa"/>
            </w:tcMar>
            <w:vAlign w:val="center"/>
          </w:tcPr>
          <w:p>
            <w:pPr>
              <w:pStyle w:val="TableContents"/>
              <w:bidi w:val="0"/>
              <w:spacing w:before="0" w:after="283"/>
              <w:jc w:val="right"/>
              <w:rPr/>
            </w:pPr>
            <w:r>
              <w:rPr/>
              <w:t>(1,269</w:t>
            </w:r>
          </w:p>
        </w:tc>
        <w:tc>
          <w:tcPr>
            <w:tcW w:w="110" w:type="dxa"/>
            <w:tcBorders/>
            <w:shd w:fill="CCEEFF" w:val="clear"/>
            <w:vAlign w:val="center"/>
          </w:tcPr>
          <w:p>
            <w:pPr>
              <w:pStyle w:val="TableContents"/>
              <w:bidi w:val="0"/>
              <w:spacing w:before="0" w:after="283"/>
              <w:jc w:val="left"/>
              <w:rPr/>
            </w:pPr>
            <w:r>
              <w:rPr/>
              <w:t>)</w:t>
            </w:r>
          </w:p>
        </w:tc>
      </w:tr>
      <w:tr>
        <w:trPr/>
        <w:tc>
          <w:tcPr>
            <w:tcW w:w="3200" w:type="dxa"/>
            <w:tcBorders/>
            <w:shd w:fill="FFFFFF" w:val="clear"/>
            <w:vAlign w:val="center"/>
          </w:tcPr>
          <w:p>
            <w:pPr>
              <w:pStyle w:val="TableContents"/>
              <w:bidi w:val="0"/>
              <w:spacing w:before="0" w:after="283"/>
              <w:jc w:val="left"/>
              <w:rPr/>
            </w:pPr>
            <w:r>
              <w:rPr/>
              <w:t>Loss from before income taxes</w:t>
            </w:r>
          </w:p>
        </w:tc>
        <w:tc>
          <w:tcPr>
            <w:tcW w:w="60" w:type="dxa"/>
            <w:tcBorders/>
            <w:shd w:fill="FFFFFF" w:val="clear"/>
            <w:vAlign w:val="center"/>
          </w:tcPr>
          <w:p>
            <w:pPr>
              <w:pStyle w:val="TableContents"/>
              <w:bidi w:val="0"/>
              <w:spacing w:before="0" w:after="283"/>
              <w:jc w:val="left"/>
              <w:rPr/>
            </w:pPr>
            <w:r>
              <w:rPr/>
              <w:t> </w:t>
            </w:r>
          </w:p>
        </w:tc>
        <w:tc>
          <w:tcPr>
            <w:tcW w:w="251" w:type="dxa"/>
            <w:tcBorders/>
            <w:shd w:fill="FFFFFF" w:val="clear"/>
            <w:vAlign w:val="center"/>
          </w:tcPr>
          <w:p>
            <w:pPr>
              <w:pStyle w:val="TableContents"/>
              <w:bidi w:val="0"/>
              <w:spacing w:before="0" w:after="283"/>
              <w:jc w:val="left"/>
              <w:rPr/>
            </w:pPr>
            <w:r>
              <w:rPr/>
              <w:t> </w:t>
            </w:r>
          </w:p>
        </w:tc>
        <w:tc>
          <w:tcPr>
            <w:tcW w:w="1223" w:type="dxa"/>
            <w:tcBorders/>
            <w:shd w:fill="FFFFFF" w:val="clear"/>
            <w:vAlign w:val="center"/>
          </w:tcPr>
          <w:p>
            <w:pPr>
              <w:pStyle w:val="TableContents"/>
              <w:bidi w:val="0"/>
              <w:spacing w:before="0" w:after="283"/>
              <w:jc w:val="right"/>
              <w:rPr/>
            </w:pPr>
            <w:r>
              <w:rPr/>
              <w:t>(1,196</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246" w:type="dxa"/>
            <w:tcBorders/>
            <w:shd w:fill="FFFFFF" w:val="clear"/>
            <w:vAlign w:val="center"/>
          </w:tcPr>
          <w:p>
            <w:pPr>
              <w:pStyle w:val="TableContents"/>
              <w:bidi w:val="0"/>
              <w:spacing w:before="0" w:after="283"/>
              <w:jc w:val="left"/>
              <w:rPr/>
            </w:pPr>
            <w:r>
              <w:rPr/>
              <w:t> </w:t>
            </w:r>
          </w:p>
        </w:tc>
        <w:tc>
          <w:tcPr>
            <w:tcW w:w="1199" w:type="dxa"/>
            <w:tcBorders/>
            <w:shd w:fill="FFFFFF" w:val="clear"/>
            <w:vAlign w:val="center"/>
          </w:tcPr>
          <w:p>
            <w:pPr>
              <w:pStyle w:val="TableContents"/>
              <w:bidi w:val="0"/>
              <w:spacing w:before="0" w:after="283"/>
              <w:jc w:val="right"/>
              <w:rPr/>
            </w:pPr>
            <w:r>
              <w:rPr/>
              <w:t>(245</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246" w:type="dxa"/>
            <w:tcBorders/>
            <w:shd w:fill="FFFFFF" w:val="clear"/>
            <w:vAlign w:val="center"/>
          </w:tcPr>
          <w:p>
            <w:pPr>
              <w:pStyle w:val="TableContents"/>
              <w:bidi w:val="0"/>
              <w:spacing w:before="0" w:after="283"/>
              <w:jc w:val="left"/>
              <w:rPr/>
            </w:pPr>
            <w:r>
              <w:rPr/>
              <w:t> </w:t>
            </w:r>
          </w:p>
        </w:tc>
        <w:tc>
          <w:tcPr>
            <w:tcW w:w="1199" w:type="dxa"/>
            <w:tcBorders/>
            <w:shd w:fill="FFFFFF" w:val="clear"/>
            <w:vAlign w:val="center"/>
          </w:tcPr>
          <w:p>
            <w:pPr>
              <w:pStyle w:val="TableContents"/>
              <w:bidi w:val="0"/>
              <w:spacing w:before="0" w:after="283"/>
              <w:jc w:val="right"/>
              <w:rPr/>
            </w:pPr>
            <w:r>
              <w:rPr/>
              <w:t>(1,441</w:t>
            </w:r>
          </w:p>
        </w:tc>
        <w:tc>
          <w:tcPr>
            <w:tcW w:w="110" w:type="dxa"/>
            <w:tcBorders/>
            <w:shd w:fill="FFFFFF" w:val="clear"/>
            <w:vAlign w:val="center"/>
          </w:tcPr>
          <w:p>
            <w:pPr>
              <w:pStyle w:val="TableContents"/>
              <w:bidi w:val="0"/>
              <w:spacing w:before="0" w:after="283"/>
              <w:jc w:val="left"/>
              <w:rPr/>
            </w:pPr>
            <w:r>
              <w:rPr/>
              <w:t>)</w:t>
            </w:r>
          </w:p>
        </w:tc>
      </w:tr>
      <w:tr>
        <w:trPr/>
        <w:tc>
          <w:tcPr>
            <w:tcW w:w="3200" w:type="dxa"/>
            <w:tcBorders/>
            <w:shd w:fill="CCEEFF" w:val="clear"/>
            <w:vAlign w:val="center"/>
          </w:tcPr>
          <w:p>
            <w:pPr>
              <w:pStyle w:val="TableContents"/>
              <w:bidi w:val="0"/>
              <w:spacing w:before="0" w:after="283"/>
              <w:jc w:val="left"/>
              <w:rPr/>
            </w:pPr>
            <w:r>
              <w:rPr/>
              <w:t>Income tax (provision) benefit</w:t>
            </w:r>
          </w:p>
        </w:tc>
        <w:tc>
          <w:tcPr>
            <w:tcW w:w="60" w:type="dxa"/>
            <w:tcBorders/>
            <w:shd w:fill="CCEEFF" w:val="clear"/>
            <w:vAlign w:val="center"/>
          </w:tcPr>
          <w:p>
            <w:pPr>
              <w:pStyle w:val="TableContents"/>
              <w:bidi w:val="0"/>
              <w:spacing w:before="0" w:after="283"/>
              <w:jc w:val="left"/>
              <w:rPr/>
            </w:pPr>
            <w:r>
              <w:rPr/>
              <w:t> </w:t>
            </w:r>
          </w:p>
        </w:tc>
        <w:tc>
          <w:tcPr>
            <w:tcW w:w="251"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23"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6"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99"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6"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99"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110" w:type="dxa"/>
            <w:tcBorders/>
            <w:shd w:fill="CCEEFF" w:val="clear"/>
            <w:vAlign w:val="center"/>
          </w:tcPr>
          <w:p>
            <w:pPr>
              <w:pStyle w:val="TableContents"/>
              <w:bidi w:val="0"/>
              <w:spacing w:before="0" w:after="283"/>
              <w:jc w:val="left"/>
              <w:rPr/>
            </w:pPr>
            <w:r>
              <w:rPr/>
              <w:t> </w:t>
            </w:r>
          </w:p>
        </w:tc>
      </w:tr>
      <w:tr>
        <w:trPr/>
        <w:tc>
          <w:tcPr>
            <w:tcW w:w="3200" w:type="dxa"/>
            <w:tcBorders/>
            <w:shd w:fill="FFFFFF" w:val="clear"/>
            <w:vAlign w:val="center"/>
          </w:tcPr>
          <w:p>
            <w:pPr>
              <w:pStyle w:val="TableContents"/>
              <w:bidi w:val="0"/>
              <w:spacing w:before="0" w:after="283"/>
              <w:jc w:val="left"/>
              <w:rPr/>
            </w:pPr>
            <w:r>
              <w:rPr/>
              <w:t>Net loss</w:t>
            </w:r>
          </w:p>
        </w:tc>
        <w:tc>
          <w:tcPr>
            <w:tcW w:w="60" w:type="dxa"/>
            <w:tcBorders/>
            <w:shd w:fill="FFFFFF" w:val="clear"/>
            <w:vAlign w:val="center"/>
          </w:tcPr>
          <w:p>
            <w:pPr>
              <w:pStyle w:val="TableContents"/>
              <w:bidi w:val="0"/>
              <w:spacing w:before="0" w:after="283"/>
              <w:jc w:val="left"/>
              <w:rPr/>
            </w:pPr>
            <w:r>
              <w:rPr/>
              <w:t> </w:t>
            </w:r>
          </w:p>
        </w:tc>
        <w:tc>
          <w:tcPr>
            <w:tcW w:w="251" w:type="dxa"/>
            <w:tcBorders>
              <w:bottom w:val="double" w:sz="10" w:space="0" w:color="000000"/>
            </w:tcBorders>
            <w:shd w:fill="FFFFFF" w:val="clear"/>
            <w:tcMar>
              <w:bottom w:w="28" w:type="dxa"/>
            </w:tcMar>
            <w:vAlign w:val="center"/>
          </w:tcPr>
          <w:p>
            <w:pPr>
              <w:pStyle w:val="TableContents"/>
              <w:bidi w:val="0"/>
              <w:spacing w:before="0" w:after="283"/>
              <w:jc w:val="left"/>
              <w:rPr/>
            </w:pPr>
            <w:r>
              <w:rPr/>
              <w:t>$</w:t>
            </w:r>
          </w:p>
        </w:tc>
        <w:tc>
          <w:tcPr>
            <w:tcW w:w="1223" w:type="dxa"/>
            <w:tcBorders>
              <w:bottom w:val="double" w:sz="10" w:space="0" w:color="000000"/>
            </w:tcBorders>
            <w:shd w:fill="FFFFFF" w:val="clear"/>
            <w:tcMar>
              <w:bottom w:w="28" w:type="dxa"/>
            </w:tcMar>
            <w:vAlign w:val="center"/>
          </w:tcPr>
          <w:p>
            <w:pPr>
              <w:pStyle w:val="TableContents"/>
              <w:bidi w:val="0"/>
              <w:spacing w:before="0" w:after="283"/>
              <w:jc w:val="right"/>
              <w:rPr/>
            </w:pPr>
            <w:r>
              <w:rPr/>
              <w:t>(1,196</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246" w:type="dxa"/>
            <w:tcBorders>
              <w:bottom w:val="double" w:sz="10" w:space="0" w:color="000000"/>
            </w:tcBorders>
            <w:shd w:fill="FFFFFF" w:val="clear"/>
            <w:tcMar>
              <w:bottom w:w="28" w:type="dxa"/>
            </w:tcMar>
            <w:vAlign w:val="center"/>
          </w:tcPr>
          <w:p>
            <w:pPr>
              <w:pStyle w:val="TableContents"/>
              <w:bidi w:val="0"/>
              <w:spacing w:before="0" w:after="283"/>
              <w:jc w:val="left"/>
              <w:rPr/>
            </w:pPr>
            <w:r>
              <w:rPr/>
              <w:t>$</w:t>
            </w:r>
          </w:p>
        </w:tc>
        <w:tc>
          <w:tcPr>
            <w:tcW w:w="1199" w:type="dxa"/>
            <w:tcBorders>
              <w:bottom w:val="double" w:sz="10" w:space="0" w:color="000000"/>
            </w:tcBorders>
            <w:shd w:fill="FFFFFF" w:val="clear"/>
            <w:tcMar>
              <w:bottom w:w="28" w:type="dxa"/>
            </w:tcMar>
            <w:vAlign w:val="center"/>
          </w:tcPr>
          <w:p>
            <w:pPr>
              <w:pStyle w:val="TableContents"/>
              <w:bidi w:val="0"/>
              <w:spacing w:before="0" w:after="283"/>
              <w:jc w:val="right"/>
              <w:rPr/>
            </w:pPr>
            <w:r>
              <w:rPr/>
              <w:t>(245</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246" w:type="dxa"/>
            <w:tcBorders>
              <w:bottom w:val="double" w:sz="10" w:space="0" w:color="000000"/>
            </w:tcBorders>
            <w:shd w:fill="FFFFFF" w:val="clear"/>
            <w:tcMar>
              <w:bottom w:w="28" w:type="dxa"/>
            </w:tcMar>
            <w:vAlign w:val="center"/>
          </w:tcPr>
          <w:p>
            <w:pPr>
              <w:pStyle w:val="TableContents"/>
              <w:bidi w:val="0"/>
              <w:spacing w:before="0" w:after="283"/>
              <w:jc w:val="left"/>
              <w:rPr/>
            </w:pPr>
            <w:r>
              <w:rPr/>
              <w:t>$</w:t>
            </w:r>
          </w:p>
        </w:tc>
        <w:tc>
          <w:tcPr>
            <w:tcW w:w="1199" w:type="dxa"/>
            <w:tcBorders>
              <w:bottom w:val="double" w:sz="10" w:space="0" w:color="000000"/>
            </w:tcBorders>
            <w:shd w:fill="FFFFFF" w:val="clear"/>
            <w:tcMar>
              <w:bottom w:w="28" w:type="dxa"/>
            </w:tcMar>
            <w:vAlign w:val="center"/>
          </w:tcPr>
          <w:p>
            <w:pPr>
              <w:pStyle w:val="TableContents"/>
              <w:bidi w:val="0"/>
              <w:spacing w:before="0" w:after="283"/>
              <w:jc w:val="right"/>
              <w:rPr/>
            </w:pPr>
            <w:r>
              <w:rPr/>
              <w:t>(1,441</w:t>
            </w:r>
          </w:p>
        </w:tc>
        <w:tc>
          <w:tcPr>
            <w:tcW w:w="110" w:type="dxa"/>
            <w:tcBorders/>
            <w:shd w:fill="FFFFFF" w:val="clear"/>
            <w:vAlign w:val="center"/>
          </w:tcPr>
          <w:p>
            <w:pPr>
              <w:pStyle w:val="TableContents"/>
              <w:bidi w:val="0"/>
              <w:spacing w:before="0" w:after="283"/>
              <w:jc w:val="left"/>
              <w:rPr/>
            </w:pPr>
            <w:r>
              <w:rPr/>
              <w:t>)</w:t>
            </w:r>
          </w:p>
        </w:tc>
      </w:tr>
    </w:tbl>
    <w:p>
      <w:pPr>
        <w:pStyle w:val="TextBody"/>
        <w:bidi w:val="0"/>
        <w:spacing w:before="0" w:after="0"/>
        <w:ind w:left="0" w:right="0" w:hanging="0"/>
        <w:jc w:val="both"/>
        <w:rPr>
          <w:caps w:val="false"/>
          <w:smallCaps w:val="false"/>
        </w:rPr>
      </w:pPr>
      <w:r>
        <w:rPr>
          <w:caps w:val="false"/>
          <w:smallCaps w:val="false"/>
        </w:rPr>
        <w:t> </w:t>
      </w:r>
    </w:p>
    <w:tbl>
      <w:tblPr>
        <w:tblW w:w="6175" w:type="dxa"/>
        <w:jc w:val="left"/>
        <w:tblInd w:w="0" w:type="dxa"/>
        <w:tblLayout w:type="fixed"/>
        <w:tblCellMar>
          <w:top w:w="0" w:type="dxa"/>
          <w:left w:w="0" w:type="dxa"/>
          <w:bottom w:w="0" w:type="dxa"/>
          <w:right w:w="0" w:type="dxa"/>
        </w:tblCellMar>
      </w:tblPr>
      <w:tblGrid>
        <w:gridCol w:w="185"/>
        <w:gridCol w:w="5990"/>
      </w:tblGrid>
      <w:tr>
        <w:trPr/>
        <w:tc>
          <w:tcPr>
            <w:tcW w:w="18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4.</w:t>
            </w:r>
          </w:p>
        </w:tc>
        <w:tc>
          <w:tcPr>
            <w:tcW w:w="599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Notes to the Unaudited Pro Forma Combined Statements of Operations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pro forma adjustments included in the unaudited pro forma combined statements of operations for the year ended December 28, 2025, are as follows:</w:t>
      </w:r>
    </w:p>
    <w:p>
      <w:pPr>
        <w:pStyle w:val="TextBody"/>
        <w:bidi w:val="0"/>
        <w:spacing w:before="0" w:after="0"/>
        <w:ind w:left="72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00"/>
        <w:gridCol w:w="9930"/>
      </w:tblGrid>
      <w:tr>
        <w:trPr/>
        <w:tc>
          <w:tcPr>
            <w:tcW w:w="7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w:t>
            </w:r>
          </w:p>
        </w:tc>
        <w:tc>
          <w:tcPr>
            <w:tcW w:w="993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 xml:space="preserve">As of the acquisition date, the provisional components of Sunder intangibles acquired and their useful lives were as follows </w:t>
            </w:r>
            <w:r>
              <w:rPr>
                <w:rFonts w:ascii="Times New Roman;Times;Serif" w:hAnsi="Times New Roman;Times;Serif"/>
                <w:i/>
                <w:sz w:val="20"/>
              </w:rPr>
              <w:t>(in thousands):</w:t>
            </w:r>
          </w:p>
        </w:tc>
      </w:tr>
    </w:tbl>
    <w:p>
      <w:pPr>
        <w:pStyle w:val="TextBody"/>
        <w:bidi w:val="0"/>
        <w:spacing w:before="0" w:after="0"/>
        <w:ind w:left="0" w:right="0" w:hanging="0"/>
        <w:jc w:val="both"/>
        <w:rPr>
          <w:caps w:val="false"/>
          <w:smallCaps w:val="false"/>
        </w:rPr>
      </w:pPr>
      <w:r>
        <w:rPr>
          <w:caps w:val="false"/>
          <w:smallCaps w:val="false"/>
        </w:rPr>
        <w:t> </w:t>
      </w:r>
    </w:p>
    <w:tbl>
      <w:tblPr>
        <w:tblW w:w="4725" w:type="dxa"/>
        <w:jc w:val="left"/>
        <w:tblInd w:w="0" w:type="dxa"/>
        <w:tblLayout w:type="fixed"/>
        <w:tblCellMar>
          <w:top w:w="0" w:type="dxa"/>
          <w:left w:w="0" w:type="dxa"/>
          <w:bottom w:w="0" w:type="dxa"/>
          <w:right w:w="0" w:type="dxa"/>
        </w:tblCellMar>
      </w:tblPr>
      <w:tblGrid>
        <w:gridCol w:w="2630"/>
        <w:gridCol w:w="60"/>
        <w:gridCol w:w="1040"/>
        <w:gridCol w:w="60"/>
        <w:gridCol w:w="146"/>
        <w:gridCol w:w="714"/>
        <w:gridCol w:w="75"/>
      </w:tblGrid>
      <w:tr>
        <w:trPr/>
        <w:tc>
          <w:tcPr>
            <w:tcW w:w="2630"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p>
        </w:tc>
        <w:tc>
          <w:tcPr>
            <w:tcW w:w="1040" w:type="dxa"/>
            <w:tcBorders>
              <w:bottom w:val="single" w:sz="12" w:space="0" w:color="000000"/>
            </w:tcBorders>
            <w:tcMar>
              <w:bottom w:w="28" w:type="dxa"/>
            </w:tcMar>
            <w:vAlign w:val="center"/>
          </w:tcPr>
          <w:p>
            <w:pPr>
              <w:pStyle w:val="TableContents"/>
              <w:bidi w:val="0"/>
              <w:spacing w:before="0" w:after="283"/>
              <w:jc w:val="center"/>
              <w:rPr>
                <w:b/>
              </w:rPr>
            </w:pPr>
            <w:r>
              <w:rPr>
                <w:b/>
              </w:rPr>
              <w:t>Estimated</w:t>
              <w:br/>
              <w:t>useful life</w:t>
            </w:r>
          </w:p>
        </w:tc>
        <w:tc>
          <w:tcPr>
            <w:tcW w:w="60" w:type="dxa"/>
            <w:tcBorders/>
            <w:vAlign w:val="center"/>
          </w:tcPr>
          <w:p>
            <w:pPr>
              <w:pStyle w:val="TableContents"/>
              <w:bidi w:val="0"/>
              <w:spacing w:before="0" w:after="283"/>
              <w:jc w:val="left"/>
              <w:rPr/>
            </w:pPr>
            <w:r>
              <w:rPr/>
              <w:t> </w:t>
            </w:r>
          </w:p>
        </w:tc>
        <w:tc>
          <w:tcPr>
            <w:tcW w:w="86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Amount</w:t>
            </w:r>
          </w:p>
        </w:tc>
        <w:tc>
          <w:tcPr>
            <w:tcW w:w="75" w:type="dxa"/>
            <w:tcBorders/>
            <w:vAlign w:val="center"/>
          </w:tcPr>
          <w:p>
            <w:pPr>
              <w:pStyle w:val="TableContents"/>
              <w:bidi w:val="0"/>
              <w:spacing w:before="0" w:after="283"/>
              <w:jc w:val="left"/>
              <w:rPr/>
            </w:pPr>
            <w:r>
              <w:rPr/>
              <w:t> </w:t>
            </w:r>
          </w:p>
        </w:tc>
      </w:tr>
      <w:tr>
        <w:trPr/>
        <w:tc>
          <w:tcPr>
            <w:tcW w:w="2630" w:type="dxa"/>
            <w:tcBorders/>
            <w:shd w:fill="CCEEFF" w:val="clear"/>
            <w:vAlign w:val="center"/>
          </w:tcPr>
          <w:p>
            <w:pPr>
              <w:pStyle w:val="TableContents"/>
              <w:bidi w:val="0"/>
              <w:spacing w:before="0" w:after="283"/>
              <w:jc w:val="both"/>
              <w:rPr/>
            </w:pPr>
            <w:r>
              <w:rPr/>
              <w:t>Customer related intangible</w:t>
            </w:r>
          </w:p>
        </w:tc>
        <w:tc>
          <w:tcPr>
            <w:tcW w:w="60" w:type="dxa"/>
            <w:tcBorders/>
            <w:shd w:fill="CCEEFF" w:val="clear"/>
            <w:vAlign w:val="center"/>
          </w:tcPr>
          <w:p>
            <w:pPr>
              <w:pStyle w:val="TableContents"/>
              <w:bidi w:val="0"/>
              <w:spacing w:before="0" w:after="283"/>
              <w:jc w:val="left"/>
              <w:rPr/>
            </w:pPr>
            <w:r>
              <w:rPr/>
              <w:t> </w:t>
            </w:r>
          </w:p>
        </w:tc>
        <w:tc>
          <w:tcPr>
            <w:tcW w:w="1040" w:type="dxa"/>
            <w:tcBorders/>
            <w:shd w:fill="CCEEFF" w:val="clear"/>
            <w:vAlign w:val="center"/>
          </w:tcPr>
          <w:p>
            <w:pPr>
              <w:pStyle w:val="TableContents"/>
              <w:bidi w:val="0"/>
              <w:spacing w:before="0" w:after="283"/>
              <w:jc w:val="center"/>
              <w:rPr/>
            </w:pPr>
            <w:r>
              <w:rPr/>
              <w:t>10 year</w:t>
            </w:r>
          </w:p>
        </w:tc>
        <w:tc>
          <w:tcPr>
            <w:tcW w:w="60"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w:t>
            </w:r>
          </w:p>
        </w:tc>
        <w:tc>
          <w:tcPr>
            <w:tcW w:w="714" w:type="dxa"/>
            <w:tcBorders/>
            <w:shd w:fill="CCEEFF" w:val="clear"/>
            <w:vAlign w:val="center"/>
          </w:tcPr>
          <w:p>
            <w:pPr>
              <w:pStyle w:val="TableContents"/>
              <w:bidi w:val="0"/>
              <w:spacing w:before="0" w:after="283"/>
              <w:jc w:val="right"/>
              <w:rPr/>
            </w:pPr>
            <w:r>
              <w:rPr/>
              <w:t>30,600</w:t>
            </w:r>
          </w:p>
        </w:tc>
        <w:tc>
          <w:tcPr>
            <w:tcW w:w="75" w:type="dxa"/>
            <w:tcBorders/>
            <w:shd w:fill="CCEEFF" w:val="clear"/>
            <w:vAlign w:val="center"/>
          </w:tcPr>
          <w:p>
            <w:pPr>
              <w:pStyle w:val="TableContents"/>
              <w:bidi w:val="0"/>
              <w:spacing w:before="0" w:after="283"/>
              <w:jc w:val="left"/>
              <w:rPr/>
            </w:pPr>
            <w:r>
              <w:rPr/>
              <w:t> </w:t>
            </w:r>
          </w:p>
        </w:tc>
      </w:tr>
      <w:tr>
        <w:trPr/>
        <w:tc>
          <w:tcPr>
            <w:tcW w:w="2630" w:type="dxa"/>
            <w:tcBorders/>
            <w:shd w:fill="FFFFFF" w:val="clear"/>
            <w:vAlign w:val="center"/>
          </w:tcPr>
          <w:p>
            <w:pPr>
              <w:pStyle w:val="TableContents"/>
              <w:bidi w:val="0"/>
              <w:spacing w:before="0" w:after="283"/>
              <w:jc w:val="both"/>
              <w:rPr/>
            </w:pPr>
            <w:r>
              <w:rPr/>
              <w:t>Trademark</w:t>
            </w:r>
          </w:p>
        </w:tc>
        <w:tc>
          <w:tcPr>
            <w:tcW w:w="60" w:type="dxa"/>
            <w:tcBorders/>
            <w:shd w:fill="FFFFFF" w:val="clear"/>
            <w:vAlign w:val="center"/>
          </w:tcPr>
          <w:p>
            <w:pPr>
              <w:pStyle w:val="TableContents"/>
              <w:bidi w:val="0"/>
              <w:spacing w:before="0" w:after="283"/>
              <w:jc w:val="left"/>
              <w:rPr/>
            </w:pPr>
            <w:r>
              <w:rPr/>
              <w:t> </w:t>
            </w:r>
          </w:p>
        </w:tc>
        <w:tc>
          <w:tcPr>
            <w:tcW w:w="1040" w:type="dxa"/>
            <w:tcBorders/>
            <w:shd w:fill="FFFFFF" w:val="clear"/>
            <w:vAlign w:val="center"/>
          </w:tcPr>
          <w:p>
            <w:pPr>
              <w:pStyle w:val="TableContents"/>
              <w:bidi w:val="0"/>
              <w:spacing w:before="0" w:after="283"/>
              <w:jc w:val="center"/>
              <w:rPr/>
            </w:pPr>
            <w:r>
              <w:rPr/>
              <w:t>10 years</w:t>
            </w:r>
          </w:p>
        </w:tc>
        <w:tc>
          <w:tcPr>
            <w:tcW w:w="60"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14" w:type="dxa"/>
            <w:tcBorders/>
            <w:shd w:fill="FFFFFF" w:val="clear"/>
            <w:vAlign w:val="center"/>
          </w:tcPr>
          <w:p>
            <w:pPr>
              <w:pStyle w:val="TableContents"/>
              <w:bidi w:val="0"/>
              <w:spacing w:before="0" w:after="283"/>
              <w:jc w:val="right"/>
              <w:rPr/>
            </w:pPr>
            <w:r>
              <w:rPr/>
              <w:t>6,100</w:t>
            </w:r>
          </w:p>
        </w:tc>
        <w:tc>
          <w:tcPr>
            <w:tcW w:w="75" w:type="dxa"/>
            <w:tcBorders/>
            <w:shd w:fill="FFFFFF" w:val="clear"/>
            <w:vAlign w:val="center"/>
          </w:tcPr>
          <w:p>
            <w:pPr>
              <w:pStyle w:val="TableContents"/>
              <w:bidi w:val="0"/>
              <w:spacing w:before="0" w:after="283"/>
              <w:jc w:val="left"/>
              <w:rPr/>
            </w:pPr>
            <w:r>
              <w:rPr/>
              <w:t> </w:t>
            </w:r>
          </w:p>
        </w:tc>
      </w:tr>
      <w:tr>
        <w:trPr/>
        <w:tc>
          <w:tcPr>
            <w:tcW w:w="2630" w:type="dxa"/>
            <w:tcBorders/>
            <w:shd w:fill="CCEEFF" w:val="clear"/>
            <w:vAlign w:val="center"/>
          </w:tcPr>
          <w:p>
            <w:pPr>
              <w:pStyle w:val="TableContents"/>
              <w:bidi w:val="0"/>
              <w:spacing w:before="0" w:after="283"/>
              <w:jc w:val="both"/>
              <w:rPr/>
            </w:pPr>
            <w:r>
              <w:rPr/>
              <w:t>Developed technology</w:t>
            </w:r>
          </w:p>
        </w:tc>
        <w:tc>
          <w:tcPr>
            <w:tcW w:w="60" w:type="dxa"/>
            <w:tcBorders/>
            <w:shd w:fill="CCEEFF" w:val="clear"/>
            <w:vAlign w:val="center"/>
          </w:tcPr>
          <w:p>
            <w:pPr>
              <w:pStyle w:val="TableContents"/>
              <w:bidi w:val="0"/>
              <w:spacing w:before="0" w:after="283"/>
              <w:jc w:val="left"/>
              <w:rPr/>
            </w:pPr>
            <w:r>
              <w:rPr/>
              <w:t> </w:t>
            </w:r>
          </w:p>
        </w:tc>
        <w:tc>
          <w:tcPr>
            <w:tcW w:w="1040" w:type="dxa"/>
            <w:tcBorders/>
            <w:shd w:fill="CCEEFF" w:val="clear"/>
            <w:vAlign w:val="center"/>
          </w:tcPr>
          <w:p>
            <w:pPr>
              <w:pStyle w:val="TableContents"/>
              <w:bidi w:val="0"/>
              <w:spacing w:before="0" w:after="283"/>
              <w:jc w:val="center"/>
              <w:rPr/>
            </w:pPr>
            <w:r>
              <w:rPr/>
              <w:t>2 years</w:t>
            </w:r>
          </w:p>
        </w:tc>
        <w:tc>
          <w:tcPr>
            <w:tcW w:w="60" w:type="dxa"/>
            <w:tcBorders/>
            <w:shd w:fill="CCEEFF" w:val="clear"/>
            <w:vAlign w:val="center"/>
          </w:tcPr>
          <w:p>
            <w:pPr>
              <w:pStyle w:val="TableContents"/>
              <w:bidi w:val="0"/>
              <w:spacing w:before="0" w:after="283"/>
              <w:jc w:val="left"/>
              <w:rPr/>
            </w:pPr>
            <w:r>
              <w:rPr/>
              <w:t> </w:t>
            </w:r>
          </w:p>
        </w:tc>
        <w:tc>
          <w:tcPr>
            <w:tcW w:w="146"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714" w:type="dxa"/>
            <w:tcBorders>
              <w:bottom w:val="single" w:sz="12" w:space="0" w:color="000000"/>
            </w:tcBorders>
            <w:shd w:fill="CCEEFF" w:val="clear"/>
            <w:tcMar>
              <w:bottom w:w="28" w:type="dxa"/>
            </w:tcMar>
            <w:vAlign w:val="center"/>
          </w:tcPr>
          <w:p>
            <w:pPr>
              <w:pStyle w:val="TableContents"/>
              <w:bidi w:val="0"/>
              <w:spacing w:before="0" w:after="283"/>
              <w:jc w:val="right"/>
              <w:rPr/>
            </w:pPr>
            <w:r>
              <w:rPr/>
              <w:t>800</w:t>
            </w:r>
          </w:p>
        </w:tc>
        <w:tc>
          <w:tcPr>
            <w:tcW w:w="75" w:type="dxa"/>
            <w:tcBorders/>
            <w:shd w:fill="CCEEFF" w:val="clear"/>
            <w:vAlign w:val="center"/>
          </w:tcPr>
          <w:p>
            <w:pPr>
              <w:pStyle w:val="TableContents"/>
              <w:bidi w:val="0"/>
              <w:spacing w:before="0" w:after="283"/>
              <w:jc w:val="left"/>
              <w:rPr/>
            </w:pPr>
            <w:r>
              <w:rPr/>
              <w:t> </w:t>
            </w:r>
          </w:p>
        </w:tc>
      </w:tr>
      <w:tr>
        <w:trPr/>
        <w:tc>
          <w:tcPr>
            <w:tcW w:w="2630" w:type="dxa"/>
            <w:tcBorders/>
            <w:shd w:fill="FFFFFF" w:val="clear"/>
            <w:vAlign w:val="center"/>
          </w:tcPr>
          <w:p>
            <w:pPr>
              <w:pStyle w:val="TableContents"/>
              <w:bidi w:val="0"/>
              <w:spacing w:before="0" w:after="283"/>
              <w:jc w:val="both"/>
              <w:rPr/>
            </w:pPr>
            <w:r>
              <w:rPr/>
              <w:t>Intangible assets acquired</w:t>
            </w:r>
          </w:p>
        </w:tc>
        <w:tc>
          <w:tcPr>
            <w:tcW w:w="60" w:type="dxa"/>
            <w:tcBorders/>
            <w:shd w:fill="FFFFFF" w:val="clear"/>
            <w:vAlign w:val="center"/>
          </w:tcPr>
          <w:p>
            <w:pPr>
              <w:pStyle w:val="TableContents"/>
              <w:bidi w:val="0"/>
              <w:spacing w:before="0" w:after="283"/>
              <w:jc w:val="left"/>
              <w:rPr/>
            </w:pPr>
            <w:r>
              <w:rPr/>
              <w:t> </w:t>
            </w:r>
          </w:p>
        </w:tc>
        <w:tc>
          <w:tcPr>
            <w:tcW w:w="104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146" w:type="dxa"/>
            <w:tcBorders>
              <w:bottom w:val="double" w:sz="10" w:space="0" w:color="000000"/>
            </w:tcBorders>
            <w:shd w:fill="FFFFFF" w:val="clear"/>
            <w:tcMar>
              <w:bottom w:w="28" w:type="dxa"/>
            </w:tcMar>
            <w:vAlign w:val="center"/>
          </w:tcPr>
          <w:p>
            <w:pPr>
              <w:pStyle w:val="TableContents"/>
              <w:bidi w:val="0"/>
              <w:spacing w:before="0" w:after="283"/>
              <w:jc w:val="left"/>
              <w:rPr/>
            </w:pPr>
            <w:r>
              <w:rPr/>
              <w:t>$</w:t>
            </w:r>
          </w:p>
        </w:tc>
        <w:tc>
          <w:tcPr>
            <w:tcW w:w="714" w:type="dxa"/>
            <w:tcBorders>
              <w:bottom w:val="double" w:sz="10" w:space="0" w:color="000000"/>
            </w:tcBorders>
            <w:shd w:fill="FFFFFF" w:val="clear"/>
            <w:tcMar>
              <w:bottom w:w="28" w:type="dxa"/>
            </w:tcMar>
            <w:vAlign w:val="center"/>
          </w:tcPr>
          <w:p>
            <w:pPr>
              <w:pStyle w:val="TableContents"/>
              <w:bidi w:val="0"/>
              <w:spacing w:before="0" w:after="283"/>
              <w:jc w:val="right"/>
              <w:rPr/>
            </w:pPr>
            <w:r>
              <w:rPr/>
              <w:t>37,500</w:t>
            </w:r>
          </w:p>
        </w:tc>
        <w:tc>
          <w:tcPr>
            <w:tcW w:w="75"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F-182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Intangible assets are amortized on a straight-line basis. This transaction adjustment reflects the pro forma amortization expense for the period from January 1, 2025 to September 23, 2025, the acquisition date. The components of the pro forma amortization expense are as noted below </w:t>
      </w:r>
      <w:r>
        <w:rPr>
          <w:rFonts w:ascii="Times New Roman;Times;Serif" w:hAnsi="Times New Roman;Times;Serif"/>
          <w:b w:val="false"/>
          <w:i/>
          <w:caps w:val="false"/>
          <w:smallCaps w:val="false"/>
          <w:sz w:val="20"/>
        </w:rPr>
        <w:t>(in thousands)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tbl>
      <w:tblPr>
        <w:tblW w:w="6595" w:type="dxa"/>
        <w:jc w:val="left"/>
        <w:tblInd w:w="0" w:type="dxa"/>
        <w:tblLayout w:type="fixed"/>
        <w:tblCellMar>
          <w:top w:w="0" w:type="dxa"/>
          <w:left w:w="0" w:type="dxa"/>
          <w:bottom w:w="0" w:type="dxa"/>
          <w:right w:w="0" w:type="dxa"/>
        </w:tblCellMar>
      </w:tblPr>
      <w:tblGrid>
        <w:gridCol w:w="4985"/>
        <w:gridCol w:w="60"/>
        <w:gridCol w:w="151"/>
        <w:gridCol w:w="1324"/>
        <w:gridCol w:w="75"/>
      </w:tblGrid>
      <w:tr>
        <w:trPr/>
        <w:tc>
          <w:tcPr>
            <w:tcW w:w="498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475" w:type="dxa"/>
            <w:gridSpan w:val="2"/>
            <w:tcBorders/>
            <w:vAlign w:val="center"/>
          </w:tcPr>
          <w:p>
            <w:pPr>
              <w:pStyle w:val="TableContents"/>
              <w:bidi w:val="0"/>
              <w:spacing w:before="0" w:after="283"/>
              <w:jc w:val="center"/>
              <w:rPr>
                <w:b/>
              </w:rPr>
            </w:pPr>
            <w:r>
              <w:rPr>
                <w:b/>
              </w:rPr>
              <w:t>Year-to-date</w:t>
              <w:br/>
              <w:t>Through</w:t>
            </w:r>
          </w:p>
        </w:tc>
        <w:tc>
          <w:tcPr>
            <w:tcW w:w="75" w:type="dxa"/>
            <w:tcBorders/>
            <w:vAlign w:val="center"/>
          </w:tcPr>
          <w:p>
            <w:pPr>
              <w:pStyle w:val="TableContents"/>
              <w:bidi w:val="0"/>
              <w:spacing w:before="0" w:after="283"/>
              <w:jc w:val="left"/>
              <w:rPr/>
            </w:pPr>
            <w:r>
              <w:rPr/>
              <w:t> </w:t>
            </w:r>
          </w:p>
        </w:tc>
      </w:tr>
      <w:tr>
        <w:trPr/>
        <w:tc>
          <w:tcPr>
            <w:tcW w:w="498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47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September 23,</w:t>
              <w:br/>
              <w:t>2025</w:t>
            </w:r>
          </w:p>
        </w:tc>
        <w:tc>
          <w:tcPr>
            <w:tcW w:w="75" w:type="dxa"/>
            <w:tcBorders/>
            <w:vAlign w:val="center"/>
          </w:tcPr>
          <w:p>
            <w:pPr>
              <w:pStyle w:val="TableContents"/>
              <w:bidi w:val="0"/>
              <w:spacing w:before="0" w:after="283"/>
              <w:jc w:val="left"/>
              <w:rPr/>
            </w:pPr>
            <w:r>
              <w:rPr/>
              <w:t> </w:t>
            </w:r>
          </w:p>
        </w:tc>
      </w:tr>
      <w:tr>
        <w:trPr/>
        <w:tc>
          <w:tcPr>
            <w:tcW w:w="4985" w:type="dxa"/>
            <w:tcBorders/>
            <w:shd w:fill="CCEEFF" w:val="clear"/>
            <w:vAlign w:val="center"/>
          </w:tcPr>
          <w:p>
            <w:pPr>
              <w:pStyle w:val="TableContents"/>
              <w:bidi w:val="0"/>
              <w:spacing w:before="0" w:after="283"/>
              <w:jc w:val="both"/>
              <w:rPr/>
            </w:pPr>
            <w:r>
              <w:rPr/>
              <w:t>Customer related intangible</w:t>
            </w:r>
          </w:p>
        </w:tc>
        <w:tc>
          <w:tcPr>
            <w:tcW w:w="60" w:type="dxa"/>
            <w:tcBorders/>
            <w:shd w:fill="CCEEFF" w:val="clear"/>
            <w:vAlign w:val="center"/>
          </w:tcPr>
          <w:p>
            <w:pPr>
              <w:pStyle w:val="TableContents"/>
              <w:bidi w:val="0"/>
              <w:spacing w:before="0" w:after="283"/>
              <w:jc w:val="left"/>
              <w:rPr/>
            </w:pPr>
            <w:r>
              <w:rPr/>
              <w:t> </w:t>
            </w:r>
          </w:p>
        </w:tc>
        <w:tc>
          <w:tcPr>
            <w:tcW w:w="151" w:type="dxa"/>
            <w:tcBorders/>
            <w:shd w:fill="CCEEFF" w:val="clear"/>
            <w:vAlign w:val="center"/>
          </w:tcPr>
          <w:p>
            <w:pPr>
              <w:pStyle w:val="TableContents"/>
              <w:bidi w:val="0"/>
              <w:spacing w:before="0" w:after="283"/>
              <w:jc w:val="left"/>
              <w:rPr/>
            </w:pPr>
            <w:r>
              <w:rPr/>
              <w:t>$</w:t>
            </w:r>
          </w:p>
        </w:tc>
        <w:tc>
          <w:tcPr>
            <w:tcW w:w="1324" w:type="dxa"/>
            <w:tcBorders/>
            <w:shd w:fill="CCEEFF" w:val="clear"/>
            <w:vAlign w:val="center"/>
          </w:tcPr>
          <w:p>
            <w:pPr>
              <w:pStyle w:val="TableContents"/>
              <w:bidi w:val="0"/>
              <w:spacing w:before="0" w:after="283"/>
              <w:jc w:val="right"/>
              <w:rPr/>
            </w:pPr>
            <w:r>
              <w:rPr/>
              <w:t>           </w:t>
            </w:r>
            <w:r>
              <w:rPr/>
              <w:t>2,295</w:t>
            </w:r>
          </w:p>
        </w:tc>
        <w:tc>
          <w:tcPr>
            <w:tcW w:w="75" w:type="dxa"/>
            <w:tcBorders/>
            <w:shd w:fill="CCEEFF" w:val="clear"/>
            <w:vAlign w:val="center"/>
          </w:tcPr>
          <w:p>
            <w:pPr>
              <w:pStyle w:val="TableContents"/>
              <w:bidi w:val="0"/>
              <w:spacing w:before="0" w:after="283"/>
              <w:jc w:val="left"/>
              <w:rPr/>
            </w:pPr>
            <w:r>
              <w:rPr/>
              <w:t> </w:t>
            </w:r>
          </w:p>
        </w:tc>
      </w:tr>
      <w:tr>
        <w:trPr/>
        <w:tc>
          <w:tcPr>
            <w:tcW w:w="4985" w:type="dxa"/>
            <w:tcBorders/>
            <w:shd w:fill="FFFFFF" w:val="clear"/>
            <w:vAlign w:val="center"/>
          </w:tcPr>
          <w:p>
            <w:pPr>
              <w:pStyle w:val="TableContents"/>
              <w:bidi w:val="0"/>
              <w:spacing w:before="0" w:after="283"/>
              <w:jc w:val="both"/>
              <w:rPr/>
            </w:pPr>
            <w:r>
              <w:rPr/>
              <w:t>Trademark</w:t>
            </w:r>
          </w:p>
        </w:tc>
        <w:tc>
          <w:tcPr>
            <w:tcW w:w="60" w:type="dxa"/>
            <w:tcBorders/>
            <w:shd w:fill="FFFFFF" w:val="clear"/>
            <w:vAlign w:val="center"/>
          </w:tcPr>
          <w:p>
            <w:pPr>
              <w:pStyle w:val="TableContents"/>
              <w:bidi w:val="0"/>
              <w:spacing w:before="0" w:after="283"/>
              <w:jc w:val="left"/>
              <w:rPr/>
            </w:pPr>
            <w:r>
              <w:rPr/>
              <w:t> </w:t>
            </w:r>
          </w:p>
        </w:tc>
        <w:tc>
          <w:tcPr>
            <w:tcW w:w="151" w:type="dxa"/>
            <w:tcBorders/>
            <w:shd w:fill="FFFFFF" w:val="clear"/>
            <w:vAlign w:val="center"/>
          </w:tcPr>
          <w:p>
            <w:pPr>
              <w:pStyle w:val="TableContents"/>
              <w:bidi w:val="0"/>
              <w:spacing w:before="0" w:after="283"/>
              <w:jc w:val="left"/>
              <w:rPr/>
            </w:pPr>
            <w:r>
              <w:rPr/>
              <w:t> </w:t>
            </w:r>
          </w:p>
        </w:tc>
        <w:tc>
          <w:tcPr>
            <w:tcW w:w="1324" w:type="dxa"/>
            <w:tcBorders/>
            <w:shd w:fill="FFFFFF" w:val="clear"/>
            <w:vAlign w:val="center"/>
          </w:tcPr>
          <w:p>
            <w:pPr>
              <w:pStyle w:val="TableContents"/>
              <w:bidi w:val="0"/>
              <w:spacing w:before="0" w:after="283"/>
              <w:jc w:val="right"/>
              <w:rPr/>
            </w:pPr>
            <w:r>
              <w:rPr/>
              <w:t>458</w:t>
            </w:r>
          </w:p>
        </w:tc>
        <w:tc>
          <w:tcPr>
            <w:tcW w:w="75" w:type="dxa"/>
            <w:tcBorders/>
            <w:shd w:fill="FFFFFF" w:val="clear"/>
            <w:vAlign w:val="center"/>
          </w:tcPr>
          <w:p>
            <w:pPr>
              <w:pStyle w:val="TableContents"/>
              <w:bidi w:val="0"/>
              <w:spacing w:before="0" w:after="283"/>
              <w:jc w:val="left"/>
              <w:rPr/>
            </w:pPr>
            <w:r>
              <w:rPr/>
              <w:t> </w:t>
            </w:r>
          </w:p>
        </w:tc>
      </w:tr>
      <w:tr>
        <w:trPr/>
        <w:tc>
          <w:tcPr>
            <w:tcW w:w="4985" w:type="dxa"/>
            <w:tcBorders/>
            <w:shd w:fill="CCEEFF" w:val="clear"/>
            <w:vAlign w:val="center"/>
          </w:tcPr>
          <w:p>
            <w:pPr>
              <w:pStyle w:val="TableContents"/>
              <w:bidi w:val="0"/>
              <w:spacing w:before="0" w:after="283"/>
              <w:jc w:val="both"/>
              <w:rPr/>
            </w:pPr>
            <w:r>
              <w:rPr/>
              <w:t>Developed technology</w:t>
            </w:r>
          </w:p>
        </w:tc>
        <w:tc>
          <w:tcPr>
            <w:tcW w:w="60" w:type="dxa"/>
            <w:tcBorders/>
            <w:shd w:fill="CCEEFF" w:val="clear"/>
            <w:vAlign w:val="center"/>
          </w:tcPr>
          <w:p>
            <w:pPr>
              <w:pStyle w:val="TableContents"/>
              <w:bidi w:val="0"/>
              <w:spacing w:before="0" w:after="283"/>
              <w:jc w:val="left"/>
              <w:rPr/>
            </w:pPr>
            <w:r>
              <w:rPr/>
              <w:t> </w:t>
            </w:r>
          </w:p>
        </w:tc>
        <w:tc>
          <w:tcPr>
            <w:tcW w:w="151"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324" w:type="dxa"/>
            <w:tcBorders>
              <w:bottom w:val="single" w:sz="12" w:space="0" w:color="000000"/>
            </w:tcBorders>
            <w:shd w:fill="CCEEFF" w:val="clear"/>
            <w:tcMar>
              <w:bottom w:w="28" w:type="dxa"/>
            </w:tcMar>
            <w:vAlign w:val="center"/>
          </w:tcPr>
          <w:p>
            <w:pPr>
              <w:pStyle w:val="TableContents"/>
              <w:bidi w:val="0"/>
              <w:spacing w:before="0" w:after="283"/>
              <w:jc w:val="right"/>
              <w:rPr/>
            </w:pPr>
            <w:r>
              <w:rPr/>
              <w:t>300</w:t>
            </w:r>
          </w:p>
        </w:tc>
        <w:tc>
          <w:tcPr>
            <w:tcW w:w="75" w:type="dxa"/>
            <w:tcBorders/>
            <w:shd w:fill="CCEEFF" w:val="clear"/>
            <w:vAlign w:val="center"/>
          </w:tcPr>
          <w:p>
            <w:pPr>
              <w:pStyle w:val="TableContents"/>
              <w:bidi w:val="0"/>
              <w:spacing w:before="0" w:after="283"/>
              <w:jc w:val="left"/>
              <w:rPr/>
            </w:pPr>
            <w:r>
              <w:rPr/>
              <w:t> </w:t>
            </w:r>
          </w:p>
        </w:tc>
      </w:tr>
      <w:tr>
        <w:trPr/>
        <w:tc>
          <w:tcPr>
            <w:tcW w:w="4985" w:type="dxa"/>
            <w:tcBorders/>
            <w:shd w:fill="FFFFFF" w:val="clear"/>
            <w:vAlign w:val="center"/>
          </w:tcPr>
          <w:p>
            <w:pPr>
              <w:pStyle w:val="TableContents"/>
              <w:bidi w:val="0"/>
              <w:spacing w:before="0" w:after="283"/>
              <w:jc w:val="both"/>
              <w:rPr/>
            </w:pPr>
            <w:r>
              <w:rPr/>
              <w:t>Total pro forma amortization expense</w:t>
            </w:r>
          </w:p>
        </w:tc>
        <w:tc>
          <w:tcPr>
            <w:tcW w:w="60" w:type="dxa"/>
            <w:tcBorders/>
            <w:shd w:fill="FFFFFF" w:val="clear"/>
            <w:vAlign w:val="center"/>
          </w:tcPr>
          <w:p>
            <w:pPr>
              <w:pStyle w:val="TableContents"/>
              <w:bidi w:val="0"/>
              <w:spacing w:before="0" w:after="283"/>
              <w:jc w:val="left"/>
              <w:rPr/>
            </w:pPr>
            <w:r>
              <w:rPr/>
              <w:t> </w:t>
            </w:r>
          </w:p>
        </w:tc>
        <w:tc>
          <w:tcPr>
            <w:tcW w:w="151" w:type="dxa"/>
            <w:tcBorders>
              <w:bottom w:val="double" w:sz="10" w:space="0" w:color="000000"/>
            </w:tcBorders>
            <w:shd w:fill="FFFFFF" w:val="clear"/>
            <w:tcMar>
              <w:bottom w:w="28" w:type="dxa"/>
            </w:tcMar>
            <w:vAlign w:val="center"/>
          </w:tcPr>
          <w:p>
            <w:pPr>
              <w:pStyle w:val="TableContents"/>
              <w:bidi w:val="0"/>
              <w:spacing w:before="0" w:after="283"/>
              <w:jc w:val="left"/>
              <w:rPr/>
            </w:pPr>
            <w:r>
              <w:rPr/>
              <w:t>$</w:t>
            </w:r>
          </w:p>
        </w:tc>
        <w:tc>
          <w:tcPr>
            <w:tcW w:w="1324" w:type="dxa"/>
            <w:tcBorders>
              <w:bottom w:val="double" w:sz="10" w:space="0" w:color="000000"/>
            </w:tcBorders>
            <w:shd w:fill="FFFFFF" w:val="clear"/>
            <w:tcMar>
              <w:bottom w:w="28" w:type="dxa"/>
            </w:tcMar>
            <w:vAlign w:val="center"/>
          </w:tcPr>
          <w:p>
            <w:pPr>
              <w:pStyle w:val="TableContents"/>
              <w:bidi w:val="0"/>
              <w:spacing w:before="0" w:after="283"/>
              <w:jc w:val="right"/>
              <w:rPr/>
            </w:pPr>
            <w:r>
              <w:rPr/>
              <w:t>3,052</w:t>
            </w:r>
          </w:p>
        </w:tc>
        <w:tc>
          <w:tcPr>
            <w:tcW w:w="75" w:type="dxa"/>
            <w:tcBorders/>
            <w:shd w:fill="FFFFFF" w:val="clear"/>
            <w:vAlign w:val="center"/>
          </w:tcPr>
          <w:p>
            <w:pPr>
              <w:pStyle w:val="TableContents"/>
              <w:bidi w:val="0"/>
              <w:spacing w:before="0" w:after="283"/>
              <w:jc w:val="left"/>
              <w:rPr/>
            </w:pPr>
            <w:r>
              <w:rPr/>
              <w:t> </w:t>
            </w:r>
          </w:p>
        </w:tc>
      </w:tr>
      <w:tr>
        <w:trPr/>
        <w:tc>
          <w:tcPr>
            <w:tcW w:w="4985" w:type="dxa"/>
            <w:tcBorders/>
            <w:shd w:fill="CCEEFF" w:val="clear"/>
            <w:vAlign w:val="center"/>
          </w:tcPr>
          <w:p>
            <w:pPr>
              <w:pStyle w:val="TableContents"/>
              <w:bidi w:val="0"/>
              <w:spacing w:before="0" w:after="283"/>
              <w:jc w:val="both"/>
              <w:rPr/>
            </w:pPr>
            <w:r>
              <w:rPr/>
              <w:t>Classified within cost of revenues</w:t>
            </w:r>
          </w:p>
        </w:tc>
        <w:tc>
          <w:tcPr>
            <w:tcW w:w="60" w:type="dxa"/>
            <w:tcBorders/>
            <w:shd w:fill="CCEEFF" w:val="clear"/>
            <w:vAlign w:val="center"/>
          </w:tcPr>
          <w:p>
            <w:pPr>
              <w:pStyle w:val="TableContents"/>
              <w:bidi w:val="0"/>
              <w:spacing w:before="0" w:after="283"/>
              <w:jc w:val="left"/>
              <w:rPr/>
            </w:pPr>
            <w:r>
              <w:rPr/>
              <w:t> </w:t>
            </w:r>
          </w:p>
        </w:tc>
        <w:tc>
          <w:tcPr>
            <w:tcW w:w="151" w:type="dxa"/>
            <w:tcBorders/>
            <w:shd w:fill="CCEEFF" w:val="clear"/>
            <w:vAlign w:val="center"/>
          </w:tcPr>
          <w:p>
            <w:pPr>
              <w:pStyle w:val="TableContents"/>
              <w:bidi w:val="0"/>
              <w:spacing w:before="0" w:after="283"/>
              <w:jc w:val="left"/>
              <w:rPr/>
            </w:pPr>
            <w:r>
              <w:rPr/>
              <w:t>$</w:t>
            </w:r>
          </w:p>
        </w:tc>
        <w:tc>
          <w:tcPr>
            <w:tcW w:w="1324" w:type="dxa"/>
            <w:tcBorders/>
            <w:shd w:fill="CCEEFF" w:val="clear"/>
            <w:vAlign w:val="center"/>
          </w:tcPr>
          <w:p>
            <w:pPr>
              <w:pStyle w:val="TableContents"/>
              <w:bidi w:val="0"/>
              <w:spacing w:before="0" w:after="283"/>
              <w:jc w:val="right"/>
              <w:rPr/>
            </w:pPr>
            <w:r>
              <w:rPr/>
              <w:t>300</w:t>
            </w:r>
          </w:p>
        </w:tc>
        <w:tc>
          <w:tcPr>
            <w:tcW w:w="75" w:type="dxa"/>
            <w:tcBorders/>
            <w:shd w:fill="CCEEFF" w:val="clear"/>
            <w:vAlign w:val="center"/>
          </w:tcPr>
          <w:p>
            <w:pPr>
              <w:pStyle w:val="TableContents"/>
              <w:bidi w:val="0"/>
              <w:spacing w:before="0" w:after="283"/>
              <w:jc w:val="left"/>
              <w:rPr/>
            </w:pPr>
            <w:r>
              <w:rPr/>
              <w:t> </w:t>
            </w:r>
          </w:p>
        </w:tc>
      </w:tr>
      <w:tr>
        <w:trPr/>
        <w:tc>
          <w:tcPr>
            <w:tcW w:w="4985" w:type="dxa"/>
            <w:tcBorders/>
            <w:shd w:fill="FFFFFF" w:val="clear"/>
            <w:vAlign w:val="center"/>
          </w:tcPr>
          <w:p>
            <w:pPr>
              <w:pStyle w:val="TableContents"/>
              <w:bidi w:val="0"/>
              <w:spacing w:before="0" w:after="283"/>
              <w:jc w:val="both"/>
              <w:rPr/>
            </w:pPr>
            <w:r>
              <w:rPr/>
              <w:t>Classified within general and administrative expense</w:t>
            </w:r>
          </w:p>
        </w:tc>
        <w:tc>
          <w:tcPr>
            <w:tcW w:w="60" w:type="dxa"/>
            <w:tcBorders/>
            <w:shd w:fill="FFFFFF" w:val="clear"/>
            <w:vAlign w:val="center"/>
          </w:tcPr>
          <w:p>
            <w:pPr>
              <w:pStyle w:val="TableContents"/>
              <w:bidi w:val="0"/>
              <w:spacing w:before="0" w:after="283"/>
              <w:jc w:val="left"/>
              <w:rPr/>
            </w:pPr>
            <w:r>
              <w:rPr/>
              <w:t> </w:t>
            </w:r>
          </w:p>
        </w:tc>
        <w:tc>
          <w:tcPr>
            <w:tcW w:w="151" w:type="dxa"/>
            <w:tcBorders/>
            <w:shd w:fill="FFFFFF" w:val="clear"/>
            <w:vAlign w:val="center"/>
          </w:tcPr>
          <w:p>
            <w:pPr>
              <w:pStyle w:val="TableContents"/>
              <w:bidi w:val="0"/>
              <w:spacing w:before="0" w:after="283"/>
              <w:jc w:val="left"/>
              <w:rPr/>
            </w:pPr>
            <w:r>
              <w:rPr/>
              <w:t> </w:t>
            </w:r>
          </w:p>
        </w:tc>
        <w:tc>
          <w:tcPr>
            <w:tcW w:w="1324" w:type="dxa"/>
            <w:tcBorders/>
            <w:shd w:fill="FFFFFF" w:val="clear"/>
            <w:vAlign w:val="center"/>
          </w:tcPr>
          <w:p>
            <w:pPr>
              <w:pStyle w:val="TableContents"/>
              <w:bidi w:val="0"/>
              <w:spacing w:before="0" w:after="283"/>
              <w:jc w:val="right"/>
              <w:rPr/>
            </w:pPr>
            <w:r>
              <w:rPr/>
              <w:t>2,752</w:t>
            </w:r>
          </w:p>
        </w:tc>
        <w:tc>
          <w:tcPr>
            <w:tcW w:w="75"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above estimates of intangible assets’ fair values and useful lives are provisional and subject to change upon finalization of the fair values of the assets acquired.</w:t>
      </w:r>
    </w:p>
    <w:p>
      <w:pPr>
        <w:pStyle w:val="TextBody"/>
        <w:bidi w:val="0"/>
        <w:spacing w:before="0" w:after="0"/>
        <w:ind w:left="72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00"/>
        <w:gridCol w:w="9967"/>
      </w:tblGrid>
      <w:tr>
        <w:trPr/>
        <w:tc>
          <w:tcPr>
            <w:tcW w:w="3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w:t>
            </w:r>
          </w:p>
        </w:tc>
        <w:tc>
          <w:tcPr>
            <w:tcW w:w="996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 xml:space="preserve">As of the acquisition date, the provisional components of Ambia intangibles acquired and their useful lives were as follows </w:t>
            </w:r>
            <w:r>
              <w:rPr>
                <w:rFonts w:ascii="Times New Roman;Times;Serif" w:hAnsi="Times New Roman;Times;Serif"/>
                <w:i/>
                <w:sz w:val="20"/>
              </w:rPr>
              <w:t>(in thousands):</w:t>
            </w:r>
          </w:p>
        </w:tc>
      </w:tr>
    </w:tbl>
    <w:p>
      <w:pPr>
        <w:pStyle w:val="TextBody"/>
        <w:bidi w:val="0"/>
        <w:spacing w:before="0" w:after="283"/>
        <w:jc w:val="left"/>
        <w:rPr/>
      </w:pPr>
      <w:r>
        <w:rPr/>
        <w:t> </w:t>
      </w:r>
    </w:p>
    <w:tbl>
      <w:tblPr>
        <w:tblW w:w="4725" w:type="dxa"/>
        <w:jc w:val="left"/>
        <w:tblInd w:w="0" w:type="dxa"/>
        <w:tblLayout w:type="fixed"/>
        <w:tblCellMar>
          <w:top w:w="0" w:type="dxa"/>
          <w:left w:w="0" w:type="dxa"/>
          <w:bottom w:w="0" w:type="dxa"/>
          <w:right w:w="0" w:type="dxa"/>
        </w:tblCellMar>
      </w:tblPr>
      <w:tblGrid>
        <w:gridCol w:w="2630"/>
        <w:gridCol w:w="60"/>
        <w:gridCol w:w="1040"/>
        <w:gridCol w:w="60"/>
        <w:gridCol w:w="172"/>
        <w:gridCol w:w="688"/>
        <w:gridCol w:w="75"/>
      </w:tblGrid>
      <w:tr>
        <w:trPr/>
        <w:tc>
          <w:tcPr>
            <w:tcW w:w="2630"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p>
        </w:tc>
        <w:tc>
          <w:tcPr>
            <w:tcW w:w="1040" w:type="dxa"/>
            <w:tcBorders>
              <w:bottom w:val="single" w:sz="12" w:space="0" w:color="000000"/>
            </w:tcBorders>
            <w:tcMar>
              <w:bottom w:w="28" w:type="dxa"/>
            </w:tcMar>
            <w:vAlign w:val="center"/>
          </w:tcPr>
          <w:p>
            <w:pPr>
              <w:pStyle w:val="TableContents"/>
              <w:bidi w:val="0"/>
              <w:spacing w:before="0" w:after="283"/>
              <w:jc w:val="center"/>
              <w:rPr>
                <w:b/>
              </w:rPr>
            </w:pPr>
            <w:r>
              <w:rPr>
                <w:b/>
              </w:rPr>
              <w:t>Estimated</w:t>
              <w:br/>
              <w:t>useful life</w:t>
            </w:r>
          </w:p>
        </w:tc>
        <w:tc>
          <w:tcPr>
            <w:tcW w:w="60" w:type="dxa"/>
            <w:tcBorders/>
            <w:vAlign w:val="center"/>
          </w:tcPr>
          <w:p>
            <w:pPr>
              <w:pStyle w:val="TableContents"/>
              <w:bidi w:val="0"/>
              <w:spacing w:before="0" w:after="283"/>
              <w:jc w:val="left"/>
              <w:rPr/>
            </w:pPr>
            <w:r>
              <w:rPr/>
              <w:t> </w:t>
            </w:r>
          </w:p>
        </w:tc>
        <w:tc>
          <w:tcPr>
            <w:tcW w:w="86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Amount</w:t>
            </w:r>
          </w:p>
        </w:tc>
        <w:tc>
          <w:tcPr>
            <w:tcW w:w="75" w:type="dxa"/>
            <w:tcBorders/>
            <w:vAlign w:val="center"/>
          </w:tcPr>
          <w:p>
            <w:pPr>
              <w:pStyle w:val="TableContents"/>
              <w:bidi w:val="0"/>
              <w:spacing w:before="0" w:after="283"/>
              <w:jc w:val="left"/>
              <w:rPr/>
            </w:pPr>
            <w:r>
              <w:rPr/>
              <w:t> </w:t>
            </w:r>
          </w:p>
        </w:tc>
      </w:tr>
      <w:tr>
        <w:trPr/>
        <w:tc>
          <w:tcPr>
            <w:tcW w:w="2630" w:type="dxa"/>
            <w:tcBorders/>
            <w:shd w:fill="CCEEFF" w:val="clear"/>
            <w:vAlign w:val="center"/>
          </w:tcPr>
          <w:p>
            <w:pPr>
              <w:pStyle w:val="TableContents"/>
              <w:bidi w:val="0"/>
              <w:spacing w:before="0" w:after="283"/>
              <w:jc w:val="both"/>
              <w:rPr/>
            </w:pPr>
            <w:r>
              <w:rPr/>
              <w:t>Customer related intangible</w:t>
            </w:r>
          </w:p>
        </w:tc>
        <w:tc>
          <w:tcPr>
            <w:tcW w:w="60" w:type="dxa"/>
            <w:tcBorders/>
            <w:shd w:fill="CCEEFF" w:val="clear"/>
            <w:vAlign w:val="center"/>
          </w:tcPr>
          <w:p>
            <w:pPr>
              <w:pStyle w:val="TableContents"/>
              <w:bidi w:val="0"/>
              <w:spacing w:before="0" w:after="283"/>
              <w:jc w:val="left"/>
              <w:rPr/>
            </w:pPr>
            <w:r>
              <w:rPr/>
              <w:t> </w:t>
            </w:r>
          </w:p>
        </w:tc>
        <w:tc>
          <w:tcPr>
            <w:tcW w:w="1040" w:type="dxa"/>
            <w:tcBorders/>
            <w:shd w:fill="CCEEFF" w:val="clear"/>
            <w:vAlign w:val="center"/>
          </w:tcPr>
          <w:p>
            <w:pPr>
              <w:pStyle w:val="TableContents"/>
              <w:bidi w:val="0"/>
              <w:spacing w:before="0" w:after="283"/>
              <w:jc w:val="center"/>
              <w:rPr/>
            </w:pPr>
            <w:r>
              <w:rPr/>
              <w:t>1 year</w:t>
            </w:r>
          </w:p>
        </w:tc>
        <w:tc>
          <w:tcPr>
            <w:tcW w:w="60" w:type="dxa"/>
            <w:tcBorders/>
            <w:shd w:fill="CCEEFF" w:val="clear"/>
            <w:vAlign w:val="center"/>
          </w:tcPr>
          <w:p>
            <w:pPr>
              <w:pStyle w:val="TableContents"/>
              <w:bidi w:val="0"/>
              <w:spacing w:before="0" w:after="283"/>
              <w:jc w:val="left"/>
              <w:rPr/>
            </w:pPr>
            <w:r>
              <w:rPr/>
              <w:t> </w:t>
            </w:r>
          </w:p>
        </w:tc>
        <w:tc>
          <w:tcPr>
            <w:tcW w:w="172" w:type="dxa"/>
            <w:tcBorders/>
            <w:shd w:fill="CCEEFF" w:val="clear"/>
            <w:vAlign w:val="center"/>
          </w:tcPr>
          <w:p>
            <w:pPr>
              <w:pStyle w:val="TableContents"/>
              <w:bidi w:val="0"/>
              <w:spacing w:before="0" w:after="283"/>
              <w:jc w:val="left"/>
              <w:rPr/>
            </w:pPr>
            <w:r>
              <w:rPr/>
              <w:t>$</w:t>
            </w:r>
          </w:p>
        </w:tc>
        <w:tc>
          <w:tcPr>
            <w:tcW w:w="688" w:type="dxa"/>
            <w:tcBorders/>
            <w:shd w:fill="CCEEFF" w:val="clear"/>
            <w:vAlign w:val="center"/>
          </w:tcPr>
          <w:p>
            <w:pPr>
              <w:pStyle w:val="TableContents"/>
              <w:bidi w:val="0"/>
              <w:spacing w:before="0" w:after="283"/>
              <w:jc w:val="right"/>
              <w:rPr/>
            </w:pPr>
            <w:r>
              <w:rPr/>
              <w:t>3,400</w:t>
            </w:r>
          </w:p>
        </w:tc>
        <w:tc>
          <w:tcPr>
            <w:tcW w:w="75" w:type="dxa"/>
            <w:tcBorders/>
            <w:shd w:fill="CCEEFF" w:val="clear"/>
            <w:vAlign w:val="center"/>
          </w:tcPr>
          <w:p>
            <w:pPr>
              <w:pStyle w:val="TableContents"/>
              <w:bidi w:val="0"/>
              <w:spacing w:before="0" w:after="283"/>
              <w:jc w:val="left"/>
              <w:rPr/>
            </w:pPr>
            <w:r>
              <w:rPr/>
              <w:t> </w:t>
            </w:r>
          </w:p>
        </w:tc>
      </w:tr>
      <w:tr>
        <w:trPr/>
        <w:tc>
          <w:tcPr>
            <w:tcW w:w="2630" w:type="dxa"/>
            <w:tcBorders/>
            <w:shd w:fill="FFFFFF" w:val="clear"/>
            <w:vAlign w:val="center"/>
          </w:tcPr>
          <w:p>
            <w:pPr>
              <w:pStyle w:val="TableContents"/>
              <w:bidi w:val="0"/>
              <w:spacing w:before="0" w:after="283"/>
              <w:jc w:val="both"/>
              <w:rPr/>
            </w:pPr>
            <w:r>
              <w:rPr/>
              <w:t>Trademark</w:t>
            </w:r>
          </w:p>
        </w:tc>
        <w:tc>
          <w:tcPr>
            <w:tcW w:w="60" w:type="dxa"/>
            <w:tcBorders/>
            <w:shd w:fill="FFFFFF" w:val="clear"/>
            <w:vAlign w:val="center"/>
          </w:tcPr>
          <w:p>
            <w:pPr>
              <w:pStyle w:val="TableContents"/>
              <w:bidi w:val="0"/>
              <w:spacing w:before="0" w:after="283"/>
              <w:jc w:val="left"/>
              <w:rPr/>
            </w:pPr>
            <w:r>
              <w:rPr/>
              <w:t> </w:t>
            </w:r>
          </w:p>
        </w:tc>
        <w:tc>
          <w:tcPr>
            <w:tcW w:w="1040" w:type="dxa"/>
            <w:tcBorders/>
            <w:shd w:fill="FFFFFF" w:val="clear"/>
            <w:vAlign w:val="center"/>
          </w:tcPr>
          <w:p>
            <w:pPr>
              <w:pStyle w:val="TableContents"/>
              <w:bidi w:val="0"/>
              <w:spacing w:before="0" w:after="283"/>
              <w:jc w:val="center"/>
              <w:rPr/>
            </w:pPr>
            <w:r>
              <w:rPr/>
              <w:t>1 year</w:t>
            </w:r>
          </w:p>
        </w:tc>
        <w:tc>
          <w:tcPr>
            <w:tcW w:w="60" w:type="dxa"/>
            <w:tcBorders/>
            <w:shd w:fill="FFFFFF" w:val="clear"/>
            <w:vAlign w:val="center"/>
          </w:tcPr>
          <w:p>
            <w:pPr>
              <w:pStyle w:val="TableContents"/>
              <w:bidi w:val="0"/>
              <w:spacing w:before="0" w:after="283"/>
              <w:jc w:val="left"/>
              <w:rPr/>
            </w:pPr>
            <w:r>
              <w:rPr/>
              <w:t> </w:t>
            </w:r>
          </w:p>
        </w:tc>
        <w:tc>
          <w:tcPr>
            <w:tcW w:w="172" w:type="dxa"/>
            <w:tcBorders/>
            <w:shd w:fill="FFFFFF" w:val="clear"/>
            <w:vAlign w:val="center"/>
          </w:tcPr>
          <w:p>
            <w:pPr>
              <w:pStyle w:val="TableContents"/>
              <w:bidi w:val="0"/>
              <w:spacing w:before="0" w:after="283"/>
              <w:jc w:val="left"/>
              <w:rPr/>
            </w:pPr>
            <w:r>
              <w:rPr/>
              <w:t> </w:t>
            </w:r>
          </w:p>
        </w:tc>
        <w:tc>
          <w:tcPr>
            <w:tcW w:w="688" w:type="dxa"/>
            <w:tcBorders/>
            <w:shd w:fill="FFFFFF" w:val="clear"/>
            <w:vAlign w:val="center"/>
          </w:tcPr>
          <w:p>
            <w:pPr>
              <w:pStyle w:val="TableContents"/>
              <w:bidi w:val="0"/>
              <w:spacing w:before="0" w:after="283"/>
              <w:jc w:val="right"/>
              <w:rPr/>
            </w:pPr>
            <w:r>
              <w:rPr/>
              <w:t>900</w:t>
            </w:r>
          </w:p>
        </w:tc>
        <w:tc>
          <w:tcPr>
            <w:tcW w:w="75" w:type="dxa"/>
            <w:tcBorders/>
            <w:shd w:fill="FFFFFF" w:val="clear"/>
            <w:vAlign w:val="center"/>
          </w:tcPr>
          <w:p>
            <w:pPr>
              <w:pStyle w:val="TableContents"/>
              <w:bidi w:val="0"/>
              <w:spacing w:before="0" w:after="283"/>
              <w:jc w:val="left"/>
              <w:rPr/>
            </w:pPr>
            <w:r>
              <w:rPr/>
              <w:t> </w:t>
            </w:r>
          </w:p>
        </w:tc>
      </w:tr>
      <w:tr>
        <w:trPr/>
        <w:tc>
          <w:tcPr>
            <w:tcW w:w="2630" w:type="dxa"/>
            <w:tcBorders/>
            <w:shd w:fill="CCEEFF" w:val="clear"/>
            <w:vAlign w:val="center"/>
          </w:tcPr>
          <w:p>
            <w:pPr>
              <w:pStyle w:val="TableContents"/>
              <w:bidi w:val="0"/>
              <w:spacing w:before="0" w:after="283"/>
              <w:jc w:val="both"/>
              <w:rPr/>
            </w:pPr>
            <w:r>
              <w:rPr/>
              <w:t>Developed technology</w:t>
            </w:r>
          </w:p>
        </w:tc>
        <w:tc>
          <w:tcPr>
            <w:tcW w:w="60" w:type="dxa"/>
            <w:tcBorders/>
            <w:shd w:fill="CCEEFF" w:val="clear"/>
            <w:vAlign w:val="center"/>
          </w:tcPr>
          <w:p>
            <w:pPr>
              <w:pStyle w:val="TableContents"/>
              <w:bidi w:val="0"/>
              <w:spacing w:before="0" w:after="283"/>
              <w:jc w:val="left"/>
              <w:rPr/>
            </w:pPr>
            <w:r>
              <w:rPr/>
              <w:t> </w:t>
            </w:r>
          </w:p>
        </w:tc>
        <w:tc>
          <w:tcPr>
            <w:tcW w:w="104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2"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688" w:type="dxa"/>
            <w:tcBorders>
              <w:bottom w:val="single" w:sz="12" w:space="0" w:color="000000"/>
            </w:tcBorders>
            <w:shd w:fill="CCEEFF" w:val="clear"/>
            <w:tcMar>
              <w:bottom w:w="28" w:type="dxa"/>
            </w:tcM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2630" w:type="dxa"/>
            <w:tcBorders/>
            <w:shd w:fill="FFFFFF" w:val="clear"/>
            <w:vAlign w:val="center"/>
          </w:tcPr>
          <w:p>
            <w:pPr>
              <w:pStyle w:val="TableContents"/>
              <w:bidi w:val="0"/>
              <w:spacing w:before="0" w:after="283"/>
              <w:jc w:val="both"/>
              <w:rPr/>
            </w:pPr>
            <w:r>
              <w:rPr/>
              <w:t>Intangible assets acquired</w:t>
            </w:r>
          </w:p>
        </w:tc>
        <w:tc>
          <w:tcPr>
            <w:tcW w:w="60" w:type="dxa"/>
            <w:tcBorders/>
            <w:shd w:fill="FFFFFF" w:val="clear"/>
            <w:vAlign w:val="center"/>
          </w:tcPr>
          <w:p>
            <w:pPr>
              <w:pStyle w:val="TableContents"/>
              <w:bidi w:val="0"/>
              <w:spacing w:before="0" w:after="283"/>
              <w:jc w:val="left"/>
              <w:rPr/>
            </w:pPr>
            <w:r>
              <w:rPr/>
              <w:t> </w:t>
            </w:r>
          </w:p>
        </w:tc>
        <w:tc>
          <w:tcPr>
            <w:tcW w:w="104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172" w:type="dxa"/>
            <w:tcBorders>
              <w:bottom w:val="double" w:sz="10" w:space="0" w:color="000000"/>
            </w:tcBorders>
            <w:shd w:fill="FFFFFF" w:val="clear"/>
            <w:tcMar>
              <w:bottom w:w="28" w:type="dxa"/>
            </w:tcMar>
            <w:vAlign w:val="center"/>
          </w:tcPr>
          <w:p>
            <w:pPr>
              <w:pStyle w:val="TableContents"/>
              <w:bidi w:val="0"/>
              <w:spacing w:before="0" w:after="283"/>
              <w:jc w:val="left"/>
              <w:rPr/>
            </w:pPr>
            <w:r>
              <w:rPr/>
              <w:t>$</w:t>
            </w:r>
          </w:p>
        </w:tc>
        <w:tc>
          <w:tcPr>
            <w:tcW w:w="688" w:type="dxa"/>
            <w:tcBorders>
              <w:bottom w:val="double" w:sz="10" w:space="0" w:color="000000"/>
            </w:tcBorders>
            <w:shd w:fill="FFFFFF" w:val="clear"/>
            <w:tcMar>
              <w:bottom w:w="28" w:type="dxa"/>
            </w:tcMar>
            <w:vAlign w:val="center"/>
          </w:tcPr>
          <w:p>
            <w:pPr>
              <w:pStyle w:val="TableContents"/>
              <w:bidi w:val="0"/>
              <w:spacing w:before="0" w:after="283"/>
              <w:jc w:val="right"/>
              <w:rPr/>
            </w:pPr>
            <w:r>
              <w:rPr/>
              <w:t>4,300</w:t>
            </w:r>
          </w:p>
        </w:tc>
        <w:tc>
          <w:tcPr>
            <w:tcW w:w="75" w:type="dxa"/>
            <w:tcBorders/>
            <w:shd w:fill="FFFFFF" w:val="clear"/>
            <w:vAlign w:val="center"/>
          </w:tcPr>
          <w:p>
            <w:pPr>
              <w:pStyle w:val="TableContents"/>
              <w:bidi w:val="0"/>
              <w:spacing w:before="0" w:after="283"/>
              <w:jc w:val="left"/>
              <w:rPr/>
            </w:pPr>
            <w:r>
              <w:rPr/>
              <w:t> </w:t>
            </w:r>
          </w:p>
        </w:tc>
      </w:tr>
      <w:tr>
        <w:trPr/>
        <w:tc>
          <w:tcPr>
            <w:tcW w:w="263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4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2" w:type="dxa"/>
            <w:tcBorders/>
            <w:shd w:fill="CCEEFF" w:val="clear"/>
            <w:vAlign w:val="center"/>
          </w:tcPr>
          <w:p>
            <w:pPr>
              <w:pStyle w:val="TableContents"/>
              <w:bidi w:val="0"/>
              <w:spacing w:before="0" w:after="283"/>
              <w:jc w:val="left"/>
              <w:rPr/>
            </w:pPr>
            <w:r>
              <w:rPr/>
              <w:t> </w:t>
            </w:r>
          </w:p>
        </w:tc>
        <w:tc>
          <w:tcPr>
            <w:tcW w:w="688"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Intangible assets are amortized on a straight-line basis. This transaction adjustment reflects the pro forma amortization expense for the period from January 1, 2025 to November 20, 2025, the acquisition date. The components of the pro forma amortization expense are as noted below </w:t>
      </w:r>
      <w:r>
        <w:rPr>
          <w:rFonts w:ascii="Times New Roman;Times;Serif" w:hAnsi="Times New Roman;Times;Serif"/>
          <w:b w:val="false"/>
          <w:i/>
          <w:caps w:val="false"/>
          <w:smallCaps w:val="false"/>
          <w:sz w:val="20"/>
        </w:rPr>
        <w:t>(in thousands)</w:t>
      </w:r>
      <w:r>
        <w:rPr>
          <w:rFonts w:ascii="Times New Roman;Times;Serif" w:hAnsi="Times New Roman;Times;Serif"/>
          <w:b w:val="false"/>
          <w:i w:val="false"/>
          <w:caps w:val="false"/>
          <w:smallCaps w:val="false"/>
          <w:sz w:val="20"/>
        </w:rPr>
        <w:t>:</w:t>
      </w:r>
    </w:p>
    <w:p>
      <w:pPr>
        <w:pStyle w:val="TextBody"/>
        <w:bidi w:val="0"/>
        <w:spacing w:before="0" w:after="0"/>
        <w:ind w:left="720" w:right="0" w:hanging="0"/>
        <w:jc w:val="both"/>
        <w:rPr>
          <w:caps w:val="false"/>
          <w:smallCaps w:val="false"/>
        </w:rPr>
      </w:pPr>
      <w:r>
        <w:rPr>
          <w:caps w:val="false"/>
          <w:smallCaps w:val="false"/>
        </w:rPr>
        <w:t> </w:t>
      </w:r>
    </w:p>
    <w:tbl>
      <w:tblPr>
        <w:tblW w:w="5695" w:type="dxa"/>
        <w:jc w:val="left"/>
        <w:tblInd w:w="0" w:type="dxa"/>
        <w:tblLayout w:type="fixed"/>
        <w:tblCellMar>
          <w:top w:w="0" w:type="dxa"/>
          <w:left w:w="0" w:type="dxa"/>
          <w:bottom w:w="0" w:type="dxa"/>
          <w:right w:w="0" w:type="dxa"/>
        </w:tblCellMar>
      </w:tblPr>
      <w:tblGrid>
        <w:gridCol w:w="3575"/>
        <w:gridCol w:w="60"/>
        <w:gridCol w:w="397"/>
        <w:gridCol w:w="1588"/>
        <w:gridCol w:w="75"/>
      </w:tblGrid>
      <w:tr>
        <w:trPr/>
        <w:tc>
          <w:tcPr>
            <w:tcW w:w="357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985" w:type="dxa"/>
            <w:gridSpan w:val="2"/>
            <w:tcBorders/>
            <w:vAlign w:val="center"/>
          </w:tcPr>
          <w:p>
            <w:pPr>
              <w:pStyle w:val="TableContents"/>
              <w:bidi w:val="0"/>
              <w:spacing w:before="0" w:after="283"/>
              <w:jc w:val="center"/>
              <w:rPr>
                <w:b/>
              </w:rPr>
            </w:pPr>
            <w:r>
              <w:rPr>
                <w:b/>
              </w:rPr>
              <w:t>Year-to-date</w:t>
              <w:br/>
              <w:t>Through</w:t>
            </w:r>
          </w:p>
        </w:tc>
        <w:tc>
          <w:tcPr>
            <w:tcW w:w="75" w:type="dxa"/>
            <w:tcBorders/>
            <w:vAlign w:val="center"/>
          </w:tcPr>
          <w:p>
            <w:pPr>
              <w:pStyle w:val="TableContents"/>
              <w:bidi w:val="0"/>
              <w:spacing w:before="0" w:after="283"/>
              <w:jc w:val="left"/>
              <w:rPr/>
            </w:pPr>
            <w:r>
              <w:rPr/>
              <w:t> </w:t>
            </w:r>
          </w:p>
        </w:tc>
      </w:tr>
      <w:tr>
        <w:trPr/>
        <w:tc>
          <w:tcPr>
            <w:tcW w:w="357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98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November 20, 2025</w:t>
            </w:r>
          </w:p>
        </w:tc>
        <w:tc>
          <w:tcPr>
            <w:tcW w:w="75" w:type="dxa"/>
            <w:tcBorders/>
            <w:vAlign w:val="center"/>
          </w:tcPr>
          <w:p>
            <w:pPr>
              <w:pStyle w:val="TableContents"/>
              <w:bidi w:val="0"/>
              <w:spacing w:before="0" w:after="283"/>
              <w:jc w:val="left"/>
              <w:rPr/>
            </w:pPr>
            <w:r>
              <w:rPr/>
              <w:t> </w:t>
            </w:r>
          </w:p>
        </w:tc>
      </w:tr>
      <w:tr>
        <w:trPr/>
        <w:tc>
          <w:tcPr>
            <w:tcW w:w="3575" w:type="dxa"/>
            <w:tcBorders/>
            <w:shd w:fill="CCEEFF" w:val="clear"/>
            <w:vAlign w:val="center"/>
          </w:tcPr>
          <w:p>
            <w:pPr>
              <w:pStyle w:val="TableContents"/>
              <w:bidi w:val="0"/>
              <w:spacing w:before="0" w:after="283"/>
              <w:jc w:val="both"/>
              <w:rPr/>
            </w:pPr>
            <w:r>
              <w:rPr/>
              <w:t>Customer related intangible</w:t>
            </w:r>
          </w:p>
        </w:tc>
        <w:tc>
          <w:tcPr>
            <w:tcW w:w="60" w:type="dxa"/>
            <w:tcBorders/>
            <w:shd w:fill="CCEEFF" w:val="clear"/>
            <w:vAlign w:val="center"/>
          </w:tcPr>
          <w:p>
            <w:pPr>
              <w:pStyle w:val="TableContents"/>
              <w:bidi w:val="0"/>
              <w:spacing w:before="0" w:after="283"/>
              <w:jc w:val="left"/>
              <w:rPr/>
            </w:pPr>
            <w:r>
              <w:rPr/>
              <w:t> </w:t>
            </w:r>
          </w:p>
        </w:tc>
        <w:tc>
          <w:tcPr>
            <w:tcW w:w="397" w:type="dxa"/>
            <w:tcBorders/>
            <w:shd w:fill="CCEEFF" w:val="clear"/>
            <w:vAlign w:val="center"/>
          </w:tcPr>
          <w:p>
            <w:pPr>
              <w:pStyle w:val="TableContents"/>
              <w:bidi w:val="0"/>
              <w:spacing w:before="0" w:after="283"/>
              <w:jc w:val="left"/>
              <w:rPr/>
            </w:pPr>
            <w:r>
              <w:rPr/>
              <w:t>$</w:t>
            </w:r>
          </w:p>
        </w:tc>
        <w:tc>
          <w:tcPr>
            <w:tcW w:w="1588" w:type="dxa"/>
            <w:tcBorders/>
            <w:shd w:fill="CCEEFF" w:val="clear"/>
            <w:vAlign w:val="center"/>
          </w:tcPr>
          <w:p>
            <w:pPr>
              <w:pStyle w:val="TableContents"/>
              <w:bidi w:val="0"/>
              <w:spacing w:before="0" w:after="283"/>
              <w:jc w:val="right"/>
              <w:rPr/>
            </w:pPr>
            <w:r>
              <w:rPr/>
              <w:t>967</w:t>
            </w:r>
          </w:p>
        </w:tc>
        <w:tc>
          <w:tcPr>
            <w:tcW w:w="75" w:type="dxa"/>
            <w:tcBorders/>
            <w:shd w:fill="CCEEFF" w:val="clear"/>
            <w:vAlign w:val="center"/>
          </w:tcPr>
          <w:p>
            <w:pPr>
              <w:pStyle w:val="TableContents"/>
              <w:bidi w:val="0"/>
              <w:spacing w:before="0" w:after="283"/>
              <w:jc w:val="left"/>
              <w:rPr/>
            </w:pPr>
            <w:r>
              <w:rPr/>
              <w:t> </w:t>
            </w:r>
          </w:p>
        </w:tc>
      </w:tr>
      <w:tr>
        <w:trPr/>
        <w:tc>
          <w:tcPr>
            <w:tcW w:w="3575" w:type="dxa"/>
            <w:tcBorders/>
            <w:shd w:fill="FFFFFF" w:val="clear"/>
            <w:vAlign w:val="center"/>
          </w:tcPr>
          <w:p>
            <w:pPr>
              <w:pStyle w:val="TableContents"/>
              <w:bidi w:val="0"/>
              <w:spacing w:before="0" w:after="283"/>
              <w:jc w:val="both"/>
              <w:rPr/>
            </w:pPr>
            <w:r>
              <w:rPr/>
              <w:t>Trademark</w:t>
            </w:r>
          </w:p>
        </w:tc>
        <w:tc>
          <w:tcPr>
            <w:tcW w:w="60" w:type="dxa"/>
            <w:tcBorders/>
            <w:shd w:fill="FFFFFF" w:val="clear"/>
            <w:vAlign w:val="center"/>
          </w:tcPr>
          <w:p>
            <w:pPr>
              <w:pStyle w:val="TableContents"/>
              <w:bidi w:val="0"/>
              <w:spacing w:before="0" w:after="283"/>
              <w:jc w:val="left"/>
              <w:rPr/>
            </w:pPr>
            <w:r>
              <w:rPr/>
              <w:t> </w:t>
            </w:r>
          </w:p>
        </w:tc>
        <w:tc>
          <w:tcPr>
            <w:tcW w:w="397"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588" w:type="dxa"/>
            <w:tcBorders>
              <w:bottom w:val="single" w:sz="12" w:space="0" w:color="000000"/>
            </w:tcBorders>
            <w:shd w:fill="FFFFFF" w:val="clear"/>
            <w:tcMar>
              <w:bottom w:w="28" w:type="dxa"/>
            </w:tcMar>
            <w:vAlign w:val="center"/>
          </w:tcPr>
          <w:p>
            <w:pPr>
              <w:pStyle w:val="TableContents"/>
              <w:bidi w:val="0"/>
              <w:spacing w:before="0" w:after="283"/>
              <w:jc w:val="right"/>
              <w:rPr/>
            </w:pPr>
            <w:r>
              <w:rPr/>
              <w:t>825</w:t>
            </w:r>
          </w:p>
        </w:tc>
        <w:tc>
          <w:tcPr>
            <w:tcW w:w="75" w:type="dxa"/>
            <w:tcBorders/>
            <w:shd w:fill="FFFFFF" w:val="clear"/>
            <w:vAlign w:val="center"/>
          </w:tcPr>
          <w:p>
            <w:pPr>
              <w:pStyle w:val="TableContents"/>
              <w:bidi w:val="0"/>
              <w:spacing w:before="0" w:after="283"/>
              <w:jc w:val="left"/>
              <w:rPr/>
            </w:pPr>
            <w:r>
              <w:rPr/>
              <w:t> </w:t>
            </w:r>
          </w:p>
        </w:tc>
      </w:tr>
      <w:tr>
        <w:trPr/>
        <w:tc>
          <w:tcPr>
            <w:tcW w:w="3575" w:type="dxa"/>
            <w:tcBorders/>
            <w:shd w:fill="CCEEFF" w:val="clear"/>
            <w:vAlign w:val="center"/>
          </w:tcPr>
          <w:p>
            <w:pPr>
              <w:pStyle w:val="TableContents"/>
              <w:bidi w:val="0"/>
              <w:spacing w:before="0" w:after="283"/>
              <w:jc w:val="both"/>
              <w:rPr/>
            </w:pPr>
            <w:r>
              <w:rPr/>
              <w:t>Total pro forma amortization expense</w:t>
            </w:r>
          </w:p>
        </w:tc>
        <w:tc>
          <w:tcPr>
            <w:tcW w:w="60" w:type="dxa"/>
            <w:tcBorders/>
            <w:shd w:fill="CCEEFF" w:val="clear"/>
            <w:vAlign w:val="center"/>
          </w:tcPr>
          <w:p>
            <w:pPr>
              <w:pStyle w:val="TableContents"/>
              <w:bidi w:val="0"/>
              <w:spacing w:before="0" w:after="283"/>
              <w:jc w:val="left"/>
              <w:rPr/>
            </w:pPr>
            <w:r>
              <w:rPr/>
              <w:t> </w:t>
            </w:r>
          </w:p>
        </w:tc>
        <w:tc>
          <w:tcPr>
            <w:tcW w:w="397"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588" w:type="dxa"/>
            <w:tcBorders>
              <w:bottom w:val="double" w:sz="10" w:space="0" w:color="000000"/>
            </w:tcBorders>
            <w:shd w:fill="CCEEFF" w:val="clear"/>
            <w:tcMar>
              <w:bottom w:w="28" w:type="dxa"/>
            </w:tcMar>
            <w:vAlign w:val="center"/>
          </w:tcPr>
          <w:p>
            <w:pPr>
              <w:pStyle w:val="TableContents"/>
              <w:bidi w:val="0"/>
              <w:spacing w:before="0" w:after="283"/>
              <w:jc w:val="right"/>
              <w:rPr/>
            </w:pPr>
            <w:r>
              <w:rPr/>
              <w:t>1,792</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F-183</w:t>
      </w:r>
    </w:p>
    <w:p>
      <w:pPr>
        <w:pStyle w:val="TextBody"/>
        <w:bidi w:val="0"/>
        <w:spacing w:before="0" w:after="0"/>
        <w:ind w:left="72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85"/>
        <w:gridCol w:w="9945"/>
      </w:tblGrid>
      <w:tr>
        <w:trPr/>
        <w:tc>
          <w:tcPr>
            <w:tcW w:w="75"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w:t>
            </w:r>
          </w:p>
        </w:tc>
        <w:tc>
          <w:tcPr>
            <w:tcW w:w="994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 xml:space="preserve">Transaction adjustment reflects (i) the impact of interest expense and amortization of debt issuance costs arising from the September 2025 Notes issued in connection with the acquisition of Sunder, assuming the September 2025 Notes were issued on January 1, 2025 and (ii) the impact of interest expense arising from the $20.0 million Seller Note issued in connection with the acquisition of Sunder, assuming the Seller Note was issued on January 1, 2025. The components of pro forma interest and amortization of debt issuance costs are as follows </w:t>
            </w:r>
            <w:r>
              <w:rPr>
                <w:rFonts w:ascii="Times New Roman;Times;Serif" w:hAnsi="Times New Roman;Times;Serif"/>
                <w:i/>
                <w:sz w:val="20"/>
              </w:rPr>
              <w:t>(in thousands):</w:t>
            </w:r>
          </w:p>
        </w:tc>
      </w:tr>
    </w:tbl>
    <w:p>
      <w:pPr>
        <w:pStyle w:val="TextBody"/>
        <w:bidi w:val="0"/>
        <w:spacing w:before="0" w:after="0"/>
        <w:ind w:left="0" w:right="0" w:hanging="0"/>
        <w:jc w:val="left"/>
        <w:rPr>
          <w:caps w:val="false"/>
          <w:smallCaps w:val="false"/>
        </w:rPr>
      </w:pPr>
      <w:r>
        <w:rPr>
          <w:caps w:val="false"/>
          <w:smallCaps w:val="false"/>
        </w:rPr>
        <w:t> </w:t>
      </w:r>
    </w:p>
    <w:tbl>
      <w:tblPr>
        <w:tblW w:w="4750" w:type="dxa"/>
        <w:jc w:val="left"/>
        <w:tblInd w:w="0" w:type="dxa"/>
        <w:tblLayout w:type="fixed"/>
        <w:tblCellMar>
          <w:top w:w="0" w:type="dxa"/>
          <w:left w:w="0" w:type="dxa"/>
          <w:bottom w:w="0" w:type="dxa"/>
          <w:right w:w="0" w:type="dxa"/>
        </w:tblCellMar>
      </w:tblPr>
      <w:tblGrid>
        <w:gridCol w:w="3080"/>
        <w:gridCol w:w="60"/>
        <w:gridCol w:w="307"/>
        <w:gridCol w:w="1228"/>
        <w:gridCol w:w="75"/>
      </w:tblGrid>
      <w:tr>
        <w:trPr/>
        <w:tc>
          <w:tcPr>
            <w:tcW w:w="308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535" w:type="dxa"/>
            <w:gridSpan w:val="2"/>
            <w:tcBorders/>
            <w:vAlign w:val="center"/>
          </w:tcPr>
          <w:p>
            <w:pPr>
              <w:pStyle w:val="TableContents"/>
              <w:bidi w:val="0"/>
              <w:spacing w:before="0" w:after="283"/>
              <w:jc w:val="center"/>
              <w:rPr>
                <w:b/>
              </w:rPr>
            </w:pPr>
            <w:r>
              <w:rPr>
                <w:b/>
              </w:rPr>
              <w:t>Year-to-date</w:t>
              <w:br/>
              <w:t>Through</w:t>
            </w:r>
          </w:p>
        </w:tc>
        <w:tc>
          <w:tcPr>
            <w:tcW w:w="75" w:type="dxa"/>
            <w:tcBorders/>
            <w:vAlign w:val="center"/>
          </w:tcPr>
          <w:p>
            <w:pPr>
              <w:pStyle w:val="TableContents"/>
              <w:bidi w:val="0"/>
              <w:spacing w:before="0" w:after="283"/>
              <w:jc w:val="left"/>
              <w:rPr/>
            </w:pPr>
            <w:r>
              <w:rPr/>
              <w:t> </w:t>
            </w:r>
          </w:p>
        </w:tc>
      </w:tr>
      <w:tr>
        <w:trPr/>
        <w:tc>
          <w:tcPr>
            <w:tcW w:w="308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53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 xml:space="preserve">September 23, </w:t>
              <w:br/>
              <w:t>2025</w:t>
            </w:r>
          </w:p>
        </w:tc>
        <w:tc>
          <w:tcPr>
            <w:tcW w:w="75" w:type="dxa"/>
            <w:tcBorders/>
            <w:vAlign w:val="center"/>
          </w:tcPr>
          <w:p>
            <w:pPr>
              <w:pStyle w:val="TableContents"/>
              <w:bidi w:val="0"/>
              <w:spacing w:before="0" w:after="283"/>
              <w:jc w:val="left"/>
              <w:rPr/>
            </w:pPr>
            <w:r>
              <w:rPr/>
              <w:t> </w:t>
            </w:r>
          </w:p>
        </w:tc>
      </w:tr>
      <w:tr>
        <w:trPr/>
        <w:tc>
          <w:tcPr>
            <w:tcW w:w="3080" w:type="dxa"/>
            <w:tcBorders/>
            <w:shd w:fill="CCEEFF" w:val="clear"/>
            <w:vAlign w:val="center"/>
          </w:tcPr>
          <w:p>
            <w:pPr>
              <w:pStyle w:val="TableContents"/>
              <w:bidi w:val="0"/>
              <w:spacing w:before="0" w:after="283"/>
              <w:jc w:val="both"/>
              <w:rPr/>
            </w:pPr>
            <w:r>
              <w:rPr/>
              <w:t>September 2025 Notes</w:t>
            </w:r>
          </w:p>
        </w:tc>
        <w:tc>
          <w:tcPr>
            <w:tcW w:w="60" w:type="dxa"/>
            <w:tcBorders/>
            <w:shd w:fill="CCEEFF" w:val="clear"/>
            <w:vAlign w:val="center"/>
          </w:tcPr>
          <w:p>
            <w:pPr>
              <w:pStyle w:val="TableContents"/>
              <w:bidi w:val="0"/>
              <w:spacing w:before="0" w:after="283"/>
              <w:jc w:val="left"/>
              <w:rPr/>
            </w:pPr>
            <w:r>
              <w:rPr/>
              <w:t> </w:t>
            </w:r>
          </w:p>
        </w:tc>
        <w:tc>
          <w:tcPr>
            <w:tcW w:w="307" w:type="dxa"/>
            <w:tcBorders/>
            <w:shd w:fill="CCEEFF" w:val="clear"/>
            <w:vAlign w:val="center"/>
          </w:tcPr>
          <w:p>
            <w:pPr>
              <w:pStyle w:val="TableContents"/>
              <w:bidi w:val="0"/>
              <w:spacing w:before="0" w:after="283"/>
              <w:jc w:val="left"/>
              <w:rPr/>
            </w:pPr>
            <w:r>
              <w:rPr/>
              <w:t>$</w:t>
            </w:r>
          </w:p>
        </w:tc>
        <w:tc>
          <w:tcPr>
            <w:tcW w:w="1228" w:type="dxa"/>
            <w:tcBorders/>
            <w:shd w:fill="CCEEFF" w:val="clear"/>
            <w:vAlign w:val="center"/>
          </w:tcPr>
          <w:p>
            <w:pPr>
              <w:pStyle w:val="TableContents"/>
              <w:bidi w:val="0"/>
              <w:spacing w:before="0" w:after="283"/>
              <w:jc w:val="right"/>
              <w:rPr/>
            </w:pPr>
            <w:r>
              <w:rPr/>
              <w:t>1,019</w:t>
            </w:r>
          </w:p>
        </w:tc>
        <w:tc>
          <w:tcPr>
            <w:tcW w:w="75" w:type="dxa"/>
            <w:tcBorders/>
            <w:shd w:fill="CCEEFF" w:val="clear"/>
            <w:vAlign w:val="center"/>
          </w:tcPr>
          <w:p>
            <w:pPr>
              <w:pStyle w:val="TableContents"/>
              <w:bidi w:val="0"/>
              <w:spacing w:before="0" w:after="283"/>
              <w:jc w:val="left"/>
              <w:rPr/>
            </w:pPr>
            <w:r>
              <w:rPr/>
              <w:t> </w:t>
            </w:r>
          </w:p>
        </w:tc>
      </w:tr>
      <w:tr>
        <w:trPr/>
        <w:tc>
          <w:tcPr>
            <w:tcW w:w="3080" w:type="dxa"/>
            <w:tcBorders/>
            <w:shd w:fill="FFFFFF" w:val="clear"/>
            <w:vAlign w:val="center"/>
          </w:tcPr>
          <w:p>
            <w:pPr>
              <w:pStyle w:val="TableContents"/>
              <w:bidi w:val="0"/>
              <w:spacing w:before="0" w:after="283"/>
              <w:jc w:val="both"/>
              <w:rPr/>
            </w:pPr>
            <w:r>
              <w:rPr/>
              <w:t>Seller Note</w:t>
            </w:r>
          </w:p>
        </w:tc>
        <w:tc>
          <w:tcPr>
            <w:tcW w:w="60" w:type="dxa"/>
            <w:tcBorders/>
            <w:shd w:fill="FFFFFF" w:val="clear"/>
            <w:vAlign w:val="center"/>
          </w:tcPr>
          <w:p>
            <w:pPr>
              <w:pStyle w:val="TableContents"/>
              <w:bidi w:val="0"/>
              <w:spacing w:before="0" w:after="283"/>
              <w:jc w:val="left"/>
              <w:rPr/>
            </w:pPr>
            <w:r>
              <w:rPr/>
              <w:t> </w:t>
            </w:r>
          </w:p>
        </w:tc>
        <w:tc>
          <w:tcPr>
            <w:tcW w:w="307"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28" w:type="dxa"/>
            <w:tcBorders>
              <w:bottom w:val="single" w:sz="12" w:space="0" w:color="000000"/>
            </w:tcBorders>
            <w:shd w:fill="FFFFFF" w:val="clear"/>
            <w:tcMar>
              <w:bottom w:w="28" w:type="dxa"/>
            </w:tcMar>
            <w:vAlign w:val="center"/>
          </w:tcPr>
          <w:p>
            <w:pPr>
              <w:pStyle w:val="TableContents"/>
              <w:bidi w:val="0"/>
              <w:spacing w:before="0" w:after="283"/>
              <w:jc w:val="right"/>
              <w:rPr/>
            </w:pPr>
            <w:r>
              <w:rPr/>
              <w:t>1,885</w:t>
            </w:r>
          </w:p>
        </w:tc>
        <w:tc>
          <w:tcPr>
            <w:tcW w:w="75" w:type="dxa"/>
            <w:tcBorders/>
            <w:shd w:fill="FFFFFF" w:val="clear"/>
            <w:vAlign w:val="center"/>
          </w:tcPr>
          <w:p>
            <w:pPr>
              <w:pStyle w:val="TableContents"/>
              <w:bidi w:val="0"/>
              <w:spacing w:before="0" w:after="283"/>
              <w:jc w:val="left"/>
              <w:rPr/>
            </w:pPr>
            <w:r>
              <w:rPr/>
              <w:t> </w:t>
            </w:r>
          </w:p>
        </w:tc>
      </w:tr>
      <w:tr>
        <w:trPr/>
        <w:tc>
          <w:tcPr>
            <w:tcW w:w="3080" w:type="dxa"/>
            <w:tcBorders/>
            <w:shd w:fill="CCEEFF" w:val="clear"/>
            <w:vAlign w:val="center"/>
          </w:tcPr>
          <w:p>
            <w:pPr>
              <w:pStyle w:val="TableContents"/>
              <w:bidi w:val="0"/>
              <w:spacing w:before="0" w:after="283"/>
              <w:jc w:val="both"/>
              <w:rPr/>
            </w:pPr>
            <w:r>
              <w:rPr/>
              <w:t>Total pro forma interest expense</w:t>
            </w:r>
          </w:p>
        </w:tc>
        <w:tc>
          <w:tcPr>
            <w:tcW w:w="60" w:type="dxa"/>
            <w:tcBorders/>
            <w:shd w:fill="CCEEFF" w:val="clear"/>
            <w:vAlign w:val="center"/>
          </w:tcPr>
          <w:p>
            <w:pPr>
              <w:pStyle w:val="TableContents"/>
              <w:bidi w:val="0"/>
              <w:spacing w:before="0" w:after="283"/>
              <w:jc w:val="left"/>
              <w:rPr/>
            </w:pPr>
            <w:r>
              <w:rPr/>
              <w:t> </w:t>
            </w:r>
          </w:p>
        </w:tc>
        <w:tc>
          <w:tcPr>
            <w:tcW w:w="307"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228" w:type="dxa"/>
            <w:tcBorders>
              <w:bottom w:val="double" w:sz="10" w:space="0" w:color="000000"/>
            </w:tcBorders>
            <w:shd w:fill="CCEEFF" w:val="clear"/>
            <w:tcMar>
              <w:bottom w:w="28" w:type="dxa"/>
            </w:tcMar>
            <w:vAlign w:val="center"/>
          </w:tcPr>
          <w:p>
            <w:pPr>
              <w:pStyle w:val="TableContents"/>
              <w:bidi w:val="0"/>
              <w:spacing w:before="0" w:after="283"/>
              <w:jc w:val="right"/>
              <w:rPr/>
            </w:pPr>
            <w:r>
              <w:rPr/>
              <w:t>2,904</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transaction adjustment of $2.7 million includes an accounting adjustment to eliminate the historical interest expense of $0.2 million, as Sunder was acquired in a debt free transaction.</w:t>
      </w:r>
    </w:p>
    <w:p>
      <w:pPr>
        <w:pStyle w:val="TextBody"/>
        <w:bidi w:val="0"/>
        <w:spacing w:before="0" w:after="0"/>
        <w:ind w:left="72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F.</w:t>
            </w:r>
          </w:p>
        </w:tc>
        <w:tc>
          <w:tcPr>
            <w:tcW w:w="9960" w:type="dxa"/>
            <w:tcBorders/>
            <w:vAlign w:val="center"/>
          </w:tcPr>
          <w:p>
            <w:pPr>
              <w:pStyle w:val="TableContents"/>
              <w:bidi w:val="0"/>
              <w:spacing w:before="0" w:after="283"/>
              <w:jc w:val="both"/>
              <w:rPr/>
            </w:pPr>
            <w:r>
              <w:rPr/>
              <w:t>The transaction adjustment to eliminate the historical interest expense, as Ambia was acquired in a debt free transaction.</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00"/>
        <w:gridCol w:w="9930"/>
      </w:tblGrid>
      <w:tr>
        <w:trPr/>
        <w:tc>
          <w:tcPr>
            <w:tcW w:w="7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G.</w:t>
            </w:r>
          </w:p>
        </w:tc>
        <w:tc>
          <w:tcPr>
            <w:tcW w:w="993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pro forma results of operations include 3,333,334 shares of the Company’s stock issued at the date of the Sunder Acquisition. As of December 28, 2025, the historical weighted average shares outstanding included 860,806 shares issued in connection with the Sunder Acquisition. As such, incremental shares of 2,472,528 shares included in the pro forma shares outstanding as of December 28, 2025 is net of the 860,806 shares included in the historical weighted average shares outstanding. The 6,666,666 Deferred Consideration Shares were excluded from the computation of pro forma net loss per share because issuance of such shares is contingent upon the satisfaction of certain conditions which are not satisfied as of the period end for pro forma presentation purposes.  </w:t>
            </w:r>
          </w:p>
        </w:tc>
      </w:tr>
    </w:tbl>
    <w:p>
      <w:pPr>
        <w:pStyle w:val="TextBody"/>
        <w:bidi w:val="0"/>
        <w:spacing w:before="0" w:after="0"/>
        <w:ind w:left="72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00"/>
        <w:gridCol w:w="9930"/>
      </w:tblGrid>
      <w:tr>
        <w:trPr/>
        <w:tc>
          <w:tcPr>
            <w:tcW w:w="7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H.</w:t>
            </w:r>
          </w:p>
        </w:tc>
        <w:tc>
          <w:tcPr>
            <w:tcW w:w="993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To conform the financial statement presentation for the Ambia Acquisition to the Company’s presentation within the Statements of Operations for the period December 28, 2025.</w:t>
            </w:r>
          </w:p>
        </w:tc>
      </w:tr>
    </w:tbl>
    <w:p>
      <w:pPr>
        <w:pStyle w:val="TextBody"/>
        <w:bidi w:val="0"/>
        <w:spacing w:before="0" w:after="0"/>
        <w:ind w:left="72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25"/>
        <w:gridCol w:w="10005"/>
      </w:tblGrid>
      <w:tr>
        <w:trPr/>
        <w:tc>
          <w:tcPr>
            <w:tcW w:w="75"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w:t>
            </w:r>
          </w:p>
        </w:tc>
        <w:tc>
          <w:tcPr>
            <w:tcW w:w="1000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pro forma results of operations  include 15,150,086 shares of the Company’s stock issued at the date of the Ambia Acquisition and minimum value of variable shares of Deferred Consideration - Ambia. As of December 28, 2025, the historical weighted average shares outstanding included 1,765,961 shares issued in connection with the Ambia Acquisition. As such, incremental shares of 15,150,086 shares included in the pro forma shares outstanding as of December 28, 2025 is net of the 1,765,961 shares included in the historical weighted average shares outstanding.</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F-184</w:t>
      </w:r>
    </w:p>
    <w:p>
      <w:pPr>
        <w:pStyle w:val="TextBody"/>
        <w:bidi w:val="0"/>
        <w:spacing w:before="0" w:after="0"/>
        <w:jc w:val="center"/>
        <w:rPr>
          <w:caps/>
        </w:rPr>
      </w:pPr>
      <w:r>
        <w:rPr>
          <w:caps/>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 w:name="Times New Roman">
    <w:altName w:val="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image" Target="media/image4.jpeg"/><Relationship Id="rId6" Type="http://schemas.openxmlformats.org/officeDocument/2006/relationships/image" Target="media/image3.jpeg"/><Relationship Id="rId7" Type="http://schemas.openxmlformats.org/officeDocument/2006/relationships/image" Target="media/image3.jpeg"/><Relationship Id="rId8" Type="http://schemas.openxmlformats.org/officeDocument/2006/relationships/image" Target="media/image3.jpeg"/><Relationship Id="rId9" Type="http://schemas.openxmlformats.org/officeDocument/2006/relationships/image" Target="media/image3.jpeg"/><Relationship Id="rId10" Type="http://schemas.openxmlformats.org/officeDocument/2006/relationships/image" Target="media/image3.jpeg"/><Relationship Id="rId11" Type="http://schemas.openxmlformats.org/officeDocument/2006/relationships/image" Target="media/image3.jpeg"/><Relationship Id="rId12" Type="http://schemas.openxmlformats.org/officeDocument/2006/relationships/image" Target="media/image3.jpeg"/><Relationship Id="rId13" Type="http://schemas.openxmlformats.org/officeDocument/2006/relationships/image" Target="media/image3.jpeg"/><Relationship Id="rId14" Type="http://schemas.openxmlformats.org/officeDocument/2006/relationships/image" Target="media/image3.jpeg"/><Relationship Id="rId15" Type="http://schemas.openxmlformats.org/officeDocument/2006/relationships/image" Target="media/image3.jpeg"/><Relationship Id="rId16" Type="http://schemas.openxmlformats.org/officeDocument/2006/relationships/image" Target="media/image3.jpeg"/><Relationship Id="rId17" Type="http://schemas.openxmlformats.org/officeDocument/2006/relationships/image" Target="media/image3.jpeg"/><Relationship Id="rId18" Type="http://schemas.openxmlformats.org/officeDocument/2006/relationships/image" Target="media/image3.jpeg"/><Relationship Id="rId19" Type="http://schemas.openxmlformats.org/officeDocument/2006/relationships/fontTable" Target="fontTable.xml"/><Relationship Id="rId2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31</Pages>
  <Words>163672</Words>
  <Characters>890175</Characters>
  <CharactersWithSpaces>1063521</CharactersWithSpaces>
  <Paragraphs>35464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